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587" w:rsidRDefault="008F394C">
      <w:pPr>
        <w:pStyle w:val="Pagedecouverture"/>
        <w:rPr>
          <w:noProof/>
          <w:lang w:val="bg-BG"/>
        </w:rPr>
      </w:pPr>
      <w:bookmarkStart w:id="0" w:name="LW_BM_COVERPAGE"/>
      <w:bookmarkStart w:id="1" w:name="_GoBack"/>
      <w:bookmarkEnd w:id="1"/>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577950A-C9B2-4E90-BE91-EA654EE6B3C7" style="width:450.7pt;height:389.45pt">
            <v:imagedata r:id="rId18" o:title=""/>
          </v:shape>
        </w:pict>
      </w:r>
    </w:p>
    <w:bookmarkEnd w:id="0"/>
    <w:p w:rsidR="00B41587" w:rsidRDefault="00B41587">
      <w:pPr>
        <w:rPr>
          <w:noProof/>
          <w:lang w:val="bg-BG"/>
        </w:rPr>
        <w:sectPr w:rsidR="00B41587">
          <w:headerReference w:type="even" r:id="rId19"/>
          <w:headerReference w:type="default" r:id="rId20"/>
          <w:footerReference w:type="even" r:id="rId21"/>
          <w:footerReference w:type="default" r:id="rId22"/>
          <w:headerReference w:type="first" r:id="rId23"/>
          <w:footerReference w:type="first" r:id="rId2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41587" w:rsidRPr="008F394C">
        <w:tc>
          <w:tcPr>
            <w:tcW w:w="9288" w:type="dxa"/>
            <w:shd w:val="clear" w:color="auto" w:fill="BFBFBF"/>
          </w:tcPr>
          <w:p w:rsidR="00B41587" w:rsidRDefault="008F394C">
            <w:pPr>
              <w:rPr>
                <w:i/>
                <w:noProof/>
                <w:sz w:val="22"/>
                <w:szCs w:val="22"/>
                <w:lang w:val="bg-BG"/>
              </w:rPr>
            </w:pPr>
            <w:r>
              <w:rPr>
                <w:i/>
                <w:noProof/>
                <w:sz w:val="22"/>
                <w:lang w:val="bg-BG"/>
              </w:rPr>
              <w:lastRenderedPageBreak/>
              <w:t>Докладът за механизма за предупреждение (ДМП) отбелязва началото на годишния цикъл на процедурата при макроикономически дисбаланси (ПМД), която има за цел да се установят и преодолеят дисбалансите, които възпрепятстват безпроблемното функциониране на иконо</w:t>
            </w:r>
            <w:r>
              <w:rPr>
                <w:i/>
                <w:noProof/>
                <w:sz w:val="22"/>
                <w:lang w:val="bg-BG"/>
              </w:rPr>
              <w:t xml:space="preserve">миките на държавите членки и икономиката на ЕС и могат да застрашат доброто функциониране на икономическия и паричен съюз. </w:t>
            </w:r>
          </w:p>
          <w:p w:rsidR="00B41587" w:rsidRDefault="008F394C">
            <w:pPr>
              <w:rPr>
                <w:noProof/>
                <w:lang w:val="bg-BG"/>
              </w:rPr>
            </w:pPr>
            <w:r>
              <w:rPr>
                <w:i/>
                <w:noProof/>
                <w:sz w:val="22"/>
                <w:lang w:val="bg-BG"/>
              </w:rPr>
              <w:t>За изготвянето на ДМП се използва таблица с избрани показатели, както и голям набор от допълнителни показатели и съответна допълните</w:t>
            </w:r>
            <w:r>
              <w:rPr>
                <w:i/>
                <w:noProof/>
                <w:sz w:val="22"/>
                <w:lang w:val="bg-BG"/>
              </w:rPr>
              <w:t>лна информация, за да се проверят държавите членки за евентуални икономически дисбаланси, по отношение на които се налага да бъдат предприети мерки на политиките. В ДМП се посочват държавите членки, за които е необходимо да се направи анализ в рамките на з</w:t>
            </w:r>
            <w:r>
              <w:rPr>
                <w:i/>
                <w:noProof/>
                <w:sz w:val="22"/>
                <w:lang w:val="bg-BG"/>
              </w:rPr>
              <w:t>адълбочен преглед (ЗП) с цел да се прецени как се натрупват или намаляват макроикономическите рискове в държавите членки и да се направят изводи дали съществуват дисбаланси или прекомерни дисбаланси. Като отчита обсъжданията относно ДМП с Европейския парла</w:t>
            </w:r>
            <w:r>
              <w:rPr>
                <w:i/>
                <w:noProof/>
                <w:sz w:val="22"/>
                <w:lang w:val="bg-BG"/>
              </w:rPr>
              <w:t xml:space="preserve">мент и в рамките на Съвета и Еврогрупата, Комисията изготвя ЗП за държавите членки. В съответствие с установената практика ЗП се изготвя при всички положения за държавите членки, за които са установени дисбаланси при предишния кръг от ЗП. Констатациите от </w:t>
            </w:r>
            <w:r>
              <w:rPr>
                <w:i/>
                <w:noProof/>
                <w:sz w:val="22"/>
                <w:lang w:val="bg-BG"/>
              </w:rPr>
              <w:t>ЗП ще бъдат включени в специфичните за всяка държава препоръки (СДП) в рамките на европейския семестър за координация на икономическите политики. Очаква се ЗП да бъдат публикувани през февруари 2018 г. като част от докладите за държавите, преди пакета от С</w:t>
            </w:r>
            <w:r>
              <w:rPr>
                <w:i/>
                <w:noProof/>
                <w:sz w:val="22"/>
                <w:lang w:val="bg-BG"/>
              </w:rPr>
              <w:t>ДП към европейския семестър.</w:t>
            </w:r>
          </w:p>
        </w:tc>
      </w:tr>
    </w:tbl>
    <w:p w:rsidR="00B41587" w:rsidRDefault="00B41587">
      <w:pPr>
        <w:pStyle w:val="Heading1"/>
        <w:rPr>
          <w:lang w:val="bg-BG"/>
        </w:rPr>
      </w:pPr>
    </w:p>
    <w:p w:rsidR="00B41587" w:rsidRDefault="008F394C">
      <w:pPr>
        <w:pStyle w:val="Heading1"/>
        <w:rPr>
          <w:lang w:val="bg-BG"/>
        </w:rPr>
      </w:pPr>
      <w:r>
        <w:rPr>
          <w:lang w:val="bg-BG"/>
        </w:rPr>
        <w:t>1.</w:t>
      </w:r>
      <w:r>
        <w:rPr>
          <w:lang w:val="bg-BG"/>
        </w:rPr>
        <w:tab/>
        <w:t>Резюме</w:t>
      </w:r>
    </w:p>
    <w:p w:rsidR="00B41587" w:rsidRDefault="008F394C">
      <w:pPr>
        <w:rPr>
          <w:noProof/>
          <w:lang w:val="bg-BG"/>
        </w:rPr>
      </w:pPr>
      <w:r>
        <w:rPr>
          <w:b/>
          <w:noProof/>
          <w:lang w:val="bg-BG"/>
        </w:rPr>
        <w:t>С настоящия доклад се поставя началото на седмия годишен кръг на процедурата при макроикономически дисбаланси (ПМД)</w:t>
      </w:r>
      <w:r>
        <w:rPr>
          <w:rStyle w:val="FootnoteReference"/>
          <w:noProof/>
          <w:lang w:val="bg-BG"/>
        </w:rPr>
        <w:footnoteReference w:id="2"/>
      </w:r>
      <w:r>
        <w:rPr>
          <w:b/>
          <w:noProof/>
          <w:lang w:val="bg-BG"/>
        </w:rPr>
        <w:t>.</w:t>
      </w:r>
      <w:r>
        <w:rPr>
          <w:noProof/>
          <w:lang w:val="bg-BG"/>
        </w:rPr>
        <w:t xml:space="preserve"> С процедурата се цели да се установяват дисбалансите, които възпрепятстват безпроблемното функциониране на икономиките на държавите членки, и да се стимулират подходящите ответни мерки на политиките. ПМД се прилага в рамките на европейския семестър за коо</w:t>
      </w:r>
      <w:r>
        <w:rPr>
          <w:noProof/>
          <w:lang w:val="bg-BG"/>
        </w:rPr>
        <w:t>рдинация на икономическите политики с цел да се гарантира съгласуваност с анализите и препоръките, направени по линия на други инструменти за икономическо наблюдение. В годишния обзор на растежа (ГОР), който се приема едновременно с настоящия доклад, се пр</w:t>
      </w:r>
      <w:r>
        <w:rPr>
          <w:noProof/>
          <w:lang w:val="bg-BG"/>
        </w:rPr>
        <w:t>ави преглед на икономическото и социалното положение в Европа и се определят общи приоритети за политиката на ЕС като цяло през следващата година.</w:t>
      </w:r>
    </w:p>
    <w:p w:rsidR="00B41587" w:rsidRDefault="008F394C">
      <w:pPr>
        <w:rPr>
          <w:noProof/>
          <w:lang w:val="bg-BG"/>
        </w:rPr>
      </w:pPr>
      <w:r>
        <w:rPr>
          <w:b/>
          <w:noProof/>
          <w:lang w:val="bg-BG"/>
        </w:rPr>
        <w:t>В доклада са посочени държавите членки, за които трябва да бъдат направени задълбочени прегледи (ЗП) с цел да</w:t>
      </w:r>
      <w:r>
        <w:rPr>
          <w:b/>
          <w:noProof/>
          <w:lang w:val="bg-BG"/>
        </w:rPr>
        <w:t xml:space="preserve"> се прецени дали са засегнати от дисбаланси, по отношение на които се налага да бъдат предприети мерки на политиките</w:t>
      </w:r>
      <w:r>
        <w:rPr>
          <w:rStyle w:val="FootnoteReference"/>
          <w:noProof/>
          <w:lang w:val="bg-BG"/>
        </w:rPr>
        <w:footnoteReference w:id="3"/>
      </w:r>
      <w:r>
        <w:rPr>
          <w:noProof/>
          <w:lang w:val="bg-BG"/>
        </w:rPr>
        <w:t>. Докладът за механизма за предупреждение (ДМП) е инструмент за преглед на икономическите дисбаланси, публикуван в началото на всеки годише</w:t>
      </w:r>
      <w:r>
        <w:rPr>
          <w:noProof/>
          <w:lang w:val="bg-BG"/>
        </w:rPr>
        <w:t>н цикъл на координация на икономическите политики. По-специално той се основава на икономически анализ на таблица с показатели, за които са определени индикативни прагове, и на набор от допълнителни показатели.</w:t>
      </w:r>
    </w:p>
    <w:p w:rsidR="00B41587" w:rsidRDefault="008F394C">
      <w:pPr>
        <w:rPr>
          <w:noProof/>
          <w:lang w:val="bg-BG"/>
        </w:rPr>
      </w:pPr>
      <w:r>
        <w:rPr>
          <w:b/>
          <w:noProof/>
          <w:lang w:val="bg-BG"/>
        </w:rPr>
        <w:lastRenderedPageBreak/>
        <w:t>В ДМП е поставен акцент върху въпросите от зн</w:t>
      </w:r>
      <w:r>
        <w:rPr>
          <w:b/>
          <w:noProof/>
          <w:lang w:val="bg-BG"/>
        </w:rPr>
        <w:t>ачение за еврозоната.</w:t>
      </w:r>
      <w:r>
        <w:rPr>
          <w:noProof/>
          <w:lang w:val="bg-BG"/>
        </w:rPr>
        <w:t xml:space="preserve"> В съответствие с предложенията в доклада на Жан-Клод Юнкер, Доналд Туск, Йерун Дейселблум, Марио Драги и Мартин Шулц от 22 юни 2015 г. </w:t>
      </w:r>
      <w:r>
        <w:rPr>
          <w:i/>
          <w:noProof/>
          <w:lang w:val="bg-BG"/>
        </w:rPr>
        <w:t>„Завършване на европейския икономически и паричен съюз“</w:t>
      </w:r>
      <w:r>
        <w:rPr>
          <w:noProof/>
          <w:lang w:val="bg-BG"/>
        </w:rPr>
        <w:t xml:space="preserve"> и съобщението на Комисията от 21 октомври 2</w:t>
      </w:r>
      <w:r>
        <w:rPr>
          <w:noProof/>
          <w:lang w:val="bg-BG"/>
        </w:rPr>
        <w:t xml:space="preserve">015 г. </w:t>
      </w:r>
      <w:r>
        <w:rPr>
          <w:i/>
          <w:noProof/>
          <w:lang w:val="bg-BG"/>
        </w:rPr>
        <w:t>„Стъпки към завършването на икономическия и паричния съюз“</w:t>
      </w:r>
      <w:r>
        <w:rPr>
          <w:noProof/>
          <w:lang w:val="bg-BG"/>
        </w:rPr>
        <w:t xml:space="preserve">, в ДМП е включен също така анализ на последиците от дисбалансите в държавите за еврозоната и се проучва до каква степен се налага да има координиран подход към ответните мерки на политиките </w:t>
      </w:r>
      <w:r>
        <w:rPr>
          <w:noProof/>
          <w:lang w:val="bg-BG"/>
        </w:rPr>
        <w:t>с оглед на взаимозависимостта в еврозоната. Ролята на взаимозависимостта и системните последици от дисбалансите се признава в законодателството за ПМД, в което дисбалансите се определят като „макроикономически промени, които оказват или могат потенциално д</w:t>
      </w:r>
      <w:r>
        <w:rPr>
          <w:noProof/>
          <w:lang w:val="bg-BG"/>
        </w:rPr>
        <w:t>а окажат неблагоприятно въздействие върху правилното функциониране на икономиката на дадена държава членка или на икономическия и паричен съюз, или на Съюза като цяло“</w:t>
      </w:r>
      <w:r>
        <w:rPr>
          <w:rStyle w:val="FootnoteReference"/>
          <w:noProof/>
          <w:lang w:val="bg-BG"/>
        </w:rPr>
        <w:footnoteReference w:id="4"/>
      </w:r>
      <w:r>
        <w:rPr>
          <w:noProof/>
          <w:lang w:val="bg-BG"/>
        </w:rPr>
        <w:t>.</w:t>
      </w:r>
    </w:p>
    <w:p w:rsidR="00B41587" w:rsidRDefault="008F394C">
      <w:pPr>
        <w:rPr>
          <w:noProof/>
          <w:lang w:val="bg-BG"/>
        </w:rPr>
      </w:pPr>
      <w:r>
        <w:rPr>
          <w:b/>
          <w:noProof/>
          <w:lang w:val="bg-BG"/>
        </w:rPr>
        <w:t>Оценката в настоящия доклад се вписва в контекста на все по-обхватно и стабилно иконом</w:t>
      </w:r>
      <w:r>
        <w:rPr>
          <w:b/>
          <w:noProof/>
          <w:lang w:val="bg-BG"/>
        </w:rPr>
        <w:t xml:space="preserve">ическо възстановяване. </w:t>
      </w:r>
      <w:r>
        <w:rPr>
          <w:noProof/>
          <w:lang w:val="bg-BG"/>
        </w:rPr>
        <w:t>Според икономическата прогноза на службите на Европейската комисия от есента на 2017 г. растежът на реалния БВП в ЕС и в еврозоната е съответно 2,3 % и 2,2 % през 2017 г., като всички държави — членки на ЕС, бележат положителен расте</w:t>
      </w:r>
      <w:r>
        <w:rPr>
          <w:noProof/>
          <w:lang w:val="bg-BG"/>
        </w:rPr>
        <w:t xml:space="preserve">ж на фона на рязко увеличаване на световната търговия и засилване на вътрешното търсене в еврозоната. В есенната прогноза се предвижда през 2018 г. нарастването на БВП да остане 2,1 % както в ЕС, така и в еврозоната, преди да намалее до 1,9 % през 2019 г. </w:t>
      </w:r>
      <w:r>
        <w:rPr>
          <w:noProof/>
          <w:lang w:val="bg-BG"/>
        </w:rPr>
        <w:t>с напредването на възстановяването. През 2017 г. инфлацията се увеличи от исторически ниските нива, но достигайки 1,6 % до 2019 г., се очаква тя да остане под целта на ЕЦБ през прогнозния период; основната инфлация се запази трайно на по-ниско ниво, след к</w:t>
      </w:r>
      <w:r>
        <w:rPr>
          <w:noProof/>
          <w:lang w:val="bg-BG"/>
        </w:rPr>
        <w:t>ато през последните три години се задържа под 1 %. Ситуацията на пазара на труда продължава да се подобрява, като се наблюдава намаляване на безработицата и увеличаване заетостта, но ръстът на заплатите остава по-нисък дори в държави със свити пазари на тр</w:t>
      </w:r>
      <w:r>
        <w:rPr>
          <w:noProof/>
          <w:lang w:val="bg-BG"/>
        </w:rPr>
        <w:t>уда, като по този начин се запазва ниската инфлация. Положението на пазара на труда се различава съществено в рамките на държавите членки и между тях. Нарастването на кредитирането се възобнови, докато спредовете между държавните и корпоративните облигации</w:t>
      </w:r>
      <w:r>
        <w:rPr>
          <w:noProof/>
          <w:lang w:val="bg-BG"/>
        </w:rPr>
        <w:t xml:space="preserve"> намаляха.</w:t>
      </w:r>
    </w:p>
    <w:p w:rsidR="00B41587" w:rsidRDefault="008F394C">
      <w:pPr>
        <w:rPr>
          <w:noProof/>
          <w:lang w:val="bg-BG"/>
        </w:rPr>
      </w:pPr>
      <w:r>
        <w:rPr>
          <w:b/>
          <w:noProof/>
          <w:lang w:val="bg-BG"/>
        </w:rPr>
        <w:t xml:space="preserve">Въпреки че възстановяването улеснява коригирането на макроикономическите дисбаланси, редица предизвикателства може да помрачат икономическия контекст в бъдеще. </w:t>
      </w:r>
      <w:r>
        <w:rPr>
          <w:noProof/>
          <w:lang w:val="bg-BG"/>
        </w:rPr>
        <w:t>Икономическите перспективи и перспективите,свързани с политиката, остават несигурни.Т</w:t>
      </w:r>
      <w:r>
        <w:rPr>
          <w:noProof/>
          <w:lang w:val="bg-BG"/>
        </w:rPr>
        <w:t>ова се дължи най-вече на перспективите за фискалната и паричната политика на САЩ, ребалансирането на икономиката в Китай и страните с бързо развиващи се икономики, които имат висок корпоративен дълг, геополитическото напрежение и все по-протекционистичните</w:t>
      </w:r>
      <w:r>
        <w:rPr>
          <w:noProof/>
          <w:lang w:val="bg-BG"/>
        </w:rPr>
        <w:t xml:space="preserve"> нагласи. Макар и възстановяването да става все по-обхватно и консолидирано, то продължава да се характеризира с ръст на общата факторна производителност, който остава под равнищата преди кризата. В сравнение с периода на криза и годините непосредствено </w:t>
      </w:r>
      <w:r>
        <w:rPr>
          <w:noProof/>
          <w:lang w:val="bg-BG"/>
        </w:rPr>
        <w:lastRenderedPageBreak/>
        <w:t>сл</w:t>
      </w:r>
      <w:r>
        <w:rPr>
          <w:noProof/>
          <w:lang w:val="bg-BG"/>
        </w:rPr>
        <w:t>ед това напоследък се наблюдава забавяне на дейностите за провеждане на реформи. Ако усилията за провеждане на реформи не продължат да се полагат със същия темп, това може да се отрази отрицателно на условията за трайно повишаване на потенциалния растеж, к</w:t>
      </w:r>
      <w:r>
        <w:rPr>
          <w:noProof/>
          <w:lang w:val="bg-BG"/>
        </w:rPr>
        <w:t xml:space="preserve">акто и на разширяването на възможностите за трайно справяне с дисбалансите. Тъй като инфлацията постепенно се доближава до целта на ЕЦБ, процесът на намаляване на задлъжнялостта ще бъде улеснен от по-високия номинален растеж. В същото време преодоляването </w:t>
      </w:r>
      <w:r>
        <w:rPr>
          <w:noProof/>
          <w:lang w:val="bg-BG"/>
        </w:rPr>
        <w:t xml:space="preserve">на ниската инфлация ще осигури възможност за нормализиране на паричната политика. </w:t>
      </w:r>
    </w:p>
    <w:p w:rsidR="00B41587" w:rsidRDefault="00B41587">
      <w:pPr>
        <w:rPr>
          <w:b/>
          <w:noProof/>
          <w:lang w:val="bg-BG"/>
        </w:rPr>
      </w:pPr>
    </w:p>
    <w:p w:rsidR="00B41587" w:rsidRDefault="008F394C">
      <w:pPr>
        <w:rPr>
          <w:noProof/>
          <w:lang w:val="bg-BG"/>
        </w:rPr>
      </w:pPr>
      <w:r>
        <w:rPr>
          <w:b/>
          <w:noProof/>
          <w:lang w:val="bg-BG"/>
        </w:rPr>
        <w:t>От хоризонталния анализ, представен в ДМП, могат да се направят редица изводи:</w:t>
      </w:r>
    </w:p>
    <w:p w:rsidR="00B41587" w:rsidRDefault="008F394C">
      <w:pPr>
        <w:numPr>
          <w:ilvl w:val="0"/>
          <w:numId w:val="1"/>
        </w:numPr>
        <w:tabs>
          <w:tab w:val="left" w:pos="426"/>
        </w:tabs>
        <w:spacing w:before="240"/>
        <w:ind w:left="426" w:hanging="284"/>
        <w:rPr>
          <w:rFonts w:ascii="Arial" w:hAnsi="Arial" w:cs="Arial"/>
          <w:noProof/>
          <w:lang w:val="bg-BG"/>
        </w:rPr>
      </w:pPr>
      <w:r>
        <w:rPr>
          <w:b/>
          <w:noProof/>
          <w:lang w:val="bg-BG"/>
        </w:rPr>
        <w:t>Ребалансирането трябва да продължи.</w:t>
      </w:r>
      <w:r>
        <w:rPr>
          <w:rFonts w:ascii="Arial" w:hAnsi="Arial"/>
          <w:noProof/>
          <w:lang w:val="bg-BG"/>
        </w:rPr>
        <w:t xml:space="preserve"> </w:t>
      </w:r>
      <w:r>
        <w:rPr>
          <w:noProof/>
          <w:lang w:val="bg-BG"/>
        </w:rPr>
        <w:t>Въпреки че големите и неустойчиви дефицити по текущата сметка бяха коригирани в почти всички държави членки преди 2016 г., разумните външни позиции в държавите, които са нетни длъжници, трябва да се запазят, за да се намалят високите равнища на нетните меж</w:t>
      </w:r>
      <w:r>
        <w:rPr>
          <w:noProof/>
          <w:lang w:val="bg-BG"/>
        </w:rPr>
        <w:t xml:space="preserve">дународни инвестиционни позиции (НМИП). В същото време все още има големи излишъци по текущата сметка в някои държави, които са нетни кредитори, в еврозоната, а прогнозираните корекции за намаляване на тези излишъци остават ограничени. </w:t>
      </w:r>
    </w:p>
    <w:p w:rsidR="00B41587" w:rsidRDefault="008F394C">
      <w:pPr>
        <w:numPr>
          <w:ilvl w:val="0"/>
          <w:numId w:val="1"/>
        </w:numPr>
        <w:tabs>
          <w:tab w:val="left" w:pos="426"/>
        </w:tabs>
        <w:spacing w:before="240"/>
        <w:ind w:left="426" w:hanging="284"/>
        <w:rPr>
          <w:rFonts w:ascii="Arial" w:hAnsi="Arial" w:cs="Arial"/>
          <w:noProof/>
          <w:lang w:val="bg-BG"/>
        </w:rPr>
      </w:pPr>
      <w:r>
        <w:rPr>
          <w:b/>
          <w:noProof/>
          <w:lang w:val="bg-BG"/>
        </w:rPr>
        <w:t>В някои случаи нетн</w:t>
      </w:r>
      <w:r>
        <w:rPr>
          <w:b/>
          <w:noProof/>
          <w:lang w:val="bg-BG"/>
        </w:rPr>
        <w:t xml:space="preserve">ите международни инвестиционни позиции продължават да бъдат силно отрицателни на фона на промени в конкурентоспособността, които изглеждат по-неблагоприятни за ребалансирането. </w:t>
      </w:r>
      <w:r>
        <w:rPr>
          <w:noProof/>
          <w:lang w:val="bg-BG"/>
        </w:rPr>
        <w:t>Големи отрицателни НМИП се отбелязват в държави с трайни големи дефицити по тек</w:t>
      </w:r>
      <w:r>
        <w:rPr>
          <w:noProof/>
          <w:lang w:val="bg-BG"/>
        </w:rPr>
        <w:t>ущата сметка в периода преди кризата. В повечето случаи подобрените им позиции по текущата сметка са създали условия за постепенно намаляване на натрупаните нетни външни задължения, но за да може намалението на задълженията да се задържи на разумни равнища</w:t>
      </w:r>
      <w:r>
        <w:rPr>
          <w:noProof/>
          <w:lang w:val="bg-BG"/>
        </w:rPr>
        <w:t xml:space="preserve"> и със задоволителни темпове, балансът или излишъкът по текущите сметки трябва да бъдат запазени. Повишаването на конкурентоспособността спомогна за това през последните години, но промените в относителните разходи за труд за единица продукция между държав</w:t>
      </w:r>
      <w:r>
        <w:rPr>
          <w:noProof/>
          <w:lang w:val="bg-BG"/>
        </w:rPr>
        <w:t xml:space="preserve">ите, които са нетни длъжници, и тези, които са нетни кредитори, напоследък започнаха да се отразяват по-неблагоприятно на ребалансирането. </w:t>
      </w:r>
    </w:p>
    <w:p w:rsidR="00B41587" w:rsidRDefault="008F394C">
      <w:pPr>
        <w:numPr>
          <w:ilvl w:val="0"/>
          <w:numId w:val="1"/>
        </w:numPr>
        <w:tabs>
          <w:tab w:val="left" w:pos="426"/>
        </w:tabs>
        <w:spacing w:before="240"/>
        <w:ind w:left="426" w:hanging="284"/>
        <w:rPr>
          <w:noProof/>
          <w:lang w:val="bg-BG"/>
        </w:rPr>
      </w:pPr>
      <w:r>
        <w:rPr>
          <w:b/>
          <w:noProof/>
          <w:lang w:val="bg-BG"/>
        </w:rPr>
        <w:t>Намаляването на задлъжнялостта в частния сектор продължава, но напоследък това се случва с известно забавяне.</w:t>
      </w:r>
      <w:r>
        <w:rPr>
          <w:noProof/>
          <w:lang w:val="bg-BG"/>
        </w:rPr>
        <w:t xml:space="preserve"> Получе</w:t>
      </w:r>
      <w:r>
        <w:rPr>
          <w:noProof/>
          <w:lang w:val="bg-BG"/>
        </w:rPr>
        <w:t>ните заеми се увеличават, а за намаляването на съотношенията на дълга към БВП се разчита все повече на възобновяването на номиналния растеж. В същото време намаляването на задлъжнялостта е неравномерно и невинаги е пропорционално на нуждите. В повечето дър</w:t>
      </w:r>
      <w:r>
        <w:rPr>
          <w:noProof/>
          <w:lang w:val="bg-BG"/>
        </w:rPr>
        <w:t>жави членки задлъжнялостта намалява по-бързо в корпоративния сектор, отколкото в сектора на домакинствата, което е предпоставка за ниски нива на инвестициите в някои държави. Държавният дълг едва наскоро започна да намалява в повечето силно задлъжнели държ</w:t>
      </w:r>
      <w:r>
        <w:rPr>
          <w:noProof/>
          <w:lang w:val="bg-BG"/>
        </w:rPr>
        <w:t>ави.</w:t>
      </w:r>
    </w:p>
    <w:p w:rsidR="00B41587" w:rsidRDefault="008F394C">
      <w:pPr>
        <w:numPr>
          <w:ilvl w:val="0"/>
          <w:numId w:val="1"/>
        </w:numPr>
        <w:ind w:left="426" w:hanging="284"/>
        <w:rPr>
          <w:noProof/>
          <w:lang w:val="bg-BG"/>
        </w:rPr>
      </w:pPr>
      <w:r>
        <w:rPr>
          <w:b/>
          <w:noProof/>
          <w:lang w:val="bg-BG"/>
        </w:rPr>
        <w:t>Рентабилността на банковия сектор се подобрява, както и оценките на фондовите борси</w:t>
      </w:r>
      <w:r>
        <w:rPr>
          <w:noProof/>
          <w:lang w:val="bg-BG"/>
        </w:rPr>
        <w:t>. Въпреки това ограничените маржове на лихвените проценти, остарелите бизнес модели и високото равнище на необслужваните заеми (НОЗ) в някои държави продължават да пред</w:t>
      </w:r>
      <w:r>
        <w:rPr>
          <w:noProof/>
          <w:lang w:val="bg-BG"/>
        </w:rPr>
        <w:t>ставляват предизвикателство.</w:t>
      </w:r>
    </w:p>
    <w:p w:rsidR="00B41587" w:rsidRDefault="008F394C">
      <w:pPr>
        <w:numPr>
          <w:ilvl w:val="0"/>
          <w:numId w:val="1"/>
        </w:numPr>
        <w:ind w:left="426" w:hanging="284"/>
        <w:rPr>
          <w:noProof/>
          <w:lang w:val="bg-BG"/>
        </w:rPr>
      </w:pPr>
      <w:r>
        <w:rPr>
          <w:b/>
          <w:noProof/>
          <w:lang w:val="bg-BG"/>
        </w:rPr>
        <w:t xml:space="preserve">Темпът на нарастване на цените на жилищата се ускорява в повечето държави членки. </w:t>
      </w:r>
      <w:r>
        <w:rPr>
          <w:noProof/>
          <w:lang w:val="bg-BG"/>
        </w:rPr>
        <w:t>Като цяло оценките са все още под пиковите равнища след низходящата корекция след кризата, но в някои случаи наличните показатели сочат, че е нал</w:t>
      </w:r>
      <w:r>
        <w:rPr>
          <w:noProof/>
          <w:lang w:val="bg-BG"/>
        </w:rPr>
        <w:t>ице надценяване. Има редица случаи на евентуално прегряване и динамиката на цените се ускорява във все повече държави. Все по-широко се разпространява и нарастващото кредитиране на домакинствата.</w:t>
      </w:r>
    </w:p>
    <w:p w:rsidR="00B41587" w:rsidRDefault="008F394C">
      <w:pPr>
        <w:numPr>
          <w:ilvl w:val="0"/>
          <w:numId w:val="1"/>
        </w:numPr>
        <w:ind w:left="426" w:hanging="284"/>
        <w:rPr>
          <w:noProof/>
          <w:lang w:val="bg-BG"/>
        </w:rPr>
      </w:pPr>
      <w:r>
        <w:rPr>
          <w:b/>
          <w:noProof/>
          <w:lang w:val="bg-BG"/>
        </w:rPr>
        <w:t>Пазарите на труда като цяло се подобряват и свиват в повечет</w:t>
      </w:r>
      <w:r>
        <w:rPr>
          <w:b/>
          <w:noProof/>
          <w:lang w:val="bg-BG"/>
        </w:rPr>
        <w:t xml:space="preserve">о държави, докато ръстът на заплатите остава по-нисък. </w:t>
      </w:r>
      <w:r>
        <w:rPr>
          <w:noProof/>
          <w:lang w:val="bg-BG"/>
        </w:rPr>
        <w:t>Намаляването на безработицата съвпадна с нейната по-слаба разпръснатост на територията на ЕС, макар и в някои държави тя да е все още висока. Равнището на активността като цяло се покачва през последно</w:t>
      </w:r>
      <w:r>
        <w:rPr>
          <w:noProof/>
          <w:lang w:val="bg-BG"/>
        </w:rPr>
        <w:t>то десетилетие, но в някои държави и при някои групи участието на пазара на труда продължава да бъде слабо. Социалните сътресения намаляват, но остават високи в някои държави с наследена продължителна безработица и ниско заплащане за уязвимите групи на фон</w:t>
      </w:r>
      <w:r>
        <w:rPr>
          <w:noProof/>
          <w:lang w:val="bg-BG"/>
        </w:rPr>
        <w:t xml:space="preserve">а на като цяло по-слаба динамика на заплатите. Въпреки че разполагаемият доход на домакинствата се увеличи, той все още не е достигнал равнището си в реално изражение от 2008 г. в някои държави членки. В няколко държави свитите пазари на труда се свързват </w:t>
      </w:r>
      <w:r>
        <w:rPr>
          <w:noProof/>
          <w:lang w:val="bg-BG"/>
        </w:rPr>
        <w:t>с ускорен темп на растеж на разходите за труд за единица продукция.</w:t>
      </w:r>
    </w:p>
    <w:p w:rsidR="00B41587" w:rsidRDefault="008F394C">
      <w:pPr>
        <w:rPr>
          <w:noProof/>
          <w:lang w:val="bg-BG"/>
        </w:rPr>
      </w:pPr>
      <w:r>
        <w:rPr>
          <w:b/>
          <w:noProof/>
          <w:lang w:val="bg-BG"/>
        </w:rPr>
        <w:t>Все така е необходимо да се обърне специално внимание на ребалансирането на еврозоната.</w:t>
      </w:r>
      <w:r>
        <w:rPr>
          <w:noProof/>
          <w:lang w:val="bg-BG"/>
        </w:rPr>
        <w:t xml:space="preserve"> Излишъкът по текущата сметка на еврозоната престана да нараства: през 2016 г. той достигна пиковото </w:t>
      </w:r>
      <w:r>
        <w:rPr>
          <w:noProof/>
          <w:lang w:val="bg-BG"/>
        </w:rPr>
        <w:t>си равнище от 3,3 % от БВП и се очаква тази година да намалее до 3 % и да се задържи на близко до това равнище до 2019 г.</w:t>
      </w:r>
      <w:r>
        <w:rPr>
          <w:rStyle w:val="FootnoteReference"/>
          <w:noProof/>
          <w:lang w:val="bg-BG"/>
        </w:rPr>
        <w:footnoteReference w:id="5"/>
      </w:r>
      <w:r>
        <w:rPr>
          <w:noProof/>
          <w:lang w:val="bg-BG"/>
        </w:rPr>
        <w:t xml:space="preserve"> Независимо от това излишъкът в еврозоната остава най-голям в световен мащаб и надхвърля равнищата, които съответстват на фундаменталн</w:t>
      </w:r>
      <w:r>
        <w:rPr>
          <w:noProof/>
          <w:lang w:val="bg-BG"/>
        </w:rPr>
        <w:t>ите фактори за икономиката. За да се намали трайно високото равнище на натрупаните нетни външни задължения, е необходимо да се поддържат разумни външните баланси в държавите, които са нетни длъжници. В същото време напредването с корекцията на големите изл</w:t>
      </w:r>
      <w:r>
        <w:rPr>
          <w:noProof/>
          <w:lang w:val="bg-BG"/>
        </w:rPr>
        <w:t>ишъци в държавите, които са нетни кредитори, ще помогне намаляването на задлъжнялостта на равнището на еврозоната да остане съвместимо с едно трайно възстановяване.</w:t>
      </w:r>
    </w:p>
    <w:p w:rsidR="00B41587" w:rsidRDefault="008F394C">
      <w:pPr>
        <w:rPr>
          <w:noProof/>
          <w:lang w:val="bg-BG"/>
        </w:rPr>
      </w:pPr>
      <w:r>
        <w:rPr>
          <w:b/>
          <w:noProof/>
          <w:lang w:val="bg-BG"/>
        </w:rPr>
        <w:t>Като цяло, въпреки че са започнали да намаляват, все още съществуват рискове, които произти</w:t>
      </w:r>
      <w:r>
        <w:rPr>
          <w:b/>
          <w:noProof/>
          <w:lang w:val="bg-BG"/>
        </w:rPr>
        <w:t xml:space="preserve">чат предимно от същите източници, които бяха посочени в ДМП за 2017 г. </w:t>
      </w:r>
      <w:r>
        <w:rPr>
          <w:noProof/>
          <w:lang w:val="bg-BG"/>
        </w:rPr>
        <w:t xml:space="preserve">Напредъкът по отношение на външното ребалансиране е ограничен, като продължават да се наблюдават големи излишъци, а промените в конкурентоспособността се отразяват по-неблагоприятно на </w:t>
      </w:r>
      <w:r>
        <w:rPr>
          <w:noProof/>
          <w:lang w:val="bg-BG"/>
        </w:rPr>
        <w:t>ребалансирането. Въпреки че намаляването на частния и държавния дълг продължава — все по-често в резултат на възобновяването на номиналния растеж — то остава неравномерно. Намаляването на корпоративната задлъжнялост се свързва често с по-ниските инвестиции</w:t>
      </w:r>
      <w:r>
        <w:rPr>
          <w:noProof/>
          <w:lang w:val="bg-BG"/>
        </w:rPr>
        <w:t xml:space="preserve"> и остава неясно до каква степен за намаляването на задлъжнялостта може да се разчита на по-голям потенциален растеж в бъдеще. Положението в банковия сектор се е подобрило в няколко аспекта, но са останали и някои предизвикателства. Признаците на прегряван</w:t>
      </w:r>
      <w:r>
        <w:rPr>
          <w:noProof/>
          <w:lang w:val="bg-BG"/>
        </w:rPr>
        <w:t xml:space="preserve">е при разходите за труд и цените на жилищата стават все по-видими в нарастващ брой държави. </w:t>
      </w:r>
    </w:p>
    <w:p w:rsidR="00B41587" w:rsidRDefault="008F394C">
      <w:pPr>
        <w:rPr>
          <w:noProof/>
          <w:lang w:val="bg-BG"/>
        </w:rPr>
      </w:pPr>
      <w:r>
        <w:rPr>
          <w:b/>
          <w:noProof/>
          <w:lang w:val="bg-BG"/>
        </w:rPr>
        <w:t>За държавите членки, набелязани в ДМП, ще се извършат по-подробни и по-широкообхватни анализи в рамките на ЗП.</w:t>
      </w:r>
      <w:r>
        <w:rPr>
          <w:noProof/>
          <w:lang w:val="bg-BG"/>
        </w:rPr>
        <w:t xml:space="preserve"> Както при последните годишни цикли, ЗП ще бъдат включени в докладите за отделните държави, които представят анализа на службите на Комисията по отношение на икономическите и социалните предизвикателства в държавите — членки на ЕС. Този анализ впоследствие</w:t>
      </w:r>
      <w:r>
        <w:rPr>
          <w:noProof/>
          <w:lang w:val="bg-BG"/>
        </w:rPr>
        <w:t xml:space="preserve"> се използва за специфичните за всяка държава препоръки (СДП) в рамките на европейския семестър. При изготвянето на ЗП Комисията ще основе анализа си на богат набор от данни и съответна информация. Както е установено в законодателството, ЗП ще бъдат от клю</w:t>
      </w:r>
      <w:r>
        <w:rPr>
          <w:noProof/>
          <w:lang w:val="bg-BG"/>
        </w:rPr>
        <w:t>чово значение, за да може въз основа на тях Комисията да направи заключение дали съществуват дисбаланси или прекомерни дисбаланси и впоследствие да представи препоръки по политиките за всяка държава членка</w:t>
      </w:r>
      <w:r>
        <w:rPr>
          <w:rStyle w:val="FootnoteReference"/>
          <w:noProof/>
          <w:lang w:val="bg-BG"/>
        </w:rPr>
        <w:footnoteReference w:id="6"/>
      </w:r>
      <w:r>
        <w:rPr>
          <w:noProof/>
          <w:lang w:val="bg-BG"/>
        </w:rPr>
        <w:t>. Държавите, за които са установени дисбаланси или</w:t>
      </w:r>
      <w:r>
        <w:rPr>
          <w:noProof/>
          <w:lang w:val="bg-BG"/>
        </w:rPr>
        <w:t xml:space="preserve"> прекомерни дисбаланси, подлежат и ще продължават да подлежат на специфичен мониторинг, за да се гарантира непрекъснато наблюдение на политиките, предприети в рамките на ПМД.</w:t>
      </w:r>
    </w:p>
    <w:p w:rsidR="00B41587" w:rsidRDefault="008F394C">
      <w:pPr>
        <w:rPr>
          <w:noProof/>
          <w:lang w:val="bg-BG"/>
        </w:rPr>
      </w:pPr>
      <w:r>
        <w:rPr>
          <w:b/>
          <w:noProof/>
          <w:lang w:val="bg-BG"/>
        </w:rPr>
        <w:t xml:space="preserve">ЗП са необходими за държавите членки, за които при предишния кръг на ПМД са били </w:t>
      </w:r>
      <w:r>
        <w:rPr>
          <w:b/>
          <w:noProof/>
          <w:lang w:val="bg-BG"/>
        </w:rPr>
        <w:t>установени дисбаланси или прекомерни дисбаланси.</w:t>
      </w:r>
      <w:r>
        <w:rPr>
          <w:noProof/>
          <w:lang w:val="bg-BG"/>
        </w:rPr>
        <w:t xml:space="preserve"> В съответствие с установената надзорна практика ЗП е необходим, за да се прецени дали съществуващите дисбаланси се коригират, се задържат или се задълбочават, като същевременно се обръща надлежно внимание на</w:t>
      </w:r>
      <w:r>
        <w:rPr>
          <w:noProof/>
          <w:lang w:val="bg-BG"/>
        </w:rPr>
        <w:t xml:space="preserve"> политиките, провеждани от съответните държави. Ето защо в ДМП се призовава да се изготвят ЗП за 12-те държави членки с дисбаланси с оглед на констатациите от ЗП за 2016 г.</w:t>
      </w:r>
      <w:r>
        <w:rPr>
          <w:rStyle w:val="FootnoteReference"/>
          <w:noProof/>
          <w:lang w:val="bg-BG"/>
        </w:rPr>
        <w:footnoteReference w:id="7"/>
      </w:r>
      <w:r>
        <w:rPr>
          <w:noProof/>
          <w:lang w:val="bg-BG"/>
        </w:rPr>
        <w:t xml:space="preserve"> Засегнатите държави членки са </w:t>
      </w:r>
      <w:r>
        <w:rPr>
          <w:b/>
          <w:noProof/>
          <w:lang w:val="bg-BG"/>
        </w:rPr>
        <w:t>България, Хърватия, Кипър, Франция, Германия, Ирланд</w:t>
      </w:r>
      <w:r>
        <w:rPr>
          <w:b/>
          <w:noProof/>
          <w:lang w:val="bg-BG"/>
        </w:rPr>
        <w:t>ия, Италия, Нидерландия, Португалия, Словения, Испания</w:t>
      </w:r>
      <w:r>
        <w:rPr>
          <w:noProof/>
          <w:lang w:val="bg-BG"/>
        </w:rPr>
        <w:t xml:space="preserve"> и </w:t>
      </w:r>
      <w:r>
        <w:rPr>
          <w:b/>
          <w:noProof/>
          <w:lang w:val="bg-BG"/>
        </w:rPr>
        <w:t>Швеция</w:t>
      </w:r>
      <w:r>
        <w:rPr>
          <w:noProof/>
          <w:lang w:val="bg-BG"/>
        </w:rPr>
        <w:t xml:space="preserve">. </w:t>
      </w:r>
    </w:p>
    <w:p w:rsidR="00B41587" w:rsidRDefault="008F394C">
      <w:pPr>
        <w:rPr>
          <w:noProof/>
          <w:lang w:val="bg-BG"/>
        </w:rPr>
      </w:pPr>
      <w:r>
        <w:rPr>
          <w:b/>
          <w:noProof/>
          <w:lang w:val="bg-BG"/>
        </w:rPr>
        <w:t xml:space="preserve">Въз основа на икономическия анализ на таблицата с показатели Комисията не счете за необходимо да изготви ЗП за държавите членки, за които понастоящем не са установени дисбаланси. </w:t>
      </w:r>
      <w:r>
        <w:rPr>
          <w:noProof/>
          <w:lang w:val="bg-BG"/>
        </w:rPr>
        <w:t>Икономическ</w:t>
      </w:r>
      <w:r>
        <w:rPr>
          <w:noProof/>
          <w:lang w:val="bg-BG"/>
        </w:rPr>
        <w:t xml:space="preserve">ият анализ на таблицата с показатели сочи, че няма съществени общи допълнителни рискове в сравнение с миналата година за Финландия, която излезе от наблюдението по ПМД през 2017 г. На този етап сходно е заключението и за държавите, излезли от наблюдението </w:t>
      </w:r>
      <w:r>
        <w:rPr>
          <w:noProof/>
          <w:lang w:val="bg-BG"/>
        </w:rPr>
        <w:t>по ПМД през 2016 г. (Белгия, Унгария, Румъния и Обединеното кралство), както и за държавите, по отношение на които скоро не е правен ЗП. Наблюдаваната напоследък динамика на цените на жилищата в редица държави (Австрия, Белгия, Дания, Финландия, Унгария, Л</w:t>
      </w:r>
      <w:r>
        <w:rPr>
          <w:noProof/>
          <w:lang w:val="bg-BG"/>
        </w:rPr>
        <w:t>юксембург и Обединеното кралство) обаче налага задълбочен анализ в съответните доклади за отделните държави, дори да изглежда, че на този етап не е необходимо да се прави ЗП, тъй като обхватът на рисковете изглежда ограничен. Същото важи за началната динам</w:t>
      </w:r>
      <w:r>
        <w:rPr>
          <w:noProof/>
          <w:lang w:val="bg-BG"/>
        </w:rPr>
        <w:t>ика на разходите за труд в някои държави членки (Естония, Унгария, Латвия, Литва и Румъния). В случая с Гърция наблюдението на дисбалансите и мониторингът на корективните мерки продължават да се осъществяват в контекста на програмата за подкрепа за стабилн</w:t>
      </w:r>
      <w:r>
        <w:rPr>
          <w:noProof/>
          <w:lang w:val="bg-BG"/>
        </w:rPr>
        <w:t>ост. Поради това като цяло в ДМП се призовава за изготвяне на ЗП за 12 държави членки спрямо 13 при предходния цикъл.</w:t>
      </w:r>
    </w:p>
    <w:p w:rsidR="00B41587" w:rsidRDefault="00B41587">
      <w:pPr>
        <w:rPr>
          <w:noProof/>
          <w:lang w:val="bg-BG"/>
        </w:rPr>
      </w:pPr>
    </w:p>
    <w:p w:rsidR="00B41587" w:rsidRDefault="008F394C">
      <w:pPr>
        <w:pStyle w:val="Heading1"/>
        <w:rPr>
          <w:lang w:val="bg-BG"/>
        </w:rPr>
      </w:pPr>
      <w:r>
        <w:rPr>
          <w:lang w:val="bg-BG"/>
        </w:rPr>
        <w:t>2.</w:t>
      </w:r>
      <w:r>
        <w:rPr>
          <w:lang w:val="bg-BG"/>
        </w:rPr>
        <w:tab/>
        <w:t>Дисбаланси, рискове и корекции: основни промени в отделните държави</w:t>
      </w:r>
    </w:p>
    <w:p w:rsidR="00B41587" w:rsidRDefault="008F394C">
      <w:pPr>
        <w:rPr>
          <w:noProof/>
          <w:lang w:val="bg-BG"/>
        </w:rPr>
      </w:pPr>
      <w:r>
        <w:rPr>
          <w:b/>
          <w:noProof/>
          <w:lang w:val="bg-BG"/>
        </w:rPr>
        <w:t>ДМП се основава на икономически анализ на таблицата с показатели п</w:t>
      </w:r>
      <w:r>
        <w:rPr>
          <w:b/>
          <w:noProof/>
          <w:lang w:val="bg-BG"/>
        </w:rPr>
        <w:t xml:space="preserve">о ПМД, която се използва като филтър за установяване на </w:t>
      </w:r>
      <w:r>
        <w:rPr>
          <w:b/>
          <w:i/>
          <w:noProof/>
          <w:lang w:val="bg-BG"/>
        </w:rPr>
        <w:t>prima facie</w:t>
      </w:r>
      <w:r>
        <w:rPr>
          <w:b/>
          <w:noProof/>
          <w:lang w:val="bg-BG"/>
        </w:rPr>
        <w:t xml:space="preserve"> доказателства за евентуални рискове и уязвими области, по отношение на които си заслужава да бъде направено допълнително проучване чрез ЗП</w:t>
      </w:r>
      <w:r>
        <w:rPr>
          <w:noProof/>
          <w:lang w:val="bg-BG"/>
        </w:rPr>
        <w:t>. В таблицата е включен набор от 14 показателя и и</w:t>
      </w:r>
      <w:r>
        <w:rPr>
          <w:noProof/>
          <w:lang w:val="bg-BG"/>
        </w:rPr>
        <w:t>ндикативни прагове за области, като външните позиции, конкурентоспособността, частния дълг, пазарите на жилища, банковия сектор и заетостта. Тя се основава на действителни данни с добро статистическо качество, за да се осигурят стабилност на данните и съгл</w:t>
      </w:r>
      <w:r>
        <w:rPr>
          <w:noProof/>
          <w:lang w:val="bg-BG"/>
        </w:rPr>
        <w:t xml:space="preserve">асуваност между отделните държави. Ето защо таблицата, използвана за настоящия доклад, отразява данните до 2016 г. Въпреки това при анализа на показателите са взети предвид по-актуални данни в допълнение към набор от допълнителни показатели. Стойностите в </w:t>
      </w:r>
      <w:r>
        <w:rPr>
          <w:noProof/>
          <w:lang w:val="bg-BG"/>
        </w:rPr>
        <w:t>таблицата не се тълкуват механично, а подлежат на икономически анализ, който позволява да се вземат предвид специфичните за отделните държави въпроси и контекст</w:t>
      </w:r>
      <w:r>
        <w:rPr>
          <w:rStyle w:val="FootnoteReference"/>
          <w:noProof/>
          <w:lang w:val="bg-BG"/>
        </w:rPr>
        <w:footnoteReference w:id="8"/>
      </w:r>
      <w:r>
        <w:rPr>
          <w:noProof/>
          <w:lang w:val="bg-BG"/>
        </w:rPr>
        <w:t>.</w:t>
      </w:r>
      <w:r>
        <w:rPr>
          <w:rStyle w:val="FootnoteReference"/>
          <w:noProof/>
          <w:vertAlign w:val="baseline"/>
          <w:lang w:val="bg-BG"/>
        </w:rPr>
        <w:t xml:space="preserve"> </w:t>
      </w:r>
    </w:p>
    <w:p w:rsidR="00B41587" w:rsidRDefault="008F394C">
      <w:pPr>
        <w:rPr>
          <w:noProof/>
          <w:lang w:val="bg-BG"/>
        </w:rPr>
      </w:pPr>
      <w:r>
        <w:rPr>
          <w:b/>
          <w:noProof/>
          <w:lang w:val="bg-BG"/>
        </w:rPr>
        <w:t>Показателите в таблицата подчертават трайното наличие на дисбаланси и уязвими области, свърз</w:t>
      </w:r>
      <w:r>
        <w:rPr>
          <w:b/>
          <w:noProof/>
          <w:lang w:val="bg-BG"/>
        </w:rPr>
        <w:t xml:space="preserve">ани с високите равнища на дълговете. </w:t>
      </w:r>
      <w:r>
        <w:rPr>
          <w:noProof/>
          <w:lang w:val="bg-BG"/>
        </w:rPr>
        <w:t>Често продължават да се наблюдават стойности, надхвърлящи прага в таблицата в ДМП, по отношение на държавния дълг, нетните международни инвестиционни позиции и частния дълг (графика 1)</w:t>
      </w:r>
      <w:r>
        <w:rPr>
          <w:rStyle w:val="FootnoteReference"/>
          <w:noProof/>
          <w:lang w:val="bg-BG"/>
        </w:rPr>
        <w:footnoteReference w:id="9"/>
      </w:r>
      <w:r>
        <w:rPr>
          <w:noProof/>
          <w:lang w:val="bg-BG"/>
        </w:rPr>
        <w:t>. Броят на държавите членки, чиито</w:t>
      </w:r>
      <w:r>
        <w:rPr>
          <w:noProof/>
          <w:lang w:val="bg-BG"/>
        </w:rPr>
        <w:t xml:space="preserve"> резултати надхвърлят праговете за тези три показателя през 2016 г. е съответно 16, 15 и 12. Това е близко до резултатите от предишни годишни кръгове и потвърждава дълготрайния характер на тези натрупани дисбаланси. Вследствие на настоящото възстановяване,</w:t>
      </w:r>
      <w:r>
        <w:rPr>
          <w:noProof/>
          <w:lang w:val="bg-BG"/>
        </w:rPr>
        <w:t xml:space="preserve"> придружено от създаване на работни места, броят на държавите, чиито резултати надвишават прага за равнището на безработицата между 2014 г. и 2016 г., е спаднал от 12 на 9 и са налице по-многобройни намаления на показателите за младежката и дълготрайната б</w:t>
      </w:r>
      <w:r>
        <w:rPr>
          <w:noProof/>
          <w:lang w:val="bg-BG"/>
        </w:rPr>
        <w:t xml:space="preserve">езработица поради тяхната по-голяма чувствителност към състоянието на пазара на труда. От друга страна, темповете на нарастване на цените на жилищата се ускоряват и таблицата показва, че все повече държави членки преминават прага, като от 6 през 2015 г. и </w:t>
      </w:r>
      <w:r>
        <w:rPr>
          <w:noProof/>
          <w:lang w:val="bg-BG"/>
        </w:rPr>
        <w:t>5 през 2014 г. те са станали 10. Таблицата показва, че понастоящем в 4 от 5-те държави членки, които надвишават праговете по показателя за текущата сметка, това се дължи на излишъци. Засега броят на държавите членки, в които разходите за труд за единица пр</w:t>
      </w:r>
      <w:r>
        <w:rPr>
          <w:noProof/>
          <w:lang w:val="bg-BG"/>
        </w:rPr>
        <w:t>одукция надхвърлят прага, се задържа относително стабилен през последните три години с 3 или 4 държави. Три държави членки надхвърлят праговете за реалния ефективен обменен курс: в един от случаите това се дължи на нарушена конкурентоспособност, а в другит</w:t>
      </w:r>
      <w:r>
        <w:rPr>
          <w:noProof/>
          <w:lang w:val="bg-BG"/>
        </w:rPr>
        <w:t>е два — на това че реалният обменен курс е паднал под по-ниския праг. Броят на държавите членки, които надвишават прага за експортните пазарни дялове, е спаднал значително с възобновяването на търсенето на износ в държавите — членки на ЕС.</w:t>
      </w:r>
    </w:p>
    <w:p w:rsidR="00B41587" w:rsidRDefault="00B41587">
      <w:pPr>
        <w:spacing w:before="0" w:after="0"/>
        <w:rPr>
          <w:noProof/>
          <w:sz w:val="22"/>
          <w:lang w:val="bg-BG"/>
        </w:rPr>
      </w:pPr>
    </w:p>
    <w:p w:rsidR="00B41587" w:rsidRDefault="008F394C">
      <w:pPr>
        <w:pStyle w:val="Caption"/>
        <w:keepNext/>
        <w:spacing w:before="0" w:after="0"/>
        <w:jc w:val="center"/>
        <w:rPr>
          <w:i/>
          <w:noProof/>
          <w:sz w:val="16"/>
          <w:lang w:val="bg-BG"/>
        </w:rPr>
      </w:pPr>
      <w:r>
        <w:rPr>
          <w:b w:val="0"/>
          <w:i/>
          <w:noProof/>
          <w:sz w:val="20"/>
          <w:lang w:val="bg-BG"/>
        </w:rPr>
        <w:t>Графика 1:</w:t>
      </w:r>
      <w:r>
        <w:rPr>
          <w:i/>
          <w:noProof/>
          <w:sz w:val="20"/>
          <w:lang w:val="bg-BG"/>
        </w:rPr>
        <w:t xml:space="preserve"> </w:t>
      </w:r>
      <w:r>
        <w:rPr>
          <w:noProof/>
          <w:sz w:val="20"/>
          <w:lang w:val="bg-BG"/>
        </w:rPr>
        <w:t>Брой</w:t>
      </w:r>
      <w:r>
        <w:rPr>
          <w:noProof/>
          <w:sz w:val="20"/>
          <w:lang w:val="bg-BG"/>
        </w:rPr>
        <w:t xml:space="preserve"> на държавите с променливи в таблицата, които са над прага</w:t>
      </w:r>
    </w:p>
    <w:p w:rsidR="00B41587" w:rsidRDefault="008F394C">
      <w:pPr>
        <w:keepNext/>
        <w:spacing w:before="0" w:after="0"/>
        <w:jc w:val="center"/>
        <w:rPr>
          <w:noProof/>
          <w:lang w:val="bg-BG"/>
        </w:rPr>
      </w:pPr>
      <w:r>
        <w:rPr>
          <w:noProof/>
          <w:lang w:val="bg-BG"/>
        </w:rPr>
        <w:object w:dxaOrig="9200" w:dyaOrig="5421">
          <v:shape id="_x0000_i1026" type="#_x0000_t75" style="width:459.6pt;height:270.7pt" o:ole="">
            <v:imagedata r:id="rId25" o:title=""/>
          </v:shape>
          <o:OLEObject Type="Embed" ProgID="Excel.Sheet.12" ShapeID="_x0000_i1026" DrawAspect="Content" ObjectID="_1573284911" r:id="rId26"/>
        </w:object>
      </w:r>
    </w:p>
    <w:p w:rsidR="00B41587" w:rsidRDefault="008F394C">
      <w:pPr>
        <w:spacing w:before="0" w:after="0"/>
        <w:rPr>
          <w:noProof/>
          <w:sz w:val="20"/>
          <w:szCs w:val="20"/>
          <w:lang w:val="bg-BG"/>
        </w:rPr>
      </w:pPr>
      <w:r>
        <w:rPr>
          <w:i/>
          <w:noProof/>
          <w:sz w:val="20"/>
          <w:lang w:val="bg-BG"/>
        </w:rPr>
        <w:t>Източник:</w:t>
      </w:r>
      <w:r>
        <w:rPr>
          <w:noProof/>
          <w:sz w:val="20"/>
          <w:lang w:val="bg-BG"/>
        </w:rPr>
        <w:t xml:space="preserve"> Евростат.</w:t>
      </w:r>
    </w:p>
    <w:p w:rsidR="00B41587" w:rsidRDefault="008F394C">
      <w:pPr>
        <w:spacing w:before="0" w:after="0"/>
        <w:rPr>
          <w:noProof/>
          <w:sz w:val="20"/>
          <w:szCs w:val="20"/>
          <w:lang w:val="bg-BG"/>
        </w:rPr>
      </w:pPr>
      <w:r>
        <w:rPr>
          <w:i/>
          <w:noProof/>
          <w:sz w:val="20"/>
          <w:lang w:val="bg-BG"/>
        </w:rPr>
        <w:t xml:space="preserve">Бележка: </w:t>
      </w:r>
      <w:r>
        <w:rPr>
          <w:noProof/>
          <w:sz w:val="20"/>
          <w:lang w:val="bg-BG"/>
        </w:rPr>
        <w:t>броят на държавите с променливи в таблицата, които са над прага, се основава на събраните в таблицата данни, публикувани в съответния годишен</w:t>
      </w:r>
      <w:r>
        <w:rPr>
          <w:noProof/>
          <w:sz w:val="20"/>
          <w:lang w:val="bg-BG"/>
        </w:rPr>
        <w:t xml:space="preserve"> ДМП. Евентуалните последващи промени на данните могат да доведат до разлика в броя на държавите, които надвишават праговете, изчислен на база на най-новите данни за променливите в таблицата, в сравнение с отчетения в графиката по-горе брой.</w:t>
      </w:r>
    </w:p>
    <w:p w:rsidR="00B41587" w:rsidRDefault="00B41587">
      <w:pPr>
        <w:spacing w:before="0" w:after="0"/>
        <w:jc w:val="center"/>
        <w:rPr>
          <w:b/>
          <w:noProof/>
          <w:lang w:val="bg-BG"/>
        </w:rPr>
      </w:pPr>
    </w:p>
    <w:p w:rsidR="00B41587" w:rsidRDefault="008F394C">
      <w:pPr>
        <w:spacing w:before="0" w:after="0"/>
        <w:jc w:val="center"/>
        <w:rPr>
          <w:b/>
          <w:i/>
          <w:noProof/>
          <w:sz w:val="20"/>
          <w:szCs w:val="20"/>
          <w:lang w:val="bg-BG"/>
        </w:rPr>
      </w:pPr>
      <w:r>
        <w:rPr>
          <w:noProof/>
          <w:lang w:val="bg-BG"/>
        </w:rPr>
        <w:br w:type="page"/>
      </w:r>
      <w:r>
        <w:rPr>
          <w:i/>
          <w:noProof/>
          <w:sz w:val="20"/>
          <w:lang w:val="bg-BG"/>
        </w:rPr>
        <w:t>Графика 2:</w:t>
      </w:r>
      <w:r>
        <w:rPr>
          <w:b/>
          <w:i/>
          <w:noProof/>
          <w:sz w:val="20"/>
          <w:lang w:val="bg-BG"/>
        </w:rPr>
        <w:t xml:space="preserve"> </w:t>
      </w:r>
      <w:r>
        <w:rPr>
          <w:b/>
          <w:noProof/>
          <w:sz w:val="20"/>
          <w:lang w:val="bg-BG"/>
        </w:rPr>
        <w:t>С</w:t>
      </w:r>
      <w:r>
        <w:rPr>
          <w:b/>
          <w:noProof/>
          <w:sz w:val="20"/>
          <w:lang w:val="bg-BG"/>
        </w:rPr>
        <w:t>алда по текущата сметка, 2016 г.</w:t>
      </w:r>
    </w:p>
    <w:p w:rsidR="00B41587" w:rsidRDefault="008F394C">
      <w:pPr>
        <w:spacing w:before="0" w:after="0"/>
        <w:jc w:val="center"/>
        <w:rPr>
          <w:noProof/>
          <w:sz w:val="20"/>
          <w:lang w:val="bg-BG"/>
        </w:rPr>
      </w:pPr>
      <w:r>
        <w:rPr>
          <w:noProof/>
          <w:lang w:val="bg-BG"/>
        </w:rPr>
        <w:object w:dxaOrig="10279" w:dyaOrig="4944">
          <v:shape id="_x0000_i1027" type="#_x0000_t75" style="width:397.4pt;height:189.8pt" o:ole="">
            <v:imagedata r:id="rId27" o:title=""/>
          </v:shape>
          <o:OLEObject Type="Embed" ProgID="Excel.Sheet.12" ShapeID="_x0000_i1027" DrawAspect="Content" ObjectID="_1573284912" r:id="rId28"/>
        </w:object>
      </w:r>
    </w:p>
    <w:p w:rsidR="00B41587" w:rsidRDefault="008F394C">
      <w:pPr>
        <w:spacing w:before="0" w:after="0"/>
        <w:jc w:val="left"/>
        <w:rPr>
          <w:noProof/>
          <w:sz w:val="20"/>
          <w:szCs w:val="20"/>
          <w:lang w:val="bg-BG"/>
        </w:rPr>
      </w:pPr>
      <w:r>
        <w:rPr>
          <w:i/>
          <w:noProof/>
          <w:sz w:val="20"/>
          <w:lang w:val="bg-BG"/>
        </w:rPr>
        <w:t>Източник:</w:t>
      </w:r>
      <w:r>
        <w:rPr>
          <w:noProof/>
          <w:sz w:val="20"/>
          <w:lang w:val="bg-BG"/>
        </w:rPr>
        <w:t xml:space="preserve"> Изчисления на службите на Комисията.</w:t>
      </w:r>
    </w:p>
    <w:p w:rsidR="00B41587" w:rsidRDefault="008F394C">
      <w:pPr>
        <w:spacing w:before="0" w:after="0"/>
        <w:rPr>
          <w:noProof/>
          <w:spacing w:val="-4"/>
          <w:sz w:val="20"/>
          <w:szCs w:val="20"/>
          <w:lang w:val="bg-BG"/>
        </w:rPr>
      </w:pPr>
      <w:r>
        <w:rPr>
          <w:i/>
          <w:noProof/>
          <w:spacing w:val="-4"/>
          <w:sz w:val="20"/>
          <w:szCs w:val="20"/>
          <w:lang w:val="bg-BG"/>
        </w:rPr>
        <w:t>Бележка:</w:t>
      </w:r>
      <w:r>
        <w:rPr>
          <w:noProof/>
          <w:spacing w:val="-4"/>
          <w:sz w:val="20"/>
          <w:szCs w:val="20"/>
          <w:lang w:val="bg-BG"/>
        </w:rPr>
        <w:t xml:space="preserve"> коригираните спрямо фазата на икономическия цикъл салда са изчислени с помощта на прогнозите за разликата между фактическия и потенциалния БВП, залегнали в прогнозата на Европейската комисия от есента на 2017 г.; коригираното спрямо фазата на икономически</w:t>
      </w:r>
      <w:r>
        <w:rPr>
          <w:noProof/>
          <w:spacing w:val="-4"/>
          <w:sz w:val="20"/>
          <w:szCs w:val="20"/>
          <w:lang w:val="bg-BG"/>
        </w:rPr>
        <w:t>я цикъл салдо за Малта през 2016 г. не фигурира в графиката и е равно на 13,3 % от БВП през 2016 г. За изчисляването на стандартите за текущата сметка вж. бележка под линия 9. Текущата сметка, стабилизираща нетната международна инвестиционна позиция, се оп</w:t>
      </w:r>
      <w:r>
        <w:rPr>
          <w:noProof/>
          <w:spacing w:val="-4"/>
          <w:sz w:val="20"/>
          <w:szCs w:val="20"/>
          <w:lang w:val="bg-BG"/>
        </w:rPr>
        <w:t>ределя, както следва: салдото по текущата сметка, необходимо за постигането на НМИП до -35 % за 20 години; за държавите, чиято НМИП през 2016 г. вече е -35 % от БВП или над тази стойност — салдото, необходимо за запазване на НМИП на нейното равнище от 2016</w:t>
      </w:r>
      <w:r>
        <w:rPr>
          <w:noProof/>
          <w:spacing w:val="-4"/>
          <w:sz w:val="20"/>
          <w:szCs w:val="20"/>
          <w:lang w:val="bg-BG"/>
        </w:rPr>
        <w:t> г.</w:t>
      </w:r>
      <w:r>
        <w:rPr>
          <w:rStyle w:val="FootnoteReference"/>
          <w:noProof/>
          <w:spacing w:val="-4"/>
          <w:sz w:val="20"/>
          <w:szCs w:val="20"/>
          <w:lang w:val="bg-BG"/>
        </w:rPr>
        <w:footnoteReference w:id="10"/>
      </w:r>
      <w:r>
        <w:rPr>
          <w:noProof/>
          <w:spacing w:val="-4"/>
          <w:sz w:val="20"/>
          <w:szCs w:val="20"/>
          <w:lang w:val="bg-BG"/>
        </w:rPr>
        <w:t xml:space="preserve"> </w:t>
      </w:r>
    </w:p>
    <w:p w:rsidR="00B41587" w:rsidRDefault="00B41587">
      <w:pPr>
        <w:spacing w:before="0" w:after="0"/>
        <w:rPr>
          <w:noProof/>
          <w:sz w:val="20"/>
          <w:szCs w:val="20"/>
          <w:highlight w:val="yellow"/>
          <w:lang w:val="bg-BG"/>
        </w:rPr>
      </w:pPr>
    </w:p>
    <w:p w:rsidR="00B41587" w:rsidRDefault="008F394C">
      <w:pPr>
        <w:pStyle w:val="Caption"/>
        <w:jc w:val="center"/>
        <w:rPr>
          <w:b w:val="0"/>
          <w:i/>
          <w:noProof/>
          <w:sz w:val="20"/>
          <w:lang w:val="bg-BG"/>
        </w:rPr>
      </w:pPr>
      <w:r>
        <w:rPr>
          <w:i/>
          <w:noProof/>
          <w:sz w:val="20"/>
          <w:lang w:val="bg-BG"/>
        </w:rPr>
        <w:t xml:space="preserve">Графика 3: </w:t>
      </w:r>
      <w:r>
        <w:rPr>
          <w:noProof/>
          <w:sz w:val="20"/>
          <w:lang w:val="bg-BG"/>
        </w:rPr>
        <w:t>Развитие на салдата по текущата сметка</w:t>
      </w:r>
    </w:p>
    <w:p w:rsidR="00B41587" w:rsidRDefault="008F394C">
      <w:pPr>
        <w:jc w:val="center"/>
        <w:rPr>
          <w:noProof/>
          <w:lang w:val="bg-BG"/>
        </w:rPr>
      </w:pPr>
      <w:r>
        <w:rPr>
          <w:noProof/>
          <w:lang w:val="bg-BG"/>
        </w:rPr>
        <w:object w:dxaOrig="8512" w:dyaOrig="6125">
          <v:shape id="_x0000_i1028" type="#_x0000_t75" style="width:310.9pt;height:203.4pt" o:ole="">
            <v:imagedata r:id="rId29" o:title=""/>
          </v:shape>
          <o:OLEObject Type="Embed" ProgID="Excel.Sheet.12" ShapeID="_x0000_i1028" DrawAspect="Content" ObjectID="_1573284913" r:id="rId30"/>
        </w:object>
      </w:r>
    </w:p>
    <w:p w:rsidR="00B41587" w:rsidRDefault="008F394C">
      <w:pPr>
        <w:spacing w:before="0" w:after="0"/>
        <w:jc w:val="left"/>
        <w:rPr>
          <w:noProof/>
          <w:sz w:val="20"/>
          <w:szCs w:val="20"/>
          <w:lang w:val="bg-BG"/>
        </w:rPr>
      </w:pPr>
      <w:r>
        <w:rPr>
          <w:i/>
          <w:noProof/>
          <w:sz w:val="20"/>
          <w:lang w:val="bg-BG"/>
        </w:rPr>
        <w:t>Източник:</w:t>
      </w:r>
      <w:r>
        <w:rPr>
          <w:noProof/>
          <w:sz w:val="20"/>
          <w:lang w:val="bg-BG"/>
        </w:rPr>
        <w:t xml:space="preserve"> Евростат.</w:t>
      </w:r>
    </w:p>
    <w:p w:rsidR="00B41587" w:rsidRDefault="00B41587">
      <w:pPr>
        <w:rPr>
          <w:b/>
          <w:noProof/>
          <w:lang w:val="bg-BG"/>
        </w:rPr>
      </w:pPr>
    </w:p>
    <w:p w:rsidR="00B41587" w:rsidRDefault="008F394C">
      <w:pPr>
        <w:rPr>
          <w:noProof/>
          <w:lang w:val="bg-BG"/>
        </w:rPr>
      </w:pPr>
      <w:r>
        <w:rPr>
          <w:b/>
          <w:noProof/>
          <w:lang w:val="bg-BG"/>
        </w:rPr>
        <w:t>Докато дефицитите по текущата сметка са много ограничени на брой, все още са налице големи излишъци.</w:t>
      </w:r>
      <w:r>
        <w:rPr>
          <w:noProof/>
          <w:lang w:val="bg-BG"/>
        </w:rPr>
        <w:t xml:space="preserve"> Повечето от големите дефицити по текущата сметка вече са намалели значително още преди 2016 г. и са се превърнали в излишъци или балансирани позиции в резултат на възвърната конкурентоспособност и по-слабото вътрешно търсене (графики 2 и 3). От полза за п</w:t>
      </w:r>
      <w:r>
        <w:rPr>
          <w:noProof/>
          <w:lang w:val="bg-BG"/>
        </w:rPr>
        <w:t>оследните промени в търговския баланс са намалението на цените на стоките, увеличаването на търговията в ЕС и ускоряването на световната търговия от средата на 2016 г. насам, докато за салдото по приходите на държавите, които са нетни длъжници, от полза са</w:t>
      </w:r>
      <w:r>
        <w:rPr>
          <w:noProof/>
          <w:lang w:val="bg-BG"/>
        </w:rPr>
        <w:t xml:space="preserve"> намаляващите лихвени проценти, които предполагат по-ниски възнаграждения по нетните финансови задължения.</w:t>
      </w:r>
    </w:p>
    <w:p w:rsidR="00B41587" w:rsidRDefault="008F394C">
      <w:pPr>
        <w:numPr>
          <w:ilvl w:val="0"/>
          <w:numId w:val="4"/>
        </w:numPr>
        <w:ind w:left="426" w:hanging="284"/>
        <w:rPr>
          <w:noProof/>
          <w:lang w:val="bg-BG"/>
        </w:rPr>
      </w:pPr>
      <w:r>
        <w:rPr>
          <w:noProof/>
          <w:lang w:val="bg-BG"/>
        </w:rPr>
        <w:t>Понастоящем само Обединеното кралство има дефицит по текущата сметка, който е над прага в таблицата с показатели. Останалите държави членки, които от</w:t>
      </w:r>
      <w:r>
        <w:rPr>
          <w:noProof/>
          <w:lang w:val="bg-BG"/>
        </w:rPr>
        <w:t>читат дефицит по текущата сметка през 2016 г. (Белгия, Гърция, Франция, Кипър, Латвия, Литва, Полша, Румъния, Словакия и Финландия) се задържат доста под прага в таблицата. Значението на цикличните фактори за тези резултати намалява, тъй като разликите меж</w:t>
      </w:r>
      <w:r>
        <w:rPr>
          <w:noProof/>
          <w:lang w:val="bg-BG"/>
        </w:rPr>
        <w:t xml:space="preserve">ду фактическия и потенциалния БВП намаляват (графика 2). Някои допълнителни дребни подобрения са отчетени още през 2016 г., когато някои държави, като Хърватия и Ирландия, са отбелязали спад в своите излишъци от изключително високите равнища, регистрирани </w:t>
      </w:r>
      <w:r>
        <w:rPr>
          <w:noProof/>
          <w:lang w:val="bg-BG"/>
        </w:rPr>
        <w:t>през 2015 г. (графика 3).</w:t>
      </w:r>
    </w:p>
    <w:p w:rsidR="00B41587" w:rsidRDefault="008F394C">
      <w:pPr>
        <w:numPr>
          <w:ilvl w:val="0"/>
          <w:numId w:val="4"/>
        </w:numPr>
        <w:ind w:left="426" w:hanging="284"/>
        <w:rPr>
          <w:noProof/>
          <w:lang w:val="bg-BG"/>
        </w:rPr>
      </w:pPr>
      <w:r>
        <w:rPr>
          <w:noProof/>
          <w:lang w:val="bg-BG"/>
        </w:rPr>
        <w:t>В Кипър и Гърция салдата по текущата сметка за 2016 г. остават недостатъчни, за да подпомогнат намаляването на големите НМИП до разумни равнища и със задоволителни темпове. От друга страна, резултатите по текущата сметка на Португ</w:t>
      </w:r>
      <w:r>
        <w:rPr>
          <w:noProof/>
          <w:lang w:val="bg-BG"/>
        </w:rPr>
        <w:t xml:space="preserve">алия и на Испания показват известен излишък спрямо необходимото за доближаване на НМИП до целта от -35 % от БВП през следващите две десетилетия, като маржовете за Хърватия и Ирландия са по-големи. </w:t>
      </w:r>
    </w:p>
    <w:p w:rsidR="00B41587" w:rsidRDefault="008F394C">
      <w:pPr>
        <w:numPr>
          <w:ilvl w:val="0"/>
          <w:numId w:val="4"/>
        </w:numPr>
        <w:ind w:left="426" w:hanging="284"/>
        <w:rPr>
          <w:noProof/>
          <w:lang w:val="bg-BG"/>
        </w:rPr>
      </w:pPr>
      <w:r>
        <w:rPr>
          <w:noProof/>
          <w:lang w:val="bg-BG"/>
        </w:rPr>
        <w:t>В същото време все още са налице големи излишъци по текуща</w:t>
      </w:r>
      <w:r>
        <w:rPr>
          <w:noProof/>
          <w:lang w:val="bg-BG"/>
        </w:rPr>
        <w:t>та сметка. Въпреки неотдавнашните минимални спадове, излишъците в Дания, Германия и Нидерландия продължават да надхвърлят прага, както се случва вече няколко години. Малта е преминала прага през 2016 г., което отразява също ефекта на офшорен център. Излишъ</w:t>
      </w:r>
      <w:r>
        <w:rPr>
          <w:noProof/>
          <w:lang w:val="bg-BG"/>
        </w:rPr>
        <w:t>кът щеше да е малко по-висок в Германия и по-нисък в Дания, ако не бяха цикличните ефекти. Понастоящем Германия, Дания и Нидерландия бележат излишъци, които са доста над нивото, което може да бъде обяснено с фундаменталните фактори за икономиката (включите</w:t>
      </w:r>
      <w:r>
        <w:rPr>
          <w:noProof/>
          <w:lang w:val="bg-BG"/>
        </w:rPr>
        <w:t>лно, например, застаряването на населението и относителния доход на глава от населението)</w:t>
      </w:r>
      <w:r>
        <w:rPr>
          <w:rStyle w:val="FootnoteReference"/>
          <w:noProof/>
          <w:lang w:val="bg-BG"/>
        </w:rPr>
        <w:footnoteReference w:id="11"/>
      </w:r>
      <w:r>
        <w:rPr>
          <w:noProof/>
          <w:lang w:val="bg-BG"/>
        </w:rPr>
        <w:t xml:space="preserve">. </w:t>
      </w:r>
    </w:p>
    <w:p w:rsidR="00B41587" w:rsidRDefault="008F394C">
      <w:pPr>
        <w:numPr>
          <w:ilvl w:val="0"/>
          <w:numId w:val="4"/>
        </w:numPr>
        <w:ind w:left="426" w:hanging="284"/>
        <w:rPr>
          <w:noProof/>
          <w:lang w:val="bg-BG"/>
        </w:rPr>
      </w:pPr>
      <w:r>
        <w:rPr>
          <w:noProof/>
          <w:lang w:val="bg-BG"/>
        </w:rPr>
        <w:t xml:space="preserve">В по-общ план, с изключение на Люксембург, изглежда всички отбелязани наскоро излишъци на различните държави членки във и извън еврозоната надвишават </w:t>
      </w:r>
      <w:r>
        <w:rPr>
          <w:noProof/>
          <w:lang w:val="bg-BG"/>
        </w:rPr>
        <w:t>фундаменталните фактори, понякога с големи маржове. В прогнозата на Комисията от есента на 2017 г. се предлагат само ограничени промени в тези тенденции през тази и следващата година.</w:t>
      </w:r>
    </w:p>
    <w:p w:rsidR="00B41587" w:rsidRDefault="008F394C">
      <w:pPr>
        <w:jc w:val="center"/>
        <w:rPr>
          <w:b/>
          <w:noProof/>
          <w:sz w:val="20"/>
          <w:szCs w:val="20"/>
          <w:lang w:val="bg-BG"/>
        </w:rPr>
      </w:pPr>
      <w:r>
        <w:rPr>
          <w:noProof/>
          <w:lang w:val="bg-BG"/>
        </w:rPr>
        <w:br w:type="page"/>
      </w:r>
      <w:r>
        <w:rPr>
          <w:i/>
          <w:noProof/>
          <w:sz w:val="20"/>
          <w:lang w:val="bg-BG"/>
        </w:rPr>
        <w:t>Графика 4</w:t>
      </w:r>
      <w:r>
        <w:rPr>
          <w:b/>
          <w:noProof/>
          <w:sz w:val="20"/>
          <w:lang w:val="bg-BG"/>
        </w:rPr>
        <w:t>: Нетни международни инвестиционни позиции и тяхната динамика</w:t>
      </w:r>
    </w:p>
    <w:p w:rsidR="00B41587" w:rsidRDefault="008F394C">
      <w:pPr>
        <w:jc w:val="center"/>
        <w:rPr>
          <w:b/>
          <w:noProof/>
          <w:sz w:val="20"/>
          <w:szCs w:val="20"/>
          <w:lang w:val="bg-BG"/>
        </w:rPr>
      </w:pPr>
      <w:r>
        <w:rPr>
          <w:b/>
          <w:noProof/>
          <w:sz w:val="20"/>
          <w:szCs w:val="20"/>
          <w:lang w:val="bg-BG"/>
        </w:rPr>
        <w:object w:dxaOrig="11960" w:dyaOrig="6935">
          <v:shape id="_x0000_i1029" type="#_x0000_t75" style="width:440.9pt;height:256.7pt" o:ole="">
            <v:imagedata r:id="rId31" o:title=""/>
          </v:shape>
          <o:OLEObject Type="Embed" ProgID="Excel.Sheet.12" ShapeID="_x0000_i1029" DrawAspect="Content" ObjectID="_1573284914" r:id="rId32"/>
        </w:object>
      </w:r>
    </w:p>
    <w:p w:rsidR="00B41587" w:rsidRDefault="008F394C">
      <w:pPr>
        <w:spacing w:before="0" w:after="0"/>
        <w:rPr>
          <w:noProof/>
          <w:sz w:val="20"/>
          <w:szCs w:val="20"/>
          <w:lang w:val="bg-BG"/>
        </w:rPr>
      </w:pPr>
      <w:r>
        <w:rPr>
          <w:i/>
          <w:noProof/>
          <w:sz w:val="20"/>
          <w:lang w:val="bg-BG"/>
        </w:rPr>
        <w:t>Източник:</w:t>
      </w:r>
      <w:r>
        <w:rPr>
          <w:noProof/>
          <w:sz w:val="20"/>
          <w:lang w:val="bg-BG"/>
        </w:rPr>
        <w:t xml:space="preserve"> Евростат (BPM6, ESA10), изчисления на службите на Комисията.</w:t>
      </w:r>
    </w:p>
    <w:p w:rsidR="00B41587" w:rsidRDefault="008F394C">
      <w:pPr>
        <w:spacing w:before="0" w:after="0"/>
        <w:rPr>
          <w:noProof/>
          <w:sz w:val="20"/>
          <w:szCs w:val="20"/>
          <w:lang w:val="bg-BG"/>
        </w:rPr>
      </w:pPr>
      <w:r>
        <w:rPr>
          <w:i/>
          <w:noProof/>
          <w:sz w:val="20"/>
          <w:lang w:val="bg-BG"/>
        </w:rPr>
        <w:t>Бележка:</w:t>
      </w:r>
      <w:r>
        <w:rPr>
          <w:noProof/>
          <w:sz w:val="20"/>
          <w:lang w:val="bg-BG"/>
        </w:rPr>
        <w:t xml:space="preserve"> Данни за България са налични едва от 2010 г. нататък, а за Кипър — от 2008 г. </w:t>
      </w:r>
    </w:p>
    <w:p w:rsidR="00B41587" w:rsidRDefault="00B41587">
      <w:pPr>
        <w:spacing w:before="240"/>
        <w:rPr>
          <w:b/>
          <w:noProof/>
          <w:lang w:val="bg-BG"/>
        </w:rPr>
      </w:pPr>
    </w:p>
    <w:p w:rsidR="00B41587" w:rsidRDefault="008F394C">
      <w:pPr>
        <w:spacing w:before="240"/>
        <w:rPr>
          <w:noProof/>
          <w:lang w:val="bg-BG"/>
        </w:rPr>
      </w:pPr>
      <w:r>
        <w:rPr>
          <w:b/>
          <w:noProof/>
          <w:lang w:val="bg-BG"/>
        </w:rPr>
        <w:t>В последно време нетните международни инвестиционни позиции се подобр</w:t>
      </w:r>
      <w:r>
        <w:rPr>
          <w:b/>
          <w:noProof/>
          <w:lang w:val="bg-BG"/>
        </w:rPr>
        <w:t>иха в почти всички държави членки, но продължават да бъдат изключително отрицателни в редица от тях.</w:t>
      </w:r>
      <w:r>
        <w:rPr>
          <w:noProof/>
          <w:lang w:val="bg-BG"/>
        </w:rPr>
        <w:t xml:space="preserve"> В някои случаи подобренията през 2016 г. бяха значителни и се наблюдаваха както в държавите, които са нетни длъжници, така и в тези, които са нетни кредито</w:t>
      </w:r>
      <w:r>
        <w:rPr>
          <w:noProof/>
          <w:lang w:val="bg-BG"/>
        </w:rPr>
        <w:t>ри, макар и в държавите, които са нетни кредитори, те да бяха в известна степен по-отчетливи, отколкото в държавите, които са нетни длъжници. Това отразяваше нарастващите салда по текущата сметка и по капиталовата сметка и по-високия ръст на БВП. Оценъчнит</w:t>
      </w:r>
      <w:r>
        <w:rPr>
          <w:noProof/>
          <w:lang w:val="bg-BG"/>
        </w:rPr>
        <w:t xml:space="preserve">е ефекти се различаваха значително между отделните държави, без да има ясна връзка с началните НМИП, но понякога допринасяха за намаляването на силно отрицателните салда по НМИП. Развитието през първата половина на 2017 г. не разкрива значителни промени в </w:t>
      </w:r>
      <w:r>
        <w:rPr>
          <w:noProof/>
          <w:lang w:val="bg-BG"/>
        </w:rPr>
        <w:t>тези тенденции.</w:t>
      </w:r>
    </w:p>
    <w:p w:rsidR="00B41587" w:rsidRDefault="008F394C">
      <w:pPr>
        <w:numPr>
          <w:ilvl w:val="0"/>
          <w:numId w:val="5"/>
        </w:numPr>
        <w:ind w:left="426" w:hanging="284"/>
        <w:rPr>
          <w:noProof/>
          <w:lang w:val="bg-BG"/>
        </w:rPr>
      </w:pPr>
      <w:r>
        <w:rPr>
          <w:noProof/>
          <w:lang w:val="bg-BG"/>
        </w:rPr>
        <w:t>Въпреки неотдавнашните подобрения, през 2016 г. повече от половината от държавите членки на ЕС са отчели НМИП отвъд прага в таблицата с показатели за ПМД. Някои стойности все още превишават -100 % от БВП (Ирландия, Гърция, Кипър и Португали</w:t>
      </w:r>
      <w:r>
        <w:rPr>
          <w:noProof/>
          <w:lang w:val="bg-BG"/>
        </w:rPr>
        <w:t xml:space="preserve">я); в Испания и Хърватия те са над -70 % от БВП; като се има предвид, че девет други държави все още трябва да се доближат до прага от -35 % от БВП, в това число България, Латвия, Полша, Румъния, Словакия и Унгария. </w:t>
      </w:r>
    </w:p>
    <w:p w:rsidR="00B41587" w:rsidRDefault="008F394C">
      <w:pPr>
        <w:numPr>
          <w:ilvl w:val="0"/>
          <w:numId w:val="5"/>
        </w:numPr>
        <w:ind w:left="426" w:hanging="284"/>
        <w:rPr>
          <w:noProof/>
          <w:lang w:val="bg-BG"/>
        </w:rPr>
      </w:pPr>
      <w:r>
        <w:rPr>
          <w:noProof/>
          <w:lang w:val="bg-BG"/>
        </w:rPr>
        <w:t>2016 г. беше белязана от ясни подобрени</w:t>
      </w:r>
      <w:r>
        <w:rPr>
          <w:noProof/>
          <w:lang w:val="bg-BG"/>
        </w:rPr>
        <w:t>я в най-отрицателните НМИП, които често контрастираха с влошаване през предходни години. Кипър и Ирландия се открояват със значителни  успехи през 2016 г., но тенденциите се промениха осезаемо и в Португалия и Испания, доколкото подобренията през 2016 г. с</w:t>
      </w:r>
      <w:r>
        <w:rPr>
          <w:noProof/>
          <w:lang w:val="bg-BG"/>
        </w:rPr>
        <w:t>ледваха години на повече или по-малко продължаващо влошаване. Гърция продължава да бъде изключение, тъй като нейната позиция продължава да се влошава, но с по-бавен темп в сравнение с преди. Промените в тенденциите бяха по-разнородни в държави с по-малко о</w:t>
      </w:r>
      <w:r>
        <w:rPr>
          <w:noProof/>
          <w:lang w:val="bg-BG"/>
        </w:rPr>
        <w:t xml:space="preserve">трицателни НМИП, и като цяло корекциите бяха по-умерени. Въпреки че дори загубиха скорост в случаи като Унгария, те винаги запазваха посоката на подобряване на НМИП. </w:t>
      </w:r>
    </w:p>
    <w:p w:rsidR="00B41587" w:rsidRDefault="008F394C">
      <w:pPr>
        <w:pStyle w:val="ListDash"/>
        <w:numPr>
          <w:ilvl w:val="0"/>
          <w:numId w:val="5"/>
        </w:numPr>
        <w:spacing w:line="240" w:lineRule="atLeast"/>
        <w:ind w:left="426" w:hanging="284"/>
        <w:rPr>
          <w:noProof/>
          <w:lang w:val="bg-BG"/>
        </w:rPr>
      </w:pPr>
      <w:r>
        <w:rPr>
          <w:noProof/>
          <w:lang w:val="bg-BG"/>
        </w:rPr>
        <w:t>Държавите, които са нетни кредитори, продължиха да увеличават своите силно положителни НМ</w:t>
      </w:r>
      <w:r>
        <w:rPr>
          <w:noProof/>
          <w:lang w:val="bg-BG"/>
        </w:rPr>
        <w:t>ИП през 2016 г. благодарение на големите излишъци и печалбите от преоценки, които често бяха по-силни от всякога. По-специално, Нидерландия приключи 2016 г. с положителна НИМП от близо 70 % от БВП, докато Дания и Германия достигнаха 55 % от БВП, като във в</w:t>
      </w:r>
      <w:r>
        <w:rPr>
          <w:noProof/>
          <w:lang w:val="bg-BG"/>
        </w:rPr>
        <w:t>сички случаи достигнаха максималната си стойност от десетилетие насам. Последните резултати по текущата сметка са видимо над равнищата, необходими за запазване на съотношенията на НМИП спрямо БВП  на равнището им от 2016 г. Малта и Люксембург бяха единстве</w:t>
      </w:r>
      <w:r>
        <w:rPr>
          <w:noProof/>
          <w:lang w:val="bg-BG"/>
        </w:rPr>
        <w:t>ните държави, които са нетни кредитори, отбелязали намаление в своите НМИП през 2016 г., които при всички случаи останаха в ясни положителни граници. Също така повечето държави с относително балансирани НИМП подобриха позициите си през 2016 г. и в някои сл</w:t>
      </w:r>
      <w:r>
        <w:rPr>
          <w:noProof/>
          <w:lang w:val="bg-BG"/>
        </w:rPr>
        <w:t xml:space="preserve">учаи това подобрение е по-ясно изразено, отколкото преди. Обединеното кралство приключи 2016 г. с балансирана НМИП, главно благодарение на влиянието на оценката, свързана с обезценяването на британската лира след години на отрицателни стойности. </w:t>
      </w:r>
    </w:p>
    <w:p w:rsidR="00B41587" w:rsidRDefault="008F394C">
      <w:pPr>
        <w:pStyle w:val="ListDash"/>
        <w:numPr>
          <w:ilvl w:val="0"/>
          <w:numId w:val="5"/>
        </w:numPr>
        <w:spacing w:line="240" w:lineRule="atLeast"/>
        <w:ind w:left="426" w:hanging="284"/>
        <w:rPr>
          <w:noProof/>
          <w:spacing w:val="-4"/>
          <w:lang w:val="bg-BG"/>
        </w:rPr>
      </w:pPr>
      <w:r>
        <w:rPr>
          <w:noProof/>
          <w:spacing w:val="-4"/>
          <w:lang w:val="bg-BG"/>
        </w:rPr>
        <w:t>Рисковете</w:t>
      </w:r>
      <w:r>
        <w:rPr>
          <w:noProof/>
          <w:spacing w:val="-4"/>
          <w:lang w:val="bg-BG"/>
        </w:rPr>
        <w:t xml:space="preserve"> и уязвимите области, свързани с нетни отрицателни позиции, може да зависи и от техния състав. В тази връзка държавите, които често са големи нетни длъжници, по-специално Гърция, Испания, Кипър и Португалия , имат нива на нетния външен дълг, които представ</w:t>
      </w:r>
      <w:r>
        <w:rPr>
          <w:noProof/>
          <w:spacing w:val="-4"/>
          <w:lang w:val="bg-BG"/>
        </w:rPr>
        <w:t>ляват по-голямата част от техните НМИП, което би могло да ги направи уязвими към промени в условията на финансиране, по-специално в случаите, когато потребностите от рефинансиране са високи. И обратно, в други длъжници, преките чуждестранни инвестиции, кои</w:t>
      </w:r>
      <w:r>
        <w:rPr>
          <w:noProof/>
          <w:spacing w:val="-4"/>
          <w:lang w:val="bg-BG"/>
        </w:rPr>
        <w:t>то може да бъдат по-стабилен източник на финансиране, представляват значителен дял от отрицателната НМИП, както е в случая с Естония, Латвия и Литва, България, Полша, Румъния и Словакия.</w:t>
      </w:r>
    </w:p>
    <w:p w:rsidR="00B41587" w:rsidRDefault="00B41587">
      <w:pPr>
        <w:jc w:val="center"/>
        <w:rPr>
          <w:i/>
          <w:noProof/>
          <w:sz w:val="20"/>
          <w:szCs w:val="20"/>
          <w:lang w:val="bg-BG"/>
        </w:rPr>
      </w:pPr>
    </w:p>
    <w:p w:rsidR="00B41587" w:rsidRDefault="008F394C">
      <w:pPr>
        <w:jc w:val="center"/>
        <w:rPr>
          <w:b/>
          <w:i/>
          <w:noProof/>
          <w:sz w:val="16"/>
          <w:szCs w:val="20"/>
          <w:lang w:val="bg-BG"/>
        </w:rPr>
      </w:pPr>
      <w:r>
        <w:rPr>
          <w:i/>
          <w:noProof/>
          <w:sz w:val="20"/>
          <w:lang w:val="bg-BG"/>
        </w:rPr>
        <w:t>Графика 5</w:t>
      </w:r>
      <w:r>
        <w:rPr>
          <w:b/>
          <w:i/>
          <w:noProof/>
          <w:sz w:val="20"/>
          <w:lang w:val="bg-BG"/>
        </w:rPr>
        <w:t xml:space="preserve">: </w:t>
      </w:r>
      <w:r>
        <w:rPr>
          <w:b/>
          <w:noProof/>
          <w:sz w:val="20"/>
          <w:lang w:val="bg-BG"/>
        </w:rPr>
        <w:t>Ръст на разходите за труд за единица продукция и разбивка</w:t>
      </w:r>
      <w:r>
        <w:rPr>
          <w:b/>
          <w:noProof/>
          <w:sz w:val="20"/>
          <w:lang w:val="bg-BG"/>
        </w:rPr>
        <w:t xml:space="preserve"> на факторите, 2016 г.</w:t>
      </w:r>
    </w:p>
    <w:p w:rsidR="00B41587" w:rsidRDefault="008F394C">
      <w:pPr>
        <w:spacing w:after="0"/>
        <w:jc w:val="center"/>
        <w:rPr>
          <w:i/>
          <w:noProof/>
          <w:sz w:val="20"/>
          <w:szCs w:val="20"/>
          <w:lang w:val="bg-BG"/>
        </w:rPr>
      </w:pPr>
      <w:r>
        <w:rPr>
          <w:noProof/>
        </w:rPr>
        <w:drawing>
          <wp:inline distT="0" distB="0" distL="0" distR="0">
            <wp:extent cx="3867802" cy="24882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5079" cy="2486471"/>
                    </a:xfrm>
                    <a:prstGeom prst="rect">
                      <a:avLst/>
                    </a:prstGeom>
                    <a:noFill/>
                    <a:ln>
                      <a:noFill/>
                    </a:ln>
                  </pic:spPr>
                </pic:pic>
              </a:graphicData>
            </a:graphic>
          </wp:inline>
        </w:drawing>
      </w:r>
    </w:p>
    <w:p w:rsidR="00B41587" w:rsidRDefault="008F394C">
      <w:pPr>
        <w:spacing w:after="0"/>
        <w:rPr>
          <w:noProof/>
          <w:sz w:val="20"/>
          <w:szCs w:val="20"/>
          <w:lang w:val="bg-BG"/>
        </w:rPr>
      </w:pPr>
      <w:r>
        <w:rPr>
          <w:i/>
          <w:noProof/>
          <w:sz w:val="20"/>
          <w:lang w:val="bg-BG"/>
        </w:rPr>
        <w:t>Източник:</w:t>
      </w:r>
      <w:r>
        <w:rPr>
          <w:noProof/>
          <w:sz w:val="20"/>
          <w:lang w:val="bg-BG"/>
        </w:rPr>
        <w:t xml:space="preserve"> AMECO и Евростат. Изчисления на службите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Разбивката се основава на стандартната разбивка на ръста в разходите за труд за единица продукция на номинална почасова компенсация и производителност на тру</w:t>
      </w:r>
      <w:r>
        <w:rPr>
          <w:noProof/>
          <w:sz w:val="20"/>
          <w:lang w:val="bg-BG"/>
        </w:rPr>
        <w:t>да, като последната се разбива по-нататък на принос на отработени часове, обща факторна производителност и натрупване на капитал, като се използва стандартна рамка за отчитане на растежа.</w:t>
      </w:r>
    </w:p>
    <w:p w:rsidR="00B41587" w:rsidRDefault="00B41587">
      <w:pPr>
        <w:spacing w:after="0"/>
        <w:rPr>
          <w:b/>
          <w:noProof/>
          <w:lang w:val="bg-BG"/>
        </w:rPr>
      </w:pPr>
    </w:p>
    <w:p w:rsidR="00B41587" w:rsidRDefault="008F394C">
      <w:pPr>
        <w:rPr>
          <w:noProof/>
          <w:spacing w:val="-4"/>
          <w:lang w:val="bg-BG"/>
        </w:rPr>
      </w:pPr>
      <w:r>
        <w:rPr>
          <w:b/>
          <w:noProof/>
          <w:spacing w:val="-4"/>
          <w:lang w:val="bg-BG"/>
        </w:rPr>
        <w:t xml:space="preserve">Промените в разходната конкурентоспособност все по-малко подкрепят </w:t>
      </w:r>
      <w:r>
        <w:rPr>
          <w:b/>
          <w:noProof/>
          <w:spacing w:val="-4"/>
          <w:lang w:val="bg-BG"/>
        </w:rPr>
        <w:t>ребалансирането.</w:t>
      </w:r>
      <w:r>
        <w:rPr>
          <w:noProof/>
          <w:spacing w:val="-4"/>
          <w:lang w:val="bg-BG"/>
        </w:rPr>
        <w:t xml:space="preserve"> Повишаването на конкурентоспособността в държавите, които са нетни длъжници, често намалява или постепенно спира, докато държавите, които са нетни кредитори, отчетоха много минимални промени в своята конкурентоспособност. На фона на относи</w:t>
      </w:r>
      <w:r>
        <w:rPr>
          <w:noProof/>
          <w:spacing w:val="-4"/>
          <w:lang w:val="bg-BG"/>
        </w:rPr>
        <w:t>телно бавния ръст на производителността на труда и слабата динамика на заплатите в повечето държави, промените в разходите за труд за единица продукция (РТЕП) през 2016 г. изглеждат по-отдалечени от външните позиции за наличности-потоци в сравнение с предх</w:t>
      </w:r>
      <w:r>
        <w:rPr>
          <w:noProof/>
          <w:spacing w:val="-4"/>
          <w:lang w:val="bg-BG"/>
        </w:rPr>
        <w:t xml:space="preserve">одни години (графика 5). Като цяло, по-слабата дисперсия при процесите в областта на разходната конкурентоспособност не благоприятства особено по-симетричното ребалансиране в еврозоната (графика 6 и каре 2).  </w:t>
      </w:r>
    </w:p>
    <w:p w:rsidR="00B41587" w:rsidRDefault="008F394C">
      <w:pPr>
        <w:numPr>
          <w:ilvl w:val="0"/>
          <w:numId w:val="6"/>
        </w:numPr>
        <w:ind w:left="426" w:hanging="284"/>
        <w:rPr>
          <w:noProof/>
          <w:spacing w:val="-4"/>
          <w:lang w:val="bg-BG"/>
        </w:rPr>
      </w:pPr>
      <w:r>
        <w:rPr>
          <w:noProof/>
          <w:spacing w:val="-4"/>
          <w:lang w:val="bg-BG"/>
        </w:rPr>
        <w:t xml:space="preserve">През 2016 г., в някои държави, които са нетни </w:t>
      </w:r>
      <w:r>
        <w:rPr>
          <w:noProof/>
          <w:spacing w:val="-4"/>
          <w:lang w:val="bg-BG"/>
        </w:rPr>
        <w:t>длъжници, динамиката на разходите за труд за единица продукция се забави или стана положителна след години на намаление (например Гърция, Ирландия, Испания, Португалия, Словения), което се дължи на забавяне на растежа на производителността и на факта, че р</w:t>
      </w:r>
      <w:r>
        <w:rPr>
          <w:noProof/>
          <w:spacing w:val="-4"/>
          <w:lang w:val="bg-BG"/>
        </w:rPr>
        <w:t>астежът на заплатите стана по-малко отрицателен или положителен. Държави като Естония, Латвия и Литва продължиха да бележат бърз растеж на разходите за труд за единица продукция, основан на силния растеж на заплатите при свиването на пазара на труда и умер</w:t>
      </w:r>
      <w:r>
        <w:rPr>
          <w:noProof/>
          <w:spacing w:val="-4"/>
          <w:lang w:val="bg-BG"/>
        </w:rPr>
        <w:t xml:space="preserve">ен напредък на производителността. В същото време други държави наскоро отбелязаха нарастване на разходите за труд за единица продукция, включително и през 2017 г., по-специално Румъния, но и България, Чешката република и Унгария (графика 6). </w:t>
      </w:r>
      <w:r>
        <w:rPr>
          <w:noProof/>
          <w:color w:val="000000" w:themeColor="text1"/>
          <w:spacing w:val="-4"/>
          <w:lang w:val="bg-BG"/>
        </w:rPr>
        <w:t>В някои от те</w:t>
      </w:r>
      <w:r>
        <w:rPr>
          <w:noProof/>
          <w:color w:val="000000" w:themeColor="text1"/>
          <w:spacing w:val="-4"/>
          <w:lang w:val="bg-BG"/>
        </w:rPr>
        <w:t xml:space="preserve">зи държави ускореното повишение на заплатите идва след значителни корекции непосредствено след кризата от 2008—2009 г., която временно спря дългосрочната конвергенция на заплатите. </w:t>
      </w:r>
      <w:r>
        <w:rPr>
          <w:noProof/>
          <w:spacing w:val="-4"/>
          <w:lang w:val="bg-BG"/>
        </w:rPr>
        <w:t xml:space="preserve">Слабата производителност на труда често вървеше ръка за ръка с умерен ръст </w:t>
      </w:r>
      <w:r>
        <w:rPr>
          <w:noProof/>
          <w:spacing w:val="-4"/>
          <w:lang w:val="bg-BG"/>
        </w:rPr>
        <w:t>на общата факторна производителност</w:t>
      </w:r>
      <w:r>
        <w:rPr>
          <w:rStyle w:val="FootnoteReference"/>
          <w:noProof/>
          <w:spacing w:val="-4"/>
          <w:lang w:val="bg-BG"/>
        </w:rPr>
        <w:footnoteReference w:id="12"/>
      </w:r>
      <w:r>
        <w:rPr>
          <w:noProof/>
          <w:spacing w:val="-4"/>
          <w:lang w:val="bg-BG"/>
        </w:rPr>
        <w:t>.</w:t>
      </w:r>
    </w:p>
    <w:p w:rsidR="00B41587" w:rsidRDefault="008F394C">
      <w:pPr>
        <w:numPr>
          <w:ilvl w:val="0"/>
          <w:numId w:val="6"/>
        </w:numPr>
        <w:ind w:left="426" w:hanging="284"/>
        <w:rPr>
          <w:noProof/>
          <w:lang w:val="bg-BG"/>
        </w:rPr>
      </w:pPr>
      <w:r>
        <w:rPr>
          <w:noProof/>
          <w:lang w:val="bg-BG"/>
        </w:rPr>
        <w:t>Ръстът в разходите за труд за единица продукция в редица държави, които са нетни длъжници (Германия, Дания, Люксембург, Нидерландия и Швеция), остана като цяло умерен през 2016 г., като намаля до известна степен в Герм</w:t>
      </w:r>
      <w:r>
        <w:rPr>
          <w:noProof/>
          <w:lang w:val="bg-BG"/>
        </w:rPr>
        <w:t xml:space="preserve">ания на фона на слаба динамика на заплатите, въпреки свиващия се пазар на труда. </w:t>
      </w:r>
    </w:p>
    <w:p w:rsidR="00B41587" w:rsidRDefault="008F394C">
      <w:pPr>
        <w:numPr>
          <w:ilvl w:val="0"/>
          <w:numId w:val="6"/>
        </w:numPr>
        <w:spacing w:after="80"/>
        <w:ind w:left="426" w:hanging="284"/>
        <w:rPr>
          <w:noProof/>
          <w:lang w:val="bg-BG"/>
        </w:rPr>
      </w:pPr>
      <w:r>
        <w:rPr>
          <w:noProof/>
          <w:lang w:val="bg-BG"/>
        </w:rPr>
        <w:t>Ниската инфлация допринесе за запазването на конкурентоспособността на цените — определена въз основа на реалния ефективен валутен курс (РЕВК),  относително стабилна през пос</w:t>
      </w:r>
      <w:r>
        <w:rPr>
          <w:noProof/>
          <w:lang w:val="bg-BG"/>
        </w:rPr>
        <w:t>ледните години (графика 7). Еврото започна да поскъпва през 2016 г. след обезценяването от 2015 г., което доведе до номинално ефективно поскъпване в държавите от еврозоната на широка основа, което спомага и за последните тенденции на реалния ефективен валу</w:t>
      </w:r>
      <w:r>
        <w:rPr>
          <w:noProof/>
          <w:lang w:val="bg-BG"/>
        </w:rPr>
        <w:t>тен курс (РЕВК). Въпреки това неотдавнашно поскъпване, позициите на РЕВК все още сочат подобряване на ценовата конкурентоспособност в сравнение с периода преди кризата в повечето държави, които са нетни длъжници. Влошаване на конкурентоспособността в сравн</w:t>
      </w:r>
      <w:r>
        <w:rPr>
          <w:noProof/>
          <w:lang w:val="bg-BG"/>
        </w:rPr>
        <w:t>ение с периода преди кризата се наблюдава в продължение на няколко години само в Естония, Латвия и Литва, а напоследък и в България и в Чешката република, във връзка с устойчиви темпове на инфлация. Сред всички държави — членки на ЕС, само в Обединеното кр</w:t>
      </w:r>
      <w:r>
        <w:rPr>
          <w:noProof/>
          <w:lang w:val="bg-BG"/>
        </w:rPr>
        <w:t>алство, Полша и Германия са отбелязани подобрени позиции на ценовата конкурентоспособност в сравнение с тези от 2000 г.</w:t>
      </w:r>
    </w:p>
    <w:p w:rsidR="00B41587" w:rsidRDefault="00B41587">
      <w:pPr>
        <w:spacing w:after="0"/>
        <w:jc w:val="center"/>
        <w:rPr>
          <w:i/>
          <w:noProof/>
          <w:sz w:val="20"/>
          <w:szCs w:val="20"/>
          <w:lang w:val="bg-BG"/>
        </w:rPr>
      </w:pPr>
    </w:p>
    <w:p w:rsidR="00B41587" w:rsidRDefault="008F394C">
      <w:pPr>
        <w:spacing w:before="0" w:after="0"/>
        <w:jc w:val="center"/>
        <w:rPr>
          <w:b/>
          <w:noProof/>
          <w:sz w:val="20"/>
          <w:szCs w:val="20"/>
          <w:lang w:val="bg-BG"/>
        </w:rPr>
      </w:pPr>
      <w:r>
        <w:rPr>
          <w:i/>
          <w:noProof/>
          <w:sz w:val="20"/>
          <w:lang w:val="bg-BG"/>
        </w:rPr>
        <w:t xml:space="preserve">Графика 6: </w:t>
      </w:r>
      <w:r>
        <w:rPr>
          <w:b/>
          <w:noProof/>
          <w:sz w:val="20"/>
          <w:lang w:val="bg-BG"/>
        </w:rPr>
        <w:t>Растеж на разходите за труд за единица продукция</w:t>
      </w:r>
    </w:p>
    <w:p w:rsidR="00B41587" w:rsidRDefault="008F394C">
      <w:pPr>
        <w:spacing w:after="0"/>
        <w:jc w:val="center"/>
        <w:rPr>
          <w:b/>
          <w:noProof/>
          <w:sz w:val="20"/>
          <w:szCs w:val="20"/>
          <w:lang w:val="bg-BG"/>
        </w:rPr>
      </w:pPr>
      <w:r>
        <w:rPr>
          <w:noProof/>
        </w:rPr>
        <w:drawing>
          <wp:inline distT="0" distB="0" distL="0" distR="0">
            <wp:extent cx="5281295" cy="3189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295" cy="3189605"/>
                    </a:xfrm>
                    <a:prstGeom prst="rect">
                      <a:avLst/>
                    </a:prstGeom>
                    <a:noFill/>
                    <a:ln>
                      <a:noFill/>
                    </a:ln>
                  </pic:spPr>
                </pic:pic>
              </a:graphicData>
            </a:graphic>
          </wp:inline>
        </w:drawing>
      </w:r>
    </w:p>
    <w:p w:rsidR="00B41587" w:rsidRDefault="008F394C">
      <w:pPr>
        <w:jc w:val="left"/>
        <w:rPr>
          <w:noProof/>
          <w:spacing w:val="-4"/>
          <w:sz w:val="20"/>
          <w:szCs w:val="20"/>
          <w:lang w:val="bg-BG"/>
        </w:rPr>
      </w:pPr>
      <w:r>
        <w:rPr>
          <w:i/>
          <w:noProof/>
          <w:spacing w:val="-4"/>
          <w:sz w:val="20"/>
          <w:lang w:val="bg-BG"/>
        </w:rPr>
        <w:t>Източник:</w:t>
      </w:r>
      <w:r>
        <w:rPr>
          <w:noProof/>
          <w:spacing w:val="-4"/>
          <w:sz w:val="20"/>
          <w:lang w:val="bg-BG"/>
        </w:rPr>
        <w:t xml:space="preserve"> AMECO; Данните за 2017 г. са взети от прогнозата на службите на Комисията от есента на 2017 г.</w:t>
      </w:r>
    </w:p>
    <w:p w:rsidR="00B41587" w:rsidRDefault="00B41587">
      <w:pPr>
        <w:spacing w:before="0" w:after="0"/>
        <w:jc w:val="center"/>
        <w:rPr>
          <w:i/>
          <w:noProof/>
          <w:sz w:val="20"/>
          <w:lang w:val="bg-BG"/>
        </w:rPr>
      </w:pPr>
    </w:p>
    <w:p w:rsidR="00B41587" w:rsidRDefault="008F394C">
      <w:pPr>
        <w:jc w:val="center"/>
        <w:rPr>
          <w:b/>
          <w:noProof/>
          <w:sz w:val="20"/>
          <w:lang w:val="bg-BG"/>
        </w:rPr>
      </w:pPr>
      <w:r>
        <w:rPr>
          <w:i/>
          <w:noProof/>
          <w:sz w:val="20"/>
          <w:lang w:val="bg-BG"/>
        </w:rPr>
        <w:t xml:space="preserve">Графика 7: </w:t>
      </w:r>
      <w:r>
        <w:rPr>
          <w:b/>
          <w:noProof/>
          <w:sz w:val="20"/>
          <w:lang w:val="bg-BG"/>
        </w:rPr>
        <w:t xml:space="preserve">Реални ефективни валутни курсове, 42 търговски партньори, дефлатор на ХИПЦ </w:t>
      </w:r>
    </w:p>
    <w:p w:rsidR="00B41587" w:rsidRDefault="008F394C">
      <w:pPr>
        <w:jc w:val="center"/>
        <w:rPr>
          <w:b/>
          <w:noProof/>
          <w:sz w:val="20"/>
          <w:lang w:val="bg-BG"/>
        </w:rPr>
      </w:pPr>
      <w:r>
        <w:rPr>
          <w:noProof/>
        </w:rPr>
        <w:drawing>
          <wp:inline distT="0" distB="0" distL="0" distR="0">
            <wp:extent cx="4819650" cy="290969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0987" cy="2916540"/>
                    </a:xfrm>
                    <a:prstGeom prst="rect">
                      <a:avLst/>
                    </a:prstGeom>
                    <a:noFill/>
                    <a:ln>
                      <a:noFill/>
                    </a:ln>
                  </pic:spPr>
                </pic:pic>
              </a:graphicData>
            </a:graphic>
          </wp:inline>
        </w:drawing>
      </w:r>
    </w:p>
    <w:p w:rsidR="00B41587" w:rsidRDefault="008F394C">
      <w:pPr>
        <w:spacing w:before="0" w:after="0"/>
        <w:rPr>
          <w:noProof/>
          <w:sz w:val="20"/>
          <w:lang w:val="bg-BG"/>
        </w:rPr>
      </w:pPr>
      <w:r>
        <w:rPr>
          <w:i/>
          <w:noProof/>
          <w:sz w:val="20"/>
          <w:lang w:val="bg-BG"/>
        </w:rPr>
        <w:t>Източник:</w:t>
      </w:r>
      <w:r>
        <w:rPr>
          <w:noProof/>
          <w:sz w:val="20"/>
          <w:lang w:val="bg-BG"/>
        </w:rPr>
        <w:t xml:space="preserve"> AMECO </w:t>
      </w:r>
    </w:p>
    <w:p w:rsidR="00B41587" w:rsidRDefault="008F394C">
      <w:pPr>
        <w:spacing w:before="0" w:after="0"/>
        <w:jc w:val="left"/>
        <w:rPr>
          <w:noProof/>
          <w:sz w:val="20"/>
          <w:lang w:val="bg-BG"/>
        </w:rPr>
      </w:pPr>
      <w:r>
        <w:rPr>
          <w:i/>
          <w:noProof/>
          <w:sz w:val="20"/>
          <w:lang w:val="bg-BG"/>
        </w:rPr>
        <w:t>Бележка:</w:t>
      </w:r>
      <w:r>
        <w:rPr>
          <w:noProof/>
          <w:sz w:val="20"/>
          <w:lang w:val="bg-BG"/>
        </w:rPr>
        <w:t xml:space="preserve"> Данните за Словакия са несъизмерими с индекс</w:t>
      </w:r>
      <w:r>
        <w:rPr>
          <w:noProof/>
          <w:sz w:val="20"/>
          <w:lang w:val="bg-BG"/>
        </w:rPr>
        <w:t xml:space="preserve">и 153, 173, 170 и 171 съответно за 2007 г., 2013 г., 2015 г. и 2016 г. </w:t>
      </w:r>
    </w:p>
    <w:p w:rsidR="00B41587" w:rsidRDefault="00B41587">
      <w:pPr>
        <w:rPr>
          <w:b/>
          <w:noProof/>
          <w:lang w:val="bg-BG"/>
        </w:rPr>
      </w:pPr>
    </w:p>
    <w:p w:rsidR="00B41587" w:rsidRDefault="008F394C">
      <w:pPr>
        <w:rPr>
          <w:b/>
          <w:i/>
          <w:noProof/>
          <w:lang w:val="bg-BG"/>
        </w:rPr>
      </w:pPr>
      <w:r>
        <w:rPr>
          <w:b/>
          <w:noProof/>
          <w:lang w:val="bg-BG"/>
        </w:rPr>
        <w:t>Повечето държави членки на ЕС отчетоха неотдавнашно нарастване на експортните пазарни дялове.</w:t>
      </w:r>
      <w:r>
        <w:rPr>
          <w:noProof/>
          <w:lang w:val="bg-BG"/>
        </w:rPr>
        <w:t xml:space="preserve"> Това нарастване отразява малко по-високия растеж на търговията в рамките на ЕС в сравнени</w:t>
      </w:r>
      <w:r>
        <w:rPr>
          <w:noProof/>
          <w:lang w:val="bg-BG"/>
        </w:rPr>
        <w:t xml:space="preserve">е с търговията с държави извън ЕС и спад на цените на стоките, водещ до нарастване на ролята на износа на различни от стоки позиции в общия износ през последните години. Най-голямо нарастване на експортния пазарен дял беше отчетено от Ирландия, Люксембург </w:t>
      </w:r>
      <w:r>
        <w:rPr>
          <w:noProof/>
          <w:lang w:val="bg-BG"/>
        </w:rPr>
        <w:t xml:space="preserve">и Румъния, а загубите бяха най-високи в Гърция, Финландия и Швеция. Големите икономики на ЕС като цяло не отбелязаха промени в пазарните дялове. Изглежда няма систематична разлика между държавите, които са нетни кредитори, и тези, които са нетни длъжници, </w:t>
      </w:r>
      <w:r>
        <w:rPr>
          <w:noProof/>
          <w:lang w:val="bg-BG"/>
        </w:rPr>
        <w:t xml:space="preserve">по отношение на динамиката на пазарния дял през последните години, с изключение на 2016 г., когато държавите, които са нетни длъжници, постигнаха малко по-добри резултати. </w:t>
      </w:r>
    </w:p>
    <w:p w:rsidR="00B41587" w:rsidRDefault="00B41587">
      <w:pPr>
        <w:jc w:val="center"/>
        <w:rPr>
          <w:i/>
          <w:noProof/>
          <w:sz w:val="20"/>
          <w:szCs w:val="20"/>
          <w:lang w:val="bg-BG"/>
        </w:rPr>
      </w:pPr>
    </w:p>
    <w:p w:rsidR="00B41587" w:rsidRDefault="008F394C">
      <w:pPr>
        <w:jc w:val="center"/>
        <w:rPr>
          <w:b/>
          <w:noProof/>
          <w:sz w:val="16"/>
          <w:szCs w:val="20"/>
          <w:lang w:val="bg-BG"/>
        </w:rPr>
      </w:pPr>
      <w:r>
        <w:rPr>
          <w:i/>
          <w:noProof/>
          <w:sz w:val="20"/>
          <w:lang w:val="bg-BG"/>
        </w:rPr>
        <w:t>Графика 8</w:t>
      </w:r>
      <w:r>
        <w:rPr>
          <w:noProof/>
          <w:sz w:val="20"/>
          <w:lang w:val="bg-BG"/>
        </w:rPr>
        <w:t>:</w:t>
      </w:r>
      <w:r>
        <w:rPr>
          <w:b/>
          <w:noProof/>
          <w:sz w:val="20"/>
          <w:lang w:val="bg-BG"/>
        </w:rPr>
        <w:t xml:space="preserve"> Промяна в експортните пазарни дялове, кумулативна промяна през периода 2011—2016 г.</w:t>
      </w:r>
    </w:p>
    <w:p w:rsidR="00B41587" w:rsidRDefault="008F394C">
      <w:pPr>
        <w:jc w:val="center"/>
        <w:rPr>
          <w:noProof/>
          <w:lang w:val="bg-BG"/>
        </w:rPr>
      </w:pPr>
      <w:r>
        <w:rPr>
          <w:noProof/>
          <w:lang w:val="bg-BG"/>
        </w:rPr>
        <w:t xml:space="preserve"> </w:t>
      </w:r>
      <w:r>
        <w:rPr>
          <w:noProof/>
        </w:rPr>
        <w:drawing>
          <wp:inline distT="0" distB="0" distL="0" distR="0">
            <wp:extent cx="5354955" cy="2969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4955" cy="2969895"/>
                    </a:xfrm>
                    <a:prstGeom prst="rect">
                      <a:avLst/>
                    </a:prstGeom>
                    <a:noFill/>
                    <a:ln>
                      <a:noFill/>
                    </a:ln>
                  </pic:spPr>
                </pic:pic>
              </a:graphicData>
            </a:graphic>
          </wp:inline>
        </w:drawing>
      </w:r>
    </w:p>
    <w:p w:rsidR="00B41587" w:rsidRDefault="008F394C">
      <w:pPr>
        <w:spacing w:after="0"/>
        <w:rPr>
          <w:noProof/>
          <w:sz w:val="20"/>
          <w:szCs w:val="20"/>
          <w:lang w:val="bg-BG"/>
        </w:rPr>
      </w:pPr>
      <w:r>
        <w:rPr>
          <w:i/>
          <w:noProof/>
          <w:sz w:val="20"/>
          <w:lang w:val="bg-BG"/>
        </w:rPr>
        <w:t>Източник:</w:t>
      </w:r>
      <w:r>
        <w:rPr>
          <w:noProof/>
          <w:sz w:val="20"/>
          <w:lang w:val="bg-BG"/>
        </w:rPr>
        <w:t xml:space="preserve"> Евростат, изчисления на службите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Разбивката е по методологията „отстояние-принос“ (shift-share). Затъмнените стълбове представляват при</w:t>
      </w:r>
      <w:r>
        <w:rPr>
          <w:noProof/>
          <w:sz w:val="20"/>
          <w:lang w:val="bg-BG"/>
        </w:rPr>
        <w:t>носа към динамиката на пазарния дял, който идва от промените в експозицията към даден пазар; плътните стълбове измерват приноса към динамиката на пазарния дял, който идва от промените в пазарния дял в рамките на даден пазар. За изчисленията са използвани д</w:t>
      </w:r>
      <w:r>
        <w:rPr>
          <w:noProof/>
          <w:sz w:val="20"/>
          <w:lang w:val="bg-BG"/>
        </w:rPr>
        <w:t>анни от BPM6, с изключение на данните за Финландия, където износът за ЕС е получен от националните сметки; частично липсват данни за Испания.</w:t>
      </w:r>
    </w:p>
    <w:p w:rsidR="00B41587" w:rsidRDefault="00B41587">
      <w:pPr>
        <w:spacing w:before="0"/>
        <w:rPr>
          <w:noProof/>
          <w:sz w:val="20"/>
          <w:szCs w:val="20"/>
          <w:lang w:val="bg-BG"/>
        </w:rPr>
      </w:pPr>
    </w:p>
    <w:p w:rsidR="00B41587" w:rsidRDefault="00B41587">
      <w:pPr>
        <w:spacing w:before="0"/>
        <w:rPr>
          <w:noProof/>
          <w:sz w:val="20"/>
          <w:szCs w:val="2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B41587" w:rsidRPr="008F394C">
        <w:tc>
          <w:tcPr>
            <w:tcW w:w="9288" w:type="dxa"/>
            <w:shd w:val="clear" w:color="auto" w:fill="BFBFBF"/>
          </w:tcPr>
          <w:p w:rsidR="00B41587" w:rsidRDefault="008F394C">
            <w:pPr>
              <w:jc w:val="center"/>
              <w:rPr>
                <w:b/>
                <w:i/>
                <w:noProof/>
                <w:sz w:val="22"/>
                <w:szCs w:val="22"/>
                <w:lang w:val="bg-BG"/>
              </w:rPr>
            </w:pPr>
            <w:r>
              <w:rPr>
                <w:noProof/>
                <w:lang w:val="bg-BG"/>
              </w:rPr>
              <w:br w:type="page"/>
            </w:r>
            <w:r>
              <w:rPr>
                <w:noProof/>
                <w:lang w:val="bg-BG"/>
              </w:rPr>
              <w:br w:type="page"/>
            </w:r>
            <w:r>
              <w:rPr>
                <w:noProof/>
                <w:lang w:val="bg-BG"/>
              </w:rPr>
              <w:br w:type="page"/>
            </w:r>
            <w:r>
              <w:rPr>
                <w:b/>
                <w:i/>
                <w:noProof/>
                <w:sz w:val="22"/>
                <w:lang w:val="bg-BG"/>
              </w:rPr>
              <w:t>Каре 1: Измерението „еврозона“ на макроикономическите дисбаланси</w:t>
            </w:r>
          </w:p>
          <w:p w:rsidR="00B41587" w:rsidRDefault="008F394C">
            <w:pPr>
              <w:rPr>
                <w:noProof/>
                <w:sz w:val="22"/>
                <w:szCs w:val="22"/>
                <w:lang w:val="bg-BG"/>
              </w:rPr>
            </w:pPr>
            <w:r>
              <w:rPr>
                <w:b/>
                <w:noProof/>
                <w:sz w:val="22"/>
                <w:lang w:val="bg-BG"/>
              </w:rPr>
              <w:t xml:space="preserve">Следва да се обърне особено внимание на отражението на макроикономическите дисбаланси върху цялата еврозона. </w:t>
            </w:r>
            <w:r>
              <w:rPr>
                <w:noProof/>
                <w:sz w:val="22"/>
                <w:lang w:val="bg-BG"/>
              </w:rPr>
              <w:t>В съответствие с предложенията, съдържащи се в доклада на Жан-Клод Юнкер, Доналд Туск, Йерун Дейселблум, Марио Драги и Мартин Шулц от 22 юни 2015 г</w:t>
            </w:r>
            <w:r>
              <w:rPr>
                <w:noProof/>
                <w:sz w:val="22"/>
                <w:lang w:val="bg-BG"/>
              </w:rPr>
              <w:t>. „Завършване на европейския икономически и паричен съюз“, и съобщението на Комисията от 21 октомври 2015 г. „Стъпки към завършването на икономическия и паричния съюз“, считано от 2016 г. ДМП съдържа системен анализ на ефекта, който дисбалансите в държавит</w:t>
            </w:r>
            <w:r>
              <w:rPr>
                <w:noProof/>
                <w:sz w:val="22"/>
                <w:lang w:val="bg-BG"/>
              </w:rPr>
              <w:t>е имат върху цялата еврозона, и дали е необходим координиран подход към отговорите на политиката с оглед на взаимозависимостите.</w:t>
            </w:r>
          </w:p>
          <w:p w:rsidR="00B41587" w:rsidRDefault="008F394C">
            <w:pPr>
              <w:rPr>
                <w:noProof/>
                <w:sz w:val="22"/>
                <w:szCs w:val="22"/>
                <w:lang w:val="bg-BG"/>
              </w:rPr>
            </w:pPr>
            <w:r>
              <w:rPr>
                <w:b/>
                <w:noProof/>
                <w:sz w:val="22"/>
                <w:lang w:val="bg-BG"/>
              </w:rPr>
              <w:t xml:space="preserve">Големият излишък по текущата сметка на еврозоната се стабилизира. </w:t>
            </w:r>
            <w:r>
              <w:rPr>
                <w:noProof/>
                <w:sz w:val="22"/>
                <w:lang w:val="bg-BG"/>
              </w:rPr>
              <w:t>Излишъкът по текущата сметка на еврозоната се увеличи слабо д</w:t>
            </w:r>
            <w:r>
              <w:rPr>
                <w:noProof/>
                <w:sz w:val="22"/>
                <w:lang w:val="bg-BG"/>
              </w:rPr>
              <w:t>о 3,3 % от БВП през 2016 г., в сравнение с 3,2 % от БВП през 2015 г., а прогнозата на Комисията от есента на 2017 г. предвижда той да остане около 3 % до 2019 г., главно във връзка с възстановяването на цикъла на еврозоната по отношение на този на търговск</w:t>
            </w:r>
            <w:r>
              <w:rPr>
                <w:noProof/>
                <w:sz w:val="22"/>
                <w:lang w:val="bg-BG"/>
              </w:rPr>
              <w:t>ите партньори и изчезването на положителни разлики по отношение на търговията</w:t>
            </w:r>
            <w:r>
              <w:rPr>
                <w:rStyle w:val="FootnoteReference"/>
                <w:noProof/>
                <w:sz w:val="22"/>
                <w:lang w:val="bg-BG"/>
              </w:rPr>
              <w:footnoteReference w:id="13"/>
            </w:r>
            <w:r>
              <w:rPr>
                <w:noProof/>
                <w:lang w:val="bg-BG"/>
              </w:rPr>
              <w:t>.</w:t>
            </w:r>
            <w:r>
              <w:rPr>
                <w:noProof/>
                <w:sz w:val="22"/>
                <w:lang w:val="bg-BG"/>
              </w:rPr>
              <w:t xml:space="preserve"> При непроменена политика, равнището на излишъка по текущата сметка на еврозоната се очаква да остане най-голямо в света. Очаква се това равнище да бъде над степента, която може</w:t>
            </w:r>
            <w:r>
              <w:rPr>
                <w:noProof/>
                <w:sz w:val="22"/>
                <w:lang w:val="bg-BG"/>
              </w:rPr>
              <w:t xml:space="preserve"> да бъде обяснена с икономически параметри (напр. застаряване, относителни доходи на глава от населението), като според емпирични оценки на нормата на текущата сметка на еврозоната показва малък излишък — малко над 1 % от БВП през 2016 г.</w:t>
            </w:r>
            <w:r>
              <w:rPr>
                <w:rStyle w:val="FootnoteReference"/>
                <w:noProof/>
                <w:sz w:val="22"/>
                <w:lang w:val="bg-BG"/>
              </w:rPr>
              <w:footnoteReference w:id="14"/>
            </w:r>
            <w:r>
              <w:rPr>
                <w:noProof/>
                <w:sz w:val="22"/>
                <w:lang w:val="bg-BG"/>
              </w:rPr>
              <w:t xml:space="preserve"> В бъдеще големия</w:t>
            </w:r>
            <w:r>
              <w:rPr>
                <w:noProof/>
                <w:sz w:val="22"/>
                <w:lang w:val="bg-BG"/>
              </w:rPr>
              <w:t>т излишък по текущата сметка на еврозоната би могъл да бъде сред факторите, допринасящи за поддържането на натиск за повишаване върху външната стойност на еврото.</w:t>
            </w:r>
          </w:p>
          <w:p w:rsidR="00B41587" w:rsidRDefault="008F394C">
            <w:pPr>
              <w:rPr>
                <w:noProof/>
                <w:sz w:val="22"/>
                <w:szCs w:val="22"/>
                <w:lang w:val="bg-BG"/>
              </w:rPr>
            </w:pPr>
            <w:r>
              <w:rPr>
                <w:b/>
                <w:noProof/>
                <w:sz w:val="22"/>
                <w:lang w:val="bg-BG"/>
              </w:rPr>
              <w:t>Устойчивостта на излишъка на еврозоната отразява корекцията на текущите сметки, отчитащи пред</w:t>
            </w:r>
            <w:r>
              <w:rPr>
                <w:b/>
                <w:noProof/>
                <w:sz w:val="22"/>
                <w:lang w:val="bg-BG"/>
              </w:rPr>
              <w:t xml:space="preserve">и това дефицит, в съчетание с продължаващите големи излишъци. </w:t>
            </w:r>
            <w:r>
              <w:rPr>
                <w:noProof/>
                <w:sz w:val="22"/>
                <w:lang w:val="bg-BG"/>
              </w:rPr>
              <w:t xml:space="preserve">Общо големите излишъци на Германия и Нидерландия представляват почти 90 % от настоящото </w:t>
            </w:r>
            <w:r>
              <w:rPr>
                <w:i/>
                <w:noProof/>
                <w:sz w:val="22"/>
                <w:lang w:val="bg-BG"/>
              </w:rPr>
              <w:t>равнище</w:t>
            </w:r>
            <w:r>
              <w:rPr>
                <w:noProof/>
                <w:sz w:val="22"/>
                <w:lang w:val="bg-BG"/>
              </w:rPr>
              <w:t xml:space="preserve"> на общия излишък в еврозоната (графика Б.1.1). Рязкото подобрение на състоянието на текущата сметк</w:t>
            </w:r>
            <w:r>
              <w:rPr>
                <w:noProof/>
                <w:sz w:val="22"/>
                <w:lang w:val="bg-BG"/>
              </w:rPr>
              <w:t>а на еврозоната в периода след кризата съвпадна с рязка корекция на големи външни дефицити след поврата при частните трансгранични финансови потоци (графика Б.1.2). Последващият растеж на излишъка в еврозоната съвпадна с трайните подобрения в салдата по те</w:t>
            </w:r>
            <w:r>
              <w:rPr>
                <w:noProof/>
                <w:sz w:val="22"/>
                <w:lang w:val="bg-BG"/>
              </w:rPr>
              <w:t xml:space="preserve">кущата сметка в държавите, които са нетни длъжници, и с допълнителното нарастване на излишъците в държавите, които са нетни кредитори. От 2011 г. насам на </w:t>
            </w:r>
            <w:r>
              <w:rPr>
                <w:i/>
                <w:noProof/>
                <w:sz w:val="22"/>
                <w:lang w:val="bg-BG"/>
              </w:rPr>
              <w:t>динамиката</w:t>
            </w:r>
            <w:r>
              <w:rPr>
                <w:noProof/>
                <w:sz w:val="22"/>
                <w:lang w:val="bg-BG"/>
              </w:rPr>
              <w:t xml:space="preserve"> на текущата сметка на Италия и Германия се падат около 2/3 от увеличението на излишъка от </w:t>
            </w:r>
            <w:r>
              <w:rPr>
                <w:noProof/>
                <w:sz w:val="22"/>
                <w:lang w:val="bg-BG"/>
              </w:rPr>
              <w:t>еврозоната. Намаляването на предвидения за 2017 г. излишък в еврозоната се дължи до голяма степен на намаляването на излишъка на Германия.</w:t>
            </w:r>
          </w:p>
          <w:p w:rsidR="00B41587" w:rsidRDefault="008F394C">
            <w:pPr>
              <w:spacing w:after="240"/>
              <w:rPr>
                <w:noProof/>
                <w:spacing w:val="4"/>
                <w:sz w:val="22"/>
                <w:szCs w:val="22"/>
                <w:lang w:val="bg-BG"/>
              </w:rPr>
            </w:pPr>
            <w:r>
              <w:rPr>
                <w:b/>
                <w:noProof/>
                <w:spacing w:val="4"/>
                <w:sz w:val="22"/>
                <w:lang w:val="bg-BG"/>
              </w:rPr>
              <w:t xml:space="preserve">Динамиката на излишъка в еврозоната е свързана с изоставането на търсенето на вътрешния пазар в сравнение с това на икономическата дейност и устойчивото търсене за износ. </w:t>
            </w:r>
            <w:r>
              <w:rPr>
                <w:noProof/>
                <w:spacing w:val="4"/>
                <w:sz w:val="22"/>
                <w:lang w:val="bg-BG"/>
              </w:rPr>
              <w:t>Нетният износ съответства на разликата между общите приходи и разходи, която се увели</w:t>
            </w:r>
            <w:r>
              <w:rPr>
                <w:noProof/>
                <w:spacing w:val="4"/>
                <w:sz w:val="22"/>
                <w:lang w:val="bg-BG"/>
              </w:rPr>
              <w:t>чаваше от 2009 г. до 2016 г. — първата година, през която динамиката на реалното съвкупно търсене надвиши ръста на БВП от началото на кризата (графика Б.1.3). Развитието на излишъка отразява слабата динамика на търсенето в държавите, които са нетни длъжниц</w:t>
            </w:r>
            <w:r>
              <w:rPr>
                <w:noProof/>
                <w:spacing w:val="4"/>
                <w:sz w:val="22"/>
                <w:lang w:val="bg-BG"/>
              </w:rPr>
              <w:t>и, и външните позиции на държавите, които са нетни кредитори, които нараснаха допълнително от вече до голяма степен положителни стойности. Трайно слабото търсене беше отразено в стойност за разликата между фактическия и потенциалния БВП за еврозоната, коят</w:t>
            </w:r>
            <w:r>
              <w:rPr>
                <w:noProof/>
                <w:spacing w:val="4"/>
                <w:sz w:val="22"/>
                <w:lang w:val="bg-BG"/>
              </w:rPr>
              <w:t xml:space="preserve">о беше отрицателна от 2009 г. насам и за която се предвижда да стане положителна през 2018 г. според прогнозата на службите на Комисията от есента на 2017 г. Този продължаващ икономически застой е в основата на стойностите на инфлацията, които продължават </w:t>
            </w:r>
            <w:r>
              <w:rPr>
                <w:noProof/>
                <w:spacing w:val="4"/>
                <w:sz w:val="22"/>
                <w:lang w:val="bg-BG"/>
              </w:rPr>
              <w:t>да бъдат под заложената цел на органите, отговарящи за паричната политика. Развитието на излишъка в еврозоната също така е свързано с динамиката на износа от еврозоната, като се основава на благоприятното световно търсене на европейски стоки и услуги и под</w:t>
            </w:r>
            <w:r>
              <w:rPr>
                <w:noProof/>
                <w:spacing w:val="4"/>
                <w:sz w:val="22"/>
                <w:lang w:val="bg-BG"/>
              </w:rPr>
              <w:t>обрената конкурентоспособност. Докато ползите от обезценяването на еврото от 2015 г. постепенно започват да оказват отражение върху търговския баланс, ползите от неотдавнашното поскъпване на еврото едва се забелязват.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41587" w:rsidRPr="008F394C">
              <w:tc>
                <w:tcPr>
                  <w:tcW w:w="4531" w:type="dxa"/>
                  <w:tcBorders>
                    <w:top w:val="nil"/>
                    <w:left w:val="nil"/>
                    <w:bottom w:val="nil"/>
                    <w:right w:val="nil"/>
                  </w:tcBorders>
                  <w:shd w:val="clear" w:color="auto" w:fill="auto"/>
                </w:tcPr>
                <w:p w:rsidR="00B41587" w:rsidRDefault="008F394C">
                  <w:pPr>
                    <w:rPr>
                      <w:b/>
                      <w:noProof/>
                      <w:sz w:val="22"/>
                      <w:szCs w:val="22"/>
                      <w:lang w:val="bg-BG"/>
                    </w:rPr>
                  </w:pPr>
                  <w:r>
                    <w:rPr>
                      <w:b/>
                      <w:noProof/>
                      <w:sz w:val="22"/>
                      <w:lang w:val="bg-BG"/>
                    </w:rPr>
                    <w:t>Графика Б.1.1: Салда по текущата сметк</w:t>
                  </w:r>
                  <w:r>
                    <w:rPr>
                      <w:b/>
                      <w:noProof/>
                      <w:sz w:val="22"/>
                      <w:lang w:val="bg-BG"/>
                    </w:rPr>
                    <w:t>а на еврозоната и на избрани държави членки</w:t>
                  </w:r>
                </w:p>
              </w:tc>
              <w:tc>
                <w:tcPr>
                  <w:tcW w:w="4531" w:type="dxa"/>
                  <w:tcBorders>
                    <w:top w:val="nil"/>
                    <w:left w:val="nil"/>
                    <w:bottom w:val="nil"/>
                    <w:right w:val="nil"/>
                  </w:tcBorders>
                  <w:shd w:val="clear" w:color="auto" w:fill="auto"/>
                </w:tcPr>
                <w:p w:rsidR="00B41587" w:rsidRDefault="008F394C">
                  <w:pPr>
                    <w:rPr>
                      <w:b/>
                      <w:noProof/>
                      <w:sz w:val="22"/>
                      <w:szCs w:val="22"/>
                      <w:lang w:val="bg-BG"/>
                    </w:rPr>
                  </w:pPr>
                  <w:r>
                    <w:rPr>
                      <w:b/>
                      <w:noProof/>
                      <w:sz w:val="22"/>
                      <w:lang w:val="bg-BG"/>
                    </w:rPr>
                    <w:t>Графика Б.1.2: Нетни предоставени и получени заеми в еврозоната по сектори</w:t>
                  </w:r>
                </w:p>
              </w:tc>
            </w:tr>
            <w:tr w:rsidR="00B41587">
              <w:trPr>
                <w:trHeight w:val="3346"/>
              </w:trPr>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szCs w:val="22"/>
                    </w:rPr>
                    <w:drawing>
                      <wp:inline distT="0" distB="0" distL="0" distR="0">
                        <wp:extent cx="2735580" cy="21869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5580" cy="218694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szCs w:val="22"/>
                    </w:rPr>
                    <w:drawing>
                      <wp:inline distT="0" distB="0" distL="0" distR="0">
                        <wp:extent cx="2735580" cy="21869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2186940"/>
                                </a:xfrm>
                                <a:prstGeom prst="rect">
                                  <a:avLst/>
                                </a:prstGeom>
                                <a:noFill/>
                                <a:ln>
                                  <a:noFill/>
                                </a:ln>
                              </pic:spPr>
                            </pic:pic>
                          </a:graphicData>
                        </a:graphic>
                      </wp:inline>
                    </w:drawing>
                  </w:r>
                </w:p>
              </w:tc>
            </w:tr>
            <w:tr w:rsidR="00B41587">
              <w:tc>
                <w:tcPr>
                  <w:tcW w:w="4531" w:type="dxa"/>
                  <w:tcBorders>
                    <w:top w:val="nil"/>
                    <w:left w:val="nil"/>
                    <w:bottom w:val="nil"/>
                    <w:right w:val="nil"/>
                  </w:tcBorders>
                  <w:shd w:val="clear" w:color="auto" w:fill="auto"/>
                </w:tcPr>
                <w:p w:rsidR="00B41587" w:rsidRDefault="008F394C">
                  <w:pPr>
                    <w:spacing w:before="0" w:after="0"/>
                    <w:rPr>
                      <w:noProof/>
                      <w:sz w:val="20"/>
                      <w:szCs w:val="20"/>
                      <w:lang w:val="bg-BG"/>
                    </w:rPr>
                  </w:pPr>
                  <w:r>
                    <w:rPr>
                      <w:noProof/>
                      <w:sz w:val="20"/>
                      <w:lang w:val="bg-BG"/>
                    </w:rPr>
                    <w:t>Източник: AMECO</w:t>
                  </w:r>
                </w:p>
              </w:tc>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0"/>
                      <w:lang w:val="bg-BG"/>
                    </w:rPr>
                    <w:t>Източник: Евростат</w:t>
                  </w:r>
                </w:p>
              </w:tc>
            </w:tr>
          </w:tbl>
          <w:p w:rsidR="00B41587" w:rsidRDefault="008F394C">
            <w:pPr>
              <w:spacing w:after="240"/>
              <w:rPr>
                <w:noProof/>
                <w:spacing w:val="4"/>
                <w:sz w:val="22"/>
                <w:szCs w:val="22"/>
                <w:lang w:val="bg-BG"/>
              </w:rPr>
            </w:pPr>
            <w:r>
              <w:rPr>
                <w:b/>
                <w:noProof/>
                <w:spacing w:val="4"/>
                <w:sz w:val="22"/>
                <w:lang w:val="bg-BG"/>
              </w:rPr>
              <w:t xml:space="preserve">Нарастващата външна позиция на еврозоната е свързана с широк процес на намаляване на задлъжнялостта. </w:t>
            </w:r>
            <w:r>
              <w:rPr>
                <w:noProof/>
                <w:spacing w:val="4"/>
                <w:sz w:val="22"/>
                <w:lang w:val="bg-BG"/>
              </w:rPr>
              <w:t xml:space="preserve">На съвкупното равнище на еврозоната дългът остава висок за домакинствата, предприятията и правителствата, със значителни различия между отделните държави. </w:t>
            </w:r>
            <w:r>
              <w:rPr>
                <w:noProof/>
                <w:spacing w:val="4"/>
                <w:sz w:val="22"/>
                <w:lang w:val="bg-BG"/>
              </w:rPr>
              <w:t>Процесът на намаляване на задлъжнялостта започна след възникването на кризата и доведе до увеличени нетни икономии за еврозоната като цяло (фигура Б.1.2). Активното намаляване на задлъжнялостта в частния сектор започна рано, с началото на кризата около 200</w:t>
            </w:r>
            <w:r>
              <w:rPr>
                <w:noProof/>
                <w:spacing w:val="4"/>
                <w:sz w:val="22"/>
                <w:lang w:val="bg-BG"/>
              </w:rPr>
              <w:t>9 г., а публичните финанси допринесоха за смекчаване на тяхното въздействие върху доходите. Нетният капацитет на финансиране за сектора на домакинствата в момента е два пъти по-голям в сравнение с периода преди кризата. Предприятия, които обикновено отчита</w:t>
            </w:r>
            <w:r>
              <w:rPr>
                <w:noProof/>
                <w:spacing w:val="4"/>
                <w:sz w:val="22"/>
                <w:lang w:val="bg-BG"/>
              </w:rPr>
              <w:t>т нужди от нетно финансиране, посочват положителна позиция за нето отпуснатите заеми от 2013 г. насам и понастоящем съставляват най-големия дял от общия нетен капацитет на финансиране на еврозоната, което отразява слабите инвестиции въпреки широките възмож</w:t>
            </w:r>
            <w:r>
              <w:rPr>
                <w:noProof/>
                <w:spacing w:val="4"/>
                <w:sz w:val="22"/>
                <w:lang w:val="bg-BG"/>
              </w:rPr>
              <w:t>ности за вътрешно финансиране. Въпреки че тази обобщена стойност прикрива съответните различия между отделните държави, тя отразява положителния нетен капацитет на финансиране в почти всички държави от еврозоната, като най-високите стойности по отношение н</w:t>
            </w:r>
            <w:r>
              <w:rPr>
                <w:noProof/>
                <w:spacing w:val="4"/>
                <w:sz w:val="22"/>
                <w:lang w:val="bg-BG"/>
              </w:rPr>
              <w:t>а БВП са в Гърция, Нидерландия и Испания; само в Люксембург, Франция и Естония предприятията са били нетни кредитополучатели през 2016 г. Намаляването на задлъжнялостта в сектор „Държавно управление“ започна през 2011 г., като нетният капацитет на финансир</w:t>
            </w:r>
            <w:r>
              <w:rPr>
                <w:noProof/>
                <w:spacing w:val="4"/>
                <w:sz w:val="22"/>
                <w:lang w:val="bg-BG"/>
              </w:rPr>
              <w:t>ане стана по-малко отрицателен вследствие на прилагането на политиките за затягане на бюджетите и съставлява съответен дял от увеличението на общия нетен капацитет на финансиране на еврозоната.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B41587" w:rsidRPr="008F394C">
              <w:tc>
                <w:tcPr>
                  <w:tcW w:w="4531" w:type="dxa"/>
                  <w:tcBorders>
                    <w:top w:val="nil"/>
                    <w:left w:val="nil"/>
                    <w:bottom w:val="nil"/>
                    <w:right w:val="nil"/>
                  </w:tcBorders>
                  <w:shd w:val="clear" w:color="auto" w:fill="auto"/>
                </w:tcPr>
                <w:p w:rsidR="00B41587" w:rsidRDefault="008F394C">
                  <w:pPr>
                    <w:rPr>
                      <w:b/>
                      <w:noProof/>
                      <w:sz w:val="22"/>
                      <w:szCs w:val="22"/>
                      <w:lang w:val="bg-BG"/>
                    </w:rPr>
                  </w:pPr>
                  <w:r>
                    <w:rPr>
                      <w:b/>
                      <w:noProof/>
                      <w:sz w:val="22"/>
                      <w:lang w:val="bg-BG"/>
                    </w:rPr>
                    <w:t>Графика Б.1.3: Производство, вътрешно търсене, нетен износ и о</w:t>
                  </w:r>
                  <w:r>
                    <w:rPr>
                      <w:b/>
                      <w:noProof/>
                      <w:sz w:val="22"/>
                      <w:lang w:val="bg-BG"/>
                    </w:rPr>
                    <w:t>сновна инфлация в еврозоната</w:t>
                  </w:r>
                </w:p>
              </w:tc>
              <w:tc>
                <w:tcPr>
                  <w:tcW w:w="4531" w:type="dxa"/>
                  <w:tcBorders>
                    <w:top w:val="nil"/>
                    <w:left w:val="nil"/>
                    <w:bottom w:val="nil"/>
                    <w:right w:val="nil"/>
                  </w:tcBorders>
                  <w:shd w:val="clear" w:color="auto" w:fill="auto"/>
                </w:tcPr>
                <w:p w:rsidR="00B41587" w:rsidRDefault="008F394C">
                  <w:pPr>
                    <w:rPr>
                      <w:b/>
                      <w:noProof/>
                      <w:sz w:val="22"/>
                      <w:szCs w:val="22"/>
                      <w:lang w:val="bg-BG"/>
                    </w:rPr>
                  </w:pPr>
                  <w:r>
                    <w:rPr>
                      <w:b/>
                      <w:noProof/>
                      <w:sz w:val="22"/>
                      <w:lang w:val="bg-BG"/>
                    </w:rPr>
                    <w:t>Графика Б.1.4: Безработицата, ръстът на заплатите и преструктурирането на разходите за труд за единица продукция в еврозоната</w:t>
                  </w:r>
                  <w:r>
                    <w:rPr>
                      <w:rStyle w:val="FootnoteReference"/>
                      <w:b/>
                      <w:noProof/>
                      <w:sz w:val="22"/>
                      <w:lang w:val="bg-BG"/>
                    </w:rPr>
                    <w:footnoteReference w:id="15"/>
                  </w:r>
                </w:p>
              </w:tc>
            </w:tr>
            <w:tr w:rsidR="00B41587">
              <w:trPr>
                <w:trHeight w:val="3406"/>
              </w:trPr>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szCs w:val="22"/>
                    </w:rPr>
                    <w:drawing>
                      <wp:inline distT="0" distB="0" distL="0" distR="0">
                        <wp:extent cx="2728067" cy="254568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2225" cy="2549569"/>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szCs w:val="22"/>
                    </w:rPr>
                    <w:drawing>
                      <wp:inline distT="0" distB="0" distL="0" distR="0">
                        <wp:extent cx="2889504" cy="2509113"/>
                        <wp:effectExtent l="0" t="0" r="635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0816" cy="2518936"/>
                                </a:xfrm>
                                <a:prstGeom prst="rect">
                                  <a:avLst/>
                                </a:prstGeom>
                                <a:noFill/>
                                <a:ln>
                                  <a:noFill/>
                                </a:ln>
                              </pic:spPr>
                            </pic:pic>
                          </a:graphicData>
                        </a:graphic>
                      </wp:inline>
                    </w:drawing>
                  </w:r>
                </w:p>
              </w:tc>
            </w:tr>
            <w:tr w:rsidR="00B41587">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lang w:val="bg-BG"/>
                    </w:rPr>
                    <w:t>Източник: AMECO</w:t>
                  </w:r>
                </w:p>
              </w:tc>
              <w:tc>
                <w:tcPr>
                  <w:tcW w:w="4531" w:type="dxa"/>
                  <w:tcBorders>
                    <w:top w:val="nil"/>
                    <w:left w:val="nil"/>
                    <w:bottom w:val="nil"/>
                    <w:right w:val="nil"/>
                  </w:tcBorders>
                  <w:shd w:val="clear" w:color="auto" w:fill="auto"/>
                </w:tcPr>
                <w:p w:rsidR="00B41587" w:rsidRDefault="008F394C">
                  <w:pPr>
                    <w:spacing w:before="0" w:after="0"/>
                    <w:rPr>
                      <w:noProof/>
                      <w:sz w:val="22"/>
                      <w:szCs w:val="22"/>
                      <w:lang w:val="bg-BG"/>
                    </w:rPr>
                  </w:pPr>
                  <w:r>
                    <w:rPr>
                      <w:noProof/>
                      <w:sz w:val="22"/>
                      <w:lang w:val="bg-BG"/>
                    </w:rPr>
                    <w:t>Източник: AMECO</w:t>
                  </w:r>
                </w:p>
              </w:tc>
            </w:tr>
          </w:tbl>
          <w:p w:rsidR="00B41587" w:rsidRDefault="008F394C">
            <w:pPr>
              <w:rPr>
                <w:noProof/>
                <w:color w:val="000000"/>
                <w:sz w:val="22"/>
                <w:szCs w:val="22"/>
                <w:lang w:val="bg-BG"/>
              </w:rPr>
            </w:pPr>
            <w:r>
              <w:rPr>
                <w:b/>
                <w:noProof/>
                <w:sz w:val="22"/>
                <w:lang w:val="bg-BG"/>
              </w:rPr>
              <w:t xml:space="preserve">Ребалансирането в еврозоната трябва да продължи. </w:t>
            </w:r>
            <w:r>
              <w:rPr>
                <w:noProof/>
                <w:color w:val="000000"/>
                <w:sz w:val="22"/>
                <w:lang w:val="bg-BG"/>
              </w:rPr>
              <w:t>Държави, които са коригирали големи дефицити, все още се характеризират с големи отрицателни нетни международни инвестиционни позиции, съчетани с високи равнища на частен или държавен дълг, които представляват слабости. За преструктурирането на високите ра</w:t>
            </w:r>
            <w:r>
              <w:rPr>
                <w:noProof/>
                <w:color w:val="000000"/>
                <w:sz w:val="22"/>
                <w:lang w:val="bg-BG"/>
              </w:rPr>
              <w:t xml:space="preserve">внища на дълга е необходимо салдата по текущата сметка да се поддържат в равновесие или излишък, което предполага също и продължаващ процес на вътрешно намаляване на задлъжнялостта. </w:t>
            </w:r>
            <w:r>
              <w:rPr>
                <w:noProof/>
                <w:sz w:val="22"/>
                <w:lang w:val="bg-BG"/>
              </w:rPr>
              <w:t xml:space="preserve">Относителното повишаване на конкурентоспособността на държавите, които са </w:t>
            </w:r>
            <w:r>
              <w:rPr>
                <w:noProof/>
                <w:sz w:val="22"/>
                <w:lang w:val="bg-BG"/>
              </w:rPr>
              <w:t>нетни длъжници, започнало през 2012 г., постепенно изчезва, а ръстът на производителността е в застой (графика Б.1.4).</w:t>
            </w:r>
          </w:p>
          <w:p w:rsidR="00B41587" w:rsidRDefault="008F394C">
            <w:pPr>
              <w:rPr>
                <w:b/>
                <w:noProof/>
                <w:spacing w:val="-4"/>
                <w:sz w:val="22"/>
                <w:lang w:val="bg-BG"/>
              </w:rPr>
            </w:pPr>
            <w:r>
              <w:rPr>
                <w:b/>
                <w:noProof/>
                <w:spacing w:val="-4"/>
                <w:sz w:val="22"/>
                <w:lang w:val="bg-BG"/>
              </w:rPr>
              <w:t>Въпреки че по-голямото търсене и стабилният растеж ще продължат да спомагат за намаляването на задлъжнялостта и за ребалансирането, увели</w:t>
            </w:r>
            <w:r>
              <w:rPr>
                <w:b/>
                <w:noProof/>
                <w:spacing w:val="-4"/>
                <w:sz w:val="22"/>
                <w:lang w:val="bg-BG"/>
              </w:rPr>
              <w:t xml:space="preserve">чаването на производителността и повишаването на конкурентоспособността ще спомогнат за трайното коригиране на дисбалансите. </w:t>
            </w:r>
            <w:r>
              <w:rPr>
                <w:noProof/>
                <w:spacing w:val="-4"/>
                <w:sz w:val="22"/>
                <w:lang w:val="bg-BG"/>
              </w:rPr>
              <w:t xml:space="preserve">В светлината на взаимосвързаността между икономиките от еврозоната, подходяща комбинация от макроикономически политики в отделните </w:t>
            </w:r>
            <w:r>
              <w:rPr>
                <w:noProof/>
                <w:spacing w:val="-4"/>
                <w:sz w:val="22"/>
                <w:lang w:val="bg-BG"/>
              </w:rPr>
              <w:t>държави членки е оправдана, тъй като тя би подпомогнала коригирането на дисбалансите и възстановяването. Условията, благоприятстващи търсенето в държавите, които са нетни кредитори, от еврозоната и в държави извън еврозоната ще бъдат от решаващо значение з</w:t>
            </w:r>
            <w:r>
              <w:rPr>
                <w:noProof/>
                <w:spacing w:val="-4"/>
                <w:sz w:val="22"/>
                <w:lang w:val="bg-BG"/>
              </w:rPr>
              <w:t>а тази цел за държавите, които са нетни длъжници. В това отношение неотдавнашното възстановяване на номиналния растеж допринесе за ускоряването на темпа на намаляване на натрупаните нетни външни задължения като дял от БВП. Структурното подобряване на произ</w:t>
            </w:r>
            <w:r>
              <w:rPr>
                <w:noProof/>
                <w:spacing w:val="-4"/>
                <w:sz w:val="22"/>
                <w:lang w:val="bg-BG"/>
              </w:rPr>
              <w:t xml:space="preserve">водителността и конкурентоспособността, по-специално в държавите, които са нетни длъжници, ще трябва да бъде поддържано, за да се подкрепи устойчивата корекция и да се спомогне за намаляване на тежестта на дълга. </w:t>
            </w:r>
          </w:p>
        </w:tc>
      </w:tr>
    </w:tbl>
    <w:p w:rsidR="00B41587" w:rsidRDefault="00B41587">
      <w:pPr>
        <w:jc w:val="center"/>
        <w:rPr>
          <w:i/>
          <w:noProof/>
          <w:sz w:val="20"/>
          <w:szCs w:val="20"/>
          <w:lang w:val="bg-BG"/>
        </w:rPr>
      </w:pPr>
    </w:p>
    <w:p w:rsidR="00B41587" w:rsidRDefault="008F394C">
      <w:pPr>
        <w:rPr>
          <w:b/>
          <w:noProof/>
          <w:lang w:val="bg-BG"/>
        </w:rPr>
      </w:pPr>
      <w:r>
        <w:rPr>
          <w:b/>
          <w:noProof/>
          <w:lang w:val="bg-BG"/>
        </w:rPr>
        <w:t xml:space="preserve">Съотношенията на дълга на частния сектор към БВП като цяло са намалели в сравнение с пиковите стойности след кризата, но свръхзадлъжнялостта продължава да засяга няколко държави. </w:t>
      </w:r>
      <w:r>
        <w:rPr>
          <w:noProof/>
          <w:lang w:val="bg-BG"/>
        </w:rPr>
        <w:t xml:space="preserve">Дванадесет държави членки надхвърлиха индикативния праг за частния дълг през </w:t>
      </w:r>
      <w:r>
        <w:rPr>
          <w:noProof/>
          <w:lang w:val="bg-BG"/>
        </w:rPr>
        <w:t>2016 г. — същите държави като в ДМП за предходната година, с изключение на Малта, която понастоящем е под прага. Равнищата на задлъжнялост в частния сектор са най-високи в Кипър, Люксембург, Ирландия и Нидерландия, въпреки че данните са повлияни от широкот</w:t>
      </w:r>
      <w:r>
        <w:rPr>
          <w:noProof/>
          <w:lang w:val="bg-BG"/>
        </w:rPr>
        <w:t>о присъствие на многонационални или офшорни отрасли. Дания, Швеция, Белгия, Португалия и Обединеното кралство са на следващо място по най-висока стойност на индикативния показател, като частният дълг надвишава 160 % от БВП.</w:t>
      </w:r>
    </w:p>
    <w:p w:rsidR="00B41587" w:rsidRDefault="008F394C">
      <w:pPr>
        <w:rPr>
          <w:noProof/>
          <w:lang w:val="bg-BG"/>
        </w:rPr>
      </w:pPr>
      <w:r>
        <w:rPr>
          <w:b/>
          <w:noProof/>
          <w:lang w:val="bg-BG"/>
        </w:rPr>
        <w:t>Относителният принос на домакинс</w:t>
      </w:r>
      <w:r>
        <w:rPr>
          <w:b/>
          <w:noProof/>
          <w:lang w:val="bg-BG"/>
        </w:rPr>
        <w:t xml:space="preserve">твата и предприятията към високите равнища на частния дълг е различен в отделните държави членки. </w:t>
      </w:r>
      <w:r>
        <w:rPr>
          <w:noProof/>
          <w:lang w:val="bg-BG"/>
        </w:rPr>
        <w:t>За Люксембург, Ирландия и в по-малка степен Белгия, от сравнението между различните държави най-силно се открояват високите равнища на задлъжнялост на нефинан</w:t>
      </w:r>
      <w:r>
        <w:rPr>
          <w:noProof/>
          <w:lang w:val="bg-BG"/>
        </w:rPr>
        <w:t>совите предприятия (НФП). От друга страна, голямото натрупване на частен дълг се дължи на сектора на домакинствата в Дания и Обединеното кралство. Кипър, Нидерландия и Португалия имат сравнително високи равнища на задлъжнялост както в корпоративния сектор,</w:t>
      </w:r>
      <w:r>
        <w:rPr>
          <w:noProof/>
          <w:lang w:val="bg-BG"/>
        </w:rPr>
        <w:t xml:space="preserve"> така и в сектора на домакинствата. Като цяло разликите в размера на дълга между отделните държави до голяма степен се обясняват с разликите в основните фактори, които оправдават натрупването на дълг, включително перспективите за растеж и инвестиции, огран</w:t>
      </w:r>
      <w:r>
        <w:rPr>
          <w:noProof/>
          <w:lang w:val="bg-BG"/>
        </w:rPr>
        <w:t xml:space="preserve">иченията за частните спестявания и финансовото развитие. В същото време рисковете, свързани с високото равнище на дълга, следва да се оценяват в контекста на потенциала за растеж на държавата, устойчивостта на нейния финансов сектор и валутата, в която са </w:t>
      </w:r>
      <w:r>
        <w:rPr>
          <w:noProof/>
          <w:lang w:val="bg-BG"/>
        </w:rPr>
        <w:t>деноминирани тези задължения, като същевременно се отчитат стойността, ликвидността, нестабилността и разпределението на базовите активи.</w:t>
      </w:r>
    </w:p>
    <w:p w:rsidR="00B41587" w:rsidRDefault="008F394C">
      <w:pPr>
        <w:rPr>
          <w:noProof/>
          <w:lang w:val="bg-BG"/>
        </w:rPr>
      </w:pPr>
      <w:r>
        <w:rPr>
          <w:b/>
          <w:noProof/>
          <w:lang w:val="bg-BG"/>
        </w:rPr>
        <w:t>Темпът на намаляване на дълга на частния сектор е неравномерен в различните държави и не винаги е пропорционален на ну</w:t>
      </w:r>
      <w:r>
        <w:rPr>
          <w:b/>
          <w:noProof/>
          <w:lang w:val="bg-BG"/>
        </w:rPr>
        <w:t xml:space="preserve">ждата от намаляване на задлъжнялостта. </w:t>
      </w:r>
      <w:r>
        <w:rPr>
          <w:noProof/>
          <w:lang w:val="bg-BG"/>
        </w:rPr>
        <w:t>Равнището на дълга в нефинансовите предприятия в частния сектор се увеличи значително в периода, предхождащ финансовата криза, и оттогава в повечето случаи само слабо се е понижил. В петте държави с най-високо съотнош</w:t>
      </w:r>
      <w:r>
        <w:rPr>
          <w:noProof/>
          <w:lang w:val="bg-BG"/>
        </w:rPr>
        <w:t>ение дълг/БВП на НФК (Люксембург, Кипър, Ирландия, Белгия и Нидерландия) намаляването на задлъжнялостта бележи застой или обратна тенденция през последните две години, докато във Франция то все още не е започнало (графика 9). За разлика от тях в Швеция, По</w:t>
      </w:r>
      <w:r>
        <w:rPr>
          <w:noProof/>
          <w:lang w:val="bg-BG"/>
        </w:rPr>
        <w:t xml:space="preserve">ртугалия, България и Испания, които също показват високо съотношение дълг/БВП, намаляването на задлъжнялостта на НФК продължи с бързи темпове. В някои държави, които не са обременени с високи равнища на дълга, като Латвия, Унгария и Словения, намаляването </w:t>
      </w:r>
      <w:r>
        <w:rPr>
          <w:noProof/>
          <w:lang w:val="bg-BG"/>
        </w:rPr>
        <w:t>на задлъжнялостта на НФК беше бързо и се ускори през последните две години. Коефициентите на ливъридж на домакинствата са намалели през последните две години в трите държави членки, в които домакинствата показват най-високо равнище на дълга (Дания, Кипър и</w:t>
      </w:r>
      <w:r>
        <w:rPr>
          <w:noProof/>
          <w:lang w:val="bg-BG"/>
        </w:rPr>
        <w:t xml:space="preserve"> Нидерландия), както и в държавите с големи дългове като Португалия, Испания и Гърция (графика 10). За разлика от тях в Обединеното кралство намаляването на задлъжнялостта на домакинствата е в застой, а относително високите съотношения дълг/БВП в Швеция и </w:t>
      </w:r>
      <w:r>
        <w:rPr>
          <w:noProof/>
          <w:lang w:val="bg-BG"/>
        </w:rPr>
        <w:t>Финландия продължават да нарастват.</w:t>
      </w:r>
    </w:p>
    <w:p w:rsidR="00B41587" w:rsidRDefault="00B41587">
      <w:pPr>
        <w:rPr>
          <w:noProof/>
          <w:lang w:val="bg-BG"/>
        </w:rPr>
      </w:pPr>
    </w:p>
    <w:p w:rsidR="00B41587" w:rsidRDefault="008F394C">
      <w:pPr>
        <w:keepNext/>
        <w:jc w:val="center"/>
        <w:rPr>
          <w:b/>
          <w:noProof/>
          <w:sz w:val="20"/>
          <w:szCs w:val="20"/>
          <w:lang w:val="bg-BG"/>
        </w:rPr>
      </w:pPr>
      <w:r>
        <w:rPr>
          <w:i/>
          <w:noProof/>
          <w:sz w:val="20"/>
          <w:lang w:val="bg-BG"/>
        </w:rPr>
        <w:t>Графика 9</w:t>
      </w:r>
      <w:r>
        <w:rPr>
          <w:noProof/>
          <w:sz w:val="20"/>
          <w:lang w:val="bg-BG"/>
        </w:rPr>
        <w:t>:</w:t>
      </w:r>
      <w:r>
        <w:rPr>
          <w:b/>
          <w:noProof/>
          <w:sz w:val="20"/>
          <w:lang w:val="bg-BG"/>
        </w:rPr>
        <w:t xml:space="preserve"> Темп на намаляване на задлъжнялостта на нефинансовите предприятия</w:t>
      </w:r>
    </w:p>
    <w:p w:rsidR="00B41587" w:rsidRDefault="008F394C">
      <w:pPr>
        <w:keepNext/>
        <w:jc w:val="center"/>
        <w:rPr>
          <w:noProof/>
          <w:lang w:val="bg-BG"/>
        </w:rPr>
      </w:pPr>
      <w:r>
        <w:rPr>
          <w:noProof/>
        </w:rPr>
        <w:drawing>
          <wp:inline distT="0" distB="0" distL="0" distR="0">
            <wp:extent cx="5760720" cy="2726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726792"/>
                    </a:xfrm>
                    <a:prstGeom prst="rect">
                      <a:avLst/>
                    </a:prstGeom>
                    <a:noFill/>
                    <a:ln>
                      <a:noFill/>
                    </a:ln>
                  </pic:spPr>
                </pic:pic>
              </a:graphicData>
            </a:graphic>
          </wp:inline>
        </w:drawing>
      </w:r>
    </w:p>
    <w:p w:rsidR="00B41587" w:rsidRDefault="008F394C">
      <w:pPr>
        <w:keepNext/>
        <w:spacing w:after="0"/>
        <w:rPr>
          <w:noProof/>
          <w:sz w:val="20"/>
          <w:szCs w:val="20"/>
          <w:lang w:val="bg-BG"/>
        </w:rPr>
      </w:pPr>
      <w:r>
        <w:rPr>
          <w:i/>
          <w:noProof/>
          <w:sz w:val="20"/>
          <w:lang w:val="bg-BG"/>
        </w:rPr>
        <w:t>Източник:</w:t>
      </w:r>
      <w:r>
        <w:rPr>
          <w:noProof/>
          <w:sz w:val="20"/>
          <w:lang w:val="bg-BG"/>
        </w:rPr>
        <w:t xml:space="preserve"> Евростат, изчисления на службите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Числата под кодовете на държавите обозначават годината с върхови стойности</w:t>
      </w:r>
      <w:r>
        <w:rPr>
          <w:noProof/>
          <w:sz w:val="20"/>
          <w:lang w:val="bg-BG"/>
        </w:rPr>
        <w:t>. Увеличаването до върховите стойности беше изчислено въз основа на начална година, различна от 2000 г., за Люксембург (2001 г.), Полша (2002 г.), Малта (2003 г.) и Латвия (2003 г.). Въз основа на консолидираните данни за дълга.</w:t>
      </w:r>
    </w:p>
    <w:p w:rsidR="00B41587" w:rsidRDefault="00B41587">
      <w:pPr>
        <w:spacing w:before="0"/>
        <w:rPr>
          <w:noProof/>
          <w:sz w:val="20"/>
          <w:szCs w:val="20"/>
          <w:lang w:val="bg-BG"/>
        </w:rPr>
      </w:pPr>
    </w:p>
    <w:p w:rsidR="00B41587" w:rsidRDefault="008F394C">
      <w:pPr>
        <w:keepNext/>
        <w:jc w:val="center"/>
        <w:rPr>
          <w:b/>
          <w:noProof/>
          <w:sz w:val="20"/>
          <w:szCs w:val="20"/>
          <w:lang w:val="bg-BG"/>
        </w:rPr>
      </w:pPr>
      <w:r>
        <w:rPr>
          <w:i/>
          <w:noProof/>
          <w:sz w:val="20"/>
          <w:lang w:val="bg-BG"/>
        </w:rPr>
        <w:t>Графика 10</w:t>
      </w:r>
      <w:r>
        <w:rPr>
          <w:noProof/>
          <w:sz w:val="20"/>
          <w:lang w:val="bg-BG"/>
        </w:rPr>
        <w:t>:</w:t>
      </w:r>
      <w:r>
        <w:rPr>
          <w:b/>
          <w:noProof/>
          <w:sz w:val="20"/>
          <w:lang w:val="bg-BG"/>
        </w:rPr>
        <w:t xml:space="preserve"> Темпове на намаляване на задлъжнялостта на домакинствата</w:t>
      </w:r>
    </w:p>
    <w:p w:rsidR="00B41587" w:rsidRDefault="008F394C">
      <w:pPr>
        <w:keepNext/>
        <w:jc w:val="center"/>
        <w:rPr>
          <w:noProof/>
          <w:lang w:val="bg-BG"/>
        </w:rPr>
      </w:pPr>
      <w:r>
        <w:rPr>
          <w:noProof/>
        </w:rPr>
        <w:drawing>
          <wp:inline distT="0" distB="0" distL="0" distR="0">
            <wp:extent cx="5760720" cy="272349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723491"/>
                    </a:xfrm>
                    <a:prstGeom prst="rect">
                      <a:avLst/>
                    </a:prstGeom>
                    <a:noFill/>
                    <a:ln>
                      <a:noFill/>
                    </a:ln>
                  </pic:spPr>
                </pic:pic>
              </a:graphicData>
            </a:graphic>
          </wp:inline>
        </w:drawing>
      </w:r>
    </w:p>
    <w:p w:rsidR="00B41587" w:rsidRDefault="008F394C">
      <w:pPr>
        <w:keepNext/>
        <w:spacing w:after="0"/>
        <w:rPr>
          <w:noProof/>
          <w:sz w:val="20"/>
          <w:szCs w:val="20"/>
          <w:lang w:val="bg-BG"/>
        </w:rPr>
      </w:pPr>
      <w:r>
        <w:rPr>
          <w:i/>
          <w:noProof/>
          <w:sz w:val="20"/>
          <w:lang w:val="bg-BG"/>
        </w:rPr>
        <w:t>Източник:</w:t>
      </w:r>
      <w:r>
        <w:rPr>
          <w:noProof/>
          <w:sz w:val="20"/>
          <w:lang w:val="bg-BG"/>
        </w:rPr>
        <w:t xml:space="preserve"> Евростат, изчисления на службите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Числата под кодовете на държавите обозначават годината с върхови стойности. Увеличаването до върховите стойности беше изчислено въ</w:t>
      </w:r>
      <w:r>
        <w:rPr>
          <w:noProof/>
          <w:sz w:val="20"/>
          <w:lang w:val="bg-BG"/>
        </w:rPr>
        <w:t>з основа на начална година, различна от 2000 г., за Люксембург (2002 г.), Полша (2003 г.), Малта (2004 г.) и Латвия (2004 г.). Въз основа на консолидираните данни за дълга.</w:t>
      </w:r>
    </w:p>
    <w:p w:rsidR="00B41587" w:rsidRDefault="008F394C">
      <w:pPr>
        <w:rPr>
          <w:noProof/>
          <w:spacing w:val="-6"/>
          <w:lang w:val="bg-BG"/>
        </w:rPr>
      </w:pPr>
      <w:r>
        <w:rPr>
          <w:noProof/>
          <w:lang w:val="bg-BG"/>
        </w:rPr>
        <w:br w:type="page"/>
      </w:r>
      <w:r>
        <w:rPr>
          <w:b/>
          <w:noProof/>
          <w:spacing w:val="-6"/>
          <w:lang w:val="bg-BG"/>
        </w:rPr>
        <w:t>Кредитните потоци се увеличават по-силно в сектора на домакинствата, отколкото в к</w:t>
      </w:r>
      <w:r>
        <w:rPr>
          <w:b/>
          <w:noProof/>
          <w:spacing w:val="-6"/>
          <w:lang w:val="bg-BG"/>
        </w:rPr>
        <w:t xml:space="preserve">орпоративния сектор, което предполага различни начини за намаляване на задлъжнялостта и динамиката на инвестициите. </w:t>
      </w:r>
      <w:r>
        <w:rPr>
          <w:noProof/>
          <w:spacing w:val="-6"/>
          <w:lang w:val="bg-BG"/>
        </w:rPr>
        <w:t xml:space="preserve">Кредитните потоци в частния сектор като цяло остават сравнително слаби и никоя държава членка не е превишила индикативния праг през 2016 г. </w:t>
      </w:r>
      <w:r>
        <w:rPr>
          <w:noProof/>
          <w:spacing w:val="-6"/>
          <w:lang w:val="bg-BG"/>
        </w:rPr>
        <w:t>През последните години в резултат на възобновяването на растежа намаляването на задлъжнялостта на домакинствата все повече се ръководи от намаляването на съотношението на дълга спрямо БВП чрез по-силния растеж на БВП („пасивно намаляване на задлъжнялостта“</w:t>
      </w:r>
      <w:r>
        <w:rPr>
          <w:noProof/>
          <w:spacing w:val="-6"/>
          <w:lang w:val="bg-BG"/>
        </w:rPr>
        <w:t>), а „активно“ намаляване на задлъжнялостта на домакинствата чрез отрицателни нетни кредитни потоци се наблюдаваше само в някои от най-засегнатите от икономическата и финансова криза държави, например в Кипър, Ирландия, Португалия, Испания и Гърция (график</w:t>
      </w:r>
      <w:r>
        <w:rPr>
          <w:noProof/>
          <w:spacing w:val="-6"/>
          <w:lang w:val="bg-BG"/>
        </w:rPr>
        <w:t>а 11а). Задлъжнялостта на домакинствата в дванадесет държави членки всъщност е нараснала през изминалата година, включително в държави с високи равнища на задлъжнялост, като например Обединеното кралство, Швеция и Финландия. Нарастването на кредитните пото</w:t>
      </w:r>
      <w:r>
        <w:rPr>
          <w:noProof/>
          <w:spacing w:val="-6"/>
          <w:lang w:val="bg-BG"/>
        </w:rPr>
        <w:t>ци като цяло е било по-слабо за дружества, което предполага, че корпоративният сектор е в процес на намаляване на задлъжнялостта в повече от две трети от държавите членки, с динамика до голяма степен разделена на активни и пасивни режими (графика 11б). Акт</w:t>
      </w:r>
      <w:r>
        <w:rPr>
          <w:noProof/>
          <w:spacing w:val="-6"/>
          <w:lang w:val="bg-BG"/>
        </w:rPr>
        <w:t xml:space="preserve">ивното намаляване на задлъжнялостта при дружествата може на свой ред да се свърже с намалените инвестиции (графика 12), което подчертава значението на прекомерната задлъжнялост за ниското равнище на инвестициите на нефинансовите предприятия в периода след </w:t>
      </w:r>
      <w:r>
        <w:rPr>
          <w:noProof/>
          <w:spacing w:val="-6"/>
          <w:lang w:val="bg-BG"/>
        </w:rPr>
        <w:t>кризата.</w:t>
      </w:r>
    </w:p>
    <w:tbl>
      <w:tblPr>
        <w:tblW w:w="0" w:type="auto"/>
        <w:tblLook w:val="04A0" w:firstRow="1" w:lastRow="0" w:firstColumn="1" w:lastColumn="0" w:noHBand="0" w:noVBand="1"/>
      </w:tblPr>
      <w:tblGrid>
        <w:gridCol w:w="4446"/>
        <w:gridCol w:w="4842"/>
      </w:tblGrid>
      <w:tr w:rsidR="00B41587">
        <w:tc>
          <w:tcPr>
            <w:tcW w:w="4644" w:type="dxa"/>
            <w:shd w:val="clear" w:color="auto" w:fill="auto"/>
          </w:tcPr>
          <w:p w:rsidR="00B41587" w:rsidRDefault="008F394C">
            <w:pPr>
              <w:keepNext/>
              <w:jc w:val="center"/>
              <w:rPr>
                <w:b/>
                <w:i/>
                <w:noProof/>
                <w:sz w:val="20"/>
                <w:szCs w:val="20"/>
                <w:lang w:val="bg-BG"/>
              </w:rPr>
            </w:pPr>
            <w:r>
              <w:rPr>
                <w:i/>
                <w:noProof/>
                <w:sz w:val="20"/>
                <w:lang w:val="bg-BG"/>
              </w:rPr>
              <w:t>Графика 11a</w:t>
            </w:r>
            <w:r>
              <w:rPr>
                <w:b/>
                <w:i/>
                <w:noProof/>
                <w:sz w:val="20"/>
                <w:lang w:val="bg-BG"/>
              </w:rPr>
              <w:t xml:space="preserve">: </w:t>
            </w:r>
            <w:r>
              <w:rPr>
                <w:b/>
                <w:noProof/>
                <w:sz w:val="20"/>
                <w:lang w:val="bg-BG"/>
              </w:rPr>
              <w:t>Разбивка на изменението в съотношението на дълга към БВП на домакинствата (Т1 2017 г.)</w:t>
            </w:r>
          </w:p>
          <w:p w:rsidR="00B41587" w:rsidRDefault="008F394C">
            <w:pPr>
              <w:keepNext/>
              <w:jc w:val="center"/>
              <w:rPr>
                <w:noProof/>
                <w:lang w:val="bg-BG"/>
              </w:rPr>
            </w:pPr>
            <w:r>
              <w:rPr>
                <w:noProof/>
              </w:rPr>
              <w:drawing>
                <wp:inline distT="0" distB="0" distL="0" distR="0">
                  <wp:extent cx="2996109" cy="2628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01659" cy="2633770"/>
                          </a:xfrm>
                          <a:prstGeom prst="rect">
                            <a:avLst/>
                          </a:prstGeom>
                        </pic:spPr>
                      </pic:pic>
                    </a:graphicData>
                  </a:graphic>
                </wp:inline>
              </w:drawing>
            </w:r>
          </w:p>
        </w:tc>
        <w:tc>
          <w:tcPr>
            <w:tcW w:w="4644" w:type="dxa"/>
            <w:shd w:val="clear" w:color="auto" w:fill="auto"/>
          </w:tcPr>
          <w:p w:rsidR="00B41587" w:rsidRDefault="008F394C">
            <w:pPr>
              <w:keepNext/>
              <w:jc w:val="center"/>
              <w:rPr>
                <w:b/>
                <w:i/>
                <w:noProof/>
                <w:sz w:val="20"/>
                <w:szCs w:val="20"/>
                <w:lang w:val="bg-BG"/>
              </w:rPr>
            </w:pPr>
            <w:r>
              <w:rPr>
                <w:i/>
                <w:noProof/>
                <w:sz w:val="20"/>
                <w:lang w:val="bg-BG"/>
              </w:rPr>
              <w:t>Графика 11б</w:t>
            </w:r>
            <w:r>
              <w:rPr>
                <w:b/>
                <w:i/>
                <w:noProof/>
                <w:sz w:val="20"/>
                <w:lang w:val="bg-BG"/>
              </w:rPr>
              <w:t xml:space="preserve">: </w:t>
            </w:r>
            <w:r>
              <w:rPr>
                <w:b/>
                <w:noProof/>
                <w:sz w:val="20"/>
                <w:lang w:val="bg-BG"/>
              </w:rPr>
              <w:t>Разбивка на изменението в съотношението на дълга към БВП на НФК (Т1 2017 г.)</w:t>
            </w:r>
          </w:p>
          <w:p w:rsidR="00B41587" w:rsidRDefault="008F394C">
            <w:pPr>
              <w:keepNext/>
              <w:jc w:val="center"/>
              <w:rPr>
                <w:noProof/>
                <w:lang w:val="bg-BG"/>
              </w:rPr>
            </w:pPr>
            <w:r>
              <w:rPr>
                <w:noProof/>
              </w:rPr>
              <w:drawing>
                <wp:inline distT="0" distB="0" distL="0" distR="0">
                  <wp:extent cx="3267986" cy="2627310"/>
                  <wp:effectExtent l="0" t="0" r="889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268187" cy="2627471"/>
                          </a:xfrm>
                          <a:prstGeom prst="rect">
                            <a:avLst/>
                          </a:prstGeom>
                        </pic:spPr>
                      </pic:pic>
                    </a:graphicData>
                  </a:graphic>
                </wp:inline>
              </w:drawing>
            </w:r>
          </w:p>
        </w:tc>
      </w:tr>
    </w:tbl>
    <w:p w:rsidR="00B41587" w:rsidRDefault="008F394C">
      <w:pPr>
        <w:keepNext/>
        <w:spacing w:after="0"/>
        <w:rPr>
          <w:noProof/>
          <w:sz w:val="20"/>
          <w:szCs w:val="20"/>
          <w:lang w:val="bg-BG"/>
        </w:rPr>
      </w:pPr>
      <w:r>
        <w:rPr>
          <w:i/>
          <w:noProof/>
          <w:sz w:val="20"/>
          <w:lang w:val="bg-BG"/>
        </w:rPr>
        <w:t>Източници:</w:t>
      </w:r>
      <w:r>
        <w:rPr>
          <w:noProof/>
          <w:sz w:val="20"/>
          <w:lang w:val="bg-BG"/>
        </w:rPr>
        <w:t xml:space="preserve"> Евростат, изчисления на службите на Комисията.</w:t>
      </w:r>
    </w:p>
    <w:p w:rsidR="00B41587" w:rsidRDefault="008F394C">
      <w:pPr>
        <w:spacing w:before="0"/>
        <w:rPr>
          <w:noProof/>
          <w:spacing w:val="-2"/>
          <w:sz w:val="20"/>
          <w:szCs w:val="20"/>
          <w:lang w:val="bg-BG"/>
        </w:rPr>
      </w:pPr>
      <w:r>
        <w:rPr>
          <w:i/>
          <w:noProof/>
          <w:spacing w:val="-2"/>
          <w:sz w:val="20"/>
          <w:lang w:val="bg-BG"/>
        </w:rPr>
        <w:t>Бележки:</w:t>
      </w:r>
      <w:r>
        <w:rPr>
          <w:noProof/>
          <w:spacing w:val="-2"/>
          <w:sz w:val="20"/>
          <w:lang w:val="bg-BG"/>
        </w:rPr>
        <w:t xml:space="preserve"> графиките представляват разбивка на развитието на съотношението на дълга към БВП на четири компонента: кредитни потоци, растеж на реалния БВП, инфлация и други промени. Активното намаляване на задлъж</w:t>
      </w:r>
      <w:r>
        <w:rPr>
          <w:noProof/>
          <w:spacing w:val="-2"/>
          <w:sz w:val="20"/>
          <w:lang w:val="bg-BG"/>
        </w:rPr>
        <w:t>нялостта включва нетно погасяване на дълга (отрицателни нетни кредитни потоци), което обикновено води до номинално свиване на баланса на сектора и което има, ceteris paribus, неблагоприятно отражение върху стопанската дейност и пазарите на активи. Пасивнот</w:t>
      </w:r>
      <w:r>
        <w:rPr>
          <w:noProof/>
          <w:spacing w:val="-2"/>
          <w:sz w:val="20"/>
          <w:lang w:val="bg-BG"/>
        </w:rPr>
        <w:t>о намаляване на задлъжнялостта, от друга страна, се състои в това положителните нетни кредитни потоци да бъдат компенсирани от по-висок ръст на номиналния БВП, което да доведе до постепенен спад на съотношението дълг/БВП. Активен ливъридж се наблюдава, ког</w:t>
      </w:r>
      <w:r>
        <w:rPr>
          <w:noProof/>
          <w:spacing w:val="-2"/>
          <w:sz w:val="20"/>
          <w:lang w:val="bg-BG"/>
        </w:rPr>
        <w:t>ато положителните нетни кредитни потоци надхвърлят ръста на номиналния БВП. Данните относно НФК за Кипър се отнасят до третото тримесечие на 2016 г.</w:t>
      </w:r>
    </w:p>
    <w:p w:rsidR="00B41587" w:rsidRDefault="00B41587">
      <w:pPr>
        <w:jc w:val="center"/>
        <w:rPr>
          <w:i/>
          <w:noProof/>
          <w:sz w:val="20"/>
          <w:szCs w:val="20"/>
          <w:lang w:val="bg-BG"/>
        </w:rPr>
      </w:pPr>
    </w:p>
    <w:p w:rsidR="00B41587" w:rsidRDefault="008F394C">
      <w:pPr>
        <w:keepNext/>
        <w:jc w:val="center"/>
        <w:rPr>
          <w:b/>
          <w:i/>
          <w:noProof/>
          <w:sz w:val="20"/>
          <w:szCs w:val="20"/>
          <w:lang w:val="bg-BG"/>
        </w:rPr>
      </w:pPr>
      <w:r>
        <w:rPr>
          <w:i/>
          <w:noProof/>
          <w:sz w:val="20"/>
          <w:lang w:val="bg-BG"/>
        </w:rPr>
        <w:t>Графика 12</w:t>
      </w:r>
      <w:r>
        <w:rPr>
          <w:b/>
          <w:i/>
          <w:noProof/>
          <w:sz w:val="20"/>
          <w:lang w:val="bg-BG"/>
        </w:rPr>
        <w:t xml:space="preserve">: </w:t>
      </w:r>
      <w:r>
        <w:rPr>
          <w:b/>
          <w:noProof/>
          <w:sz w:val="20"/>
          <w:lang w:val="bg-BG"/>
        </w:rPr>
        <w:t xml:space="preserve">Изменения в инвестициите на НФК и в съотношението между нетните предоставени и получени заеми </w:t>
      </w:r>
      <w:r>
        <w:rPr>
          <w:b/>
          <w:noProof/>
          <w:sz w:val="20"/>
          <w:lang w:val="bg-BG"/>
        </w:rPr>
        <w:t>през годините след пик на дълга</w:t>
      </w:r>
    </w:p>
    <w:p w:rsidR="00B41587" w:rsidRDefault="008F394C">
      <w:pPr>
        <w:keepNext/>
        <w:jc w:val="center"/>
        <w:rPr>
          <w:noProof/>
          <w:lang w:val="bg-BG"/>
        </w:rPr>
      </w:pPr>
      <w:r>
        <w:rPr>
          <w:noProof/>
        </w:rPr>
        <w:drawing>
          <wp:inline distT="0" distB="0" distL="0" distR="0">
            <wp:extent cx="4362450" cy="3370631"/>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66419" cy="3373697"/>
                    </a:xfrm>
                    <a:prstGeom prst="rect">
                      <a:avLst/>
                    </a:prstGeom>
                  </pic:spPr>
                </pic:pic>
              </a:graphicData>
            </a:graphic>
          </wp:inline>
        </w:drawing>
      </w:r>
    </w:p>
    <w:p w:rsidR="00B41587" w:rsidRDefault="008F394C">
      <w:pPr>
        <w:keepNext/>
        <w:spacing w:after="0"/>
        <w:rPr>
          <w:noProof/>
          <w:sz w:val="20"/>
          <w:szCs w:val="20"/>
          <w:lang w:val="bg-BG"/>
        </w:rPr>
      </w:pPr>
      <w:r>
        <w:rPr>
          <w:i/>
          <w:noProof/>
          <w:sz w:val="20"/>
          <w:lang w:val="bg-BG"/>
        </w:rPr>
        <w:t>Източник:</w:t>
      </w:r>
      <w:r>
        <w:rPr>
          <w:noProof/>
          <w:sz w:val="20"/>
          <w:lang w:val="bg-BG"/>
        </w:rPr>
        <w:t xml:space="preserve"> Евростат, изчисления на службите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Извадката от държави е ограничена до тези държави, за които има налични данни и чието съотношение дълг/БВП на НФК е достигнало върхова точка преди 2016 г.</w:t>
      </w:r>
    </w:p>
    <w:p w:rsidR="00B41587" w:rsidRDefault="00B41587">
      <w:pPr>
        <w:rPr>
          <w:b/>
          <w:noProof/>
          <w:lang w:val="bg-BG"/>
        </w:rPr>
      </w:pPr>
    </w:p>
    <w:p w:rsidR="00B41587" w:rsidRDefault="008F394C">
      <w:pPr>
        <w:rPr>
          <w:noProof/>
          <w:lang w:val="bg-BG"/>
        </w:rPr>
      </w:pPr>
      <w:r>
        <w:rPr>
          <w:b/>
          <w:noProof/>
          <w:lang w:val="bg-BG"/>
        </w:rPr>
        <w:t xml:space="preserve">Банковият сектор на ЕС продължава да се сблъсква с предизвикателства, свързани с ниски нива на рентабилност и високо равнище на необслужваните заеми (НОЗ) в някои държави. </w:t>
      </w:r>
      <w:r>
        <w:rPr>
          <w:noProof/>
          <w:lang w:val="bg-BG"/>
        </w:rPr>
        <w:t>Увеличаването на пасивите на финансовия сектор се ускорява в повечето държави членки</w:t>
      </w:r>
      <w:r>
        <w:rPr>
          <w:noProof/>
          <w:lang w:val="bg-BG"/>
        </w:rPr>
        <w:t>, но като цяло остава доста под прага на таблицата с показатели</w:t>
      </w:r>
      <w:r>
        <w:rPr>
          <w:rStyle w:val="FootnoteReference"/>
          <w:noProof/>
          <w:lang w:val="bg-BG"/>
        </w:rPr>
        <w:footnoteReference w:id="16"/>
      </w:r>
      <w:r>
        <w:rPr>
          <w:noProof/>
          <w:lang w:val="bg-BG"/>
        </w:rPr>
        <w:t>. При повечето държави членки през последната година имаше известно подобрение в рентабилността на банките, коефициентите на капиталова адекватност, равнището на НОЗ и кредитните потоци. По-сп</w:t>
      </w:r>
      <w:r>
        <w:rPr>
          <w:noProof/>
          <w:lang w:val="bg-BG"/>
        </w:rPr>
        <w:t>ециално банковите оценки се възстановиха в голяма степен от средата на 2016 г. до средата на 2017 г., което бе свързано с очакванията за по-високи лихвени проценти и по-стръмни криви на доходността. Рентабилността обаче остава под натиск в контекста на нис</w:t>
      </w:r>
      <w:r>
        <w:rPr>
          <w:noProof/>
          <w:lang w:val="bg-BG"/>
        </w:rPr>
        <w:t>ките лихвени проценти и остарелите бизнес практики. В някои държави членки се наблюдава съчетание от ниска рентабилност, по-ниски коефициенти на капиталова адекватност спрямо други държави и високи равнища на НОЗ. Това се отнася по-специално за Гърция, Кип</w:t>
      </w:r>
      <w:r>
        <w:rPr>
          <w:noProof/>
          <w:lang w:val="bg-BG"/>
        </w:rPr>
        <w:t>ър, Италия и Португалия (графики 13 и 14).</w:t>
      </w:r>
    </w:p>
    <w:p w:rsidR="00B41587" w:rsidRDefault="00B41587">
      <w:pPr>
        <w:rPr>
          <w:noProof/>
          <w:lang w:val="bg-BG"/>
        </w:rPr>
      </w:pPr>
    </w:p>
    <w:tbl>
      <w:tblPr>
        <w:tblW w:w="0" w:type="auto"/>
        <w:tblLayout w:type="fixed"/>
        <w:tblLook w:val="04A0" w:firstRow="1" w:lastRow="0" w:firstColumn="1" w:lastColumn="0" w:noHBand="0" w:noVBand="1"/>
      </w:tblPr>
      <w:tblGrid>
        <w:gridCol w:w="4503"/>
        <w:gridCol w:w="4785"/>
      </w:tblGrid>
      <w:tr w:rsidR="00B41587">
        <w:tc>
          <w:tcPr>
            <w:tcW w:w="4503" w:type="dxa"/>
            <w:shd w:val="clear" w:color="auto" w:fill="auto"/>
          </w:tcPr>
          <w:p w:rsidR="00B41587" w:rsidRDefault="008F394C">
            <w:pPr>
              <w:keepNext/>
              <w:jc w:val="center"/>
              <w:rPr>
                <w:b/>
                <w:i/>
                <w:noProof/>
                <w:sz w:val="20"/>
                <w:szCs w:val="20"/>
                <w:lang w:val="bg-BG"/>
              </w:rPr>
            </w:pPr>
            <w:r>
              <w:rPr>
                <w:i/>
                <w:noProof/>
                <w:sz w:val="20"/>
                <w:lang w:val="bg-BG"/>
              </w:rPr>
              <w:t>Графика 13</w:t>
            </w:r>
            <w:r>
              <w:rPr>
                <w:b/>
                <w:i/>
                <w:noProof/>
                <w:sz w:val="20"/>
                <w:lang w:val="bg-BG"/>
              </w:rPr>
              <w:t xml:space="preserve">: </w:t>
            </w:r>
            <w:r>
              <w:rPr>
                <w:b/>
                <w:noProof/>
                <w:sz w:val="20"/>
                <w:lang w:val="bg-BG"/>
              </w:rPr>
              <w:t>Банкова рентабилност и коефициенти на капиталова адекватност</w:t>
            </w:r>
          </w:p>
          <w:p w:rsidR="00B41587" w:rsidRDefault="008F394C">
            <w:pPr>
              <w:keepNext/>
              <w:jc w:val="center"/>
              <w:rPr>
                <w:noProof/>
                <w:lang w:val="bg-BG"/>
              </w:rPr>
            </w:pPr>
            <w:r>
              <w:rPr>
                <w:noProof/>
              </w:rPr>
              <w:drawing>
                <wp:inline distT="0" distB="0" distL="0" distR="0">
                  <wp:extent cx="3043752" cy="2425148"/>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43752" cy="2425148"/>
                          </a:xfrm>
                          <a:prstGeom prst="rect">
                            <a:avLst/>
                          </a:prstGeom>
                        </pic:spPr>
                      </pic:pic>
                    </a:graphicData>
                  </a:graphic>
                </wp:inline>
              </w:drawing>
            </w:r>
          </w:p>
        </w:tc>
        <w:tc>
          <w:tcPr>
            <w:tcW w:w="4785" w:type="dxa"/>
            <w:shd w:val="clear" w:color="auto" w:fill="auto"/>
          </w:tcPr>
          <w:p w:rsidR="00B41587" w:rsidRDefault="008F394C">
            <w:pPr>
              <w:keepNext/>
              <w:jc w:val="center"/>
              <w:rPr>
                <w:b/>
                <w:i/>
                <w:noProof/>
                <w:sz w:val="20"/>
                <w:szCs w:val="20"/>
                <w:lang w:val="bg-BG"/>
              </w:rPr>
            </w:pPr>
            <w:r>
              <w:rPr>
                <w:i/>
                <w:noProof/>
                <w:sz w:val="20"/>
                <w:lang w:val="bg-BG"/>
              </w:rPr>
              <w:t>Графика 14</w:t>
            </w:r>
            <w:r>
              <w:rPr>
                <w:b/>
                <w:i/>
                <w:noProof/>
                <w:sz w:val="20"/>
                <w:lang w:val="bg-BG"/>
              </w:rPr>
              <w:t xml:space="preserve">: </w:t>
            </w:r>
            <w:r>
              <w:rPr>
                <w:b/>
                <w:noProof/>
                <w:sz w:val="20"/>
                <w:lang w:val="bg-BG"/>
              </w:rPr>
              <w:t>Необслужвани заеми</w:t>
            </w:r>
          </w:p>
          <w:p w:rsidR="00B41587" w:rsidRDefault="008F394C">
            <w:pPr>
              <w:keepNext/>
              <w:jc w:val="center"/>
              <w:rPr>
                <w:noProof/>
                <w:lang w:val="bg-BG"/>
              </w:rPr>
            </w:pPr>
            <w:r>
              <w:rPr>
                <w:noProof/>
              </w:rPr>
              <w:drawing>
                <wp:inline distT="0" distB="0" distL="0" distR="0">
                  <wp:extent cx="2973046" cy="2619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79353" cy="2624932"/>
                          </a:xfrm>
                          <a:prstGeom prst="rect">
                            <a:avLst/>
                          </a:prstGeom>
                        </pic:spPr>
                      </pic:pic>
                    </a:graphicData>
                  </a:graphic>
                </wp:inline>
              </w:drawing>
            </w:r>
          </w:p>
        </w:tc>
      </w:tr>
    </w:tbl>
    <w:p w:rsidR="00B41587" w:rsidRDefault="008F394C">
      <w:pPr>
        <w:keepNext/>
        <w:spacing w:after="0"/>
        <w:rPr>
          <w:noProof/>
          <w:sz w:val="20"/>
          <w:szCs w:val="20"/>
          <w:lang w:val="bg-BG"/>
        </w:rPr>
      </w:pPr>
      <w:r>
        <w:rPr>
          <w:i/>
          <w:noProof/>
          <w:sz w:val="20"/>
          <w:lang w:val="bg-BG"/>
        </w:rPr>
        <w:t>Източници:</w:t>
      </w:r>
      <w:r>
        <w:rPr>
          <w:noProof/>
          <w:sz w:val="20"/>
          <w:lang w:val="bg-BG"/>
        </w:rPr>
        <w:t xml:space="preserve"> ЕЦБ, изчисления на службите на Комисията.</w:t>
      </w:r>
    </w:p>
    <w:p w:rsidR="00B41587" w:rsidRDefault="008F394C">
      <w:pPr>
        <w:spacing w:before="0"/>
        <w:rPr>
          <w:noProof/>
          <w:sz w:val="20"/>
          <w:szCs w:val="20"/>
          <w:lang w:val="bg-BG"/>
        </w:rPr>
      </w:pPr>
      <w:r>
        <w:rPr>
          <w:i/>
          <w:noProof/>
          <w:sz w:val="20"/>
          <w:lang w:val="bg-BG"/>
        </w:rPr>
        <w:t>Бележки:</w:t>
      </w:r>
      <w:r>
        <w:rPr>
          <w:noProof/>
          <w:lang w:val="bg-BG"/>
        </w:rPr>
        <w:t xml:space="preserve"> </w:t>
      </w:r>
      <w:r>
        <w:rPr>
          <w:noProof/>
          <w:sz w:val="20"/>
          <w:lang w:val="bg-BG"/>
        </w:rPr>
        <w:t xml:space="preserve">Данните за брутните необслужвани дългови </w:t>
      </w:r>
      <w:r>
        <w:rPr>
          <w:noProof/>
          <w:sz w:val="20"/>
          <w:lang w:val="bg-BG"/>
        </w:rPr>
        <w:t>инструменти за 2008 г. не е на разположение за Чешката република, Хърватия, Швеция и Словения. В графика 13 данните за първото тримесечие на 2015 г. се отнасят за четвъртото тримесечие на 2014 г. за България и за първото тримесечие на 2016 г. за Чешката ре</w:t>
      </w:r>
      <w:r>
        <w:rPr>
          <w:noProof/>
          <w:sz w:val="20"/>
          <w:lang w:val="bg-BG"/>
        </w:rPr>
        <w:t>публика.</w:t>
      </w:r>
    </w:p>
    <w:p w:rsidR="00B41587" w:rsidRDefault="008F394C">
      <w:pPr>
        <w:rPr>
          <w:noProof/>
          <w:lang w:val="bg-BG"/>
        </w:rPr>
      </w:pPr>
      <w:r>
        <w:rPr>
          <w:b/>
          <w:noProof/>
          <w:lang w:val="bg-BG"/>
        </w:rPr>
        <w:t>Равнището на необслужваните заеми продължава да намалява в ЕС, но остава високо в няколко държави членки.</w:t>
      </w:r>
      <w:r>
        <w:rPr>
          <w:noProof/>
          <w:lang w:val="bg-BG"/>
        </w:rPr>
        <w:t xml:space="preserve"> Съотношението на НОЗ намалява във всички държави членки, които имат относително висок дял на НОЗ, с изключение на Гърция. Този спад в съотнош</w:t>
      </w:r>
      <w:r>
        <w:rPr>
          <w:noProof/>
          <w:lang w:val="bg-BG"/>
        </w:rPr>
        <w:t>ението на НОЗ обаче е започнал съвсем наскоро в Италия и Португалия (графика 14). Въпреки тенденцията на намаляване, НОЗ остават високи в редица държави. По-специално, Гърция и Кипър все още имат излишък от НОЗ в размер на над 30 % от общия размер на заеми</w:t>
      </w:r>
      <w:r>
        <w:rPr>
          <w:noProof/>
          <w:lang w:val="bg-BG"/>
        </w:rPr>
        <w:t>те, докато в Италия и Португалия съотношенията на НОЗ достигат близо 14 %. В България, Ирландия, Хърватия и Словения равнището на НОЗ е около 10 % от общия размер на заемите.</w:t>
      </w:r>
    </w:p>
    <w:p w:rsidR="00B41587" w:rsidRDefault="008F394C">
      <w:pPr>
        <w:rPr>
          <w:noProof/>
          <w:lang w:val="bg-BG"/>
        </w:rPr>
      </w:pPr>
      <w:r>
        <w:rPr>
          <w:b/>
          <w:noProof/>
          <w:lang w:val="bg-BG"/>
        </w:rPr>
        <w:t>В ЕС се наблюдава широко увеличение на реалните цени на жилищата, което представл</w:t>
      </w:r>
      <w:r>
        <w:rPr>
          <w:b/>
          <w:noProof/>
          <w:lang w:val="bg-BG"/>
        </w:rPr>
        <w:t xml:space="preserve">ява възстановяване от предишните спадове, но може да доведе и до по-голямо надценяване в някои случаи. </w:t>
      </w:r>
      <w:r>
        <w:rPr>
          <w:noProof/>
          <w:lang w:val="bg-BG"/>
        </w:rPr>
        <w:t>Реалните цени на жилищата са се увеличили в 25 държави членки през 2016 г., като стойностите на показателя надвишават прага на таблицата в България, Чешк</w:t>
      </w:r>
      <w:r>
        <w:rPr>
          <w:noProof/>
          <w:lang w:val="bg-BG"/>
        </w:rPr>
        <w:t>ата република, Ирландия, Латвия, Унгария, Австрия, Португалия, Румъния, Словакия и Швеция. Тази година държавите са с четири повече спрямо миналата година и техният състав е различен, като само Ирландия, Унгария и Швеция са надхвърлили прага и през двете г</w:t>
      </w:r>
      <w:r>
        <w:rPr>
          <w:noProof/>
          <w:lang w:val="bg-BG"/>
        </w:rPr>
        <w:t>одини</w:t>
      </w:r>
      <w:r>
        <w:rPr>
          <w:rStyle w:val="FootnoteReference"/>
          <w:noProof/>
          <w:lang w:val="bg-BG"/>
        </w:rPr>
        <w:footnoteReference w:id="17"/>
      </w:r>
      <w:r>
        <w:rPr>
          <w:noProof/>
          <w:lang w:val="bg-BG"/>
        </w:rPr>
        <w:t xml:space="preserve">. Само в Гърция, Италия и Финландия има спад в реалните цени на жилищата, което, в случая на първите две държави, е продължило и през 2017 г., и това допринася за настоящата отрицателна разлика в оценката (графика 15). В няколко други държави членки </w:t>
      </w:r>
      <w:r>
        <w:rPr>
          <w:noProof/>
          <w:lang w:val="bg-BG"/>
        </w:rPr>
        <w:t>увеличението на реалните цени на жилищата  оказа допълнителен натиск върху вече надценените пазари на жилища. Напрежението е особено видимо в Швеция и в по-малка степен в Обединеното кралство, Люксембург и Австрия, където силният растеж на реалните цени на</w:t>
      </w:r>
      <w:r>
        <w:rPr>
          <w:noProof/>
          <w:lang w:val="bg-BG"/>
        </w:rPr>
        <w:t xml:space="preserve"> жилищата през 2016 г. се прибави към прогнозната разлика в надценките. В случая на Австрия и Обединеното кралство тримесечните данни показва обаче, че покачването на цените на жилищата се е забавило през 2017 г. В Швеция и в Обединеното кралство, както и </w:t>
      </w:r>
      <w:r>
        <w:rPr>
          <w:noProof/>
          <w:lang w:val="bg-BG"/>
        </w:rPr>
        <w:t xml:space="preserve">в Дания, надценяването на жилищата се наблюдава успоредно с висока задлъжнялост на домакинствата. В някои случаи има силна динамика на цените в държави, в които разликата в надценките е малка. Това се отнася за Унгария, България, Латвия, Чешката република </w:t>
      </w:r>
      <w:r>
        <w:rPr>
          <w:noProof/>
          <w:lang w:val="bg-BG"/>
        </w:rPr>
        <w:t>и Словакия, където ръстът на реалните цени на жилищата продължи през 2017 г. и е възможно да се породят рискове от надценяване. В Нидерландия сравнително трайната динамика на цените на жилищата се осъществява в контекст на висока задлъжнялост на домакинств</w:t>
      </w:r>
      <w:r>
        <w:rPr>
          <w:noProof/>
          <w:lang w:val="bg-BG"/>
        </w:rPr>
        <w:t>ата. В някои държави членки трайната динамика на цените на жилищата е съчетана с динамика на ипотечното кредитиране, което води до породени от заемите рискове от прегряване на икономиката. Това важи особено за Словакия и Румъния, където ръстът на ипотечнит</w:t>
      </w:r>
      <w:r>
        <w:rPr>
          <w:noProof/>
          <w:lang w:val="bg-BG"/>
        </w:rPr>
        <w:t>е кредити надвишава 10 % през 2016 г., макар и в контекст на ниска задлъжнялост на домакинствата. Като цяло, бурният растеж на цените на жилищата в редица държави — членки на ЕС, заслужава постоянен мониторинг с оглед на евентуалното натрупване на макрофин</w:t>
      </w:r>
      <w:r>
        <w:rPr>
          <w:noProof/>
          <w:lang w:val="bg-BG"/>
        </w:rPr>
        <w:t>ансови рискове, както и поради последиците по отношение на разпределението на ресурсите и достъпността на жилищата.</w:t>
      </w:r>
    </w:p>
    <w:p w:rsidR="00B41587" w:rsidRDefault="00B41587">
      <w:pPr>
        <w:spacing w:before="0" w:after="0"/>
        <w:rPr>
          <w:noProof/>
          <w:lang w:val="bg-BG"/>
        </w:rPr>
      </w:pPr>
    </w:p>
    <w:p w:rsidR="00B41587" w:rsidRDefault="008F394C">
      <w:pPr>
        <w:keepNext/>
        <w:jc w:val="center"/>
        <w:rPr>
          <w:b/>
          <w:i/>
          <w:noProof/>
          <w:sz w:val="20"/>
          <w:szCs w:val="20"/>
          <w:lang w:val="bg-BG"/>
        </w:rPr>
      </w:pPr>
      <w:r>
        <w:rPr>
          <w:i/>
          <w:noProof/>
          <w:sz w:val="20"/>
          <w:lang w:val="bg-BG"/>
        </w:rPr>
        <w:t>Графика 15</w:t>
      </w:r>
      <w:r>
        <w:rPr>
          <w:b/>
          <w:i/>
          <w:noProof/>
          <w:sz w:val="20"/>
          <w:lang w:val="bg-BG"/>
        </w:rPr>
        <w:t xml:space="preserve">: </w:t>
      </w:r>
      <w:r>
        <w:rPr>
          <w:b/>
          <w:noProof/>
          <w:sz w:val="20"/>
          <w:lang w:val="bg-BG"/>
        </w:rPr>
        <w:t>Изменения в цените на жилищата и разликите в оценките през 2016 г.</w:t>
      </w:r>
    </w:p>
    <w:p w:rsidR="00B41587" w:rsidRDefault="008F394C">
      <w:pPr>
        <w:keepNext/>
        <w:jc w:val="center"/>
        <w:rPr>
          <w:noProof/>
          <w:lang w:val="bg-BG"/>
        </w:rPr>
      </w:pPr>
      <w:r>
        <w:rPr>
          <w:noProof/>
        </w:rPr>
        <w:drawing>
          <wp:inline distT="0" distB="0" distL="0" distR="0">
            <wp:extent cx="3648075" cy="328133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52974" cy="3285743"/>
                    </a:xfrm>
                    <a:prstGeom prst="rect">
                      <a:avLst/>
                    </a:prstGeom>
                  </pic:spPr>
                </pic:pic>
              </a:graphicData>
            </a:graphic>
          </wp:inline>
        </w:drawing>
      </w:r>
    </w:p>
    <w:p w:rsidR="00B41587" w:rsidRDefault="008F394C">
      <w:pPr>
        <w:keepNext/>
        <w:spacing w:after="0"/>
        <w:rPr>
          <w:noProof/>
          <w:sz w:val="20"/>
          <w:szCs w:val="20"/>
          <w:lang w:val="bg-BG"/>
        </w:rPr>
      </w:pPr>
      <w:r>
        <w:rPr>
          <w:i/>
          <w:noProof/>
          <w:sz w:val="20"/>
          <w:lang w:val="bg-BG"/>
        </w:rPr>
        <w:t>Източник:</w:t>
      </w:r>
      <w:r>
        <w:rPr>
          <w:noProof/>
          <w:sz w:val="20"/>
          <w:lang w:val="bg-BG"/>
        </w:rPr>
        <w:t xml:space="preserve"> Евростат, ЕЦБ, БМР, ОИСР и изчисления на службит</w:t>
      </w:r>
      <w:r>
        <w:rPr>
          <w:noProof/>
          <w:sz w:val="20"/>
          <w:lang w:val="bg-BG"/>
        </w:rPr>
        <w:t>е на Комисията.</w:t>
      </w:r>
    </w:p>
    <w:p w:rsidR="00B41587" w:rsidRDefault="008F394C">
      <w:pPr>
        <w:spacing w:before="0"/>
        <w:rPr>
          <w:noProof/>
          <w:sz w:val="20"/>
          <w:szCs w:val="20"/>
          <w:lang w:val="bg-BG"/>
        </w:rPr>
      </w:pPr>
      <w:r>
        <w:rPr>
          <w:i/>
          <w:noProof/>
          <w:sz w:val="20"/>
          <w:lang w:val="bg-BG"/>
        </w:rPr>
        <w:t>Бележка:</w:t>
      </w:r>
      <w:r>
        <w:rPr>
          <w:noProof/>
          <w:sz w:val="20"/>
          <w:lang w:val="bg-BG"/>
        </w:rPr>
        <w:t xml:space="preserve"> разликата в надценките е изчислена като средна стойност на три показателя: отклоненията на съотношението цена/доход и цена/наем от техните дългосрочни средни стойности и резултатите от фундаментален модел на разликите в оценките.</w:t>
      </w:r>
    </w:p>
    <w:p w:rsidR="00B41587" w:rsidRDefault="008F394C">
      <w:pPr>
        <w:rPr>
          <w:b/>
          <w:noProof/>
          <w:lang w:val="bg-BG"/>
        </w:rPr>
      </w:pPr>
      <w:r>
        <w:rPr>
          <w:b/>
          <w:noProof/>
          <w:lang w:val="bg-BG"/>
        </w:rPr>
        <w:t>О</w:t>
      </w:r>
      <w:r>
        <w:rPr>
          <w:b/>
          <w:noProof/>
          <w:lang w:val="bg-BG"/>
        </w:rPr>
        <w:t xml:space="preserve">тношението на дълга към БВП в момента се е увеличило в почти всички държави членки, но равнищата на дълга остават високи в повечето страни. </w:t>
      </w:r>
      <w:r>
        <w:rPr>
          <w:noProof/>
          <w:lang w:val="bg-BG"/>
        </w:rPr>
        <w:t>Стойностите в таблицата надхвърлиха прага в 16 държави членки през 2016 г., като този брой е по-нисък спрямо доклада</w:t>
      </w:r>
      <w:r>
        <w:rPr>
          <w:noProof/>
          <w:lang w:val="bg-BG"/>
        </w:rPr>
        <w:t xml:space="preserve"> за механизма за предупреждение за 2017 г., в който са 17 държави. За девет от тези държави членки държавният дълг, превишаващ 60 % от БВП, се съчетава с надхвърляща прага задлъжнялост на частния сектор, което означава, че е необходимо намаляване на задлъж</w:t>
      </w:r>
      <w:r>
        <w:rPr>
          <w:noProof/>
          <w:lang w:val="bg-BG"/>
        </w:rPr>
        <w:t>нялостта в цялата икономика. Съотношенията държавен дълг/БВП като цяло са низходящи в държавите членки с най-високи равнища на държавния дълг, с изключение на Франция и Италия. При все това често темпът на намаляване на задлъжнялостта е бавен: сред десетте</w:t>
      </w:r>
      <w:r>
        <w:rPr>
          <w:noProof/>
          <w:lang w:val="bg-BG"/>
        </w:rPr>
        <w:t xml:space="preserve"> държави членки с най-високи равнища на държавния дълг само Гърция, Кипър и Австрия се очаква да постигнат намаление от най-малко 10 процентни пункта на съотношението дълг/БВП от края на 2016 г. до 2019 г. Сред държавите членки с по-ниски равнища на задлъж</w:t>
      </w:r>
      <w:r>
        <w:rPr>
          <w:noProof/>
          <w:lang w:val="bg-BG"/>
        </w:rPr>
        <w:t>нялост съотношението  дълг/БВП се очаква да нарасне в Румъния и Люксембург. Като цяло, намаляването на задлъжнялостта на сектор „Държавно управление“ се осъществява в контекста на постепенното подобрение на бюджетните позиции през последните години и неотд</w:t>
      </w:r>
      <w:r>
        <w:rPr>
          <w:noProof/>
          <w:lang w:val="bg-BG"/>
        </w:rPr>
        <w:t>авнашното възобновяване на растежа. Това дава възможност да започне намаляване на съотношението държавен дълг/БВП въпреки лекото бюджетно разхлабване в редица страни.</w:t>
      </w:r>
    </w:p>
    <w:p w:rsidR="00B41587" w:rsidRDefault="00B41587">
      <w:pPr>
        <w:rPr>
          <w:b/>
          <w:noProof/>
          <w:lang w:val="bg-BG"/>
        </w:rPr>
      </w:pPr>
    </w:p>
    <w:p w:rsidR="00B41587" w:rsidRDefault="008F394C">
      <w:pPr>
        <w:spacing w:before="240"/>
        <w:rPr>
          <w:noProof/>
          <w:lang w:val="bg-BG"/>
        </w:rPr>
      </w:pPr>
      <w:r>
        <w:rPr>
          <w:noProof/>
          <w:lang w:val="bg-BG"/>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41587" w:rsidRPr="008F394C">
        <w:tc>
          <w:tcPr>
            <w:tcW w:w="9288" w:type="dxa"/>
            <w:shd w:val="clear" w:color="auto" w:fill="BFBFBF"/>
          </w:tcPr>
          <w:p w:rsidR="00B41587" w:rsidRDefault="008F394C">
            <w:pPr>
              <w:jc w:val="center"/>
              <w:rPr>
                <w:b/>
                <w:i/>
                <w:noProof/>
                <w:sz w:val="22"/>
                <w:szCs w:val="22"/>
                <w:lang w:val="bg-BG"/>
              </w:rPr>
            </w:pPr>
            <w:r>
              <w:rPr>
                <w:b/>
                <w:i/>
                <w:noProof/>
                <w:sz w:val="22"/>
                <w:lang w:val="bg-BG"/>
              </w:rPr>
              <w:t xml:space="preserve">Каре 2: </w:t>
            </w:r>
            <w:r>
              <w:rPr>
                <w:b/>
                <w:noProof/>
                <w:sz w:val="22"/>
                <w:lang w:val="bg-BG"/>
              </w:rPr>
              <w:t>Заетост и социални процеси</w:t>
            </w:r>
          </w:p>
          <w:p w:rsidR="00B41587" w:rsidRDefault="008F394C">
            <w:pPr>
              <w:autoSpaceDE w:val="0"/>
              <w:autoSpaceDN w:val="0"/>
              <w:adjustRightInd w:val="0"/>
              <w:spacing w:after="0"/>
              <w:rPr>
                <w:noProof/>
                <w:sz w:val="22"/>
                <w:szCs w:val="22"/>
                <w:lang w:val="bg-BG"/>
              </w:rPr>
            </w:pPr>
            <w:r>
              <w:rPr>
                <w:noProof/>
                <w:sz w:val="22"/>
                <w:lang w:val="bg-BG"/>
              </w:rPr>
              <w:t xml:space="preserve">Пазарите на труда в ЕС продължиха да се подобряват </w:t>
            </w:r>
            <w:r>
              <w:rPr>
                <w:noProof/>
                <w:sz w:val="22"/>
                <w:lang w:val="bg-BG"/>
              </w:rPr>
              <w:t>през 2016 г. и през първата половина на 2017 г., като равнището на безработицата продължи да спада, а различията между държавите членки спаднаха спрямо достигнатите високи равнища. Възстановяването, съпроводено от създаване на работни места, допринесе за п</w:t>
            </w:r>
            <w:r>
              <w:rPr>
                <w:noProof/>
                <w:sz w:val="22"/>
                <w:lang w:val="bg-BG"/>
              </w:rPr>
              <w:t>одобряване на социалното положение на фона на намаляване на дела на лицата, изложени на риск от бедност или социално изключване, което се дължи на спад в броя на домакинствата с ниска степен на трудова заетост и тежки материални лишения, докато равнището н</w:t>
            </w:r>
            <w:r>
              <w:rPr>
                <w:noProof/>
                <w:sz w:val="22"/>
                <w:lang w:val="bg-BG"/>
              </w:rPr>
              <w:t>а риска от изпадане в бедност (в парично изражение) се стабилизира.</w:t>
            </w:r>
            <w:r>
              <w:rPr>
                <w:rStyle w:val="FootnoteReference"/>
                <w:noProof/>
                <w:sz w:val="22"/>
                <w:lang w:val="bg-BG"/>
              </w:rPr>
              <w:t xml:space="preserve"> </w:t>
            </w:r>
            <w:r>
              <w:rPr>
                <w:noProof/>
                <w:sz w:val="22"/>
                <w:lang w:val="bg-BG"/>
              </w:rPr>
              <w:t xml:space="preserve">Социалните сътресения продължават да бъдат проблем в много държави членки с възможно </w:t>
            </w:r>
            <w:r>
              <w:rPr>
                <w:rFonts w:ascii="TimesNewRoman" w:hAnsi="TimesNewRoman"/>
                <w:noProof/>
                <w:color w:val="000000"/>
                <w:sz w:val="22"/>
                <w:lang w:val="bg-BG"/>
              </w:rPr>
              <w:t>отрицателно въздействие върху потенциалния растеж на БВП и последствия за коригирането на макроикономич</w:t>
            </w:r>
            <w:r>
              <w:rPr>
                <w:rFonts w:ascii="TimesNewRoman" w:hAnsi="TimesNewRoman"/>
                <w:noProof/>
                <w:color w:val="000000"/>
                <w:sz w:val="22"/>
                <w:lang w:val="bg-BG"/>
              </w:rPr>
              <w:t>еските дисбаланси, които заслужават внимание. Наскоро обявеният европейски стълб на социалните права може да действа като своеобразен компас за преодоляване на тези предизвикателства и за насърчаване на по-голямо социално сближаване в ЕС.</w:t>
            </w:r>
          </w:p>
          <w:p w:rsidR="00B41587" w:rsidRDefault="008F394C">
            <w:pPr>
              <w:autoSpaceDE w:val="0"/>
              <w:autoSpaceDN w:val="0"/>
              <w:adjustRightInd w:val="0"/>
              <w:spacing w:after="0"/>
              <w:rPr>
                <w:noProof/>
                <w:sz w:val="22"/>
                <w:szCs w:val="22"/>
                <w:lang w:val="bg-BG"/>
              </w:rPr>
            </w:pPr>
            <w:r>
              <w:rPr>
                <w:noProof/>
                <w:sz w:val="22"/>
                <w:lang w:val="bg-BG"/>
              </w:rPr>
              <w:t xml:space="preserve">През 2016 г. </w:t>
            </w:r>
            <w:r>
              <w:rPr>
                <w:i/>
                <w:noProof/>
                <w:sz w:val="22"/>
                <w:lang w:val="bg-BG"/>
              </w:rPr>
              <w:t>равнището на безработицата</w:t>
            </w:r>
            <w:r>
              <w:rPr>
                <w:noProof/>
                <w:sz w:val="22"/>
                <w:lang w:val="bg-BG"/>
              </w:rPr>
              <w:t xml:space="preserve"> е намаляло допълнително, но все още е високо или дори много високо в няколко държави — членки на ЕС. От 2015 г. до 2016 г. безработицата се е увеличила в само две държави членки — Австрия и Естония, макар и с ниски стартови равни</w:t>
            </w:r>
            <w:r>
              <w:rPr>
                <w:noProof/>
                <w:sz w:val="22"/>
                <w:lang w:val="bg-BG"/>
              </w:rPr>
              <w:t xml:space="preserve">ща. Най-големи подобрения се наблюдават в държавите с най-високо равнище на безработица (намаление от 2 или повече процентни пункта в Хърватия, Кипър и Испания). Въпреки това девет държави членки (Гърция, Испания, Франция, Хърватия, Италия, Кипър, Латвия, </w:t>
            </w:r>
            <w:r>
              <w:rPr>
                <w:noProof/>
                <w:sz w:val="22"/>
                <w:lang w:val="bg-BG"/>
              </w:rPr>
              <w:t xml:space="preserve">Португалия и Словакия) са надвишили прага на показателя в таблицата средно с 10 % през последните 3 години; намаление от 12 % през последните две ДМП. Освен това през 2016 г. равнищата на безработицата продължават да са по-високи, отколкото през 2008 г. в </w:t>
            </w:r>
            <w:r>
              <w:rPr>
                <w:noProof/>
                <w:sz w:val="22"/>
                <w:lang w:val="bg-BG"/>
              </w:rPr>
              <w:t>около две трети от държавите членки. Равнищата на безработица в ЕС (8,6 %) и в еврозоната (10 %) са били с около 2 процентни пункта под съответните пикове, достигнати през 2013 г., но съответно с 1,6 и 2,4 процентни пункта по-високи от стойностите за 2008 </w:t>
            </w:r>
            <w:r>
              <w:rPr>
                <w:noProof/>
                <w:sz w:val="22"/>
                <w:lang w:val="bg-BG"/>
              </w:rPr>
              <w:t xml:space="preserve">г. Безработицата продължи да намалява през първата половина на 2017 г. до 7,7 % в ЕС и 9,1 % в еврозоната до средата на 2017 г. </w:t>
            </w:r>
          </w:p>
          <w:p w:rsidR="00B41587" w:rsidRDefault="008F394C">
            <w:pPr>
              <w:autoSpaceDE w:val="0"/>
              <w:autoSpaceDN w:val="0"/>
              <w:adjustRightInd w:val="0"/>
              <w:spacing w:after="0"/>
              <w:rPr>
                <w:noProof/>
                <w:sz w:val="22"/>
                <w:szCs w:val="22"/>
                <w:lang w:val="bg-BG"/>
              </w:rPr>
            </w:pPr>
            <w:r>
              <w:rPr>
                <w:i/>
                <w:noProof/>
                <w:sz w:val="22"/>
                <w:lang w:val="bg-BG"/>
              </w:rPr>
              <w:t>Заетостта и равнищата на заетост</w:t>
            </w:r>
            <w:r>
              <w:rPr>
                <w:noProof/>
                <w:lang w:val="bg-BG"/>
              </w:rPr>
              <w:t xml:space="preserve"> </w:t>
            </w:r>
            <w:r>
              <w:rPr>
                <w:noProof/>
                <w:sz w:val="22"/>
                <w:lang w:val="bg-BG"/>
              </w:rPr>
              <w:t>се увеличиха в почти всички държави членки, което е продължение на положителното развитие през</w:t>
            </w:r>
            <w:r>
              <w:rPr>
                <w:noProof/>
                <w:sz w:val="22"/>
                <w:lang w:val="bg-BG"/>
              </w:rPr>
              <w:t xml:space="preserve"> последните години. Равнището на заетост (сред населението на възраст между 20 и 64 години) достигна 71,1 % през 2016 г. за ЕС като цяло, което е над върховата стойност преди кризата от 70,3 % през 2008 г. Равнището на заетост продължи да се увеличава през</w:t>
            </w:r>
            <w:r>
              <w:rPr>
                <w:noProof/>
                <w:sz w:val="22"/>
                <w:lang w:val="bg-BG"/>
              </w:rPr>
              <w:t xml:space="preserve"> второто тримесечие на 2017 г. до рекордните 72,2 %. В абсолютно изражение през 2016 г. броят на заетите лица е намалял само в Румъния и Латвия. </w:t>
            </w:r>
          </w:p>
          <w:p w:rsidR="00B41587" w:rsidRDefault="008F394C">
            <w:pPr>
              <w:autoSpaceDE w:val="0"/>
              <w:autoSpaceDN w:val="0"/>
              <w:adjustRightInd w:val="0"/>
              <w:spacing w:after="0"/>
              <w:rPr>
                <w:noProof/>
                <w:sz w:val="22"/>
                <w:szCs w:val="22"/>
                <w:lang w:val="bg-BG"/>
              </w:rPr>
            </w:pPr>
            <w:r>
              <w:rPr>
                <w:i/>
                <w:noProof/>
                <w:sz w:val="22"/>
                <w:lang w:val="bg-BG"/>
              </w:rPr>
              <w:t>Равнищата на активност</w:t>
            </w:r>
            <w:r>
              <w:rPr>
                <w:noProof/>
                <w:lang w:val="bg-BG"/>
              </w:rPr>
              <w:t xml:space="preserve"> </w:t>
            </w:r>
            <w:r>
              <w:rPr>
                <w:noProof/>
                <w:sz w:val="22"/>
                <w:lang w:val="bg-BG"/>
              </w:rPr>
              <w:t>са се увеличили почти навсякъде в ЕС. Само две държави са регистрирали спад в равнището на активност през последните три години: спадът в Кипър е достигнал точно индикативния праг от -0,2, а в Испания (-0.1) е бил дори по-нисък от него. Съвкупно през 2016 </w:t>
            </w:r>
            <w:r>
              <w:rPr>
                <w:noProof/>
                <w:sz w:val="22"/>
                <w:lang w:val="bg-BG"/>
              </w:rPr>
              <w:t>г. за ЕС и еврозоната равнищата на активност са били съответно 72,9 % и 72,9 %, т.е. 2.6 и 2.1 процентни пункта над равнищата от 2007 г. Нарастващата тенденция се дължи предимно на увеличаването на участието на пазара на труда на по-възрастните работници и</w:t>
            </w:r>
            <w:r>
              <w:rPr>
                <w:noProof/>
                <w:sz w:val="22"/>
                <w:lang w:val="bg-BG"/>
              </w:rPr>
              <w:t xml:space="preserve"> на жените. </w:t>
            </w:r>
          </w:p>
          <w:p w:rsidR="00B41587" w:rsidRDefault="008F394C">
            <w:pPr>
              <w:autoSpaceDE w:val="0"/>
              <w:autoSpaceDN w:val="0"/>
              <w:adjustRightInd w:val="0"/>
              <w:spacing w:after="0"/>
              <w:rPr>
                <w:noProof/>
                <w:sz w:val="22"/>
                <w:szCs w:val="22"/>
                <w:lang w:val="bg-BG"/>
              </w:rPr>
            </w:pPr>
            <w:r>
              <w:rPr>
                <w:i/>
                <w:noProof/>
                <w:sz w:val="22"/>
                <w:lang w:val="bg-BG"/>
              </w:rPr>
              <w:t>Дълготрайната безработица</w:t>
            </w:r>
            <w:r>
              <w:rPr>
                <w:noProof/>
                <w:lang w:val="bg-BG"/>
              </w:rPr>
              <w:t xml:space="preserve"> </w:t>
            </w:r>
            <w:r>
              <w:rPr>
                <w:noProof/>
                <w:sz w:val="22"/>
                <w:lang w:val="bg-BG"/>
              </w:rPr>
              <w:t>се е подобрила с известно закъснение след началото на възстановяването, но до 2016 г. подобрения вече могат да се видят в почти всички държави членки. Само две държави са отчели проценти, които са с поне 0,5 процентни</w:t>
            </w:r>
            <w:r>
              <w:rPr>
                <w:noProof/>
                <w:sz w:val="22"/>
                <w:lang w:val="bg-BG"/>
              </w:rPr>
              <w:t xml:space="preserve"> пункта по-високи отколкото преди три години. т.е. от прага в таблицата: в Австрия процентът се е увеличил до 1,9 %, а във Финландия с 2,3 %. Най-висок процент на дълготрайната безработица е отчетен в Гърция (17 %) и Испания (9,5 %). </w:t>
            </w:r>
          </w:p>
          <w:p w:rsidR="00B41587" w:rsidRDefault="008F394C">
            <w:pPr>
              <w:autoSpaceDE w:val="0"/>
              <w:autoSpaceDN w:val="0"/>
              <w:adjustRightInd w:val="0"/>
              <w:spacing w:after="0"/>
              <w:rPr>
                <w:noProof/>
                <w:sz w:val="22"/>
                <w:szCs w:val="22"/>
                <w:lang w:val="bg-BG"/>
              </w:rPr>
            </w:pPr>
            <w:r>
              <w:rPr>
                <w:i/>
                <w:noProof/>
                <w:sz w:val="22"/>
                <w:lang w:val="bg-BG"/>
              </w:rPr>
              <w:t>Равнището на младежка</w:t>
            </w:r>
            <w:r>
              <w:rPr>
                <w:i/>
                <w:noProof/>
                <w:sz w:val="22"/>
                <w:lang w:val="bg-BG"/>
              </w:rPr>
              <w:t>та безработицата</w:t>
            </w:r>
            <w:r>
              <w:rPr>
                <w:noProof/>
                <w:sz w:val="22"/>
                <w:lang w:val="bg-BG"/>
              </w:rPr>
              <w:t xml:space="preserve"> се е понижило във всички държави от ЕС за трите години до 2016 г., освен в Люксембург (където увеличението от 2,2 процентни пункта е малко над прага в таблицата от 2 процентни пункта) и в по-малка степен в Австрия и Финландия. Спад от 10 п</w:t>
            </w:r>
            <w:r>
              <w:rPr>
                <w:noProof/>
                <w:sz w:val="22"/>
                <w:lang w:val="bg-BG"/>
              </w:rPr>
              <w:t>роцентни пункта или повече през същия период е отчетен в държавите с най-висок процент (включително Гърция, Унгария, Испания и Хърватия), както и в България и Словакия. Процентът на младежката безработицата все още е над 30 % в Хърватия, Гърция, Италия и И</w:t>
            </w:r>
            <w:r>
              <w:rPr>
                <w:noProof/>
                <w:sz w:val="22"/>
                <w:lang w:val="bg-BG"/>
              </w:rPr>
              <w:t xml:space="preserve">спания, като делът на младите хора, незаети с работа, учене или обучение, все още е над 15 % в България, Хърватия, Кипър, Гърция, Италия и Румъния.  </w:t>
            </w:r>
          </w:p>
          <w:p w:rsidR="00B41587" w:rsidRDefault="008F394C">
            <w:pPr>
              <w:autoSpaceDE w:val="0"/>
              <w:autoSpaceDN w:val="0"/>
              <w:adjustRightInd w:val="0"/>
              <w:spacing w:after="0"/>
              <w:rPr>
                <w:noProof/>
                <w:sz w:val="22"/>
                <w:szCs w:val="22"/>
                <w:lang w:val="bg-BG"/>
              </w:rPr>
            </w:pPr>
            <w:r>
              <w:rPr>
                <w:noProof/>
                <w:sz w:val="22"/>
                <w:lang w:val="bg-BG"/>
              </w:rPr>
              <w:t>Социалното положение продължава да е източник на безпокойство в много държави — членки на ЕС. Между 2015 г</w:t>
            </w:r>
            <w:r>
              <w:rPr>
                <w:noProof/>
                <w:sz w:val="22"/>
                <w:lang w:val="bg-BG"/>
              </w:rPr>
              <w:t>. и 2016 г. делът на лицата, изложени на риск от бедност или социално изключване (ИРБИ), е намалял в около половината от държавите от ЕС и често с малък марж</w:t>
            </w:r>
            <w:r>
              <w:rPr>
                <w:rStyle w:val="FootnoteReference"/>
                <w:noProof/>
                <w:sz w:val="22"/>
                <w:lang w:val="bg-BG"/>
              </w:rPr>
              <w:footnoteReference w:id="18"/>
            </w:r>
            <w:r>
              <w:rPr>
                <w:noProof/>
                <w:sz w:val="22"/>
                <w:lang w:val="bg-BG"/>
              </w:rPr>
              <w:t>. През 2016 г. почти една четвърт от населението на ЕС е било изложено на риск от бедност или соци</w:t>
            </w:r>
            <w:r>
              <w:rPr>
                <w:noProof/>
                <w:sz w:val="22"/>
                <w:lang w:val="bg-BG"/>
              </w:rPr>
              <w:t>ално изключване. Равнищата варират значително от около 40 % в България и Румъния, следвани от Гърция с над 35 %, до около 13 % в Чешката република и 17 % в Дания, Финландия и Нидерландия. Люксембург и Румъния са отбелязали най-големи увеличения в процентит</w:t>
            </w:r>
            <w:r>
              <w:rPr>
                <w:noProof/>
                <w:sz w:val="22"/>
                <w:lang w:val="bg-BG"/>
              </w:rPr>
              <w:t>е на ИРБИ в периода между 2015 г. и 2016 г., докато в Унгария, Латвия и Малта се наблюдават най-отчетлива намаления. Въпреки че разполагаемият доход на домакинствата се е увеличил, той все още не е достигнал равнището си в реално изражение от 2008 г. в мно</w:t>
            </w:r>
            <w:r>
              <w:rPr>
                <w:noProof/>
                <w:sz w:val="22"/>
                <w:lang w:val="bg-BG"/>
              </w:rPr>
              <w:t>го държави членки.</w:t>
            </w:r>
          </w:p>
          <w:p w:rsidR="00B41587" w:rsidRDefault="008F394C">
            <w:pPr>
              <w:autoSpaceDE w:val="0"/>
              <w:autoSpaceDN w:val="0"/>
              <w:adjustRightInd w:val="0"/>
              <w:spacing w:after="0"/>
              <w:rPr>
                <w:noProof/>
                <w:lang w:val="bg-BG"/>
              </w:rPr>
            </w:pPr>
            <w:r>
              <w:rPr>
                <w:noProof/>
                <w:sz w:val="22"/>
                <w:lang w:val="bg-BG"/>
              </w:rPr>
              <w:t>Общите изменения на ИРБИ отразяват различни промени на отделните ѝ компоненти. Делът на лицата, изложени на риск от в бедност (ИРБ) намалява в повечето държави членки през 2016 г., но се е увеличил в повечето държави от ЕС през последнит</w:t>
            </w:r>
            <w:r>
              <w:rPr>
                <w:noProof/>
                <w:sz w:val="22"/>
                <w:lang w:val="bg-BG"/>
              </w:rPr>
              <w:t>е години: най-голямо увеличение на ИРБ за период от три години е отчетено в Естония, Латвия, Нидерландия и Румъния, докато значително понижение е регистрирано в Гърция, макар и над средното ниво. За разлика от това, тежките материални лишения са намалели п</w:t>
            </w:r>
            <w:r>
              <w:rPr>
                <w:noProof/>
                <w:sz w:val="22"/>
                <w:lang w:val="bg-BG"/>
              </w:rPr>
              <w:t>рез последните три години, както и само през 2016 г., в почти всички държави — членки на ЕС: равнището е спаднало с 10 процентни пункта за период от три години в България, Унгария и Латвия. И накрая, възстановяването е довело до намаляване на дела на лицат</w:t>
            </w:r>
            <w:r>
              <w:rPr>
                <w:noProof/>
                <w:sz w:val="22"/>
                <w:lang w:val="bg-BG"/>
              </w:rPr>
              <w:t>а (на възраст под 60 години), живеещи в домакинства с много нисък интензитет на икономическа активност, в повечето държави — членки на ЕС, по-специално в Унгария, Португалия, Латвия и Естония, но все още има държави, в които този дял се е увеличил през 201</w:t>
            </w:r>
            <w:r>
              <w:rPr>
                <w:noProof/>
                <w:sz w:val="22"/>
                <w:lang w:val="bg-BG"/>
              </w:rPr>
              <w:t>6 г., а именно Литва, Финландия, Гърция и Румъния.</w:t>
            </w:r>
          </w:p>
        </w:tc>
      </w:tr>
    </w:tbl>
    <w:p w:rsidR="00B41587" w:rsidRDefault="00B41587">
      <w:pPr>
        <w:rPr>
          <w:b/>
          <w:noProof/>
          <w:lang w:val="bg-BG"/>
        </w:rPr>
      </w:pPr>
    </w:p>
    <w:p w:rsidR="00B41587" w:rsidRDefault="00B41587">
      <w:pPr>
        <w:rPr>
          <w:b/>
          <w:noProof/>
          <w:lang w:val="bg-BG"/>
        </w:rPr>
      </w:pPr>
    </w:p>
    <w:p w:rsidR="00B41587" w:rsidRDefault="008F394C">
      <w:pPr>
        <w:rPr>
          <w:noProof/>
          <w:lang w:val="bg-BG"/>
        </w:rPr>
      </w:pPr>
      <w:r>
        <w:rPr>
          <w:b/>
          <w:noProof/>
          <w:lang w:val="bg-BG"/>
        </w:rPr>
        <w:t>Като цяло в редица държави членки има рискове и уязвими области в резултат на наследени проблеми и/или на последните тенденции.</w:t>
      </w:r>
      <w:r>
        <w:rPr>
          <w:noProof/>
          <w:lang w:val="bg-BG"/>
        </w:rPr>
        <w:t xml:space="preserve"> Мащабът им и наложителността от формиране на адекватни политически отговор</w:t>
      </w:r>
      <w:r>
        <w:rPr>
          <w:noProof/>
          <w:lang w:val="bg-BG"/>
        </w:rPr>
        <w:t>и се различават в различните държави членки в зависимост от естеството на уязвимата област или неустойчивите тенденции, както и в зависимост от това дали рисковете са ограничени до един сектор от икономиката или засягат и други:</w:t>
      </w:r>
    </w:p>
    <w:p w:rsidR="00B41587" w:rsidRDefault="008F394C">
      <w:pPr>
        <w:numPr>
          <w:ilvl w:val="0"/>
          <w:numId w:val="2"/>
        </w:numPr>
        <w:rPr>
          <w:noProof/>
          <w:lang w:val="bg-BG"/>
        </w:rPr>
      </w:pPr>
      <w:r>
        <w:rPr>
          <w:noProof/>
          <w:lang w:val="bg-BG"/>
        </w:rPr>
        <w:t>Редица държави членки са за</w:t>
      </w:r>
      <w:r>
        <w:rPr>
          <w:noProof/>
          <w:lang w:val="bg-BG"/>
        </w:rPr>
        <w:t xml:space="preserve">сегнати от </w:t>
      </w:r>
      <w:r>
        <w:rPr>
          <w:i/>
          <w:noProof/>
          <w:lang w:val="bg-BG"/>
        </w:rPr>
        <w:t>множество и взаимосвързани уязвими области</w:t>
      </w:r>
      <w:r>
        <w:rPr>
          <w:noProof/>
          <w:lang w:val="bg-BG"/>
        </w:rPr>
        <w:t>. Такъв е случаят на държавите, които са засегнати най-тежко от кредитните цикли на бърз растеж и силна рецесия —</w:t>
      </w:r>
      <w:r>
        <w:rPr>
          <w:noProof/>
          <w:lang w:val="bg-BG"/>
        </w:rPr>
        <w:noBreakHyphen/>
        <w:t xml:space="preserve"> често в резултат на проблеми, свързани с платежоспособността и ликвидността в банковия и</w:t>
      </w:r>
      <w:r>
        <w:rPr>
          <w:noProof/>
          <w:lang w:val="bg-BG"/>
        </w:rPr>
        <w:t>м сектор — и от най-резките обезценки на позициите на текущите сметки. В случая на Кипър, Гърция</w:t>
      </w:r>
      <w:r>
        <w:rPr>
          <w:rStyle w:val="FootnoteReference"/>
          <w:noProof/>
          <w:lang w:val="bg-BG"/>
        </w:rPr>
        <w:footnoteReference w:id="19"/>
      </w:r>
      <w:r>
        <w:rPr>
          <w:noProof/>
          <w:lang w:val="bg-BG"/>
        </w:rPr>
        <w:t xml:space="preserve"> и Португалия високата задлъжнялост на частния сектор се съчетава с високи равнища на публична задлъжнялост, големи отрицателни нетни международни инвестиционн</w:t>
      </w:r>
      <w:r>
        <w:rPr>
          <w:noProof/>
          <w:lang w:val="bg-BG"/>
        </w:rPr>
        <w:t>и позиции и нерешени проблеми в рамките на банковата система. Тези държави все още се сблъскват с проблема как да се справят с необходимото значително намаляване на задлъжнялостта в условията на ограничено фискално пространство, високо (макар и намаляващо)</w:t>
      </w:r>
      <w:r>
        <w:rPr>
          <w:noProof/>
          <w:lang w:val="bg-BG"/>
        </w:rPr>
        <w:t xml:space="preserve"> равнище на безработицата и нисък растеж на номиналния БВП. В България, Хърватия, Ирландия, Словения и Испания уязвимите области също са многобройни и взаимосвързани и, с изключение евентуално на България, имат съществен аспект по отношение на дисбаланса. </w:t>
      </w:r>
      <w:r>
        <w:rPr>
          <w:noProof/>
          <w:lang w:val="bg-BG"/>
        </w:rPr>
        <w:t>Въпреки това в тези държави е постигнат по-бърз напредък в преодоляването им отколкото в държавите, споменати по-горе.</w:t>
      </w:r>
    </w:p>
    <w:p w:rsidR="00B41587" w:rsidRDefault="008F394C">
      <w:pPr>
        <w:numPr>
          <w:ilvl w:val="0"/>
          <w:numId w:val="2"/>
        </w:numPr>
        <w:rPr>
          <w:noProof/>
          <w:lang w:val="bg-BG"/>
        </w:rPr>
      </w:pPr>
      <w:r>
        <w:rPr>
          <w:noProof/>
          <w:lang w:val="bg-BG"/>
        </w:rPr>
        <w:t xml:space="preserve">В някои държави членки уязвимостта е продиктувана главно от </w:t>
      </w:r>
      <w:r>
        <w:rPr>
          <w:i/>
          <w:noProof/>
          <w:lang w:val="bg-BG"/>
        </w:rPr>
        <w:t>големия размер на консолидирания държавен дълг</w:t>
      </w:r>
      <w:r>
        <w:rPr>
          <w:noProof/>
          <w:lang w:val="bg-BG"/>
        </w:rPr>
        <w:t xml:space="preserve"> и опасения във връзка с</w:t>
      </w:r>
      <w:r>
        <w:rPr>
          <w:i/>
          <w:noProof/>
          <w:lang w:val="bg-BG"/>
        </w:rPr>
        <w:t xml:space="preserve"> потенц</w:t>
      </w:r>
      <w:r>
        <w:rPr>
          <w:i/>
          <w:noProof/>
          <w:lang w:val="bg-BG"/>
        </w:rPr>
        <w:t>иалния ръст на производството</w:t>
      </w:r>
      <w:r>
        <w:rPr>
          <w:noProof/>
          <w:lang w:val="bg-BG"/>
        </w:rPr>
        <w:t xml:space="preserve"> и </w:t>
      </w:r>
      <w:r>
        <w:rPr>
          <w:i/>
          <w:noProof/>
          <w:lang w:val="bg-BG"/>
        </w:rPr>
        <w:t>конкурентоспособността</w:t>
      </w:r>
      <w:r>
        <w:rPr>
          <w:noProof/>
          <w:lang w:val="bg-BG"/>
        </w:rPr>
        <w:t>. Такъв е по-специално случаят с Италия, където уязвимите области са свързани също така с банковия сектор, по-специално с големия запас от необслужвани заеми. Белгия и Франция също са изправени пред про</w:t>
      </w:r>
      <w:r>
        <w:rPr>
          <w:noProof/>
          <w:lang w:val="bg-BG"/>
        </w:rPr>
        <w:t>блеми, свързани с големия консолидиран държавен дълг и потенциалния растеж, но те не са застрашени от подобни потенциални рискове, произтичащи от уязвими банки.</w:t>
      </w:r>
    </w:p>
    <w:p w:rsidR="00B41587" w:rsidRDefault="008F394C">
      <w:pPr>
        <w:numPr>
          <w:ilvl w:val="0"/>
          <w:numId w:val="2"/>
        </w:numPr>
        <w:rPr>
          <w:noProof/>
          <w:lang w:val="bg-BG"/>
        </w:rPr>
      </w:pPr>
      <w:r>
        <w:rPr>
          <w:noProof/>
          <w:lang w:val="bg-BG"/>
        </w:rPr>
        <w:t xml:space="preserve">За някои държави членки са характерни </w:t>
      </w:r>
      <w:r>
        <w:rPr>
          <w:i/>
          <w:noProof/>
          <w:lang w:val="bg-BG"/>
        </w:rPr>
        <w:t>големите и устойчиви излишъци по текущата сметка</w:t>
      </w:r>
      <w:r>
        <w:rPr>
          <w:noProof/>
          <w:lang w:val="bg-BG"/>
        </w:rPr>
        <w:t>, които м</w:t>
      </w:r>
      <w:r>
        <w:rPr>
          <w:noProof/>
          <w:lang w:val="bg-BG"/>
        </w:rPr>
        <w:t>акар да отразяват тяхната силна конкурентоспособност, също показват в различна степен спад в частното потребление и инвестициите. Такъв е случаят по-специално с Дания, Германия, Нидерландия, както и Швеция. В случая с Германия това е съчетано с тенденция к</w:t>
      </w:r>
      <w:r>
        <w:rPr>
          <w:noProof/>
          <w:lang w:val="bg-BG"/>
        </w:rPr>
        <w:t>ъм намаляване на задлъжнялостта във всички сектори на икономиката, въпреки че равнищата на задлъжнялост не са сравнително високи. Големите и устойчиви излишъци може да означават пропуснати възможности за растеж и вътрешни инвестиции. Освен това недостатъци</w:t>
      </w:r>
      <w:r>
        <w:rPr>
          <w:noProof/>
          <w:lang w:val="bg-BG"/>
        </w:rPr>
        <w:t>те в съвкупното търсене имат последици за останалата част на еврозоната в условията на продължаващ застой на дейността и инфлация под целевата стойност.</w:t>
      </w:r>
    </w:p>
    <w:p w:rsidR="00B41587" w:rsidRDefault="008F394C">
      <w:pPr>
        <w:numPr>
          <w:ilvl w:val="0"/>
          <w:numId w:val="2"/>
        </w:numPr>
        <w:rPr>
          <w:noProof/>
          <w:lang w:val="bg-BG"/>
        </w:rPr>
      </w:pPr>
      <w:r>
        <w:rPr>
          <w:noProof/>
          <w:lang w:val="bg-BG"/>
        </w:rPr>
        <w:t xml:space="preserve">В някои държави членки </w:t>
      </w:r>
      <w:r>
        <w:rPr>
          <w:i/>
          <w:noProof/>
          <w:lang w:val="bg-BG"/>
        </w:rPr>
        <w:t>развитието на цените или данните за разходи показват потенциални признаци на пре</w:t>
      </w:r>
      <w:r>
        <w:rPr>
          <w:i/>
          <w:noProof/>
          <w:lang w:val="bg-BG"/>
        </w:rPr>
        <w:t>гряване, особено по отношение на жилищния пазар или на пазара на труда</w:t>
      </w:r>
      <w:r>
        <w:rPr>
          <w:noProof/>
          <w:lang w:val="bg-BG"/>
        </w:rPr>
        <w:t>. В Швеция, както и в Австрия, Дания, Люксембург, Нидерландия и Обединеното кралство, ценовият натиск е свързан главно с жилищния сектор в съчетание със значителни равнища на задлъжнялос</w:t>
      </w:r>
      <w:r>
        <w:rPr>
          <w:noProof/>
          <w:lang w:val="bg-BG"/>
        </w:rPr>
        <w:t>т на домакинствата. В Естония, Унгария, Латвия, Литва и Румъния разходите за единица труд продължават да нарастват с относително силни темпове, а ценовата конкурентоспособност намалява. В тези страни, особено в Румъния и Унгария, е отчетено повишаване на р</w:t>
      </w:r>
      <w:r>
        <w:rPr>
          <w:noProof/>
          <w:lang w:val="bg-BG"/>
        </w:rPr>
        <w:t>азходите за единица труд в контекста на проциклична фискална политика, което би могло да засили евентуалния натиск към прегряване.</w:t>
      </w:r>
    </w:p>
    <w:p w:rsidR="00B41587" w:rsidRDefault="008F394C">
      <w:pPr>
        <w:rPr>
          <w:noProof/>
          <w:lang w:val="bg-BG"/>
        </w:rPr>
      </w:pPr>
      <w:r>
        <w:rPr>
          <w:b/>
          <w:noProof/>
          <w:lang w:val="bg-BG"/>
        </w:rPr>
        <w:t>Като цяло са необходими задълбочени прегледи (ЗП) за 12 държави членки: България, Хърватия, Кипър, Франция, Германия, Ирланди</w:t>
      </w:r>
      <w:r>
        <w:rPr>
          <w:b/>
          <w:noProof/>
          <w:lang w:val="bg-BG"/>
        </w:rPr>
        <w:t>я, Италия, Нидерландия, Португалия, Словения, Испания и Швеция.</w:t>
      </w:r>
      <w:r>
        <w:rPr>
          <w:noProof/>
          <w:lang w:val="bg-BG"/>
        </w:rPr>
        <w:t xml:space="preserve"> Всички тези държави бяха подложени на ЗП в предходния цикъл, по време на който като цяло бяха изготвени ЗП за 13 държави. Въпреки че броят на държавите членки, подложени на задълбочен преглед,</w:t>
      </w:r>
      <w:r>
        <w:rPr>
          <w:noProof/>
          <w:lang w:val="bg-BG"/>
        </w:rPr>
        <w:t xml:space="preserve"> е леко по-нисък в сравнение с миналата година, възникват нови възможни рискове в редица държави, за които ЗП на този етап не е необходим, поради което развитието ще продължи да бъде предмет на мониторинг, както е посочено в раздел 3. Във връзка с ДМО за 2</w:t>
      </w:r>
      <w:r>
        <w:rPr>
          <w:noProof/>
          <w:lang w:val="bg-BG"/>
        </w:rPr>
        <w:t xml:space="preserve">017 г. е постигнат допълнителен напредък в отстраняването на външните дисбаланси на държавите нетни кредитополучатели, а пазарите на труда и условията за растеж продължават да се подобряват като цяло. По-неравномерен напредък се наблюдава в преодоляването </w:t>
      </w:r>
      <w:r>
        <w:rPr>
          <w:noProof/>
          <w:lang w:val="bg-BG"/>
        </w:rPr>
        <w:t xml:space="preserve">и предотвратяването на дисбалансите, свързани с вътрешната динамика и секторния дълг. Предвид факта, че вътрешните и външните дисбаланси се коригират бавно, те остават източник на рискове и уязвими области в много държави членки, като освен това пречат на </w:t>
      </w:r>
      <w:r>
        <w:rPr>
          <w:noProof/>
          <w:lang w:val="bg-BG"/>
        </w:rPr>
        <w:t xml:space="preserve">перспективите за инвестиции и икономическото възстановяване. Без засилване на дългосрочните двигатели на растежа, като инвестициите, производителността и равнищата на заетост, подобряващите се циклични условия могат да се окажат недостатъчни за привеждане </w:t>
      </w:r>
      <w:r>
        <w:rPr>
          <w:noProof/>
          <w:lang w:val="bg-BG"/>
        </w:rPr>
        <w:t>на настоящите натрупани дисбаланси в разумни граници. В същото време подобряването на цикличните условия допринася за създаването на напрежение върху местните цени, разходите и жилищния пазар, което налага внимателно наблюдение в някои държави.</w:t>
      </w:r>
    </w:p>
    <w:p w:rsidR="00B41587" w:rsidRDefault="008F394C">
      <w:pPr>
        <w:pStyle w:val="Heading1"/>
        <w:rPr>
          <w:lang w:val="bg-BG"/>
        </w:rPr>
      </w:pPr>
      <w:r>
        <w:rPr>
          <w:lang w:val="bg-BG"/>
        </w:rPr>
        <w:br w:type="page"/>
        <w:t>3.</w:t>
      </w:r>
      <w:r>
        <w:rPr>
          <w:lang w:val="bg-BG"/>
        </w:rPr>
        <w:tab/>
      </w:r>
      <w:r>
        <w:rPr>
          <w:lang w:val="bg-BG"/>
        </w:rPr>
        <w:t>Дисбаланси, рискове и корекции: специфични за всяка държава коментари</w:t>
      </w:r>
    </w:p>
    <w:p w:rsidR="00B41587" w:rsidRDefault="00B41587">
      <w:pPr>
        <w:autoSpaceDE w:val="0"/>
        <w:autoSpaceDN w:val="0"/>
        <w:adjustRightInd w:val="0"/>
        <w:rPr>
          <w:b/>
          <w:bCs/>
          <w:iCs/>
          <w:noProof/>
          <w:lang w:val="bg-BG"/>
        </w:rPr>
      </w:pPr>
    </w:p>
    <w:p w:rsidR="00B41587" w:rsidRDefault="008F394C">
      <w:pPr>
        <w:autoSpaceDE w:val="0"/>
        <w:autoSpaceDN w:val="0"/>
        <w:adjustRightInd w:val="0"/>
        <w:rPr>
          <w:iCs/>
          <w:noProof/>
          <w:lang w:val="bg-BG"/>
        </w:rPr>
      </w:pPr>
      <w:r>
        <w:rPr>
          <w:b/>
          <w:noProof/>
          <w:lang w:val="bg-BG"/>
        </w:rPr>
        <w:t xml:space="preserve">Белгия: </w:t>
      </w:r>
      <w:r>
        <w:rPr>
          <w:noProof/>
          <w:lang w:val="bg-BG"/>
        </w:rPr>
        <w:t xml:space="preserve">При предходната ПМД в Белгия </w:t>
      </w:r>
      <w:r>
        <w:rPr>
          <w:i/>
          <w:noProof/>
          <w:lang w:val="bg-BG"/>
        </w:rPr>
        <w:t>не бяха установени макроикономически дисбаланси</w:t>
      </w:r>
      <w:r>
        <w:rPr>
          <w:noProof/>
          <w:lang w:val="bg-BG"/>
        </w:rPr>
        <w:t xml:space="preserve">. В </w:t>
      </w:r>
      <w:r>
        <w:rPr>
          <w:noProof/>
        </w:rPr>
        <w:drawing>
          <wp:anchor distT="0" distB="0" distL="114300" distR="114300" simplePos="0" relativeHeight="251696128" behindDoc="0" locked="0" layoutInCell="1" allowOverlap="1">
            <wp:simplePos x="0" y="0"/>
            <wp:positionH relativeFrom="column">
              <wp:posOffset>2701925</wp:posOffset>
            </wp:positionH>
            <wp:positionV relativeFrom="line">
              <wp:posOffset>370205</wp:posOffset>
            </wp:positionV>
            <wp:extent cx="3129280" cy="2759075"/>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129280" cy="2759075"/>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 xml:space="preserve">актуализираната таблица няколко от показателите превишават индикативния праг, а именно частният </w:t>
      </w:r>
      <w:r>
        <w:rPr>
          <w:noProof/>
          <w:lang w:val="bg-BG"/>
        </w:rPr>
        <w:t xml:space="preserve">дълг и държавният дълг. </w:t>
      </w:r>
    </w:p>
    <w:p w:rsidR="00B41587" w:rsidRDefault="008F394C">
      <w:pPr>
        <w:autoSpaceDE w:val="0"/>
        <w:autoSpaceDN w:val="0"/>
        <w:adjustRightInd w:val="0"/>
        <w:rPr>
          <w:iCs/>
          <w:noProof/>
          <w:lang w:val="bg-BG"/>
        </w:rPr>
      </w:pPr>
      <w:r>
        <w:rPr>
          <w:noProof/>
          <w:lang w:val="bg-BG"/>
        </w:rPr>
        <w:t>Външната устойчивост се основава на много благоприятна нетна международна инвестиционна позиция и позиция на текущата сметка, близка до равновесие. На фона на печалбите през 2016 г. натрупаните загуби на експортни пазарни дялове бя</w:t>
      </w:r>
      <w:r>
        <w:rPr>
          <w:noProof/>
          <w:lang w:val="bg-BG"/>
        </w:rPr>
        <w:t>ха значително намалени. Номиналните разходи за единица труд са били намалени, но се очаква да нараснат в бъдеще. Дългът на частния сектор продължава да бъде сравнително висок, особено за нефинансовите предприятия, въпреки че широко разпространеното взаимно</w:t>
      </w:r>
      <w:r>
        <w:rPr>
          <w:noProof/>
          <w:lang w:val="bg-BG"/>
        </w:rPr>
        <w:t xml:space="preserve"> кредитиране вътре в рамките на групите завишава стойностите на дълга. Рисковете, свързани със задлъжнялостта на домакинствата, се дължат предимно на пазара на жилища. Реалните цени на жилищата са относително непроменени през последните години, което означ</w:t>
      </w:r>
      <w:r>
        <w:rPr>
          <w:noProof/>
          <w:lang w:val="bg-BG"/>
        </w:rPr>
        <w:t xml:space="preserve">ава, че не е осъществена никаква корекция за неутрализиране на бързото повишаване преди 2008 г. Държавният дълг се очаква бавно да спадне от високите равнища и продължава да представлява основно предизвикателство за дългосрочната устойчивост на публичните </w:t>
      </w:r>
      <w:r>
        <w:rPr>
          <w:noProof/>
          <w:lang w:val="bg-BG"/>
        </w:rPr>
        <w:t>финанси. Публичното потребление е в застой в резултат на продължаващата консолидация на публичните финанси. Създаването на работни места остава силно, като дълготрайната безработица, както и високата и трайна младежка безработица намаляват.</w:t>
      </w:r>
    </w:p>
    <w:p w:rsidR="00B41587" w:rsidRDefault="008F394C">
      <w:pPr>
        <w:autoSpaceDE w:val="0"/>
        <w:autoSpaceDN w:val="0"/>
        <w:adjustRightInd w:val="0"/>
        <w:rPr>
          <w:i/>
          <w:iCs/>
          <w:noProof/>
          <w:lang w:val="bg-BG"/>
        </w:rPr>
      </w:pPr>
      <w:r>
        <w:rPr>
          <w:i/>
          <w:noProof/>
          <w:lang w:val="bg-BG"/>
        </w:rPr>
        <w:t xml:space="preserve">Като цяло при </w:t>
      </w:r>
      <w:r>
        <w:rPr>
          <w:i/>
          <w:noProof/>
          <w:lang w:val="bg-BG"/>
        </w:rPr>
        <w:t>икономическия анализ се открояват проблеми, свързани с публичната задлъжнялост, въпреки че рисковете, свързани с тях, остават ограничени. Поради това Комисията на този етап няма да извършва допълнителен задълбочен анализ в контекста на ПМД.</w:t>
      </w:r>
    </w:p>
    <w:p w:rsidR="00B41587" w:rsidRDefault="00B41587">
      <w:pPr>
        <w:spacing w:after="240"/>
        <w:rPr>
          <w:i/>
          <w:noProof/>
          <w:lang w:val="bg-BG"/>
        </w:rPr>
      </w:pPr>
    </w:p>
    <w:p w:rsidR="00B41587" w:rsidRDefault="008F394C">
      <w:pPr>
        <w:rPr>
          <w:b/>
          <w:noProof/>
          <w:lang w:val="bg-BG"/>
        </w:rPr>
      </w:pPr>
      <w:r>
        <w:rPr>
          <w:b/>
          <w:noProof/>
          <w:lang w:val="bg-BG"/>
        </w:rPr>
        <w:t>България:</w:t>
      </w:r>
      <w:r>
        <w:rPr>
          <w:noProof/>
          <w:lang w:val="bg-BG"/>
        </w:rPr>
        <w:t xml:space="preserve"> През</w:t>
      </w:r>
      <w:r>
        <w:rPr>
          <w:noProof/>
          <w:lang w:val="bg-BG"/>
        </w:rPr>
        <w:t xml:space="preserve"> февруари 2017 г. Комисията заключи, че в България </w:t>
      </w:r>
      <w:r>
        <w:rPr>
          <w:i/>
          <w:noProof/>
          <w:lang w:val="bg-BG"/>
        </w:rPr>
        <w:t>съществуват прекомерни макроикономически дисбаланси</w:t>
      </w:r>
      <w:r>
        <w:rPr>
          <w:noProof/>
          <w:lang w:val="bg-BG"/>
        </w:rPr>
        <w:t>, включващи по-специално зони на уязвимост във финансовия сектор, съчетани с висока корпоративна задлъжнялост в условията на непълна корекция на пазара на</w:t>
      </w:r>
      <w:r>
        <w:rPr>
          <w:noProof/>
          <w:lang w:val="bg-BG"/>
        </w:rPr>
        <w:t xml:space="preserve"> труда. В актуализирания вариант на таблицата няколко от показателите превишават индикативния праг, по-специално нетната международна инвестиционна позиция (НМИП) и ръстът на реалните цени на жилищата.</w:t>
      </w:r>
    </w:p>
    <w:p w:rsidR="00B41587" w:rsidRDefault="008F394C">
      <w:pPr>
        <w:widowControl w:val="0"/>
        <w:rPr>
          <w:noProof/>
          <w:spacing w:val="-2"/>
          <w:lang w:val="bg-BG"/>
        </w:rPr>
      </w:pPr>
      <w:r>
        <w:rPr>
          <w:noProof/>
          <w:spacing w:val="-2"/>
        </w:rPr>
        <w:drawing>
          <wp:anchor distT="0" distB="0" distL="114300" distR="114300" simplePos="0" relativeHeight="251697152" behindDoc="0" locked="0" layoutInCell="1" allowOverlap="1">
            <wp:simplePos x="0" y="0"/>
            <wp:positionH relativeFrom="column">
              <wp:posOffset>2924175</wp:posOffset>
            </wp:positionH>
            <wp:positionV relativeFrom="line">
              <wp:posOffset>85090</wp:posOffset>
            </wp:positionV>
            <wp:extent cx="2807335" cy="27432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807335" cy="2743200"/>
                    </a:xfrm>
                    <a:prstGeom prst="rect">
                      <a:avLst/>
                    </a:prstGeom>
                  </pic:spPr>
                </pic:pic>
              </a:graphicData>
            </a:graphic>
            <wp14:sizeRelH relativeFrom="page">
              <wp14:pctWidth>0</wp14:pctWidth>
            </wp14:sizeRelH>
            <wp14:sizeRelV relativeFrom="page">
              <wp14:pctHeight>0</wp14:pctHeight>
            </wp14:sizeRelV>
          </wp:anchor>
        </w:drawing>
      </w:r>
      <w:r>
        <w:rPr>
          <w:noProof/>
          <w:spacing w:val="-2"/>
          <w:lang w:val="bg-BG"/>
        </w:rPr>
        <w:t>Отрицателната НМИП все още е над прага, но продължава</w:t>
      </w:r>
      <w:r>
        <w:rPr>
          <w:noProof/>
          <w:spacing w:val="-2"/>
          <w:lang w:val="bg-BG"/>
        </w:rPr>
        <w:t xml:space="preserve"> да се подобрява, като по текущата сметка е отчетен значителен излишък. Като отражение на наваксването, по-голямата част от НМИП се отнася до пасивите по нетните преки чуждестранни инвестиции, което смекчава външните рискове. Подобренията във външната пози</w:t>
      </w:r>
      <w:r>
        <w:rPr>
          <w:noProof/>
          <w:spacing w:val="-2"/>
          <w:lang w:val="bg-BG"/>
        </w:rPr>
        <w:t>ция са подкрепени от разширяването на експортните пазарни дялове, отчетено през последните няколко години. Частната задлъжнялост продължава да буди безпокойство, по-специално за нефинансовите предприятия, където равнището на необслужваните заеми продължава</w:t>
      </w:r>
      <w:r>
        <w:rPr>
          <w:noProof/>
          <w:spacing w:val="-2"/>
          <w:lang w:val="bg-BG"/>
        </w:rPr>
        <w:t xml:space="preserve"> да е високо въпреки продължаващия процес на намаляване на задлъжнялостта. Реалните цени на жилищата бележат значителен ръст през 2016 г. и се налага да бъдат следени отблизо. Предприети са ранни действия за преодоляване на зоните на уязвимост във финансов</w:t>
      </w:r>
      <w:r>
        <w:rPr>
          <w:noProof/>
          <w:spacing w:val="-2"/>
          <w:lang w:val="bg-BG"/>
        </w:rPr>
        <w:t xml:space="preserve">ия сектор. При все това и въпреки благоприятната макроикономическа среда, функционирането на сектора все още е възпрепятствано от продължаващите опасения във връзка с лошото управление, качеството на активите и надзора. Възстановяването на пазара на труда </w:t>
      </w:r>
      <w:r>
        <w:rPr>
          <w:noProof/>
          <w:spacing w:val="-2"/>
          <w:lang w:val="bg-BG"/>
        </w:rPr>
        <w:t>продължава, като безработицата се очаква да спадне през прогнозния период. Въпреки това постоянните структурни проблеми, като например високият дял на дълготрайно безработните лица, както и несъответствието между търсените и предлаганите умения и квалифика</w:t>
      </w:r>
      <w:r>
        <w:rPr>
          <w:noProof/>
          <w:spacing w:val="-2"/>
          <w:lang w:val="bg-BG"/>
        </w:rPr>
        <w:t>ции, водят до недостатъчно използване на човешкия капитал и се отразяват върху заетостта. Междувременно заплатите и разходите за труд имат тенденция към увеличение, по-конкретно поради недостатъчното предлагане в някои сектори и поради плановете за допълни</w:t>
      </w:r>
      <w:r>
        <w:rPr>
          <w:noProof/>
          <w:spacing w:val="-2"/>
          <w:lang w:val="bg-BG"/>
        </w:rPr>
        <w:t>телно увеличаване на минималната работна заплата през периода 2018—2020 г.</w:t>
      </w:r>
    </w:p>
    <w:p w:rsidR="00B41587" w:rsidRDefault="008F394C">
      <w:pPr>
        <w:widowControl w:val="0"/>
        <w:rPr>
          <w:i/>
          <w:noProof/>
          <w:lang w:val="bg-BG"/>
        </w:rPr>
      </w:pPr>
      <w:r>
        <w:rPr>
          <w:i/>
          <w:noProof/>
          <w:lang w:val="bg-BG"/>
        </w:rPr>
        <w:t>Като цяло икономическият анализ показва продължаващи зони на уязвимост в икономиката, включително във финансовия сектор. Поради това Комисията смята за полезно, като има предвид същ</w:t>
      </w:r>
      <w:r>
        <w:rPr>
          <w:i/>
          <w:noProof/>
          <w:lang w:val="bg-BG"/>
        </w:rPr>
        <w:t xml:space="preserve">о и установяването на прекомерен дисбаланс през февруари, да проучи допълнително устойчивостта на макроикономическите рискове и да наблюдава напредъка в </w:t>
      </w:r>
      <w:r>
        <w:rPr>
          <w:noProof/>
        </w:rPr>
        <w:drawing>
          <wp:anchor distT="0" distB="0" distL="114300" distR="114300" simplePos="0" relativeHeight="251705344" behindDoc="0" locked="0" layoutInCell="1" allowOverlap="1">
            <wp:simplePos x="0" y="0"/>
            <wp:positionH relativeFrom="column">
              <wp:posOffset>2482850</wp:posOffset>
            </wp:positionH>
            <wp:positionV relativeFrom="line">
              <wp:posOffset>299085</wp:posOffset>
            </wp:positionV>
            <wp:extent cx="3317240" cy="2798445"/>
            <wp:effectExtent l="0" t="0" r="0" b="190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317240" cy="2798445"/>
                    </a:xfrm>
                    <a:prstGeom prst="rect">
                      <a:avLst/>
                    </a:prstGeom>
                  </pic:spPr>
                </pic:pic>
              </a:graphicData>
            </a:graphic>
            <wp14:sizeRelH relativeFrom="page">
              <wp14:pctWidth>0</wp14:pctWidth>
            </wp14:sizeRelH>
            <wp14:sizeRelV relativeFrom="page">
              <wp14:pctHeight>0</wp14:pctHeight>
            </wp14:sizeRelV>
          </wp:anchor>
        </w:drawing>
      </w:r>
      <w:r>
        <w:rPr>
          <w:i/>
          <w:noProof/>
          <w:lang w:val="bg-BG"/>
        </w:rPr>
        <w:t>коригирането на прекомерните дисбаланси.</w:t>
      </w:r>
    </w:p>
    <w:p w:rsidR="00B41587" w:rsidRDefault="00B41587">
      <w:pPr>
        <w:rPr>
          <w:i/>
          <w:noProof/>
          <w:lang w:val="bg-BG"/>
        </w:rPr>
      </w:pPr>
    </w:p>
    <w:p w:rsidR="00B41587" w:rsidRDefault="008F394C">
      <w:pPr>
        <w:rPr>
          <w:i/>
          <w:noProof/>
          <w:spacing w:val="-6"/>
          <w:lang w:val="bg-BG"/>
        </w:rPr>
      </w:pPr>
      <w:r>
        <w:rPr>
          <w:b/>
          <w:noProof/>
          <w:spacing w:val="-6"/>
          <w:lang w:val="bg-BG"/>
        </w:rPr>
        <w:t>Чешка република:</w:t>
      </w:r>
      <w:r>
        <w:rPr>
          <w:noProof/>
          <w:spacing w:val="-6"/>
          <w:lang w:val="bg-BG"/>
        </w:rPr>
        <w:t xml:space="preserve"> При предходната ПМД в Чешката република </w:t>
      </w:r>
      <w:r>
        <w:rPr>
          <w:i/>
          <w:noProof/>
          <w:spacing w:val="-6"/>
          <w:lang w:val="bg-BG"/>
        </w:rPr>
        <w:t>не</w:t>
      </w:r>
      <w:r>
        <w:rPr>
          <w:noProof/>
          <w:spacing w:val="-6"/>
          <w:lang w:val="bg-BG"/>
        </w:rPr>
        <w:t xml:space="preserve"> бяха установени </w:t>
      </w:r>
      <w:r>
        <w:rPr>
          <w:i/>
          <w:noProof/>
          <w:spacing w:val="-6"/>
          <w:lang w:val="bg-BG"/>
        </w:rPr>
        <w:t>макроикономически дисбаланси</w:t>
      </w:r>
      <w:r>
        <w:rPr>
          <w:noProof/>
          <w:spacing w:val="-6"/>
          <w:lang w:val="bg-BG"/>
        </w:rPr>
        <w:t>. В актуализирания вариант на таблицата увеличението на реалните цени на жилищата е отвъд индикативния праг.</w:t>
      </w:r>
    </w:p>
    <w:p w:rsidR="00B41587" w:rsidRDefault="008F394C">
      <w:pPr>
        <w:rPr>
          <w:noProof/>
          <w:spacing w:val="-2"/>
          <w:lang w:val="bg-BG"/>
        </w:rPr>
      </w:pPr>
      <w:r>
        <w:rPr>
          <w:noProof/>
          <w:spacing w:val="-2"/>
          <w:lang w:val="bg-BG"/>
        </w:rPr>
        <w:t>Салдото по текущата сметка е с тенденция към подобрение и понастоящем сочи малък излишък. Нетната межд</w:t>
      </w:r>
      <w:r>
        <w:rPr>
          <w:noProof/>
          <w:spacing w:val="-2"/>
          <w:lang w:val="bg-BG"/>
        </w:rPr>
        <w:t xml:space="preserve">ународна инвестиционна позиция продължи да укрепва, отчасти поради защитата на минималния валутен курс спрямо еврото — политика, която обаче приключи през април 2017 г. Увеличи се делът от износа. Номиналните разходи за единица труд се увеличиха, в голяма </w:t>
      </w:r>
      <w:r>
        <w:rPr>
          <w:noProof/>
          <w:spacing w:val="-2"/>
          <w:lang w:val="bg-BG"/>
        </w:rPr>
        <w:t>степен поради силния растеж на заплатите, който се очаква да се ускори още повече в контекста на затягане на пазара на труда. Покачването на реалните цени на жилищата се ускори допълнително и в момента е отвъд прага, поради което заслужава внимание. Спирал</w:t>
      </w:r>
      <w:r>
        <w:rPr>
          <w:noProof/>
          <w:spacing w:val="-2"/>
          <w:lang w:val="bg-BG"/>
        </w:rPr>
        <w:t>ната обратна връзка между цените на жилищата и ипотечните обеми се ускори. Равнището на дълга на частния сектор леко се увеличи през 2016 г., но остава под прага. Банковият сектор, който до голяма степен е чуждестранна собственост, остана стабилен, въпреки</w:t>
      </w:r>
      <w:r>
        <w:rPr>
          <w:noProof/>
          <w:spacing w:val="-2"/>
          <w:lang w:val="bg-BG"/>
        </w:rPr>
        <w:t xml:space="preserve"> ускорилия се значително през 2016 г. растеж на пасивите на финансовия сектор. Безработицата продължи да намалява и е много ниска.</w:t>
      </w:r>
    </w:p>
    <w:p w:rsidR="00B41587" w:rsidRDefault="008F394C">
      <w:pPr>
        <w:rPr>
          <w:i/>
          <w:noProof/>
          <w:lang w:val="bg-BG"/>
        </w:rPr>
      </w:pPr>
      <w:r>
        <w:rPr>
          <w:i/>
          <w:noProof/>
          <w:lang w:val="bg-BG"/>
        </w:rPr>
        <w:t>Като цяло при икономическия анализ се открояват проблеми, свързани с евентуални вътрешни рискове, но които остават ограничени</w:t>
      </w:r>
      <w:r>
        <w:rPr>
          <w:i/>
          <w:noProof/>
          <w:lang w:val="bg-BG"/>
        </w:rPr>
        <w:t>. Поради това Комисията на този етап няма да извършва допълнителен задълбочен анализ в контекста на ПМД.</w:t>
      </w:r>
    </w:p>
    <w:p w:rsidR="00B41587" w:rsidRDefault="00B41587">
      <w:pPr>
        <w:spacing w:after="240"/>
        <w:rPr>
          <w:i/>
          <w:noProof/>
          <w:lang w:val="bg-BG"/>
        </w:rPr>
      </w:pPr>
    </w:p>
    <w:p w:rsidR="00B41587" w:rsidRDefault="008F394C">
      <w:pPr>
        <w:rPr>
          <w:b/>
          <w:noProof/>
          <w:spacing w:val="-2"/>
          <w:lang w:val="bg-BG"/>
        </w:rPr>
      </w:pPr>
      <w:r>
        <w:rPr>
          <w:b/>
          <w:noProof/>
          <w:spacing w:val="-2"/>
          <w:lang w:val="bg-BG"/>
        </w:rPr>
        <w:t>Дания:</w:t>
      </w:r>
      <w:r>
        <w:rPr>
          <w:noProof/>
          <w:spacing w:val="-2"/>
          <w:lang w:val="bg-BG"/>
        </w:rPr>
        <w:t xml:space="preserve"> При предходната ПМД в Дания </w:t>
      </w:r>
      <w:r>
        <w:rPr>
          <w:i/>
          <w:noProof/>
          <w:spacing w:val="-2"/>
          <w:lang w:val="bg-BG"/>
        </w:rPr>
        <w:t>не</w:t>
      </w:r>
      <w:r>
        <w:rPr>
          <w:noProof/>
          <w:spacing w:val="-2"/>
          <w:lang w:val="bg-BG"/>
        </w:rPr>
        <w:t xml:space="preserve"> бяха установени </w:t>
      </w:r>
      <w:r>
        <w:rPr>
          <w:i/>
          <w:noProof/>
          <w:spacing w:val="-2"/>
          <w:lang w:val="bg-BG"/>
        </w:rPr>
        <w:t>макроикономически дисбаланси</w:t>
      </w:r>
      <w:r>
        <w:rPr>
          <w:noProof/>
          <w:spacing w:val="-2"/>
          <w:lang w:val="bg-BG"/>
        </w:rPr>
        <w:t>. В актуализираната таблица няколко от показателите превишават индик</w:t>
      </w:r>
      <w:r>
        <w:rPr>
          <w:noProof/>
          <w:spacing w:val="-2"/>
          <w:lang w:val="bg-BG"/>
        </w:rPr>
        <w:t xml:space="preserve">ативния праг, а именно излишъкът по текущата сметка и дългът на частния сектор. </w:t>
      </w:r>
    </w:p>
    <w:p w:rsidR="00B41587" w:rsidRDefault="008F394C">
      <w:pPr>
        <w:rPr>
          <w:noProof/>
          <w:lang w:val="bg-BG"/>
        </w:rPr>
      </w:pPr>
      <w:r>
        <w:rPr>
          <w:noProof/>
        </w:rPr>
        <w:drawing>
          <wp:anchor distT="0" distB="0" distL="114300" distR="114300" simplePos="0" relativeHeight="251706368" behindDoc="0" locked="0" layoutInCell="1" allowOverlap="1">
            <wp:simplePos x="0" y="0"/>
            <wp:positionH relativeFrom="column">
              <wp:posOffset>2665095</wp:posOffset>
            </wp:positionH>
            <wp:positionV relativeFrom="line">
              <wp:posOffset>20955</wp:posOffset>
            </wp:positionV>
            <wp:extent cx="3155315" cy="257175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155315" cy="257175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Салдото по текущата сметка продължава да сочи голям излишък, което отразява големите икономии в предприятията и намаляването на задлъжнялостта на домакинствата. Излишъците по</w:t>
      </w:r>
      <w:r>
        <w:rPr>
          <w:noProof/>
          <w:lang w:val="bg-BG"/>
        </w:rPr>
        <w:t xml:space="preserve"> текущата сметка доведоха до силно положителна нетна международна инвестиционна позиция, което на свой ред доведе до положителни нетни доходи от чуждестранни инвестиции. Натрупаните загуби на експортни пазарни дялове намаляха, а показателите на разходната </w:t>
      </w:r>
      <w:r>
        <w:rPr>
          <w:noProof/>
          <w:lang w:val="bg-BG"/>
        </w:rPr>
        <w:t>конкурентоспособност са стабилни. Макар и да намалява, дългът на домакинствата остава сред най-високите в ЕС. Високото равнище отразява специфичната система на ипотечното кредитиране, благоприятното данъчно третиране и слабия стимул за погасяване на ипотеч</w:t>
      </w:r>
      <w:r>
        <w:rPr>
          <w:noProof/>
          <w:lang w:val="bg-BG"/>
        </w:rPr>
        <w:t>ните дългове, както и усъвършенстваната пенсионна система. Въпреки това, стимулирани от запазващите се ниски разходи за финансиране и подобряването на условията на пазара на труда, цените на жилищата продължават да се възстановяват, по-специално в основнит</w:t>
      </w:r>
      <w:r>
        <w:rPr>
          <w:noProof/>
          <w:lang w:val="bg-BG"/>
        </w:rPr>
        <w:t>е градски зони, което заслужава внимание. Банковият сектор обаче продължава да бъде стабилен. Пазарът на труд постепенно се подобрява, като безработицата е ниска и намалява.</w:t>
      </w:r>
    </w:p>
    <w:p w:rsidR="00B41587" w:rsidRDefault="008F394C">
      <w:pPr>
        <w:rPr>
          <w:noProof/>
          <w:lang w:val="bg-BG"/>
        </w:rPr>
      </w:pPr>
      <w:r>
        <w:rPr>
          <w:i/>
          <w:noProof/>
          <w:lang w:val="bg-BG"/>
        </w:rPr>
        <w:t>Като цяло при икономическия анализ се открояват проблеми, свързани с текущата смет</w:t>
      </w:r>
      <w:r>
        <w:rPr>
          <w:i/>
          <w:noProof/>
          <w:lang w:val="bg-BG"/>
        </w:rPr>
        <w:t>ка, жилищния сектор и дълга на частния сектор, но рисковете изглеждат ограничени. Поради това Комисията на този етап няма да извършва допълнителен задълбочен анализ в контекста на ПМД.</w:t>
      </w:r>
    </w:p>
    <w:p w:rsidR="00B41587" w:rsidRDefault="00B41587">
      <w:pPr>
        <w:rPr>
          <w:i/>
          <w:noProof/>
          <w:lang w:val="bg-BG"/>
        </w:rPr>
      </w:pPr>
    </w:p>
    <w:p w:rsidR="00B41587" w:rsidRDefault="008F394C">
      <w:pPr>
        <w:rPr>
          <w:i/>
          <w:noProof/>
          <w:spacing w:val="-6"/>
          <w:lang w:val="bg-BG"/>
        </w:rPr>
      </w:pPr>
      <w:r>
        <w:rPr>
          <w:noProof/>
          <w:spacing w:val="-6"/>
        </w:rPr>
        <w:drawing>
          <wp:anchor distT="0" distB="0" distL="114300" distR="114300" simplePos="0" relativeHeight="251707392" behindDoc="0" locked="0" layoutInCell="1" allowOverlap="1">
            <wp:simplePos x="0" y="0"/>
            <wp:positionH relativeFrom="column">
              <wp:posOffset>2738755</wp:posOffset>
            </wp:positionH>
            <wp:positionV relativeFrom="line">
              <wp:posOffset>47625</wp:posOffset>
            </wp:positionV>
            <wp:extent cx="3037205" cy="31432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037205" cy="3143250"/>
                    </a:xfrm>
                    <a:prstGeom prst="rect">
                      <a:avLst/>
                    </a:prstGeom>
                  </pic:spPr>
                </pic:pic>
              </a:graphicData>
            </a:graphic>
            <wp14:sizeRelH relativeFrom="page">
              <wp14:pctWidth>0</wp14:pctWidth>
            </wp14:sizeRelH>
            <wp14:sizeRelV relativeFrom="page">
              <wp14:pctHeight>0</wp14:pctHeight>
            </wp14:sizeRelV>
          </wp:anchor>
        </w:drawing>
      </w:r>
      <w:r>
        <w:rPr>
          <w:b/>
          <w:noProof/>
          <w:spacing w:val="-6"/>
          <w:lang w:val="bg-BG"/>
        </w:rPr>
        <w:t>Германия:</w:t>
      </w:r>
      <w:r>
        <w:rPr>
          <w:noProof/>
          <w:spacing w:val="-6"/>
          <w:lang w:val="bg-BG"/>
        </w:rPr>
        <w:t xml:space="preserve"> През февруари 2017 г. Комисията заключи, че в Германия са н</w:t>
      </w:r>
      <w:r>
        <w:rPr>
          <w:noProof/>
          <w:spacing w:val="-6"/>
          <w:lang w:val="bg-BG"/>
        </w:rPr>
        <w:t xml:space="preserve">алице </w:t>
      </w:r>
      <w:r>
        <w:rPr>
          <w:i/>
          <w:noProof/>
          <w:spacing w:val="-6"/>
          <w:lang w:val="bg-BG"/>
        </w:rPr>
        <w:t>макроикономически дисбаланси</w:t>
      </w:r>
      <w:r>
        <w:rPr>
          <w:noProof/>
          <w:spacing w:val="-6"/>
          <w:lang w:val="bg-BG"/>
        </w:rPr>
        <w:t>, по-специално свързани с нейния голям излишък по текущата сметка, отразяващ прекомерни спестявания и намалени инвестиции. В актуализираната таблица няколко от показателите превишават индикативния праг, а именно балансът п</w:t>
      </w:r>
      <w:r>
        <w:rPr>
          <w:noProof/>
          <w:spacing w:val="-6"/>
          <w:lang w:val="bg-BG"/>
        </w:rPr>
        <w:t xml:space="preserve">о текущата сметка и държавният дълг. </w:t>
      </w:r>
    </w:p>
    <w:p w:rsidR="00B41587" w:rsidRDefault="008F394C">
      <w:pPr>
        <w:widowControl w:val="0"/>
        <w:rPr>
          <w:noProof/>
          <w:spacing w:val="-6"/>
          <w:lang w:val="bg-BG"/>
        </w:rPr>
      </w:pPr>
      <w:r>
        <w:rPr>
          <w:noProof/>
          <w:spacing w:val="-6"/>
          <w:lang w:val="bg-BG"/>
        </w:rPr>
        <w:t>През 2016 г. излишъкът по текущата сметка бе като цяло стабилен. Поради неотклонното повишение на вътрешното търсене се очаква излишъкът по текущата сметка да продължи да намалява, но да остане на високо равнище и да п</w:t>
      </w:r>
      <w:r>
        <w:rPr>
          <w:noProof/>
          <w:spacing w:val="-6"/>
          <w:lang w:val="bg-BG"/>
        </w:rPr>
        <w:t>оддържа по-нататъшното увеличаване на нетната международна инвестиционна позиция. Положителното въздействие от условията за търговия се разсейва. Растежът на износа отслабна в контекст на забавяща се световна търговия, което запази експортните пазарни дяло</w:t>
      </w:r>
      <w:r>
        <w:rPr>
          <w:noProof/>
          <w:spacing w:val="-6"/>
          <w:lang w:val="bg-BG"/>
        </w:rPr>
        <w:t>ве. Въпреки малкия дълг на частния сектор, тенденцията към намаляване на задлъжнялостта на частния сектор продължи с прекомерни икономии и понижени инвестиции, които след това намираха отражение в големия излишък по текущата сметка. Инвестициите на предпри</w:t>
      </w:r>
      <w:r>
        <w:rPr>
          <w:noProof/>
          <w:spacing w:val="-6"/>
          <w:lang w:val="bg-BG"/>
        </w:rPr>
        <w:t>ятията са ограничени въпреки подобряването на ликвидността. Покачването на цените на жилищата се ускори. Въпреки това, нарастването на кредитирането е слабо въпреки ниските лихвени проценти и растящите цени на жилищата. Увеличението на заплатите е умерено,</w:t>
      </w:r>
      <w:r>
        <w:rPr>
          <w:noProof/>
          <w:spacing w:val="-6"/>
          <w:lang w:val="bg-BG"/>
        </w:rPr>
        <w:t xml:space="preserve"> но същото важи и за потреблението на домакинствата на глава от населението, поради което спестяванията на домакинствата се запазват на високи равнища. Държавният дълг продължи да намалява към прага с прогноза за бюджетни излишъци през прогнозния период. И</w:t>
      </w:r>
      <w:r>
        <w:rPr>
          <w:noProof/>
          <w:spacing w:val="-6"/>
          <w:lang w:val="bg-BG"/>
        </w:rPr>
        <w:t xml:space="preserve">зоставането на публичните инвестиции се запазва. Безработицата като цяло, както и безработицата сред младите хора и дългосрочната безработица, продължи да намалява и продължава да е много ниска. </w:t>
      </w:r>
    </w:p>
    <w:p w:rsidR="00B41587" w:rsidRDefault="008F394C">
      <w:pPr>
        <w:rPr>
          <w:i/>
          <w:noProof/>
          <w:spacing w:val="-6"/>
          <w:lang w:val="bg-BG"/>
        </w:rPr>
      </w:pPr>
      <w:r>
        <w:rPr>
          <w:i/>
          <w:noProof/>
          <w:spacing w:val="-6"/>
          <w:lang w:val="bg-BG"/>
        </w:rPr>
        <w:t>Като цяло при икономическия анализ се открояват проблеми, св</w:t>
      </w:r>
      <w:r>
        <w:rPr>
          <w:i/>
          <w:noProof/>
          <w:spacing w:val="-6"/>
          <w:lang w:val="bg-BG"/>
        </w:rPr>
        <w:t xml:space="preserve">ързани с </w:t>
      </w:r>
      <w:r>
        <w:rPr>
          <w:i/>
          <w:noProof/>
          <w:spacing w:val="-6"/>
          <w:sz w:val="23"/>
          <w:lang w:val="bg-BG"/>
        </w:rPr>
        <w:t>много големия и едва постепенно намаляващ  външен излишък и голямата степен, в която се разчита на външно търсене</w:t>
      </w:r>
      <w:r>
        <w:rPr>
          <w:i/>
          <w:noProof/>
          <w:spacing w:val="-6"/>
          <w:lang w:val="bg-BG"/>
        </w:rPr>
        <w:t>, които подчертават необходимостта от непрекъснато ребалансиране. Поради това, а и като има предвид установяването на дисбаланс през ф</w:t>
      </w:r>
      <w:r>
        <w:rPr>
          <w:i/>
          <w:noProof/>
          <w:spacing w:val="-6"/>
          <w:lang w:val="bg-BG"/>
        </w:rPr>
        <w:t xml:space="preserve">евруари, Комисията смята за полезно да проучи допълнително постоянността на дисбалансите или тяхното </w:t>
      </w:r>
      <w:r>
        <w:rPr>
          <w:noProof/>
          <w:spacing w:val="-6"/>
        </w:rPr>
        <w:drawing>
          <wp:anchor distT="0" distB="0" distL="114300" distR="114300" simplePos="0" relativeHeight="251702272" behindDoc="0" locked="0" layoutInCell="1" allowOverlap="1">
            <wp:simplePos x="0" y="0"/>
            <wp:positionH relativeFrom="column">
              <wp:posOffset>2995930</wp:posOffset>
            </wp:positionH>
            <wp:positionV relativeFrom="line">
              <wp:posOffset>9525</wp:posOffset>
            </wp:positionV>
            <wp:extent cx="2771775" cy="2352675"/>
            <wp:effectExtent l="0" t="0" r="952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771775" cy="2352675"/>
                    </a:xfrm>
                    <a:prstGeom prst="rect">
                      <a:avLst/>
                    </a:prstGeom>
                  </pic:spPr>
                </pic:pic>
              </a:graphicData>
            </a:graphic>
            <wp14:sizeRelH relativeFrom="page">
              <wp14:pctWidth>0</wp14:pctWidth>
            </wp14:sizeRelH>
            <wp14:sizeRelV relativeFrom="page">
              <wp14:pctHeight>0</wp14:pctHeight>
            </wp14:sizeRelV>
          </wp:anchor>
        </w:drawing>
      </w:r>
      <w:r>
        <w:rPr>
          <w:i/>
          <w:noProof/>
          <w:spacing w:val="-6"/>
          <w:lang w:val="bg-BG"/>
        </w:rPr>
        <w:t>намаляване.</w:t>
      </w:r>
    </w:p>
    <w:p w:rsidR="00B41587" w:rsidRDefault="00B41587">
      <w:pPr>
        <w:rPr>
          <w:i/>
          <w:noProof/>
          <w:lang w:val="bg-BG"/>
        </w:rPr>
      </w:pPr>
    </w:p>
    <w:p w:rsidR="00B41587" w:rsidRDefault="008F394C">
      <w:pPr>
        <w:rPr>
          <w:b/>
          <w:noProof/>
          <w:lang w:val="bg-BG"/>
        </w:rPr>
      </w:pPr>
      <w:r>
        <w:rPr>
          <w:b/>
          <w:noProof/>
          <w:lang w:val="bg-BG"/>
        </w:rPr>
        <w:t xml:space="preserve">Естония: </w:t>
      </w:r>
      <w:r>
        <w:rPr>
          <w:noProof/>
          <w:lang w:val="bg-BG"/>
        </w:rPr>
        <w:t>При предходния ПМД в Естония</w:t>
      </w:r>
      <w:r>
        <w:rPr>
          <w:i/>
          <w:noProof/>
          <w:lang w:val="bg-BG"/>
        </w:rPr>
        <w:t xml:space="preserve"> не</w:t>
      </w:r>
      <w:r>
        <w:rPr>
          <w:noProof/>
          <w:lang w:val="bg-BG"/>
        </w:rPr>
        <w:t xml:space="preserve"> бяха установени </w:t>
      </w:r>
      <w:r>
        <w:rPr>
          <w:i/>
          <w:noProof/>
          <w:lang w:val="bg-BG"/>
        </w:rPr>
        <w:t>макроикономически дисбаланси</w:t>
      </w:r>
      <w:r>
        <w:rPr>
          <w:noProof/>
          <w:lang w:val="bg-BG"/>
        </w:rPr>
        <w:t xml:space="preserve">. В актуализирания вариант на таблицата няколко от </w:t>
      </w:r>
      <w:r>
        <w:rPr>
          <w:noProof/>
          <w:lang w:val="bg-BG"/>
        </w:rPr>
        <w:t>показателите са над индикативните прагове, а именно отрицателната нетна международна инвестиционна позиция (НМИП) и разходите за единица труд.</w:t>
      </w:r>
    </w:p>
    <w:p w:rsidR="00B41587" w:rsidRDefault="008F394C">
      <w:pPr>
        <w:rPr>
          <w:noProof/>
          <w:spacing w:val="-4"/>
          <w:lang w:val="bg-BG"/>
        </w:rPr>
      </w:pPr>
      <w:r>
        <w:rPr>
          <w:noProof/>
          <w:spacing w:val="-4"/>
          <w:lang w:val="bg-BG"/>
        </w:rPr>
        <w:t>Отрицателната НМИП е над прага, но близо до него, но повече от половината от външните задължения се състоят от ПЧ</w:t>
      </w:r>
      <w:r>
        <w:rPr>
          <w:noProof/>
          <w:spacing w:val="-4"/>
          <w:lang w:val="bg-BG"/>
        </w:rPr>
        <w:t>И. Текущата сметка показва малък излишък от 2014 г. насам и се очаква той да се запази през прогнозния период. Въпреки известния напредък през 2016 г., кумулативно, експортните пазарни дялове бяха стабилни. Голямото увеличение на номиналните разходи за тру</w:t>
      </w:r>
      <w:r>
        <w:rPr>
          <w:noProof/>
          <w:spacing w:val="-4"/>
          <w:lang w:val="bg-BG"/>
        </w:rPr>
        <w:t>д за единица продукция и поскъпващият реален ефективен валутен курс отразяват преди всичко увеличението на заплатите в контекста на затягане на пазара на труда. В бъдеще, със съвземането на инвестиционните потоци и експортните пазари през настоящата и идна</w:t>
      </w:r>
      <w:r>
        <w:rPr>
          <w:noProof/>
          <w:spacing w:val="-4"/>
          <w:lang w:val="bg-BG"/>
        </w:rPr>
        <w:t>та година производителността ще се увеличи, а нарастването на разходите за труд за единица продукция ще се забави. През 2016 г. цените на жилищата се повишиха умерено, след като през предходни години превишаваха прага. Дългът на частния сектор не се промен</w:t>
      </w:r>
      <w:r>
        <w:rPr>
          <w:noProof/>
          <w:spacing w:val="-4"/>
          <w:lang w:val="bg-BG"/>
        </w:rPr>
        <w:t>я, а държавният дълг остава най-малкият в ЕС. Показателите за дълготрайната и младежката безработица се подобриха допълнително, като равнищата на активност достигнаха безпрецедентно високи равнища.</w:t>
      </w:r>
    </w:p>
    <w:p w:rsidR="00B41587" w:rsidRDefault="008F394C">
      <w:pPr>
        <w:rPr>
          <w:i/>
          <w:noProof/>
          <w:lang w:val="bg-BG"/>
        </w:rPr>
      </w:pPr>
      <w:r>
        <w:rPr>
          <w:i/>
          <w:noProof/>
          <w:lang w:val="bg-BG"/>
        </w:rPr>
        <w:t xml:space="preserve">Като цяло при икономическия анализ се открояват проблеми, </w:t>
      </w:r>
      <w:r>
        <w:rPr>
          <w:i/>
          <w:noProof/>
          <w:lang w:val="bg-BG"/>
        </w:rPr>
        <w:t>свързани с разходната конкурентоспособност и затягането на пазара на труда, но рисковете в това отношение са ограничени. Поради това Комисията на този етап няма да извършва допълнителен задълбочен анализ в контекста на ПМД.</w:t>
      </w:r>
    </w:p>
    <w:p w:rsidR="00B41587" w:rsidRDefault="00B41587">
      <w:pPr>
        <w:rPr>
          <w:i/>
          <w:noProof/>
          <w:lang w:val="bg-BG"/>
        </w:rPr>
      </w:pPr>
    </w:p>
    <w:p w:rsidR="00B41587" w:rsidRDefault="008F394C">
      <w:pPr>
        <w:rPr>
          <w:i/>
          <w:noProof/>
          <w:spacing w:val="-2"/>
          <w:lang w:val="bg-BG"/>
        </w:rPr>
      </w:pPr>
      <w:r>
        <w:rPr>
          <w:b/>
          <w:noProof/>
          <w:spacing w:val="-2"/>
          <w:lang w:val="bg-BG"/>
        </w:rPr>
        <w:t>Ирландия:</w:t>
      </w:r>
      <w:r>
        <w:rPr>
          <w:noProof/>
          <w:spacing w:val="-2"/>
          <w:lang w:val="bg-BG"/>
        </w:rPr>
        <w:t xml:space="preserve"> През февруари 2017 г.</w:t>
      </w:r>
      <w:r>
        <w:rPr>
          <w:noProof/>
          <w:spacing w:val="-2"/>
          <w:lang w:val="bg-BG"/>
        </w:rPr>
        <w:t xml:space="preserve"> Комисията заключи, че в Ирландия </w:t>
      </w:r>
      <w:r>
        <w:rPr>
          <w:i/>
          <w:noProof/>
          <w:spacing w:val="-2"/>
          <w:lang w:val="bg-BG"/>
        </w:rPr>
        <w:t>са налице макроикономически дисбаланси</w:t>
      </w:r>
      <w:r>
        <w:rPr>
          <w:noProof/>
          <w:spacing w:val="-2"/>
          <w:lang w:val="bg-BG"/>
        </w:rPr>
        <w:t xml:space="preserve">, включващи по-специално уязвимост </w:t>
      </w:r>
      <w:r>
        <w:rPr>
          <w:noProof/>
          <w:spacing w:val="-2"/>
        </w:rPr>
        <w:drawing>
          <wp:anchor distT="0" distB="0" distL="114300" distR="114300" simplePos="0" relativeHeight="251708416" behindDoc="0" locked="0" layoutInCell="1" allowOverlap="1">
            <wp:simplePos x="0" y="0"/>
            <wp:positionH relativeFrom="column">
              <wp:posOffset>2792730</wp:posOffset>
            </wp:positionH>
            <wp:positionV relativeFrom="line">
              <wp:posOffset>685800</wp:posOffset>
            </wp:positionV>
            <wp:extent cx="2964180" cy="278130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64180" cy="2781300"/>
                    </a:xfrm>
                    <a:prstGeom prst="rect">
                      <a:avLst/>
                    </a:prstGeom>
                  </pic:spPr>
                </pic:pic>
              </a:graphicData>
            </a:graphic>
            <wp14:sizeRelH relativeFrom="page">
              <wp14:pctWidth>0</wp14:pctWidth>
            </wp14:sizeRelH>
            <wp14:sizeRelV relativeFrom="page">
              <wp14:pctHeight>0</wp14:pctHeight>
            </wp14:sizeRelV>
          </wp:anchor>
        </w:drawing>
      </w:r>
      <w:r>
        <w:rPr>
          <w:noProof/>
          <w:spacing w:val="-2"/>
          <w:lang w:val="bg-BG"/>
        </w:rPr>
        <w:t xml:space="preserve">поради големите обеми публичен и частен дълг и нетните външни задължения, въпреки подобренията в променливите на потоците. В актуализирания вариант </w:t>
      </w:r>
      <w:r>
        <w:rPr>
          <w:noProof/>
          <w:spacing w:val="-2"/>
          <w:lang w:val="bg-BG"/>
        </w:rPr>
        <w:t xml:space="preserve">на таблицата няколко от показателите превишават индикативните прагове, а именно нетната международна инвестиционна позиция (НМИП), реалният ефективен валутен курс (РЕВК), частният дълг, държавният дълг и реалните цени на жилищата. </w:t>
      </w:r>
    </w:p>
    <w:p w:rsidR="00B41587" w:rsidRDefault="008F394C">
      <w:pPr>
        <w:pStyle w:val="Default"/>
        <w:spacing w:before="120" w:after="200"/>
        <w:jc w:val="both"/>
        <w:rPr>
          <w:noProof/>
          <w:lang w:val="bg-BG"/>
        </w:rPr>
      </w:pPr>
      <w:r>
        <w:rPr>
          <w:noProof/>
          <w:lang w:val="bg-BG"/>
        </w:rPr>
        <w:t xml:space="preserve">Текущата сметка показва </w:t>
      </w:r>
      <w:r>
        <w:rPr>
          <w:noProof/>
          <w:lang w:val="bg-BG"/>
        </w:rPr>
        <w:t xml:space="preserve">значителен излишък, докато НМИП се влоши значително главно поради фактори без връзка с икономиката на страната. </w:t>
      </w:r>
      <w:r>
        <w:rPr>
          <w:noProof/>
          <w:color w:val="auto"/>
          <w:lang w:val="bg-BG"/>
        </w:rPr>
        <w:t>Като цяло предвид мащаба и въздействието на дейността на многонационалните дружества е трудно да бъдат оценени съответните текущ баланс и външна</w:t>
      </w:r>
      <w:r>
        <w:rPr>
          <w:noProof/>
          <w:color w:val="auto"/>
          <w:lang w:val="bg-BG"/>
        </w:rPr>
        <w:t xml:space="preserve"> позиция. </w:t>
      </w:r>
      <w:r>
        <w:rPr>
          <w:noProof/>
          <w:lang w:val="bg-BG"/>
        </w:rPr>
        <w:t>Силният повишение на производителността през последните години допринесе за подобряване на разходната конкурентоспособност. На фона на силното възстановяване съотношенията на частния и държавния дълг към БВП намаляват, но остават големи.</w:t>
      </w:r>
      <w:r>
        <w:rPr>
          <w:noProof/>
          <w:color w:val="auto"/>
          <w:lang w:val="bg-BG"/>
        </w:rPr>
        <w:t xml:space="preserve"> Домакинс</w:t>
      </w:r>
      <w:r>
        <w:rPr>
          <w:noProof/>
          <w:color w:val="auto"/>
          <w:lang w:val="bg-BG"/>
        </w:rPr>
        <w:t>твата продължиха активно да намаляват задлъжнялостта си, докато положението на местните нефинансови предприятия може да бъде изтълкувано по-трудно предвид значимостта на многонационалните дружества по отношение на общия размер на корпоративния дълг. Държав</w:t>
      </w:r>
      <w:r>
        <w:rPr>
          <w:noProof/>
          <w:color w:val="auto"/>
          <w:lang w:val="bg-BG"/>
        </w:rPr>
        <w:t>ният дефицит се придвижва близо до равновесната точка през прогнозния период. През последните години съотношението на необслужваните заеми намалява, но остава голямо</w:t>
      </w:r>
      <w:r>
        <w:rPr>
          <w:noProof/>
          <w:lang w:val="bg-BG"/>
        </w:rPr>
        <w:t>, което има последствия за цялата икономика</w:t>
      </w:r>
      <w:r>
        <w:rPr>
          <w:noProof/>
          <w:color w:val="auto"/>
          <w:lang w:val="bg-BG"/>
        </w:rPr>
        <w:t>.</w:t>
      </w:r>
      <w:r>
        <w:rPr>
          <w:noProof/>
          <w:lang w:val="bg-BG"/>
        </w:rPr>
        <w:t xml:space="preserve"> </w:t>
      </w:r>
      <w:r>
        <w:rPr>
          <w:noProof/>
          <w:color w:val="auto"/>
          <w:lang w:val="bg-BG"/>
        </w:rPr>
        <w:t>Банките са добре капитализирани, а тяхната рен</w:t>
      </w:r>
      <w:r>
        <w:rPr>
          <w:noProof/>
          <w:color w:val="auto"/>
          <w:lang w:val="bg-BG"/>
        </w:rPr>
        <w:t>табилност, макар и все още слаба, постепенно се подобрява. Реалните цени на жилищата се увеличават с бързи темпове от все още подценени равнища, което се дължи основно на ограничения в предлагането</w:t>
      </w:r>
      <w:r>
        <w:rPr>
          <w:noProof/>
          <w:lang w:val="bg-BG"/>
        </w:rPr>
        <w:t>, но заслужават внимание</w:t>
      </w:r>
      <w:r>
        <w:rPr>
          <w:noProof/>
          <w:color w:val="auto"/>
          <w:lang w:val="bg-BG"/>
        </w:rPr>
        <w:t xml:space="preserve">. Ирландия се доближава до пълната </w:t>
      </w:r>
      <w:r>
        <w:rPr>
          <w:noProof/>
          <w:color w:val="auto"/>
          <w:lang w:val="bg-BG"/>
        </w:rPr>
        <w:t xml:space="preserve">заетост, безработицата намалява и работните места на непълно работно време нарастват с най-бързите темпове от 1999 г. насам. Дълготрайната и младежката безработица също намаляха значително. </w:t>
      </w:r>
    </w:p>
    <w:p w:rsidR="00B41587" w:rsidRDefault="008F394C">
      <w:pPr>
        <w:rPr>
          <w:noProof/>
          <w:lang w:val="bg-BG"/>
        </w:rPr>
      </w:pPr>
      <w:r>
        <w:rPr>
          <w:i/>
          <w:noProof/>
          <w:lang w:val="bg-BG"/>
        </w:rPr>
        <w:t>Като цяло при икономическия анализ се открояват проблеми, свързан</w:t>
      </w:r>
      <w:r>
        <w:rPr>
          <w:i/>
          <w:noProof/>
          <w:lang w:val="bg-BG"/>
        </w:rPr>
        <w:t>и с оценката на външната устойчивост, уязвимостта на финансовия сектор, частния и публичния дълг. Поради това, а и като има предвид установяването на дисбаланс през февруари, Комисията смята за полезно да проучи допълнително устойчивостта на дисбалансите и</w:t>
      </w:r>
      <w:r>
        <w:rPr>
          <w:i/>
          <w:noProof/>
          <w:lang w:val="bg-BG"/>
        </w:rPr>
        <w:t>ли тяхното намаляване.</w:t>
      </w:r>
    </w:p>
    <w:p w:rsidR="00B41587" w:rsidRDefault="00B41587">
      <w:pPr>
        <w:spacing w:after="240"/>
        <w:rPr>
          <w:noProof/>
          <w:lang w:val="bg-BG"/>
        </w:rPr>
      </w:pPr>
    </w:p>
    <w:p w:rsidR="00B41587" w:rsidRDefault="008F394C">
      <w:pPr>
        <w:rPr>
          <w:noProof/>
          <w:lang w:val="bg-BG"/>
        </w:rPr>
      </w:pPr>
      <w:r>
        <w:rPr>
          <w:b/>
          <w:noProof/>
          <w:lang w:val="bg-BG"/>
        </w:rPr>
        <w:t>Испания</w:t>
      </w:r>
      <w:r>
        <w:rPr>
          <w:noProof/>
          <w:lang w:val="bg-BG"/>
        </w:rPr>
        <w:t xml:space="preserve">: През февруари 2017 г. Комисията заключи, че в Испания са налице </w:t>
      </w:r>
      <w:r>
        <w:rPr>
          <w:i/>
          <w:noProof/>
          <w:lang w:val="bg-BG"/>
        </w:rPr>
        <w:t>макроикономически дисбаланси</w:t>
      </w:r>
      <w:r>
        <w:rPr>
          <w:noProof/>
          <w:lang w:val="bg-BG"/>
        </w:rPr>
        <w:t xml:space="preserve">, свързани по-специално с високите равнища на частна, публична и външна задлъжнялост в условия на висока безработица. В </w:t>
      </w:r>
      <w:r>
        <w:rPr>
          <w:noProof/>
          <w:lang w:val="bg-BG"/>
        </w:rPr>
        <w:t>актуализирания вариант на таблицата няколко от показателите превишават индикативните прагове, а именно нетната международна инвестиционна позиция (НМИП), както и съотношенията на частен и държавен дълг и безработицата.</w:t>
      </w:r>
    </w:p>
    <w:p w:rsidR="00B41587" w:rsidRDefault="008F394C">
      <w:pPr>
        <w:rPr>
          <w:noProof/>
          <w:lang w:val="bg-BG"/>
        </w:rPr>
      </w:pPr>
      <w:r>
        <w:rPr>
          <w:noProof/>
        </w:rPr>
        <w:drawing>
          <wp:anchor distT="0" distB="0" distL="114300" distR="114300" simplePos="0" relativeHeight="251699200" behindDoc="0" locked="0" layoutInCell="1" allowOverlap="1">
            <wp:simplePos x="0" y="0"/>
            <wp:positionH relativeFrom="column">
              <wp:posOffset>3005455</wp:posOffset>
            </wp:positionH>
            <wp:positionV relativeFrom="line">
              <wp:posOffset>63500</wp:posOffset>
            </wp:positionV>
            <wp:extent cx="2731770" cy="2924175"/>
            <wp:effectExtent l="0" t="0" r="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31770" cy="2924175"/>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Външното ребалансиране продължи. НМИП се подобри, но остава много голяма и ще е нужно време, преди тя да достигне разумно равнище. Очаква се текущата сметка да остане в умерен излишък въпреки силното крайното търсене, което отчасти се дължи на структурни п</w:t>
      </w:r>
      <w:r>
        <w:rPr>
          <w:noProof/>
          <w:lang w:val="bg-BG"/>
        </w:rPr>
        <w:t>одобрения в резултатите на износа. Разходите за труд на единица продукция бяха ниски, но поради слабото повишение на производителността нарастването на конкурентоспособността зависи от предимствата на разходната ефективност. Все още има нужда от намаляване</w:t>
      </w:r>
      <w:r>
        <w:rPr>
          <w:noProof/>
          <w:lang w:val="bg-BG"/>
        </w:rPr>
        <w:t xml:space="preserve"> на задлъжнялостта, но дългът на частния сектор продължи да намалява през 2016 г., особено за предприятията. Темпът на намаляване на дълга се забави поради подновеното наличие на кредитиране, което подкрепи силния скок на инвестициите. Съотношението на дър</w:t>
      </w:r>
      <w:r>
        <w:rPr>
          <w:noProof/>
          <w:lang w:val="bg-BG"/>
        </w:rPr>
        <w:t>жавния дълг е високо и намалява едва постепенно, главно благодарение на силния растеж. Безработицата намаляваше с бързи темпове, но продължава да бъде много висока, особено сред младите хора и трайно безработните лица. Разкриването на работни места се хара</w:t>
      </w:r>
      <w:r>
        <w:rPr>
          <w:noProof/>
          <w:lang w:val="bg-BG"/>
        </w:rPr>
        <w:t xml:space="preserve">ктеризира с висок дял на срочните договори. </w:t>
      </w:r>
    </w:p>
    <w:p w:rsidR="00B41587" w:rsidRDefault="008F394C">
      <w:pPr>
        <w:rPr>
          <w:noProof/>
          <w:lang w:val="bg-BG"/>
        </w:rPr>
      </w:pPr>
      <w:r>
        <w:rPr>
          <w:i/>
          <w:noProof/>
          <w:lang w:val="bg-BG"/>
        </w:rPr>
        <w:t>Като цяло при икономическия анализ се открояват проблеми, свързани с външната устойчивост, частния и публичния дълг и корекциите на пазара на труда в контекста на слабо повишение на производителността. Поради то</w:t>
      </w:r>
      <w:r>
        <w:rPr>
          <w:i/>
          <w:noProof/>
          <w:lang w:val="bg-BG"/>
        </w:rPr>
        <w:t>ва, а и като има предвид установяването на дисбаланс през февруари от трансгранично значение, Комисията смята за полезно да проучи допълнително устойчивостта на дисбалансите или тяхното намаляване.</w:t>
      </w:r>
    </w:p>
    <w:p w:rsidR="00B41587" w:rsidRDefault="00B41587">
      <w:pPr>
        <w:rPr>
          <w:noProof/>
          <w:lang w:val="bg-BG"/>
        </w:rPr>
      </w:pPr>
    </w:p>
    <w:p w:rsidR="00B41587" w:rsidRDefault="008F394C">
      <w:pPr>
        <w:rPr>
          <w:noProof/>
          <w:lang w:val="bg-BG"/>
        </w:rPr>
      </w:pPr>
      <w:r>
        <w:rPr>
          <w:b/>
          <w:noProof/>
          <w:lang w:val="bg-BG"/>
        </w:rPr>
        <w:t>Франция:</w:t>
      </w:r>
      <w:r>
        <w:rPr>
          <w:noProof/>
          <w:lang w:val="bg-BG"/>
        </w:rPr>
        <w:t xml:space="preserve"> През февруари 2017 г. Комисията заключи, че във </w:t>
      </w:r>
      <w:r>
        <w:rPr>
          <w:noProof/>
          <w:lang w:val="bg-BG"/>
        </w:rPr>
        <w:t xml:space="preserve">Франция са налице прекомерни </w:t>
      </w:r>
      <w:r>
        <w:rPr>
          <w:i/>
          <w:noProof/>
          <w:lang w:val="bg-BG"/>
        </w:rPr>
        <w:t>макроикономически дисбаланси</w:t>
      </w:r>
      <w:r>
        <w:rPr>
          <w:noProof/>
          <w:lang w:val="bg-BG"/>
        </w:rPr>
        <w:t>, по-специално свързани с големия държавен дълг и слабата конкурентоспособност в условия на слабо повишение на производителността. В актуализираната таблица няколко от показателите превишават индикат</w:t>
      </w:r>
      <w:r>
        <w:rPr>
          <w:noProof/>
          <w:lang w:val="bg-BG"/>
        </w:rPr>
        <w:t>ивния праг, а именно държавният дълг, частният дълг и безработицата.</w:t>
      </w:r>
    </w:p>
    <w:p w:rsidR="00B41587" w:rsidRDefault="008F394C">
      <w:pPr>
        <w:autoSpaceDE w:val="0"/>
        <w:autoSpaceDN w:val="0"/>
        <w:adjustRightInd w:val="0"/>
        <w:rPr>
          <w:noProof/>
          <w:spacing w:val="-6"/>
          <w:lang w:val="bg-BG"/>
        </w:rPr>
      </w:pPr>
      <w:r>
        <w:rPr>
          <w:noProof/>
          <w:spacing w:val="-6"/>
          <w:lang w:val="bg-BG"/>
        </w:rPr>
        <w:t>Салдото по текущата сметка продължава да показва умерен дефицит, който се очаква да бъде без промени. Експортните пазарни дялове се стабилизираха през последните години. Показателите за к</w:t>
      </w:r>
      <w:r>
        <w:rPr>
          <w:noProof/>
          <w:spacing w:val="-6"/>
          <w:lang w:val="bg-BG"/>
        </w:rPr>
        <w:t xml:space="preserve">онкурентоспособността се подобриха, след като номиналните разходи за труд на единица продукция значително се забавиха, което се дължи на умерена динамика на заплатите и на мерки за намаляване на разходите за труд. Растежът на производителността </w:t>
      </w:r>
      <w:r>
        <w:rPr>
          <w:noProof/>
          <w:spacing w:val="-6"/>
        </w:rPr>
        <w:drawing>
          <wp:anchor distT="0" distB="0" distL="114300" distR="114300" simplePos="0" relativeHeight="251709440" behindDoc="0" locked="0" layoutInCell="1" allowOverlap="1">
            <wp:simplePos x="0" y="0"/>
            <wp:positionH relativeFrom="column">
              <wp:posOffset>2995295</wp:posOffset>
            </wp:positionH>
            <wp:positionV relativeFrom="line">
              <wp:posOffset>13335</wp:posOffset>
            </wp:positionV>
            <wp:extent cx="2752725" cy="259270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752725" cy="2592705"/>
                    </a:xfrm>
                    <a:prstGeom prst="rect">
                      <a:avLst/>
                    </a:prstGeom>
                  </pic:spPr>
                </pic:pic>
              </a:graphicData>
            </a:graphic>
            <wp14:sizeRelH relativeFrom="page">
              <wp14:pctWidth>0</wp14:pctWidth>
            </wp14:sizeRelH>
            <wp14:sizeRelV relativeFrom="page">
              <wp14:pctHeight>0</wp14:pctHeight>
            </wp14:sizeRelV>
          </wp:anchor>
        </w:drawing>
      </w:r>
      <w:r>
        <w:rPr>
          <w:noProof/>
          <w:spacing w:val="-6"/>
          <w:lang w:val="bg-BG"/>
        </w:rPr>
        <w:t>на труда о</w:t>
      </w:r>
      <w:r>
        <w:rPr>
          <w:noProof/>
          <w:spacing w:val="-6"/>
          <w:lang w:val="bg-BG"/>
        </w:rPr>
        <w:t>баче все още е на ниско равнище, което пречи на по-бързото възстановяване на разходната конкурентоспособност. Дългът на частния сектор е над прага, като корпоративният дълг се увеличи, а цените на жилищата останаха на много високи равнища в сравнение с раз</w:t>
      </w:r>
      <w:r>
        <w:rPr>
          <w:noProof/>
          <w:spacing w:val="-6"/>
          <w:lang w:val="bg-BG"/>
        </w:rPr>
        <w:t>полагаемия доход. Държавният дълг се стабилизира на високо равнище и остава основен източник на уязвимост, което намалява възможностите за фискално маневриране, които позволяват да се реагира на бъдещи сътресения. Безработицата намалява от върховите стойно</w:t>
      </w:r>
      <w:r>
        <w:rPr>
          <w:noProof/>
          <w:spacing w:val="-6"/>
          <w:lang w:val="bg-BG"/>
        </w:rPr>
        <w:t>сти, достигнати през 2015 г., докато дългосрочната безработица се стабилизира.</w:t>
      </w:r>
    </w:p>
    <w:p w:rsidR="00B41587" w:rsidRDefault="008F394C">
      <w:pPr>
        <w:autoSpaceDE w:val="0"/>
        <w:autoSpaceDN w:val="0"/>
        <w:adjustRightInd w:val="0"/>
        <w:rPr>
          <w:bCs/>
          <w:i/>
          <w:noProof/>
          <w:lang w:val="bg-BG"/>
        </w:rPr>
      </w:pPr>
      <w:r>
        <w:rPr>
          <w:i/>
          <w:noProof/>
          <w:lang w:val="bg-BG"/>
        </w:rPr>
        <w:t>Като цяло при икономическия анализ се открояват проблеми, свързани с голямата публична задлъжнялост и слабата конкурентоспособност в условия на слабо повишение на производително</w:t>
      </w:r>
      <w:r>
        <w:rPr>
          <w:i/>
          <w:noProof/>
          <w:lang w:val="bg-BG"/>
        </w:rPr>
        <w:t>стта. Поради това Комисията смята за полезно, като има предвид установяването на прекомерен дисбаланс през февруари, да проучи допълнително устойчивостта на макроикономическите рискове и да наблюдава напредъка в коригирането на прекомерните дисбаланси.</w:t>
      </w:r>
    </w:p>
    <w:p w:rsidR="00B41587" w:rsidRDefault="008F394C">
      <w:pPr>
        <w:rPr>
          <w:bCs/>
          <w:i/>
          <w:noProof/>
          <w:lang w:val="bg-BG"/>
        </w:rPr>
      </w:pPr>
      <w:r>
        <w:rPr>
          <w:noProof/>
        </w:rPr>
        <w:drawing>
          <wp:anchor distT="0" distB="0" distL="114300" distR="114300" simplePos="0" relativeHeight="251710464" behindDoc="0" locked="0" layoutInCell="1" allowOverlap="1">
            <wp:simplePos x="0" y="0"/>
            <wp:positionH relativeFrom="column">
              <wp:posOffset>2995930</wp:posOffset>
            </wp:positionH>
            <wp:positionV relativeFrom="line">
              <wp:posOffset>46355</wp:posOffset>
            </wp:positionV>
            <wp:extent cx="2853055" cy="293370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853055" cy="2933700"/>
                    </a:xfrm>
                    <a:prstGeom prst="rect">
                      <a:avLst/>
                    </a:prstGeom>
                  </pic:spPr>
                </pic:pic>
              </a:graphicData>
            </a:graphic>
            <wp14:sizeRelH relativeFrom="page">
              <wp14:pctWidth>0</wp14:pctWidth>
            </wp14:sizeRelH>
            <wp14:sizeRelV relativeFrom="page">
              <wp14:pctHeight>0</wp14:pctHeight>
            </wp14:sizeRelV>
          </wp:anchor>
        </w:drawing>
      </w:r>
    </w:p>
    <w:p w:rsidR="00B41587" w:rsidRDefault="008F394C">
      <w:pPr>
        <w:rPr>
          <w:noProof/>
          <w:lang w:val="bg-BG"/>
        </w:rPr>
      </w:pPr>
      <w:r>
        <w:rPr>
          <w:b/>
          <w:noProof/>
          <w:lang w:val="bg-BG"/>
        </w:rPr>
        <w:t>Х</w:t>
      </w:r>
      <w:r>
        <w:rPr>
          <w:b/>
          <w:noProof/>
          <w:lang w:val="bg-BG"/>
        </w:rPr>
        <w:t>ърватия:</w:t>
      </w:r>
      <w:r>
        <w:rPr>
          <w:noProof/>
          <w:lang w:val="bg-BG"/>
        </w:rPr>
        <w:t xml:space="preserve"> През февруари 2017 г. Комисията заключи, че в Хърватия са налице </w:t>
      </w:r>
      <w:r>
        <w:rPr>
          <w:i/>
          <w:noProof/>
          <w:lang w:val="bg-BG"/>
        </w:rPr>
        <w:t>прекомерни макроикономически дисбаланси</w:t>
      </w:r>
      <w:r>
        <w:rPr>
          <w:noProof/>
          <w:lang w:val="bg-BG"/>
        </w:rPr>
        <w:t xml:space="preserve">, включващи по-специално рискове поради високите равнища на държавния, корпоративния и външния дълг, и трите изразени във чуждестранна валута, </w:t>
      </w:r>
      <w:r>
        <w:rPr>
          <w:noProof/>
          <w:lang w:val="bg-BG"/>
        </w:rPr>
        <w:t xml:space="preserve">в условия на слаб потенциален растеж.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държавният дълг и равнището на безработица. </w:t>
      </w:r>
    </w:p>
    <w:p w:rsidR="00B41587" w:rsidRDefault="008F394C">
      <w:pPr>
        <w:autoSpaceDE w:val="0"/>
        <w:autoSpaceDN w:val="0"/>
        <w:adjustRightInd w:val="0"/>
        <w:rPr>
          <w:noProof/>
          <w:spacing w:val="-2"/>
          <w:lang w:val="bg-BG"/>
        </w:rPr>
      </w:pPr>
      <w:r>
        <w:rPr>
          <w:noProof/>
          <w:spacing w:val="-2"/>
          <w:lang w:val="bg-BG"/>
        </w:rPr>
        <w:t>НМИП намалява</w:t>
      </w:r>
      <w:r>
        <w:rPr>
          <w:noProof/>
          <w:spacing w:val="-2"/>
          <w:lang w:val="bg-BG"/>
        </w:rPr>
        <w:t>, но остава на високи равнища, с постоянни валутните рискове. Текущата сметка показва значителен излишък и е положителна от 2013 г. насам. Докато първоначално това се дължеше на свиването на вътрешното търсене, сега това се основава във все по-голяма степе</w:t>
      </w:r>
      <w:r>
        <w:rPr>
          <w:noProof/>
          <w:spacing w:val="-2"/>
          <w:lang w:val="bg-BG"/>
        </w:rPr>
        <w:t>н на силния растеж на износа, стимулиран от подобрената разходна конкурентоспособност. Увеличението на експортните пазарни дялове се ускори през 2016 г. Дългът на частния сектор намаля допълнително в контекста на слаби кредитни потоци, но все още се задърж</w:t>
      </w:r>
      <w:r>
        <w:rPr>
          <w:noProof/>
          <w:spacing w:val="-2"/>
          <w:lang w:val="bg-BG"/>
        </w:rPr>
        <w:t>а на високо равнище. Непрекъснатият силен икономически растеж би трябвало да подпомогне процеса на намаляване на задлъжнялостта, а в бъдеще и да облекчи натиска върху кредитния растеж. Въпреки че намалява, голям дял кредити на нефинансовите предприятия ост</w:t>
      </w:r>
      <w:r>
        <w:rPr>
          <w:noProof/>
          <w:spacing w:val="-2"/>
          <w:lang w:val="bg-BG"/>
        </w:rPr>
        <w:t>ава необслужван. Съотношението на държавния дълг намаля допълнително през 2016 г. и се очаква да продължи да намалява, благодарение също на овладените дефицити. Безработицата намалява, но това намаляване до голяма степен се дължи на бързото свиване на рабо</w:t>
      </w:r>
      <w:r>
        <w:rPr>
          <w:noProof/>
          <w:spacing w:val="-2"/>
          <w:lang w:val="bg-BG"/>
        </w:rPr>
        <w:t>тната сила. Рисковете за икономическите перспективи са свързани с развитията в извършваното в момента преструктуриране на големия конгломерат Agrokor.</w:t>
      </w:r>
    </w:p>
    <w:p w:rsidR="00B41587" w:rsidRDefault="008F394C">
      <w:pPr>
        <w:autoSpaceDE w:val="0"/>
        <w:autoSpaceDN w:val="0"/>
        <w:adjustRightInd w:val="0"/>
        <w:rPr>
          <w:i/>
          <w:iCs/>
          <w:noProof/>
          <w:lang w:val="bg-BG"/>
        </w:rPr>
      </w:pPr>
      <w:r>
        <w:rPr>
          <w:i/>
          <w:noProof/>
          <w:lang w:val="bg-BG"/>
        </w:rPr>
        <w:t>Като цяло при икономическия анализ се открояват проблеми по отношение на големия дълг и валутните експози</w:t>
      </w:r>
      <w:r>
        <w:rPr>
          <w:i/>
          <w:noProof/>
          <w:lang w:val="bg-BG"/>
        </w:rPr>
        <w:t xml:space="preserve">ции във всички сектори, както и функционирането на пазара на труда. Поради това Комисията смята за полезно, като има предвид също и установяването на прекомерен дисбаланс през февруари, да проучи допълнително постоянността на макроикономическите рискове и </w:t>
      </w:r>
      <w:r>
        <w:rPr>
          <w:i/>
          <w:noProof/>
          <w:lang w:val="bg-BG"/>
        </w:rPr>
        <w:t>да наблюдава напредъка в коригирането на прекомерните дисбаланси.</w:t>
      </w:r>
    </w:p>
    <w:p w:rsidR="00B41587" w:rsidRDefault="00B41587">
      <w:pPr>
        <w:spacing w:after="240"/>
        <w:rPr>
          <w:noProof/>
          <w:lang w:val="bg-BG"/>
        </w:rPr>
      </w:pPr>
    </w:p>
    <w:p w:rsidR="00B41587" w:rsidRDefault="008F394C">
      <w:pPr>
        <w:rPr>
          <w:i/>
          <w:noProof/>
          <w:lang w:val="bg-BG"/>
        </w:rPr>
      </w:pPr>
      <w:r>
        <w:rPr>
          <w:b/>
          <w:noProof/>
          <w:lang w:val="bg-BG"/>
        </w:rPr>
        <w:t>Италия:</w:t>
      </w:r>
      <w:r>
        <w:rPr>
          <w:noProof/>
          <w:lang w:val="bg-BG"/>
        </w:rPr>
        <w:t xml:space="preserve"> През февруари 2017 г. Комисията заключи, че в Италия са налице </w:t>
      </w:r>
      <w:r>
        <w:rPr>
          <w:i/>
          <w:noProof/>
          <w:lang w:val="bg-BG"/>
        </w:rPr>
        <w:t>прекомерни макроикономически дисбаланси</w:t>
      </w:r>
      <w:r>
        <w:rPr>
          <w:noProof/>
          <w:lang w:val="bg-BG"/>
        </w:rPr>
        <w:t>, които са свързани по-специално с рискове, произтичащи от големия държавен дъл</w:t>
      </w:r>
      <w:r>
        <w:rPr>
          <w:noProof/>
          <w:lang w:val="bg-BG"/>
        </w:rPr>
        <w:t xml:space="preserve">г и продължителната слаба динамика на производителността в контекст на високи равнища на необслужвани заеми (НОЗ) и безработица. В актуализираната таблица няколко от показателите превишават индикативния праг, а именно държавният дълг и безработицата. </w:t>
      </w:r>
    </w:p>
    <w:p w:rsidR="00B41587" w:rsidRDefault="008F394C">
      <w:pPr>
        <w:autoSpaceDE w:val="0"/>
        <w:autoSpaceDN w:val="0"/>
        <w:adjustRightInd w:val="0"/>
        <w:rPr>
          <w:noProof/>
          <w:lang w:val="bg-BG"/>
        </w:rPr>
      </w:pPr>
      <w:r>
        <w:rPr>
          <w:noProof/>
        </w:rPr>
        <w:drawing>
          <wp:anchor distT="0" distB="0" distL="114300" distR="114300" simplePos="0" relativeHeight="251700224" behindDoc="0" locked="0" layoutInCell="1" allowOverlap="1">
            <wp:simplePos x="0" y="0"/>
            <wp:positionH relativeFrom="column">
              <wp:posOffset>2790190</wp:posOffset>
            </wp:positionH>
            <wp:positionV relativeFrom="line">
              <wp:posOffset>57150</wp:posOffset>
            </wp:positionV>
            <wp:extent cx="3126105" cy="29337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126105" cy="293370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Изл</w:t>
      </w:r>
      <w:r>
        <w:rPr>
          <w:noProof/>
          <w:lang w:val="bg-BG"/>
        </w:rPr>
        <w:t>ишъкът по текущата сметка се нарасна допълнително през 2016 г., благодарение на износа, който увеличи умерено своя експортен пазарен дял и доближи показателя до индикативния праг, но също така отразява задържащото се слабо вътрешно търсене, за което свидет</w:t>
      </w:r>
      <w:r>
        <w:rPr>
          <w:noProof/>
          <w:lang w:val="bg-BG"/>
        </w:rPr>
        <w:t>елства исторически ниското съотношение на инвестициите в дълготрайни материални активи спрямо БВП. Разходната конкурентоспособност обаче продължава да страда от слабото повишаване на производителността на труда въпреки сдържаното нарастване на заплатите, д</w:t>
      </w:r>
      <w:r>
        <w:rPr>
          <w:noProof/>
          <w:lang w:val="bg-BG"/>
        </w:rPr>
        <w:t>окато неразходните фактори като иновации и големината на предприятията също така се отразяват на резултатите на износа. Бавното икономическо възстановяване, слабата инфлация и като цяло експанзивната фискална политика през последните години забавят намаляв</w:t>
      </w:r>
      <w:r>
        <w:rPr>
          <w:noProof/>
          <w:lang w:val="bg-BG"/>
        </w:rPr>
        <w:t xml:space="preserve">ането на много голямото съотношение на държавния дълг. Потенциалните перспективи за растеж са ограничени, особено с оглед на неблагоприятното демографско развитие и слабото повишаване на производителността, което се дължи също на наследеното продължително </w:t>
      </w:r>
      <w:r>
        <w:rPr>
          <w:noProof/>
          <w:lang w:val="bg-BG"/>
        </w:rPr>
        <w:t>и неправилно разпределяне на капитала в комбинация с високите равнища на НОЗ, както и с ниското равнище на инвестиции. Въпреки неотдавнашните публични мерки за преструктуриране на най-уязвимите банки, поради запазващата се слаба рентабилност и големите обе</w:t>
      </w:r>
      <w:r>
        <w:rPr>
          <w:noProof/>
          <w:lang w:val="bg-BG"/>
        </w:rPr>
        <w:t>ми от НОЗ банковата система е уязвима към сътресения, което възпрепятства способността на банките да набират допълнителен капитал и да подкрепят възстановяването на икономиката. Условията на пазара на труда постепенно се подобряват, но безработицата продъл</w:t>
      </w:r>
      <w:r>
        <w:rPr>
          <w:noProof/>
          <w:lang w:val="bg-BG"/>
        </w:rPr>
        <w:t xml:space="preserve">жава да бъде висока, много над равнищата отпреди кризата, по-специално за младите хора и трайно безработните лица. Общо, участието на пазара на труд нараства, но остава под средното равнище за еврозоната. </w:t>
      </w:r>
    </w:p>
    <w:p w:rsidR="00B41587" w:rsidRDefault="008F394C">
      <w:pPr>
        <w:autoSpaceDE w:val="0"/>
        <w:autoSpaceDN w:val="0"/>
        <w:adjustRightInd w:val="0"/>
        <w:rPr>
          <w:i/>
          <w:iCs/>
          <w:noProof/>
          <w:lang w:val="bg-BG"/>
        </w:rPr>
      </w:pPr>
      <w:r>
        <w:rPr>
          <w:i/>
          <w:noProof/>
          <w:lang w:val="bg-BG"/>
        </w:rPr>
        <w:t>Като цяло при икономическия анализ се открояват пр</w:t>
      </w:r>
      <w:r>
        <w:rPr>
          <w:i/>
          <w:noProof/>
          <w:lang w:val="bg-BG"/>
        </w:rPr>
        <w:t>облеми, свързани с силната публична задлъжнялост и високата безработица в контекст на слабо повишение на производителността и все още уязвимата банкова система. Поради това, а и като има предвид установяването на прекомерен дисбаланс през февруари, Комисия</w:t>
      </w:r>
      <w:r>
        <w:rPr>
          <w:i/>
          <w:noProof/>
          <w:lang w:val="bg-BG"/>
        </w:rPr>
        <w:t xml:space="preserve">та смята за полезно да проучи допълнително постоянността на макроикономическите рискове и да наблюдава напредъка в коригирането на прекомерните дисбаланси. </w:t>
      </w:r>
    </w:p>
    <w:p w:rsidR="00B41587" w:rsidRDefault="008F394C">
      <w:pPr>
        <w:autoSpaceDE w:val="0"/>
        <w:autoSpaceDN w:val="0"/>
        <w:adjustRightInd w:val="0"/>
        <w:rPr>
          <w:i/>
          <w:iCs/>
          <w:noProof/>
          <w:lang w:val="bg-BG"/>
        </w:rPr>
      </w:pPr>
      <w:r>
        <w:rPr>
          <w:noProof/>
        </w:rPr>
        <w:drawing>
          <wp:anchor distT="0" distB="0" distL="114300" distR="114300" simplePos="0" relativeHeight="251701248" behindDoc="0" locked="0" layoutInCell="1" allowOverlap="1">
            <wp:simplePos x="0" y="0"/>
            <wp:positionH relativeFrom="column">
              <wp:posOffset>2669540</wp:posOffset>
            </wp:positionH>
            <wp:positionV relativeFrom="line">
              <wp:posOffset>25400</wp:posOffset>
            </wp:positionV>
            <wp:extent cx="3076575" cy="278130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076575" cy="2781300"/>
                    </a:xfrm>
                    <a:prstGeom prst="rect">
                      <a:avLst/>
                    </a:prstGeom>
                  </pic:spPr>
                </pic:pic>
              </a:graphicData>
            </a:graphic>
            <wp14:sizeRelH relativeFrom="page">
              <wp14:pctWidth>0</wp14:pctWidth>
            </wp14:sizeRelH>
            <wp14:sizeRelV relativeFrom="page">
              <wp14:pctHeight>0</wp14:pctHeight>
            </wp14:sizeRelV>
          </wp:anchor>
        </w:drawing>
      </w:r>
      <w:r>
        <w:rPr>
          <w:b/>
          <w:noProof/>
          <w:lang w:val="bg-BG"/>
        </w:rPr>
        <w:t>Кипър:</w:t>
      </w:r>
      <w:r>
        <w:rPr>
          <w:noProof/>
          <w:lang w:val="bg-BG"/>
        </w:rPr>
        <w:t xml:space="preserve"> През февруари 2017 г. Комисията заключи, че в Кипър са налице </w:t>
      </w:r>
      <w:r>
        <w:rPr>
          <w:i/>
          <w:noProof/>
          <w:lang w:val="bg-BG"/>
        </w:rPr>
        <w:t xml:space="preserve">прекомерни макроикономически </w:t>
      </w:r>
      <w:r>
        <w:rPr>
          <w:i/>
          <w:noProof/>
          <w:lang w:val="bg-BG"/>
        </w:rPr>
        <w:t>дисбаланси</w:t>
      </w:r>
      <w:r>
        <w:rPr>
          <w:noProof/>
          <w:lang w:val="bg-BG"/>
        </w:rPr>
        <w:t>, включващи по-специално големи обеми частен, държавен и външен дълг, както и голям дял от НОЗ в банковата система. В актуализираната таблица няколко от показателите продължават да бъдат над индикативните прагове, а именно дефицитът по текущата с</w:t>
      </w:r>
      <w:r>
        <w:rPr>
          <w:noProof/>
          <w:lang w:val="bg-BG"/>
        </w:rPr>
        <w:t>метка, нетната международна инвестиционна позиция (НМИП), реалният ефективен валутен курс (РЕВК), загубите на експортни пазарни дялове, дългът на частния сектор, държавният дълг, безработицата, както и безработицата и измененията в равнищата на трудова акт</w:t>
      </w:r>
      <w:r>
        <w:rPr>
          <w:noProof/>
          <w:lang w:val="bg-BG"/>
        </w:rPr>
        <w:t xml:space="preserve">ивност. </w:t>
      </w:r>
    </w:p>
    <w:p w:rsidR="00B41587" w:rsidRDefault="008F394C">
      <w:pPr>
        <w:rPr>
          <w:noProof/>
          <w:lang w:val="bg-BG"/>
        </w:rPr>
      </w:pPr>
      <w:r>
        <w:rPr>
          <w:noProof/>
          <w:lang w:val="bg-BG"/>
        </w:rPr>
        <w:t>Дефицитът по текущата сметка нарасна значително през 2016 г., а отрицателната НМИП остава значителна. Натрупаните загуби на експортни пазарни дялове намаляха през 2016 г. и бе отчетено подобрение. Разходната конкурентоспособност се подобри благода</w:t>
      </w:r>
      <w:r>
        <w:rPr>
          <w:noProof/>
          <w:lang w:val="bg-BG"/>
        </w:rPr>
        <w:t>рение на значителното обезценяване на РЕВК, което отразява отрицателната инфлация, отчетена до 2016 г., и овладените заплати,  компенсиращи слабото повишение на производителността. Постигането на допълнително подобрение може да се окаже трудно, тъй като те</w:t>
      </w:r>
      <w:r>
        <w:rPr>
          <w:noProof/>
          <w:lang w:val="bg-BG"/>
        </w:rPr>
        <w:t>зи фактори постепенно отслабват. Равнището на задлъжнялост на частния сектор е сред най-високите в ЕС, както за домакинствата, така и за предприятията, а процесът на намаляване на задлъжнялостта е бавен. По-специално, спестяванията на домакинствата са отри</w:t>
      </w:r>
      <w:r>
        <w:rPr>
          <w:noProof/>
          <w:lang w:val="bg-BG"/>
        </w:rPr>
        <w:t>цателни. Дефлационната среда до края на 2016 г. ограничи възможността за пасивно намаляване на задлъжнялостта. Тази тенденция трябва да се обърне, тъй като инфлацията се очаква да нарасне. Реалните цени на жилищата бяха стабилни и вероятно са достигнали въ</w:t>
      </w:r>
      <w:r>
        <w:rPr>
          <w:noProof/>
          <w:lang w:val="bg-BG"/>
        </w:rPr>
        <w:t xml:space="preserve">рховите си стойности. Много високото равнище на необслужваните заеми възпрепятства възстановяването на достатъчен кредитен поток за икономиката, което е необходимо за стимулиране на растежа в средносрочен план. Много голямото съотношение на държавния дълг </w:t>
      </w:r>
      <w:r>
        <w:rPr>
          <w:noProof/>
          <w:lang w:val="bg-BG"/>
        </w:rPr>
        <w:t xml:space="preserve">към БВП се очаква да достигне върховата си стойност през 2016 г. Безработицата намалява, но се задържа на високи равнища, по-специално дълготрайната и младежката безработица. </w:t>
      </w:r>
    </w:p>
    <w:p w:rsidR="00B41587" w:rsidRDefault="008F394C">
      <w:pPr>
        <w:rPr>
          <w:i/>
          <w:noProof/>
          <w:lang w:val="bg-BG"/>
        </w:rPr>
      </w:pPr>
      <w:r>
        <w:rPr>
          <w:i/>
          <w:noProof/>
          <w:lang w:val="bg-BG"/>
        </w:rPr>
        <w:t>Като цяло при икономическия анализ се открояват проблеми, свързани с външната ус</w:t>
      </w:r>
      <w:r>
        <w:rPr>
          <w:i/>
          <w:noProof/>
          <w:lang w:val="bg-BG"/>
        </w:rPr>
        <w:t>тойчивост, държавния и частния дълг, уязвимите области във финансовия сектор и корекциите на пазара на труда. Поради това Комисията смята за полезно, като има предвид също и установяването на прекомерен дисбаланс през февруари, да проучи допълнително устой</w:t>
      </w:r>
      <w:r>
        <w:rPr>
          <w:i/>
          <w:noProof/>
          <w:lang w:val="bg-BG"/>
        </w:rPr>
        <w:t>чивостта на макроикономическите рискове и да наблюдава напредъка в коригирането на прекомерните дисбаланси.</w:t>
      </w:r>
    </w:p>
    <w:p w:rsidR="00B41587" w:rsidRDefault="00B41587">
      <w:pPr>
        <w:spacing w:after="240"/>
        <w:rPr>
          <w:b/>
          <w:bCs/>
          <w:noProof/>
          <w:lang w:val="bg-BG"/>
        </w:rPr>
      </w:pPr>
    </w:p>
    <w:p w:rsidR="00B41587" w:rsidRDefault="008F394C">
      <w:pPr>
        <w:rPr>
          <w:noProof/>
          <w:lang w:val="bg-BG"/>
        </w:rPr>
      </w:pPr>
      <w:r>
        <w:rPr>
          <w:noProof/>
        </w:rPr>
        <w:drawing>
          <wp:anchor distT="0" distB="0" distL="114300" distR="114300" simplePos="0" relativeHeight="251703296" behindDoc="0" locked="0" layoutInCell="1" allowOverlap="1">
            <wp:simplePos x="0" y="0"/>
            <wp:positionH relativeFrom="column">
              <wp:posOffset>3142615</wp:posOffset>
            </wp:positionH>
            <wp:positionV relativeFrom="line">
              <wp:posOffset>72390</wp:posOffset>
            </wp:positionV>
            <wp:extent cx="2609850" cy="237172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09850" cy="2371725"/>
                    </a:xfrm>
                    <a:prstGeom prst="rect">
                      <a:avLst/>
                    </a:prstGeom>
                  </pic:spPr>
                </pic:pic>
              </a:graphicData>
            </a:graphic>
            <wp14:sizeRelH relativeFrom="page">
              <wp14:pctWidth>0</wp14:pctWidth>
            </wp14:sizeRelH>
            <wp14:sizeRelV relativeFrom="page">
              <wp14:pctHeight>0</wp14:pctHeight>
            </wp14:sizeRelV>
          </wp:anchor>
        </w:drawing>
      </w:r>
      <w:r>
        <w:rPr>
          <w:b/>
          <w:noProof/>
          <w:lang w:val="bg-BG"/>
        </w:rPr>
        <w:t xml:space="preserve">Латвия: </w:t>
      </w:r>
      <w:r>
        <w:rPr>
          <w:noProof/>
          <w:lang w:val="bg-BG"/>
        </w:rPr>
        <w:t xml:space="preserve">При предходната ПМД в Латвия </w:t>
      </w:r>
      <w:r>
        <w:rPr>
          <w:i/>
          <w:noProof/>
          <w:lang w:val="bg-BG"/>
        </w:rPr>
        <w:t>не</w:t>
      </w:r>
      <w:r>
        <w:rPr>
          <w:noProof/>
          <w:lang w:val="bg-BG"/>
        </w:rPr>
        <w:t xml:space="preserve"> бяха установени </w:t>
      </w:r>
      <w:r>
        <w:rPr>
          <w:i/>
          <w:noProof/>
          <w:lang w:val="bg-BG"/>
        </w:rPr>
        <w:t>макроикономически дисбаланси</w:t>
      </w:r>
      <w:r>
        <w:rPr>
          <w:noProof/>
          <w:lang w:val="bg-BG"/>
        </w:rPr>
        <w:t xml:space="preserve">. В актуализирания вариант на таблицата някои показатели са </w:t>
      </w:r>
      <w:r>
        <w:rPr>
          <w:noProof/>
          <w:lang w:val="bg-BG"/>
        </w:rPr>
        <w:t>над индикативните прагове, по-специално нетната международна инвестиционна позиция (НМИП), разходите за труд за единица продукция, реалните цени на жилищата и безработицата.</w:t>
      </w:r>
    </w:p>
    <w:p w:rsidR="00B41587" w:rsidRDefault="008F394C">
      <w:pPr>
        <w:widowControl w:val="0"/>
        <w:rPr>
          <w:noProof/>
          <w:lang w:val="bg-BG"/>
        </w:rPr>
      </w:pPr>
      <w:r>
        <w:rPr>
          <w:noProof/>
          <w:lang w:val="bg-BG"/>
        </w:rPr>
        <w:t>Салдото по текущата сметка отбеляза излишък през 2016 г., но в бъдеще се очаква да</w:t>
      </w:r>
      <w:r>
        <w:rPr>
          <w:noProof/>
          <w:lang w:val="bg-BG"/>
        </w:rPr>
        <w:t xml:space="preserve"> се върне към дефицит. Силно отрицателната НМИП, отразяваща предимно държавния дълг и ПЧИ, продължава да се подобрява постепенно. Експортните пазарни дялове се стабилизираха през последните години. Въпреки това показателите за разходната конкурентоспособно</w:t>
      </w:r>
      <w:r>
        <w:rPr>
          <w:noProof/>
          <w:lang w:val="bg-BG"/>
        </w:rPr>
        <w:t>ст сочат непрекъснато отслабване. РЕВК поскъпваше. Разходите за труд за единица продукция се увеличиха значително, главно поради постоянното нарастване на заплатите, което в бъдеще се очаква да продължи в контекста на свиването на работната сила и напрежен</w:t>
      </w:r>
      <w:r>
        <w:rPr>
          <w:noProof/>
          <w:lang w:val="bg-BG"/>
        </w:rPr>
        <w:t xml:space="preserve">ието на пазара на труда, въпреки че се предвижда производителността на труда да нарасне до известна степен. Реалните цени на жилищата нараснаха значително през 2016 г., което заслужава внимание. Продължава намаляването на задлъжнялостта на частния сектор, </w:t>
      </w:r>
      <w:r>
        <w:rPr>
          <w:noProof/>
          <w:lang w:val="bg-BG"/>
        </w:rPr>
        <w:t xml:space="preserve">а растежът на кредитирането остава слаб. Държавният дълг остава малък и стабилен. Безработицата продължи да се коригира в посока намаление. </w:t>
      </w:r>
    </w:p>
    <w:p w:rsidR="00B41587" w:rsidRDefault="008F394C">
      <w:pPr>
        <w:rPr>
          <w:i/>
          <w:iCs/>
          <w:noProof/>
          <w:lang w:val="bg-BG"/>
        </w:rPr>
      </w:pPr>
      <w:r>
        <w:rPr>
          <w:i/>
          <w:noProof/>
          <w:lang w:val="bg-BG"/>
        </w:rPr>
        <w:t>Като цяло при икономическия анализ се открояват проблеми, свързани с натиска на вътрешното търсене и разходната кон</w:t>
      </w:r>
      <w:r>
        <w:rPr>
          <w:i/>
          <w:noProof/>
          <w:lang w:val="bg-BG"/>
        </w:rPr>
        <w:t>курентоспособност, но рисковете изглеждат ограничени. Като цяло, Комисията на този етап няма да извършва допълнителен задълбочен анализ в контекста на ПМД.</w:t>
      </w:r>
    </w:p>
    <w:p w:rsidR="00B41587" w:rsidRDefault="00B41587">
      <w:pPr>
        <w:spacing w:after="240"/>
        <w:rPr>
          <w:i/>
          <w:iCs/>
          <w:noProof/>
          <w:lang w:val="bg-BG"/>
        </w:rPr>
      </w:pPr>
    </w:p>
    <w:p w:rsidR="00B41587" w:rsidRDefault="008F394C">
      <w:pPr>
        <w:rPr>
          <w:b/>
          <w:noProof/>
          <w:lang w:val="bg-BG"/>
        </w:rPr>
      </w:pPr>
      <w:r>
        <w:rPr>
          <w:b/>
          <w:noProof/>
          <w:lang w:val="bg-BG"/>
        </w:rPr>
        <w:t>Литва</w:t>
      </w:r>
      <w:r>
        <w:rPr>
          <w:noProof/>
          <w:lang w:val="bg-BG"/>
        </w:rPr>
        <w:t xml:space="preserve">: При предходни ПМД в Литва </w:t>
      </w:r>
      <w:r>
        <w:rPr>
          <w:i/>
          <w:noProof/>
          <w:lang w:val="bg-BG"/>
        </w:rPr>
        <w:t>не</w:t>
      </w:r>
      <w:r>
        <w:rPr>
          <w:noProof/>
          <w:lang w:val="bg-BG"/>
        </w:rPr>
        <w:t xml:space="preserve"> бяха установени </w:t>
      </w:r>
      <w:r>
        <w:rPr>
          <w:i/>
          <w:noProof/>
          <w:lang w:val="bg-BG"/>
        </w:rPr>
        <w:t>макроикономически дисбаланси</w:t>
      </w:r>
      <w:r>
        <w:rPr>
          <w:noProof/>
          <w:lang w:val="bg-BG"/>
        </w:rPr>
        <w:t xml:space="preserve">. В актуализирания </w:t>
      </w:r>
      <w:r>
        <w:rPr>
          <w:noProof/>
          <w:lang w:val="bg-BG"/>
        </w:rPr>
        <w:t xml:space="preserve">вариант на таблицата няколко от показателите превишават индикативните прагове, а именно нетната международна инвестиционна позиция (НМИП), разходите за труд за единица продукция и реалният ефективен </w:t>
      </w:r>
      <w:r>
        <w:rPr>
          <w:noProof/>
        </w:rPr>
        <w:drawing>
          <wp:anchor distT="0" distB="0" distL="114300" distR="114300" simplePos="0" relativeHeight="251704320" behindDoc="0" locked="0" layoutInCell="1" allowOverlap="1">
            <wp:simplePos x="0" y="0"/>
            <wp:positionH relativeFrom="column">
              <wp:posOffset>3197860</wp:posOffset>
            </wp:positionH>
            <wp:positionV relativeFrom="line">
              <wp:posOffset>101600</wp:posOffset>
            </wp:positionV>
            <wp:extent cx="2590800" cy="24003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90800" cy="240030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валутен курс (РЕВК).</w:t>
      </w:r>
    </w:p>
    <w:p w:rsidR="00B41587" w:rsidRDefault="008F394C">
      <w:pPr>
        <w:rPr>
          <w:noProof/>
          <w:spacing w:val="-2"/>
          <w:lang w:val="bg-BG"/>
        </w:rPr>
      </w:pPr>
      <w:r>
        <w:rPr>
          <w:noProof/>
          <w:spacing w:val="-2"/>
          <w:lang w:val="bg-BG"/>
        </w:rPr>
        <w:t>Текущата сметка се сви през 2015—20</w:t>
      </w:r>
      <w:r>
        <w:rPr>
          <w:noProof/>
          <w:spacing w:val="-2"/>
          <w:lang w:val="bg-BG"/>
        </w:rPr>
        <w:t>16 г., което доведе показателя до равновесие. НМИП, отразяваща предимно държавния дълг и ПЧИ, показва тенденция към подобрение. През 2016 г. експортният пазарени дял се увеличи. Има обаче загуби на разходна конкурентоспособност. През последните години РЕВК</w:t>
      </w:r>
      <w:r>
        <w:rPr>
          <w:noProof/>
          <w:spacing w:val="-2"/>
          <w:lang w:val="bg-BG"/>
        </w:rPr>
        <w:t xml:space="preserve"> поскъпна  и увеличението на разходите за труд за единица продукция бе силно. През следващите години се очаква то да се забави в известна степен заедно с очакваното нарастване на производителността. Равнищата на държавния и частния дълг продължават да бъда</w:t>
      </w:r>
      <w:r>
        <w:rPr>
          <w:noProof/>
          <w:spacing w:val="-2"/>
          <w:lang w:val="bg-BG"/>
        </w:rPr>
        <w:t xml:space="preserve">т сравнително ниски и стабилни. Реалните цени на жилищата се покачват, но тръгват от ниско равнище. Безработицата намалява и вече е в рамките на прага. </w:t>
      </w:r>
    </w:p>
    <w:p w:rsidR="00B41587" w:rsidRDefault="008F394C">
      <w:pPr>
        <w:rPr>
          <w:i/>
          <w:iCs/>
          <w:noProof/>
          <w:lang w:val="bg-BG"/>
        </w:rPr>
      </w:pPr>
      <w:r>
        <w:rPr>
          <w:i/>
          <w:noProof/>
          <w:lang w:val="bg-BG"/>
        </w:rPr>
        <w:t>Като цяло при икономическия анализ се открояват проблеми, свързани с разходната конкурентоспособност, н</w:t>
      </w:r>
      <w:r>
        <w:rPr>
          <w:i/>
          <w:noProof/>
          <w:lang w:val="bg-BG"/>
        </w:rPr>
        <w:t>о рисковете в това отношение са ограничени. Поради това Комисията на този етап няма да извършва допълнителен задълбочен анализ в контекста на ПМД.</w:t>
      </w:r>
    </w:p>
    <w:p w:rsidR="00B41587" w:rsidRDefault="00B41587">
      <w:pPr>
        <w:spacing w:after="240"/>
        <w:rPr>
          <w:i/>
          <w:iCs/>
          <w:noProof/>
          <w:lang w:val="bg-BG"/>
        </w:rPr>
      </w:pPr>
    </w:p>
    <w:p w:rsidR="00B41587" w:rsidRDefault="008F394C">
      <w:pPr>
        <w:rPr>
          <w:i/>
          <w:iCs/>
          <w:noProof/>
          <w:lang w:val="bg-BG"/>
        </w:rPr>
      </w:pPr>
      <w:r>
        <w:rPr>
          <w:b/>
          <w:noProof/>
          <w:lang w:val="bg-BG"/>
        </w:rPr>
        <w:t>Люксембург:</w:t>
      </w:r>
      <w:r>
        <w:rPr>
          <w:noProof/>
          <w:lang w:val="bg-BG"/>
        </w:rPr>
        <w:t xml:space="preserve"> При предходната ПМД в Люксембург </w:t>
      </w:r>
      <w:r>
        <w:rPr>
          <w:i/>
          <w:noProof/>
          <w:lang w:val="bg-BG"/>
        </w:rPr>
        <w:t>не</w:t>
      </w:r>
      <w:r>
        <w:rPr>
          <w:noProof/>
          <w:lang w:val="bg-BG"/>
        </w:rPr>
        <w:t xml:space="preserve"> бяха установени </w:t>
      </w:r>
      <w:r>
        <w:rPr>
          <w:i/>
          <w:noProof/>
          <w:lang w:val="bg-BG"/>
        </w:rPr>
        <w:t>макроикономически дисбаланси</w:t>
      </w:r>
      <w:r>
        <w:rPr>
          <w:noProof/>
          <w:lang w:val="bg-BG"/>
        </w:rPr>
        <w:t>. В актуализиран</w:t>
      </w:r>
      <w:r>
        <w:rPr>
          <w:noProof/>
          <w:lang w:val="bg-BG"/>
        </w:rPr>
        <w:t>ата таблица няколко от показателите превишават индикативните прагове, а именно дългът на частния сектор, както и увеличението на младежката безработица.</w:t>
      </w:r>
    </w:p>
    <w:p w:rsidR="00B41587" w:rsidRDefault="008F394C">
      <w:pPr>
        <w:rPr>
          <w:noProof/>
          <w:lang w:val="bg-BG"/>
        </w:rPr>
      </w:pPr>
      <w:r>
        <w:rPr>
          <w:noProof/>
        </w:rPr>
        <w:drawing>
          <wp:anchor distT="0" distB="0" distL="114300" distR="114300" simplePos="0" relativeHeight="251711488" behindDoc="0" locked="0" layoutInCell="1" allowOverlap="1">
            <wp:simplePos x="0" y="0"/>
            <wp:positionH relativeFrom="column">
              <wp:posOffset>3030220</wp:posOffset>
            </wp:positionH>
            <wp:positionV relativeFrom="line">
              <wp:posOffset>103505</wp:posOffset>
            </wp:positionV>
            <wp:extent cx="2774950" cy="310515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774950" cy="310515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 xml:space="preserve">Външната позиция продължава да показва стабилен като цяло излишък по текущата сметка и положителна </w:t>
      </w:r>
      <w:r>
        <w:rPr>
          <w:noProof/>
          <w:lang w:val="bg-BG"/>
        </w:rPr>
        <w:t>НМИП, като промените до голяма степен отразяват статута на страната като международен финансов център, а не дейността на националната икономика. Натрупаното увеличение на дела от експортния пазар бе голямо, благоприятствано от скорошната стабилност на разх</w:t>
      </w:r>
      <w:r>
        <w:rPr>
          <w:noProof/>
          <w:lang w:val="bg-BG"/>
        </w:rPr>
        <w:t>одната конкурентоспособност и с подкрепата на слабото развитие на разходите за труд на единица продукция. В продължение на много последователни години реалните цени на жилищата продължиха да нарастват с относително висок процент и заслужават особено вниман</w:t>
      </w:r>
      <w:r>
        <w:rPr>
          <w:noProof/>
          <w:lang w:val="bg-BG"/>
        </w:rPr>
        <w:t>ие. Покачването на цените на жилищата се основава на динамичен пазар на труда, съчетан със значителни нетни миграционни потоци и благоприятните условия на финансиране, докато предлагането остава относително ограничено. Достъпността на жилищата продължава д</w:t>
      </w:r>
      <w:r>
        <w:rPr>
          <w:noProof/>
          <w:lang w:val="bg-BG"/>
        </w:rPr>
        <w:t xml:space="preserve">а се влошава поради постоянното увеличаване на техните цени. Въпреки че задлъжнялостта на предприятията се дължи главно на трансграничните заеми между предприятия, равнището на дълга на домакинствата, състоящ се предимно от ипотечни кредити, неотклонно се </w:t>
      </w:r>
      <w:r>
        <w:rPr>
          <w:noProof/>
          <w:lang w:val="bg-BG"/>
        </w:rPr>
        <w:t xml:space="preserve">увеличаваше, което отразява повишението на цените на жилищата. Рисковете за финансовата стабилност на страната обаче са смекчени от солидността на банковия сектор. Публичният дълг остава много малък. В условията на силен растеж пазарът на труда се затяга, </w:t>
      </w:r>
      <w:r>
        <w:rPr>
          <w:noProof/>
          <w:lang w:val="bg-BG"/>
        </w:rPr>
        <w:t>а безработицата намалява.</w:t>
      </w:r>
    </w:p>
    <w:p w:rsidR="00B41587" w:rsidRDefault="008F394C">
      <w:pPr>
        <w:rPr>
          <w:i/>
          <w:noProof/>
          <w:lang w:val="bg-BG"/>
        </w:rPr>
      </w:pPr>
      <w:r>
        <w:rPr>
          <w:i/>
          <w:noProof/>
          <w:lang w:val="bg-BG"/>
        </w:rPr>
        <w:t xml:space="preserve">Като цяло икономическият анализ сочи основно някои ограничени рискове, свързани с непрекъснато увеличение на цените на жилищата и дълга на домакинствата. Поради това Комисията на този етап няма да извършва допълнителен задълбочен </w:t>
      </w:r>
      <w:r>
        <w:rPr>
          <w:i/>
          <w:noProof/>
          <w:lang w:val="bg-BG"/>
        </w:rPr>
        <w:t>анализ в контекста на ПМД.</w:t>
      </w:r>
    </w:p>
    <w:p w:rsidR="00B41587" w:rsidRDefault="008F394C">
      <w:pPr>
        <w:rPr>
          <w:bCs/>
          <w:noProof/>
          <w:lang w:val="bg-BG"/>
        </w:rPr>
      </w:pPr>
      <w:r>
        <w:rPr>
          <w:b/>
          <w:noProof/>
          <w:lang w:val="bg-BG"/>
        </w:rPr>
        <w:t xml:space="preserve">Унгария: </w:t>
      </w:r>
      <w:r>
        <w:rPr>
          <w:noProof/>
          <w:lang w:val="bg-BG"/>
        </w:rPr>
        <w:t xml:space="preserve">При предходната ПМД в Унгария </w:t>
      </w:r>
      <w:r>
        <w:rPr>
          <w:i/>
          <w:noProof/>
          <w:lang w:val="bg-BG"/>
        </w:rPr>
        <w:t>не бяха установени макроикономически дисбаланси</w:t>
      </w:r>
      <w:r>
        <w:rPr>
          <w:noProof/>
          <w:lang w:val="bg-BG"/>
        </w:rPr>
        <w:t>. В актуализирания вариант на таблицата няколко от показателите превишават индикативните прагове, по-специално нетната международна инвестицион</w:t>
      </w:r>
      <w:r>
        <w:rPr>
          <w:noProof/>
          <w:lang w:val="bg-BG"/>
        </w:rPr>
        <w:t>на позиция (НМИП), държавният дълг, реалните цени на жилищата и годишното изменение на общите пасиви на финансовия сектор.</w:t>
      </w:r>
    </w:p>
    <w:p w:rsidR="00B41587" w:rsidRDefault="008F394C">
      <w:pPr>
        <w:widowControl w:val="0"/>
        <w:autoSpaceDE w:val="0"/>
        <w:autoSpaceDN w:val="0"/>
        <w:adjustRightInd w:val="0"/>
        <w:rPr>
          <w:noProof/>
          <w:lang w:val="bg-BG"/>
        </w:rPr>
      </w:pPr>
      <w:r>
        <w:rPr>
          <w:noProof/>
        </w:rPr>
        <w:drawing>
          <wp:anchor distT="0" distB="0" distL="114300" distR="114300" simplePos="0" relativeHeight="251713536" behindDoc="0" locked="0" layoutInCell="1" allowOverlap="1">
            <wp:simplePos x="0" y="0"/>
            <wp:positionH relativeFrom="column">
              <wp:posOffset>3107055</wp:posOffset>
            </wp:positionH>
            <wp:positionV relativeFrom="line">
              <wp:posOffset>48895</wp:posOffset>
            </wp:positionV>
            <wp:extent cx="2679700" cy="2520315"/>
            <wp:effectExtent l="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679700" cy="2520315"/>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Салдото по текущата сметка продължава да показва излишък, което означава трайно подобрение в отрицателната НМИП. Експортният пазарен</w:t>
      </w:r>
      <w:r>
        <w:rPr>
          <w:noProof/>
          <w:lang w:val="bg-BG"/>
        </w:rPr>
        <w:t xml:space="preserve"> дял се е увеличил, подкрепен от растящата автомобилна промишленост. Въпреки това разходната конкурентоспособност се е влошила, както е отразено в динамичния растеж на разходите за единица труд. Частният дълг продължава да намалява. В корпоративния сектор </w:t>
      </w:r>
      <w:r>
        <w:rPr>
          <w:noProof/>
          <w:lang w:val="bg-BG"/>
        </w:rPr>
        <w:t>темпът на намаляване на задлъжнялостта се е забавил, тъй като икономическият растеж се засилва и корпоративното кредитиране е започнало да се възстановява. Има признаци за възникване на недостиг на капацитет и ценови натиск в икономиката, които изискват вн</w:t>
      </w:r>
      <w:r>
        <w:rPr>
          <w:noProof/>
          <w:lang w:val="bg-BG"/>
        </w:rPr>
        <w:t>имание. По-специално реалните цени на жилищата са продължили да се увеличават бързо, макар и от подценени равнища. Все още високият дял на необслужвани ипотечни заеми може да се възползва от възстановяването на пазара на жилища поради подобрената възможнос</w:t>
      </w:r>
      <w:r>
        <w:rPr>
          <w:noProof/>
          <w:lang w:val="bg-BG"/>
        </w:rPr>
        <w:t>т за пазарна реализация. Държавният дълг намалява бавно. Банковият сектор е подобрил своята рентабилност и капацитета си за поемане на сътресения. Увеличаването на пасивите на финансовия сектор е свързана с една голяма еднократна трансакция от дружество съ</w:t>
      </w:r>
      <w:r>
        <w:rPr>
          <w:noProof/>
          <w:lang w:val="bg-BG"/>
        </w:rPr>
        <w:t xml:space="preserve">с специална цел, която няма отражение върху вътрешното кредитиране. Безработицата намаля допълнително през 2016 г. и затягането на пазара на труда продължава. </w:t>
      </w:r>
    </w:p>
    <w:p w:rsidR="00B41587" w:rsidRDefault="008F394C">
      <w:pPr>
        <w:rPr>
          <w:noProof/>
          <w:lang w:val="bg-BG"/>
        </w:rPr>
      </w:pPr>
      <w:r>
        <w:rPr>
          <w:i/>
          <w:noProof/>
          <w:lang w:val="bg-BG"/>
        </w:rPr>
        <w:t>Като цяло при икономическия анализ се открояват проблеми, свързани с жилищния пазар и трудовия п</w:t>
      </w:r>
      <w:r>
        <w:rPr>
          <w:i/>
          <w:noProof/>
          <w:lang w:val="bg-BG"/>
        </w:rPr>
        <w:t>азар, но рисковете изглеждат ограничени. На този етап Комисията няма да извършва допълнителен задълбочен анализ в контекста на ПМД.</w:t>
      </w:r>
    </w:p>
    <w:p w:rsidR="00B41587" w:rsidRDefault="00B41587">
      <w:pPr>
        <w:spacing w:after="240"/>
        <w:rPr>
          <w:i/>
          <w:noProof/>
          <w:lang w:val="bg-BG"/>
        </w:rPr>
      </w:pPr>
    </w:p>
    <w:p w:rsidR="00B41587" w:rsidRDefault="008F394C">
      <w:pPr>
        <w:rPr>
          <w:b/>
          <w:bCs/>
          <w:noProof/>
          <w:lang w:val="bg-BG"/>
        </w:rPr>
      </w:pPr>
      <w:r>
        <w:rPr>
          <w:noProof/>
        </w:rPr>
        <w:drawing>
          <wp:anchor distT="0" distB="0" distL="114300" distR="114300" simplePos="0" relativeHeight="251714560" behindDoc="0" locked="0" layoutInCell="1" allowOverlap="1">
            <wp:simplePos x="0" y="0"/>
            <wp:positionH relativeFrom="column">
              <wp:posOffset>2699385</wp:posOffset>
            </wp:positionH>
            <wp:positionV relativeFrom="line">
              <wp:posOffset>51435</wp:posOffset>
            </wp:positionV>
            <wp:extent cx="3010535" cy="27622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3010535" cy="2762250"/>
                    </a:xfrm>
                    <a:prstGeom prst="rect">
                      <a:avLst/>
                    </a:prstGeom>
                  </pic:spPr>
                </pic:pic>
              </a:graphicData>
            </a:graphic>
            <wp14:sizeRelH relativeFrom="page">
              <wp14:pctWidth>0</wp14:pctWidth>
            </wp14:sizeRelH>
            <wp14:sizeRelV relativeFrom="page">
              <wp14:pctHeight>0</wp14:pctHeight>
            </wp14:sizeRelV>
          </wp:anchor>
        </w:drawing>
      </w:r>
      <w:r>
        <w:rPr>
          <w:b/>
          <w:noProof/>
          <w:lang w:val="bg-BG"/>
        </w:rPr>
        <w:t xml:space="preserve">Малта: </w:t>
      </w:r>
      <w:r>
        <w:rPr>
          <w:noProof/>
          <w:lang w:val="bg-BG"/>
        </w:rPr>
        <w:t xml:space="preserve">При предходната ПМД в Малта </w:t>
      </w:r>
      <w:r>
        <w:rPr>
          <w:i/>
          <w:noProof/>
          <w:lang w:val="bg-BG"/>
        </w:rPr>
        <w:t>не бяха установени макроикономически дисбаланси</w:t>
      </w:r>
      <w:r>
        <w:rPr>
          <w:noProof/>
          <w:lang w:val="bg-BG"/>
        </w:rPr>
        <w:t xml:space="preserve">. В актуализирания вариант на таблицата </w:t>
      </w:r>
      <w:r>
        <w:rPr>
          <w:noProof/>
          <w:lang w:val="bg-BG"/>
        </w:rPr>
        <w:t>салдото по текущата сметка е над индикативния праг.</w:t>
      </w:r>
    </w:p>
    <w:p w:rsidR="00B41587" w:rsidRDefault="008F394C">
      <w:pPr>
        <w:pStyle w:val="Default"/>
        <w:spacing w:before="120" w:after="200"/>
        <w:jc w:val="both"/>
        <w:rPr>
          <w:noProof/>
          <w:lang w:val="bg-BG"/>
        </w:rPr>
      </w:pPr>
      <w:r>
        <w:rPr>
          <w:noProof/>
          <w:lang w:val="bg-BG"/>
        </w:rPr>
        <w:t xml:space="preserve">Въпреки бързия растеж на вътрешното търсене големият излишък по текущата сметка нарасна допълнително през 2016 г. и показателят понастоящем е над прага. Нетната международна инвестиционна позиция е силно </w:t>
      </w:r>
      <w:r>
        <w:rPr>
          <w:noProof/>
          <w:lang w:val="bg-BG"/>
        </w:rPr>
        <w:t xml:space="preserve">положителна. Развитието на разходната конкурентоспособност е благоприятно. Ръстът на разходите за единица труд е бил овладян поради умереното развитие на заплатите и относително високия ръст на производителността на труда. Развитието на РЕВК е стабилно. В </w:t>
      </w:r>
      <w:r>
        <w:rPr>
          <w:noProof/>
          <w:lang w:val="bg-BG"/>
        </w:rPr>
        <w:t>частния сектор съотношението на дълга беше стабилно през 2016 г., но след това пасивното намаляване на задлъжнялостта е подкрепено с силен растеж. Задлъжнялостта на корпоративния сектор обаче продължава да е висока. Темпът на растеж на кредитирането на дом</w:t>
      </w:r>
      <w:r>
        <w:rPr>
          <w:noProof/>
          <w:lang w:val="bg-BG"/>
        </w:rPr>
        <w:t>акинствата е сравнително стабилен. Съотношението на държавния дълг към БВП е с устойчива низходяща тенденция и вече е в рамките на прага. Бурно развиващата се икономическа среда и някои затруднения при насочването на вътрешните спестявания към инвестициите</w:t>
      </w:r>
      <w:r>
        <w:rPr>
          <w:noProof/>
          <w:lang w:val="bg-BG"/>
        </w:rPr>
        <w:t xml:space="preserve"> са допринесли за съживяването на жилищния пазар. Цените на жилищата се увеличават постоянно, което заслужава внимание. Качеството на активите във вътрешния банков сектор се подобрява и наличните капиталови буфери изглеждат достатъчни за покриване на непос</w:t>
      </w:r>
      <w:r>
        <w:rPr>
          <w:noProof/>
          <w:lang w:val="bg-BG"/>
        </w:rPr>
        <w:t xml:space="preserve">редствени рискове, които биха могли да възникнат от жилищния пазар. Високият ръст на заетостта продължи да е придружен от спад на безработицата. </w:t>
      </w:r>
    </w:p>
    <w:p w:rsidR="00B41587" w:rsidRDefault="008F394C">
      <w:pPr>
        <w:pStyle w:val="Default"/>
        <w:spacing w:before="120" w:after="200"/>
        <w:jc w:val="both"/>
        <w:rPr>
          <w:i/>
          <w:iCs/>
          <w:noProof/>
          <w:lang w:val="bg-BG"/>
        </w:rPr>
      </w:pPr>
      <w:r>
        <w:rPr>
          <w:i/>
          <w:noProof/>
          <w:lang w:val="bg-BG"/>
        </w:rPr>
        <w:t>Като цяло икономическият анализ разкрива силна динамика на салдото по текущата сметка и жилищния пазар в конте</w:t>
      </w:r>
      <w:r>
        <w:rPr>
          <w:i/>
          <w:noProof/>
          <w:lang w:val="bg-BG"/>
        </w:rPr>
        <w:t>кста на силен растеж, но рисковете изглеждат ограничени. Поради това Комисията на този етап няма да извършва допълнителен задълбочен анализ в контекста на ПМД.</w:t>
      </w:r>
    </w:p>
    <w:p w:rsidR="00B41587" w:rsidRDefault="008F394C">
      <w:pPr>
        <w:rPr>
          <w:i/>
          <w:noProof/>
          <w:lang w:val="bg-BG"/>
        </w:rPr>
      </w:pPr>
      <w:r>
        <w:rPr>
          <w:noProof/>
        </w:rPr>
        <w:drawing>
          <wp:anchor distT="0" distB="0" distL="114300" distR="114300" simplePos="0" relativeHeight="251715584" behindDoc="0" locked="0" layoutInCell="1" allowOverlap="1">
            <wp:simplePos x="0" y="0"/>
            <wp:positionH relativeFrom="column">
              <wp:posOffset>2850515</wp:posOffset>
            </wp:positionH>
            <wp:positionV relativeFrom="line">
              <wp:posOffset>11430</wp:posOffset>
            </wp:positionV>
            <wp:extent cx="2863215" cy="228600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863215" cy="2286000"/>
                    </a:xfrm>
                    <a:prstGeom prst="rect">
                      <a:avLst/>
                    </a:prstGeom>
                  </pic:spPr>
                </pic:pic>
              </a:graphicData>
            </a:graphic>
            <wp14:sizeRelH relativeFrom="page">
              <wp14:pctWidth>0</wp14:pctWidth>
            </wp14:sizeRelH>
            <wp14:sizeRelV relativeFrom="page">
              <wp14:pctHeight>0</wp14:pctHeight>
            </wp14:sizeRelV>
          </wp:anchor>
        </w:drawing>
      </w:r>
    </w:p>
    <w:p w:rsidR="00B41587" w:rsidRDefault="008F394C">
      <w:pPr>
        <w:rPr>
          <w:noProof/>
          <w:lang w:val="bg-BG"/>
        </w:rPr>
      </w:pPr>
      <w:r>
        <w:rPr>
          <w:b/>
          <w:noProof/>
          <w:lang w:val="bg-BG"/>
        </w:rPr>
        <w:t>Нидерландия:</w:t>
      </w:r>
      <w:r>
        <w:rPr>
          <w:noProof/>
          <w:lang w:val="bg-BG"/>
        </w:rPr>
        <w:t xml:space="preserve"> През февруари 2017 г. Комисията заключи, че в Нидерландия съществуват </w:t>
      </w:r>
      <w:r>
        <w:rPr>
          <w:i/>
          <w:noProof/>
          <w:lang w:val="bg-BG"/>
        </w:rPr>
        <w:t>макроиконом</w:t>
      </w:r>
      <w:r>
        <w:rPr>
          <w:i/>
          <w:noProof/>
          <w:lang w:val="bg-BG"/>
        </w:rPr>
        <w:t>ически дисбаланси</w:t>
      </w:r>
      <w:r>
        <w:rPr>
          <w:noProof/>
          <w:lang w:val="bg-BG"/>
        </w:rPr>
        <w:t>, по-специално свързани с високото равнище на задлъжнялост на домакинствата и големия и траен излишък по текущата сметка. В актуализираната таблица няколко от показателите превишават индикативния праг, а именно текущата сметка, дългът на ч</w:t>
      </w:r>
      <w:r>
        <w:rPr>
          <w:noProof/>
          <w:lang w:val="bg-BG"/>
        </w:rPr>
        <w:t xml:space="preserve">астния сектор и държавният дълг. </w:t>
      </w:r>
    </w:p>
    <w:p w:rsidR="00B41587" w:rsidRDefault="008F394C">
      <w:pPr>
        <w:rPr>
          <w:noProof/>
          <w:lang w:val="bg-BG"/>
        </w:rPr>
      </w:pPr>
      <w:r>
        <w:rPr>
          <w:noProof/>
          <w:lang w:val="bg-BG"/>
        </w:rPr>
        <w:t xml:space="preserve"> Излишъкът по текущата сметка се запазва значително над индикативния праг. Този излишък е показателен за излишъка от икономии на нефинансовите предприятия, по-специално на мултинационалните компании, в контекста на слаби и</w:t>
      </w:r>
      <w:r>
        <w:rPr>
          <w:noProof/>
          <w:lang w:val="bg-BG"/>
        </w:rPr>
        <w:t xml:space="preserve">нвестиции и умерено равнище на разпределена корпоративна печалба. Съвкупното въздействие от други сектори все още е ограничено. Подобряването на инвестициите на домакинствата до голяма степен е компенсирало въздействието на текущата сметка чрез последните </w:t>
      </w:r>
      <w:r>
        <w:rPr>
          <w:noProof/>
          <w:lang w:val="bg-BG"/>
        </w:rPr>
        <w:t>промени в бюджетното салдо. НМИП е положителна и продължава да нараства. Показателите за разходната конкурентоспособност са благоприятни, което отразява също така слабото увеличение на заплатите. Частният дълг е голям. Това се отнася по-специално за високо</w:t>
      </w:r>
      <w:r>
        <w:rPr>
          <w:noProof/>
          <w:lang w:val="bg-BG"/>
        </w:rPr>
        <w:t>то равнище на дълга на домакинствата спрямо разполагаемия им доход. Задлъжнялостта на домакинствата продължава да бъде стимулирана чрез благоприятното данъчно третиране на (финансираното чрез кредит) притежаване на собствено жилище и ниските лихвени процен</w:t>
      </w:r>
      <w:r>
        <w:rPr>
          <w:noProof/>
          <w:lang w:val="bg-BG"/>
        </w:rPr>
        <w:t xml:space="preserve">ти по ипотечните заеми. Намаляването на задлъжнялостта на домакинствата продължава от няколко години, въпреки че е по-скоро пасивна, като дейността на жилищния пазар и повишаването на цените на жилищата водят до повишаване на номиналните равнища на дълга. </w:t>
      </w:r>
      <w:r>
        <w:rPr>
          <w:noProof/>
          <w:lang w:val="bg-BG"/>
        </w:rPr>
        <w:t xml:space="preserve">Съотношението на държавния дълг към БВП намалява в посока постигане на прага. Съотношението на държавния дълг отбелязва низходяща тенденция и ще спадне под прага от 60 %. </w:t>
      </w:r>
    </w:p>
    <w:p w:rsidR="00B41587" w:rsidRDefault="008F394C">
      <w:pPr>
        <w:rPr>
          <w:i/>
          <w:noProof/>
          <w:lang w:val="bg-BG"/>
        </w:rPr>
      </w:pPr>
      <w:r>
        <w:rPr>
          <w:i/>
          <w:noProof/>
          <w:lang w:val="bg-BG"/>
        </w:rPr>
        <w:t>Като цяло при икономическия анализ се открояват проблеми, свързани с устойчивостта н</w:t>
      </w:r>
      <w:r>
        <w:rPr>
          <w:i/>
          <w:noProof/>
          <w:lang w:val="bg-BG"/>
        </w:rPr>
        <w:t xml:space="preserve">а дисбалансите между нетните спестявания и инвестиции, както и с високото равнище на частния дълг. Поради това, а и като има предвид установяването на дисбаланс през март, Комисията смята за полезно да проучи допълнително устойчивостта на дисбалансите или </w:t>
      </w:r>
      <w:r>
        <w:rPr>
          <w:i/>
          <w:noProof/>
          <w:lang w:val="bg-BG"/>
        </w:rPr>
        <w:t>тяхното намаляване.</w:t>
      </w:r>
    </w:p>
    <w:p w:rsidR="00B41587" w:rsidRDefault="008F394C">
      <w:pPr>
        <w:spacing w:after="240"/>
        <w:rPr>
          <w:i/>
          <w:noProof/>
          <w:lang w:val="bg-BG"/>
        </w:rPr>
      </w:pPr>
      <w:r>
        <w:rPr>
          <w:b/>
          <w:noProof/>
          <w:lang w:val="bg-BG"/>
        </w:rPr>
        <w:t>Австрия:</w:t>
      </w:r>
      <w:r>
        <w:rPr>
          <w:noProof/>
          <w:lang w:val="bg-BG"/>
        </w:rPr>
        <w:t xml:space="preserve"> При предходната ПМД </w:t>
      </w:r>
      <w:r>
        <w:rPr>
          <w:i/>
          <w:noProof/>
          <w:lang w:val="bg-BG"/>
        </w:rPr>
        <w:t>не бяха установени макроикономически дисбаланси</w:t>
      </w:r>
      <w:r>
        <w:rPr>
          <w:noProof/>
          <w:lang w:val="bg-BG"/>
        </w:rPr>
        <w:t xml:space="preserve"> в Австрия. В актуализираната таблица няколко от показателите превишават индикативните прагове, а именно реалните цени на жилищата, държавният дълг, както и изм</w:t>
      </w:r>
      <w:r>
        <w:rPr>
          <w:noProof/>
          <w:lang w:val="bg-BG"/>
        </w:rPr>
        <w:t>енението в равнището на дълготрайната безработица.</w:t>
      </w:r>
    </w:p>
    <w:p w:rsidR="00B41587" w:rsidRDefault="008F394C">
      <w:pPr>
        <w:rPr>
          <w:noProof/>
          <w:lang w:val="bg-BG"/>
        </w:rPr>
      </w:pPr>
      <w:r>
        <w:rPr>
          <w:noProof/>
        </w:rPr>
        <w:drawing>
          <wp:anchor distT="0" distB="0" distL="114300" distR="114300" simplePos="0" relativeHeight="251716608" behindDoc="0" locked="0" layoutInCell="1" allowOverlap="1">
            <wp:simplePos x="0" y="0"/>
            <wp:positionH relativeFrom="column">
              <wp:posOffset>2757805</wp:posOffset>
            </wp:positionH>
            <wp:positionV relativeFrom="line">
              <wp:posOffset>44450</wp:posOffset>
            </wp:positionV>
            <wp:extent cx="2990215" cy="3295650"/>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90215" cy="329565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 xml:space="preserve">Излишъкът по текущата сметка се стабилизира на умерено равнище през 2016 г., а нетната международна инвестиционна позиция остава близо до равновесието. Експортните пазарни дялове също са се стабилизирали </w:t>
      </w:r>
      <w:r>
        <w:rPr>
          <w:noProof/>
          <w:lang w:val="bg-BG"/>
        </w:rPr>
        <w:t>през последните години, подкрепени от разходната конкурентоспособност, като реалният ефективен валутен курс остана като цяло непроменен и разходите за единица труд се забавиха поради ограничен растеж на заплатите. Реалните цени на жилищата, които се увелич</w:t>
      </w:r>
      <w:r>
        <w:rPr>
          <w:noProof/>
          <w:lang w:val="bg-BG"/>
        </w:rPr>
        <w:t>ават от 2009 г. насам, нараснаха значително през 2016 г., но след това се нормализираха. Въпреки че увеличението на цените не изглежда да е стимулирано от кредитирането, въпросът изисква внимателно наблюдение. Дългът на частния сектор, който е в рамките на</w:t>
      </w:r>
      <w:r>
        <w:rPr>
          <w:noProof/>
          <w:lang w:val="bg-BG"/>
        </w:rPr>
        <w:t xml:space="preserve"> прага, но се доближава до него, показва слаба промяна по отношение на БВП. Държавният дълг се очаква да навлезе в низходяща тенденция, благодарение също така на продажбата на обезценени активи от национализираните финансови институции. Състоянието на банк</w:t>
      </w:r>
      <w:r>
        <w:rPr>
          <w:noProof/>
          <w:lang w:val="bg-BG"/>
        </w:rPr>
        <w:t>овия сектор се е подобрило значително през 2016 г., тъй като банките намалиха допълнително необслужваните си заеми и техните коефициенти на капиталова адекватност бавно догонват сходни икономики в ЕС. Равнището на безработицата се очаква да е достигнало ма</w:t>
      </w:r>
      <w:r>
        <w:rPr>
          <w:noProof/>
          <w:lang w:val="bg-BG"/>
        </w:rPr>
        <w:t>ксимума си през 2016 г. и бавно да намалее благодарение на силния растеж на заетостта. Дълготрайната и младежката безработица са се увеличили леко, но се запазват на сравнително ниски нива.</w:t>
      </w:r>
    </w:p>
    <w:p w:rsidR="00B41587" w:rsidRDefault="008F394C">
      <w:pPr>
        <w:rPr>
          <w:i/>
          <w:noProof/>
          <w:lang w:val="bg-BG"/>
        </w:rPr>
      </w:pPr>
      <w:r>
        <w:rPr>
          <w:i/>
          <w:noProof/>
          <w:lang w:val="bg-BG"/>
        </w:rPr>
        <w:t>Като цяло при икономическия анализ се открояват проблеми, свързани</w:t>
      </w:r>
      <w:r>
        <w:rPr>
          <w:i/>
          <w:noProof/>
          <w:lang w:val="bg-BG"/>
        </w:rPr>
        <w:t xml:space="preserve"> с жилищния и банковия сектор, но рисковете изглеждат ограничени. Поради това Комисията на този етап няма да извършва допълнителен задълбочен анализ в контекста на ПМД.</w:t>
      </w:r>
    </w:p>
    <w:p w:rsidR="00B41587" w:rsidRDefault="008F394C">
      <w:pPr>
        <w:spacing w:after="240"/>
        <w:rPr>
          <w:i/>
          <w:noProof/>
          <w:lang w:val="bg-BG"/>
        </w:rPr>
      </w:pPr>
      <w:r>
        <w:rPr>
          <w:noProof/>
        </w:rPr>
        <w:drawing>
          <wp:anchor distT="0" distB="0" distL="114300" distR="114300" simplePos="0" relativeHeight="251717632" behindDoc="0" locked="0" layoutInCell="1" allowOverlap="1">
            <wp:simplePos x="0" y="0"/>
            <wp:positionH relativeFrom="column">
              <wp:posOffset>2684780</wp:posOffset>
            </wp:positionH>
            <wp:positionV relativeFrom="line">
              <wp:posOffset>287655</wp:posOffset>
            </wp:positionV>
            <wp:extent cx="3059430" cy="2667000"/>
            <wp:effectExtent l="0" t="0" r="762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059430" cy="2667000"/>
                    </a:xfrm>
                    <a:prstGeom prst="rect">
                      <a:avLst/>
                    </a:prstGeom>
                  </pic:spPr>
                </pic:pic>
              </a:graphicData>
            </a:graphic>
            <wp14:sizeRelH relativeFrom="page">
              <wp14:pctWidth>0</wp14:pctWidth>
            </wp14:sizeRelH>
            <wp14:sizeRelV relativeFrom="page">
              <wp14:pctHeight>0</wp14:pctHeight>
            </wp14:sizeRelV>
          </wp:anchor>
        </w:drawing>
      </w:r>
    </w:p>
    <w:p w:rsidR="00B41587" w:rsidRDefault="008F394C">
      <w:pPr>
        <w:rPr>
          <w:i/>
          <w:noProof/>
          <w:lang w:val="bg-BG"/>
        </w:rPr>
      </w:pPr>
      <w:r>
        <w:rPr>
          <w:b/>
          <w:noProof/>
          <w:lang w:val="bg-BG"/>
        </w:rPr>
        <w:t xml:space="preserve">Полша: </w:t>
      </w:r>
      <w:r>
        <w:rPr>
          <w:noProof/>
          <w:lang w:val="bg-BG"/>
        </w:rPr>
        <w:t xml:space="preserve">При предходната ПМД в Полша </w:t>
      </w:r>
      <w:r>
        <w:rPr>
          <w:i/>
          <w:noProof/>
          <w:lang w:val="bg-BG"/>
        </w:rPr>
        <w:t>не бяха установени макроикономически дисбаланси</w:t>
      </w:r>
      <w:r>
        <w:rPr>
          <w:noProof/>
          <w:lang w:val="bg-BG"/>
        </w:rPr>
        <w:t>. В</w:t>
      </w:r>
      <w:r>
        <w:rPr>
          <w:noProof/>
          <w:lang w:val="bg-BG"/>
        </w:rPr>
        <w:t xml:space="preserve"> актуализирания вариант на таблицата нетната международна инвестиционна позиция (НМИП) превишава индикативния праг. </w:t>
      </w:r>
    </w:p>
    <w:p w:rsidR="00B41587" w:rsidRDefault="008F394C">
      <w:pPr>
        <w:rPr>
          <w:noProof/>
          <w:lang w:val="bg-BG"/>
        </w:rPr>
      </w:pPr>
      <w:r>
        <w:rPr>
          <w:noProof/>
          <w:lang w:val="bg-BG"/>
        </w:rPr>
        <w:t>Дефицитът по текущата сметка продължи да намалява в посока равновесие. НМИП, която остава силно отрицателна, се подобрени минимално през 20</w:t>
      </w:r>
      <w:r>
        <w:rPr>
          <w:noProof/>
          <w:lang w:val="bg-BG"/>
        </w:rPr>
        <w:t>16 г. Външните зони на уязвимост са ограничени, предвид факта, че преките чуждестранни инвестиции съответстват на голяма част от външните пасиви, докато нетният външен дълг продължи постепенно да намалява. През 2016 г. увеличението на експортните пазарни д</w:t>
      </w:r>
      <w:r>
        <w:rPr>
          <w:noProof/>
          <w:lang w:val="bg-BG"/>
        </w:rPr>
        <w:t>ялове се ускори, а показателите на разходната конкурентоспособност се подобриха. Дългът на частния сектор и държавният дълг се увеличиха през 2016 г., като същевременно остават на сравнително ниско ниво. Банковият сектор на Полша е със сравнително добра ка</w:t>
      </w:r>
      <w:r>
        <w:rPr>
          <w:noProof/>
          <w:lang w:val="bg-BG"/>
        </w:rPr>
        <w:t>питализация, ликвидност и рентабилност, въпреки че големият размер на деноминираните в чуждестранна валута заеми увеличава неговата уязвимост. Резултатите на пазара на труда продължават да бъдат силни и са се подобрили поради допълнителния спад в равнището</w:t>
      </w:r>
      <w:r>
        <w:rPr>
          <w:noProof/>
          <w:lang w:val="bg-BG"/>
        </w:rPr>
        <w:t xml:space="preserve"> на безработицата и свързания с това напредък в показателите за бедността.</w:t>
      </w:r>
    </w:p>
    <w:p w:rsidR="00B41587" w:rsidRDefault="008F394C">
      <w:pPr>
        <w:rPr>
          <w:i/>
          <w:noProof/>
          <w:lang w:val="bg-BG"/>
        </w:rPr>
      </w:pPr>
      <w:r>
        <w:rPr>
          <w:i/>
          <w:noProof/>
          <w:lang w:val="bg-BG"/>
        </w:rPr>
        <w:t xml:space="preserve">Като цяло при икономическия анализ се открояват проблеми, свързани с външната инвестиционна позиция, но като цяло рисковете изглеждат ограничени. Поради това Комисията на този етап </w:t>
      </w:r>
      <w:r>
        <w:rPr>
          <w:i/>
          <w:noProof/>
          <w:lang w:val="bg-BG"/>
        </w:rPr>
        <w:t xml:space="preserve">няма да извършва задълбочен анализ в контекста на ПМД. </w:t>
      </w:r>
    </w:p>
    <w:p w:rsidR="00B41587" w:rsidRDefault="00B41587">
      <w:pPr>
        <w:spacing w:after="240"/>
        <w:rPr>
          <w:i/>
          <w:noProof/>
          <w:lang w:val="bg-BG"/>
        </w:rPr>
      </w:pPr>
    </w:p>
    <w:p w:rsidR="00B41587" w:rsidRDefault="008F394C">
      <w:pPr>
        <w:rPr>
          <w:i/>
          <w:noProof/>
          <w:lang w:val="bg-BG"/>
        </w:rPr>
      </w:pPr>
      <w:r>
        <w:rPr>
          <w:b/>
          <w:noProof/>
          <w:lang w:val="bg-BG"/>
        </w:rPr>
        <w:t>Португалия:</w:t>
      </w:r>
      <w:r>
        <w:rPr>
          <w:noProof/>
          <w:lang w:val="bg-BG"/>
        </w:rPr>
        <w:t xml:space="preserve"> През февруари 2017 г. Комисията заключи, че в Португалия съществуват </w:t>
      </w:r>
      <w:r>
        <w:rPr>
          <w:i/>
          <w:noProof/>
          <w:lang w:val="bg-BG"/>
        </w:rPr>
        <w:t>прекомерни макроикономически дисбаланси</w:t>
      </w:r>
      <w:r>
        <w:rPr>
          <w:noProof/>
          <w:lang w:val="bg-BG"/>
        </w:rPr>
        <w:t>, включващи по-специално голям размер на външните задължения, държавния и частн</w:t>
      </w:r>
      <w:r>
        <w:rPr>
          <w:noProof/>
          <w:lang w:val="bg-BG"/>
        </w:rPr>
        <w:t>ия дълг, уязвимост на банковия сектор и корекции на пазара на труда в контекста на нисък ръст на производителността. В актуализирания вариант на таблицата няколко от показателите превишават индикативните прагове, по-специално нетната международна инвестици</w:t>
      </w:r>
      <w:r>
        <w:rPr>
          <w:noProof/>
          <w:lang w:val="bg-BG"/>
        </w:rPr>
        <w:t xml:space="preserve">онна позиция (НМИП), държавният дълг, частният дълг, безработицата и реалните цени на жилищата. </w:t>
      </w:r>
    </w:p>
    <w:p w:rsidR="00B41587" w:rsidRDefault="008F394C">
      <w:pPr>
        <w:rPr>
          <w:noProof/>
          <w:lang w:val="bg-BG"/>
        </w:rPr>
      </w:pPr>
      <w:r>
        <w:rPr>
          <w:noProof/>
        </w:rPr>
        <w:drawing>
          <wp:anchor distT="0" distB="0" distL="114300" distR="114300" simplePos="0" relativeHeight="251718656" behindDoc="0" locked="0" layoutInCell="1" allowOverlap="1">
            <wp:simplePos x="0" y="0"/>
            <wp:positionH relativeFrom="column">
              <wp:posOffset>2695575</wp:posOffset>
            </wp:positionH>
            <wp:positionV relativeFrom="line">
              <wp:posOffset>38100</wp:posOffset>
            </wp:positionV>
            <wp:extent cx="3119120" cy="2619375"/>
            <wp:effectExtent l="0" t="0" r="5080" b="95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119120" cy="2619375"/>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 xml:space="preserve"> Текущата сметка е с малък излишък през последните години, което допринася за постепенното намаляване на отрицателната НМИП. Темпът на корекцията обаче продъл</w:t>
      </w:r>
      <w:r>
        <w:rPr>
          <w:noProof/>
          <w:lang w:val="bg-BG"/>
        </w:rPr>
        <w:t>жава да бъде недостатъчен, за да доведе до по-устойчива външна позиция. След като се подобри през предходните години, ценовата конкурентоспособност леко се влоши през 2016 г., но резултатите от износа останаха добри. Както публичните, така и частните дълго</w:t>
      </w:r>
      <w:r>
        <w:rPr>
          <w:noProof/>
          <w:lang w:val="bg-BG"/>
        </w:rPr>
        <w:t>ве остават много високи, което налага голяма лихвена тежест, докато делът на инвестициите в икономиката е много нисък. Задлъжнялостта на частния сектор намалява със сравнително висок темп, а съотношението на държавния дълг е сравнително стабилно през после</w:t>
      </w:r>
      <w:r>
        <w:rPr>
          <w:noProof/>
          <w:lang w:val="bg-BG"/>
        </w:rPr>
        <w:t xml:space="preserve">дните години, но се очаква постепенно да намалее. Високото, макар и намаляващо равнище на необслужваните заеми, ниската рентабилност и ниските коефициенти на капиталова адекватност подчертават уязвимостта на банковия сектор. Пазарът на труда значително се </w:t>
      </w:r>
      <w:r>
        <w:rPr>
          <w:noProof/>
          <w:lang w:val="bg-BG"/>
        </w:rPr>
        <w:t>подобрява, но все още съществуват предизвикателства, свързани с уменията и сегментирането. В допълнение, слабата динамика на производителността ограничава потенциала за растеж на страната.</w:t>
      </w:r>
    </w:p>
    <w:p w:rsidR="00B41587" w:rsidRDefault="008F394C">
      <w:pPr>
        <w:rPr>
          <w:i/>
          <w:noProof/>
          <w:lang w:val="bg-BG"/>
        </w:rPr>
      </w:pPr>
      <w:r>
        <w:rPr>
          <w:i/>
          <w:noProof/>
          <w:lang w:val="bg-BG"/>
        </w:rPr>
        <w:t>Като цяло при икономическия анализ се открояват проблеми по отношен</w:t>
      </w:r>
      <w:r>
        <w:rPr>
          <w:i/>
          <w:noProof/>
          <w:lang w:val="bg-BG"/>
        </w:rPr>
        <w:t>ие на дисбалансите в променливите и техния темп на корекция, по-специално външния дълг, държавния и частния дълг, уязвимостта на банковия сектор и ниския ръст на производителността, заедно с известна липса на гъвкавост на пазара на труда. Поради това Комис</w:t>
      </w:r>
      <w:r>
        <w:rPr>
          <w:i/>
          <w:noProof/>
          <w:lang w:val="bg-BG"/>
        </w:rPr>
        <w:t>ията смята за полезно, като има предвид установяването на прекомерен дисбаланс през февруари, да проучи допълнително устойчивостта на макроикономическите рискове и да наблюдава напредъка в коригирането на прекомерните дисбаланси.</w:t>
      </w:r>
    </w:p>
    <w:p w:rsidR="00B41587" w:rsidRDefault="00B41587">
      <w:pPr>
        <w:spacing w:after="240"/>
        <w:rPr>
          <w:i/>
          <w:noProof/>
          <w:lang w:val="bg-BG"/>
        </w:rPr>
      </w:pPr>
    </w:p>
    <w:p w:rsidR="00B41587" w:rsidRDefault="008F394C">
      <w:pPr>
        <w:rPr>
          <w:noProof/>
          <w:lang w:val="bg-BG"/>
        </w:rPr>
      </w:pPr>
      <w:r>
        <w:rPr>
          <w:b/>
          <w:noProof/>
          <w:lang w:val="bg-BG"/>
        </w:rPr>
        <w:t>Румъния:</w:t>
      </w:r>
      <w:r>
        <w:rPr>
          <w:noProof/>
          <w:lang w:val="bg-BG"/>
        </w:rPr>
        <w:t xml:space="preserve"> При предходната </w:t>
      </w:r>
      <w:r>
        <w:rPr>
          <w:noProof/>
          <w:lang w:val="bg-BG"/>
        </w:rPr>
        <w:t xml:space="preserve">ПМД в Румъния </w:t>
      </w:r>
      <w:r>
        <w:rPr>
          <w:i/>
          <w:noProof/>
          <w:lang w:val="bg-BG"/>
        </w:rPr>
        <w:t>не бяха установени макроикономически дисбаланси</w:t>
      </w:r>
      <w:r>
        <w:rPr>
          <w:noProof/>
          <w:lang w:val="bg-BG"/>
        </w:rPr>
        <w:t>. В актуализирания вариант на таблицата няколко от показателите превишават индикативния праг, по-специално нетната международна инвестиционна позиция (НМИП) и реалните цени на жилищата.</w:t>
      </w:r>
    </w:p>
    <w:p w:rsidR="00B41587" w:rsidRDefault="008F394C">
      <w:pPr>
        <w:rPr>
          <w:noProof/>
          <w:lang w:val="bg-BG"/>
        </w:rPr>
      </w:pPr>
      <w:r>
        <w:rPr>
          <w:noProof/>
        </w:rPr>
        <w:drawing>
          <wp:anchor distT="0" distB="0" distL="114300" distR="114300" simplePos="0" relativeHeight="251719680" behindDoc="0" locked="0" layoutInCell="1" allowOverlap="1">
            <wp:simplePos x="0" y="0"/>
            <wp:positionH relativeFrom="column">
              <wp:posOffset>2594610</wp:posOffset>
            </wp:positionH>
            <wp:positionV relativeFrom="line">
              <wp:posOffset>3810</wp:posOffset>
            </wp:positionV>
            <wp:extent cx="3115310" cy="2714625"/>
            <wp:effectExtent l="0" t="0" r="889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115310" cy="2714625"/>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Дефицитъ</w:t>
      </w:r>
      <w:r>
        <w:rPr>
          <w:noProof/>
          <w:lang w:val="bg-BG"/>
        </w:rPr>
        <w:t>т по текущата сметка се влоши през 2016 г. на фона на силно частно потребление, но високият ръст на БВП позволи подобрение в отрицателната НМИП, по-специално чрез намаляване на нетния външен дълг. Като отражение на наваксването, по-голямата част от НМИП се</w:t>
      </w:r>
      <w:r>
        <w:rPr>
          <w:noProof/>
          <w:lang w:val="bg-BG"/>
        </w:rPr>
        <w:t xml:space="preserve"> отнася до пасивите по нетните преки чуждестранни инвестиции, което смекчава външните рискове. Ръстът на експортния пазарен дял остава стабилен, със значително увеличение през 2016 г., независимо от влошаването на разходната конкурентоспособност. Ръст на з</w:t>
      </w:r>
      <w:r>
        <w:rPr>
          <w:noProof/>
          <w:lang w:val="bg-BG"/>
        </w:rPr>
        <w:t>аплатите ще остане съществен в средносрочен план и това може да окаже допълнителен натиск върху разходната конкурентоспособност. Дългът на частния сектор е умерен и продължава да намалява. През 2015 г. коригирането на реалните цени на жилищата прекъсна и п</w:t>
      </w:r>
      <w:r>
        <w:rPr>
          <w:noProof/>
          <w:lang w:val="bg-BG"/>
        </w:rPr>
        <w:t>рез 2016 г. цените започнаха да се покачват. Банковият сектор запази доброто си равнище на капитализация и ликвидност. Необслужваните заеми изглежда следват устойчива низходяща тенденция и не представляват риск за финансовата стабилност, въпреки че все още</w:t>
      </w:r>
      <w:r>
        <w:rPr>
          <w:noProof/>
          <w:lang w:val="bg-BG"/>
        </w:rPr>
        <w:t xml:space="preserve"> са на относително високи нива. Публичният дълг намаля слабо през 2016 г. и остава относително нисък. Въпреки това бюджетният дефицит се очаква да остане висок в средносрочен план с отрицателно въздействие върху динамиката на държавния дълг. Равнището на б</w:t>
      </w:r>
      <w:r>
        <w:rPr>
          <w:noProof/>
          <w:lang w:val="bg-BG"/>
        </w:rPr>
        <w:t xml:space="preserve">езработицата спадна през 2016 г. в резултат на затягането на пазара на труда, а коефициентът на икономическа активност леко намаля въпреки силния икономически растеж. </w:t>
      </w:r>
    </w:p>
    <w:p w:rsidR="00B41587" w:rsidRDefault="008F394C">
      <w:pPr>
        <w:rPr>
          <w:noProof/>
          <w:lang w:val="bg-BG"/>
        </w:rPr>
      </w:pPr>
      <w:r>
        <w:rPr>
          <w:i/>
          <w:noProof/>
          <w:lang w:val="bg-BG"/>
        </w:rPr>
        <w:t xml:space="preserve">Като цяло при икономическия анализ се открояват проблеми, свързани с външната позиция и </w:t>
      </w:r>
      <w:r>
        <w:rPr>
          <w:i/>
          <w:noProof/>
          <w:lang w:val="bg-BG"/>
        </w:rPr>
        <w:t>устойчивостта на фискалната политика, но макроикономическите рискове изглеждат ограничени. На този етап Комисията няма да извършва допълнителен задълбочен анализ в контекста на ПМД.</w:t>
      </w:r>
    </w:p>
    <w:p w:rsidR="00B41587" w:rsidRDefault="008F394C">
      <w:pPr>
        <w:rPr>
          <w:i/>
          <w:noProof/>
          <w:lang w:val="bg-BG"/>
        </w:rPr>
      </w:pPr>
      <w:r>
        <w:rPr>
          <w:noProof/>
        </w:rPr>
        <w:drawing>
          <wp:anchor distT="0" distB="0" distL="114300" distR="114300" simplePos="0" relativeHeight="251721728" behindDoc="0" locked="0" layoutInCell="1" allowOverlap="1">
            <wp:simplePos x="0" y="0"/>
            <wp:positionH relativeFrom="column">
              <wp:posOffset>2795905</wp:posOffset>
            </wp:positionH>
            <wp:positionV relativeFrom="line">
              <wp:posOffset>40640</wp:posOffset>
            </wp:positionV>
            <wp:extent cx="3065780" cy="2943225"/>
            <wp:effectExtent l="0" t="0" r="127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065780" cy="2943225"/>
                    </a:xfrm>
                    <a:prstGeom prst="rect">
                      <a:avLst/>
                    </a:prstGeom>
                  </pic:spPr>
                </pic:pic>
              </a:graphicData>
            </a:graphic>
            <wp14:sizeRelH relativeFrom="page">
              <wp14:pctWidth>0</wp14:pctWidth>
            </wp14:sizeRelH>
            <wp14:sizeRelV relativeFrom="page">
              <wp14:pctHeight>0</wp14:pctHeight>
            </wp14:sizeRelV>
          </wp:anchor>
        </w:drawing>
      </w:r>
      <w:r>
        <w:rPr>
          <w:b/>
          <w:noProof/>
          <w:lang w:val="bg-BG"/>
        </w:rPr>
        <w:t xml:space="preserve">Словения: </w:t>
      </w:r>
      <w:r>
        <w:rPr>
          <w:noProof/>
          <w:lang w:val="bg-BG"/>
        </w:rPr>
        <w:t xml:space="preserve">През февруари 2017 г. Комисията заключи, че </w:t>
      </w:r>
      <w:r>
        <w:rPr>
          <w:i/>
          <w:noProof/>
          <w:lang w:val="bg-BG"/>
        </w:rPr>
        <w:t>в Словения съществу</w:t>
      </w:r>
      <w:r>
        <w:rPr>
          <w:i/>
          <w:noProof/>
          <w:lang w:val="bg-BG"/>
        </w:rPr>
        <w:t>ват макроикономически дисбаланси</w:t>
      </w:r>
      <w:r>
        <w:rPr>
          <w:noProof/>
          <w:lang w:val="bg-BG"/>
        </w:rPr>
        <w:t>, по-специално свързани с фискални рискове и уязвими области, произтичащи от банковия сектор и корпоративната задлъжнялост. В актуализираната таблица няколко от показателите превишават индикативните прагове, а именно нетната</w:t>
      </w:r>
      <w:r>
        <w:rPr>
          <w:noProof/>
          <w:lang w:val="bg-BG"/>
        </w:rPr>
        <w:t xml:space="preserve"> международна инвестиционна позиция (НМИП) и държавният дълг.</w:t>
      </w:r>
    </w:p>
    <w:p w:rsidR="00B41587" w:rsidRDefault="008F394C">
      <w:pPr>
        <w:widowControl w:val="0"/>
        <w:autoSpaceDE w:val="0"/>
        <w:autoSpaceDN w:val="0"/>
        <w:adjustRightInd w:val="0"/>
        <w:rPr>
          <w:noProof/>
          <w:lang w:val="bg-BG"/>
        </w:rPr>
      </w:pPr>
      <w:r>
        <w:rPr>
          <w:noProof/>
          <w:lang w:val="bg-BG"/>
        </w:rPr>
        <w:t>Големият излишък по текущата сметка нарасна допълнително през 2016 г., но инвестициите останаха слаби. Вследствие на това отрицателната НМИП се подобри значително и в момента е много близо до за</w:t>
      </w:r>
      <w:r>
        <w:rPr>
          <w:noProof/>
          <w:lang w:val="bg-BG"/>
        </w:rPr>
        <w:t xml:space="preserve">ложения праг. Експортният пазарен дял се увеличи през 2016 г., подкрепен от минимален растеж на разходите за труд за единица продукция и много скромно поскъпване на ефективния реален валутен курс. Частният дълг намаля допълнително, особено в корпоративния </w:t>
      </w:r>
      <w:r>
        <w:rPr>
          <w:noProof/>
          <w:lang w:val="bg-BG"/>
        </w:rPr>
        <w:t>сектор, като натискът за намаляване на задлъжнялостта е към края си. Инвестициите обаче остават ниски. Банковият сектор се стабилизира и рентабилността на банките се възстановява, а делът на необслужваните заеми продължава низходящата си тенденция, като се</w:t>
      </w:r>
      <w:r>
        <w:rPr>
          <w:noProof/>
          <w:lang w:val="bg-BG"/>
        </w:rPr>
        <w:t xml:space="preserve"> очаква по-нататъшното му намаление. Държавният дълг остава висок, но през 2016 г. се понижи. Очакваните разходи, свързани със застаряването, продължават да пораждат рискове за фискалната устойчивост в средносрочен и дългосрочен план. Пазарът на труда се п</w:t>
      </w:r>
      <w:r>
        <w:rPr>
          <w:noProof/>
          <w:lang w:val="bg-BG"/>
        </w:rPr>
        <w:t xml:space="preserve">одобри допълнително благодарение на продължаващия растеж на БВП и на износа. Производителността на труда обаче остава ниска. </w:t>
      </w:r>
    </w:p>
    <w:p w:rsidR="00B41587" w:rsidRDefault="008F394C">
      <w:pPr>
        <w:autoSpaceDE w:val="0"/>
        <w:autoSpaceDN w:val="0"/>
        <w:adjustRightInd w:val="0"/>
        <w:rPr>
          <w:i/>
          <w:noProof/>
          <w:lang w:val="bg-BG"/>
        </w:rPr>
      </w:pPr>
      <w:r>
        <w:rPr>
          <w:i/>
          <w:noProof/>
          <w:lang w:val="bg-BG"/>
        </w:rPr>
        <w:t xml:space="preserve">Като цяло при икономическия анализ се открояват проблеми, свързани с дългосрочната фискална устойчивост и резултатите на банковия </w:t>
      </w:r>
      <w:r>
        <w:rPr>
          <w:i/>
          <w:noProof/>
          <w:lang w:val="bg-BG"/>
        </w:rPr>
        <w:t xml:space="preserve">сектор. Поради това, а и като има предвид установяването на дисбаланс през февруари 2017 г., Комисията смята за полезно да проучи допълнително устойчивостта на дисбалансите или тяхното намаляване. </w:t>
      </w:r>
    </w:p>
    <w:p w:rsidR="00B41587" w:rsidRDefault="00B41587">
      <w:pPr>
        <w:spacing w:after="240"/>
        <w:rPr>
          <w:i/>
          <w:noProof/>
          <w:lang w:val="bg-BG"/>
        </w:rPr>
      </w:pPr>
    </w:p>
    <w:p w:rsidR="00B41587" w:rsidRDefault="008F394C">
      <w:pPr>
        <w:rPr>
          <w:i/>
          <w:noProof/>
          <w:lang w:val="bg-BG"/>
        </w:rPr>
      </w:pPr>
      <w:r>
        <w:rPr>
          <w:b/>
          <w:noProof/>
          <w:lang w:val="bg-BG"/>
        </w:rPr>
        <w:t>Словакия</w:t>
      </w:r>
      <w:r>
        <w:rPr>
          <w:noProof/>
          <w:lang w:val="bg-BG"/>
        </w:rPr>
        <w:t xml:space="preserve">: При предходната ПМД </w:t>
      </w:r>
      <w:r>
        <w:rPr>
          <w:i/>
          <w:noProof/>
          <w:lang w:val="bg-BG"/>
        </w:rPr>
        <w:t>в Словакия не бяха установе</w:t>
      </w:r>
      <w:r>
        <w:rPr>
          <w:i/>
          <w:noProof/>
          <w:lang w:val="bg-BG"/>
        </w:rPr>
        <w:t>ни макроикономически дисбаланси</w:t>
      </w:r>
      <w:r>
        <w:rPr>
          <w:noProof/>
          <w:lang w:val="bg-BG"/>
        </w:rPr>
        <w:t xml:space="preserve">. В актуализирания вариант на таблицата няколко от показателите превишават индикативните прагове, по-специално нетната международна инвестиционна позиция (НМИП), реалните цени на жилищата и безработицата. </w:t>
      </w:r>
    </w:p>
    <w:p w:rsidR="00B41587" w:rsidRDefault="008F394C">
      <w:pPr>
        <w:rPr>
          <w:noProof/>
          <w:lang w:val="bg-BG"/>
        </w:rPr>
      </w:pPr>
      <w:r>
        <w:rPr>
          <w:noProof/>
        </w:rPr>
        <w:drawing>
          <wp:anchor distT="0" distB="0" distL="114300" distR="114300" simplePos="0" relativeHeight="251722752" behindDoc="0" locked="0" layoutInCell="1" allowOverlap="1">
            <wp:simplePos x="0" y="0"/>
            <wp:positionH relativeFrom="column">
              <wp:posOffset>2696845</wp:posOffset>
            </wp:positionH>
            <wp:positionV relativeFrom="line">
              <wp:posOffset>21590</wp:posOffset>
            </wp:positionV>
            <wp:extent cx="3003550" cy="2800350"/>
            <wp:effectExtent l="0" t="0" r="635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3003550" cy="280035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 xml:space="preserve">След няколко </w:t>
      </w:r>
      <w:r>
        <w:rPr>
          <w:noProof/>
          <w:lang w:val="bg-BG"/>
        </w:rPr>
        <w:t>години на подобряване салдото по текущата сметка стана леко отрицателно през 2016 г. НМИП остава силно отрицателна и надхвърля индикативния праг. Въпреки това, свързаните с това рискове остават ограничени, тъй като голяма част от чуждестранните пасиви са с</w:t>
      </w:r>
      <w:r>
        <w:rPr>
          <w:noProof/>
          <w:lang w:val="bg-BG"/>
        </w:rPr>
        <w:t>вързани с преки чуждестранни инвестиции, по-специално в областта на разширяването на автомобилната промишленост, докато равнищата на нетния външен дълг продължават да бъдат сравнително ниски. Номиналните разходи за труд за единица продукция продължиха да н</w:t>
      </w:r>
      <w:r>
        <w:rPr>
          <w:noProof/>
          <w:lang w:val="bg-BG"/>
        </w:rPr>
        <w:t>арастват умерено, с което се повишава конкурентоспособността и се способства за значително увеличение на експортния пазарен дял. Ръстът на цените на недвижимите имоти, макар че бе предшестван от години на умереност на цените, се ускори през 2016 г., подхра</w:t>
      </w:r>
      <w:r>
        <w:rPr>
          <w:noProof/>
          <w:lang w:val="bg-BG"/>
        </w:rPr>
        <w:t>нван от голямо нарастване на ипотечното кредитиране, което също допринесе за възходящата тенденция на съотношението на дълга на частния сектор. Съотношението на публичния дълг към БВП продължи да спада и през 2016 г. от едно вече умерено равнище. Банковият</w:t>
      </w:r>
      <w:r>
        <w:rPr>
          <w:noProof/>
          <w:lang w:val="bg-BG"/>
        </w:rPr>
        <w:t xml:space="preserve"> сектор, който в голямата си част е чуждестранна собственост, остана устойчив и с висока капитализация. По-нататъшното намаляване на безработицата бе съпътствано от увеличаване на степента на участие, като нараснаха перспективите за заетост на неактивни пр</w:t>
      </w:r>
      <w:r>
        <w:rPr>
          <w:noProof/>
          <w:lang w:val="bg-BG"/>
        </w:rPr>
        <w:t>еди това лица. При все това, макар че ситуацията с безработицата сред младите хора и групите в неравностойно положение се подобрява, тя продължава да бъде предизвикателство.</w:t>
      </w:r>
    </w:p>
    <w:p w:rsidR="00B41587" w:rsidRDefault="008F394C">
      <w:pPr>
        <w:rPr>
          <w:i/>
          <w:noProof/>
          <w:lang w:val="bg-BG"/>
        </w:rPr>
      </w:pPr>
      <w:r>
        <w:rPr>
          <w:i/>
          <w:noProof/>
          <w:lang w:val="bg-BG"/>
        </w:rPr>
        <w:t>Като цяло икономическият анализ сочи проблеми, свързани с процесите на жилищния па</w:t>
      </w:r>
      <w:r>
        <w:rPr>
          <w:i/>
          <w:noProof/>
          <w:lang w:val="bg-BG"/>
        </w:rPr>
        <w:t xml:space="preserve">зар, но с ограничени рискове, като структурната </w:t>
      </w:r>
      <w:r>
        <w:rPr>
          <w:noProof/>
          <w:lang w:val="bg-BG"/>
        </w:rPr>
        <w:t xml:space="preserve"> </w:t>
      </w:r>
      <w:r>
        <w:rPr>
          <w:i/>
          <w:noProof/>
          <w:lang w:val="bg-BG"/>
        </w:rPr>
        <w:t>безработица остава предизвикателство. Поради това Комисията на този етап няма да извършва допълнителен задълбочен анализ в контекста на ПМД.</w:t>
      </w:r>
    </w:p>
    <w:p w:rsidR="00B41587" w:rsidRDefault="00B41587">
      <w:pPr>
        <w:spacing w:after="240"/>
        <w:rPr>
          <w:i/>
          <w:noProof/>
          <w:lang w:val="bg-BG"/>
        </w:rPr>
      </w:pPr>
    </w:p>
    <w:p w:rsidR="00B41587" w:rsidRDefault="008F394C">
      <w:pPr>
        <w:rPr>
          <w:i/>
          <w:noProof/>
          <w:lang w:val="bg-BG"/>
        </w:rPr>
      </w:pPr>
      <w:r>
        <w:rPr>
          <w:b/>
          <w:noProof/>
          <w:lang w:val="bg-BG"/>
        </w:rPr>
        <w:t>Финландия</w:t>
      </w:r>
      <w:r>
        <w:rPr>
          <w:noProof/>
          <w:lang w:val="bg-BG"/>
        </w:rPr>
        <w:t>: През февруари 2017 г. Комисията заключи, че във Финлан</w:t>
      </w:r>
      <w:r>
        <w:rPr>
          <w:noProof/>
          <w:lang w:val="bg-BG"/>
        </w:rPr>
        <w:t xml:space="preserve">дия </w:t>
      </w:r>
      <w:r>
        <w:rPr>
          <w:i/>
          <w:noProof/>
          <w:lang w:val="bg-BG"/>
        </w:rPr>
        <w:t>вече няма макроикономически дисбаланси</w:t>
      </w:r>
      <w:r>
        <w:rPr>
          <w:noProof/>
          <w:lang w:val="bg-BG"/>
        </w:rPr>
        <w:t>. В актуализираната таблица няколко от показателите превишават индикативните прагове, а именно експортният пазарен дял, дългът на частния сектор и държавният дълг, както и увеличението на дълготрайната безработица.</w:t>
      </w:r>
    </w:p>
    <w:p w:rsidR="00B41587" w:rsidRDefault="008F394C">
      <w:pPr>
        <w:rPr>
          <w:noProof/>
          <w:lang w:val="bg-BG"/>
        </w:rPr>
      </w:pPr>
      <w:r>
        <w:rPr>
          <w:noProof/>
        </w:rPr>
        <w:drawing>
          <wp:anchor distT="0" distB="0" distL="114300" distR="114300" simplePos="0" relativeHeight="251723776" behindDoc="0" locked="0" layoutInCell="1" allowOverlap="1">
            <wp:simplePos x="0" y="0"/>
            <wp:positionH relativeFrom="column">
              <wp:posOffset>2929255</wp:posOffset>
            </wp:positionH>
            <wp:positionV relativeFrom="line">
              <wp:posOffset>32385</wp:posOffset>
            </wp:positionV>
            <wp:extent cx="2837815" cy="2667000"/>
            <wp:effectExtent l="0" t="0" r="63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837815" cy="266700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Дефицитът по текущата сметка се влоши леко през 2016 г. поради нарастващото вътрешно търсене, но се очаква да се подобри през следващите години. След няколко години, през които нетната международна инвестиционна позиция се беше влошила донякъде вследстви</w:t>
      </w:r>
      <w:r>
        <w:rPr>
          <w:noProof/>
          <w:lang w:val="bg-BG"/>
        </w:rPr>
        <w:t>е на оценъчни ефекти, тя се подобри през 2016 г. Натрупаните загуби на експортни пазарни дялове забавиха темпа си през 2016 г., подкрепени от постепенното подобряване напоследък на показателите на разходната конкурентоспособност: номиналните разходи за тру</w:t>
      </w:r>
      <w:r>
        <w:rPr>
          <w:noProof/>
          <w:lang w:val="bg-BG"/>
        </w:rPr>
        <w:t>д за единица продукция отбелязаха лек спад, тъй като ръстът на производителността се увеличи. Неразходната конкурентоспособност обаче продължава да бъде ключов проблем. Съотношението на дълга на частния сектор към БВП се понижи леко през 2016 г., но продъл</w:t>
      </w:r>
      <w:r>
        <w:rPr>
          <w:noProof/>
          <w:lang w:val="bg-BG"/>
        </w:rPr>
        <w:t>жава да бъде високо. Ръстът на кредитирането на частния сектор напоследък се забави, въпреки че той би могъл да се ускори в бъдеще от благоприятните условия на кредитиране, ниските лихвени проценти и подобрената икономическа перспектива, като така се огран</w:t>
      </w:r>
      <w:r>
        <w:rPr>
          <w:noProof/>
          <w:lang w:val="bg-BG"/>
        </w:rPr>
        <w:t>ичи намаляването на задлъжнялостта. Финансовият сектор остава с висока капитализация, което ограничава рисковете за финансовата стабилност, докато показателите за ипотеките и жилищния пазар показват намалени рискове по отношение на дълга на сектора на дома</w:t>
      </w:r>
      <w:r>
        <w:rPr>
          <w:noProof/>
          <w:lang w:val="bg-BG"/>
        </w:rPr>
        <w:t>кинствата. Фискалната политика на правителството и подобрените икономически перспективи следва да спомогнат за намаляване на съотношението на държавния дълг към БВП, което се стабилизира през 2016 г. Заетостта постепенно се увеличаваше и през 2016 г. равни</w:t>
      </w:r>
      <w:r>
        <w:rPr>
          <w:noProof/>
          <w:lang w:val="bg-BG"/>
        </w:rPr>
        <w:t>щето на безработица се понижи след увеличаването на икономическата дейност. Младежката безработица наскоро започна да намалява, а трайната безработица се стабилизира през 2016 г.</w:t>
      </w:r>
    </w:p>
    <w:p w:rsidR="00B41587" w:rsidRDefault="008F394C">
      <w:pPr>
        <w:rPr>
          <w:i/>
          <w:noProof/>
          <w:lang w:val="bg-BG"/>
        </w:rPr>
      </w:pPr>
      <w:r>
        <w:rPr>
          <w:i/>
          <w:noProof/>
          <w:lang w:val="bg-BG"/>
        </w:rPr>
        <w:t>Като цяло при икономическия анализ се открояват предизвикателства, свързани с</w:t>
      </w:r>
      <w:r>
        <w:rPr>
          <w:i/>
          <w:noProof/>
          <w:lang w:val="bg-BG"/>
        </w:rPr>
        <w:t xml:space="preserve"> конкурентоспособността и дълга на частния сектор, но с тенденция към подобряване и ограничени рискове. Като цяло Комисията на този етап няма да извършва допълнителен задълбочен анализ в контекста на ПМД. </w:t>
      </w:r>
    </w:p>
    <w:p w:rsidR="00B41587" w:rsidRDefault="00B41587">
      <w:pPr>
        <w:spacing w:after="240"/>
        <w:rPr>
          <w:i/>
          <w:noProof/>
          <w:lang w:val="bg-BG"/>
        </w:rPr>
      </w:pPr>
    </w:p>
    <w:p w:rsidR="00B41587" w:rsidRDefault="008F394C">
      <w:pPr>
        <w:rPr>
          <w:noProof/>
          <w:lang w:val="bg-BG"/>
        </w:rPr>
      </w:pPr>
      <w:r>
        <w:rPr>
          <w:b/>
          <w:noProof/>
          <w:lang w:val="bg-BG"/>
        </w:rPr>
        <w:t>Швеция:</w:t>
      </w:r>
      <w:r>
        <w:rPr>
          <w:noProof/>
          <w:lang w:val="bg-BG"/>
        </w:rPr>
        <w:t xml:space="preserve"> През февруари 2017 г. Комисията заключи, </w:t>
      </w:r>
      <w:r>
        <w:rPr>
          <w:noProof/>
          <w:lang w:val="bg-BG"/>
        </w:rPr>
        <w:t xml:space="preserve">че в Швеция </w:t>
      </w:r>
      <w:r>
        <w:rPr>
          <w:i/>
          <w:noProof/>
          <w:lang w:val="bg-BG"/>
        </w:rPr>
        <w:t>съществуват макроикономически дисбаланси</w:t>
      </w:r>
      <w:r>
        <w:rPr>
          <w:noProof/>
          <w:lang w:val="bg-BG"/>
        </w:rPr>
        <w:t>, по-специално свързани с трайното  увеличение на цените на жилищата от вече надценени равнища, съчетано с продължаващото нарастване на задлъжнялостта на домакинствата. В актуализираната таблица няколко о</w:t>
      </w:r>
      <w:r>
        <w:rPr>
          <w:noProof/>
          <w:lang w:val="bg-BG"/>
        </w:rPr>
        <w:t xml:space="preserve">т показателите превишават индикативните прагове, а именно експортният пазарен дял, дългът на частния сектор и ръстът на цените на жилищата. </w:t>
      </w:r>
    </w:p>
    <w:p w:rsidR="00B41587" w:rsidRDefault="008F394C">
      <w:pPr>
        <w:rPr>
          <w:noProof/>
          <w:color w:val="000000"/>
          <w:lang w:val="bg-BG"/>
        </w:rPr>
      </w:pPr>
      <w:r>
        <w:rPr>
          <w:noProof/>
        </w:rPr>
        <w:drawing>
          <wp:anchor distT="0" distB="0" distL="114300" distR="114300" simplePos="0" relativeHeight="251724800" behindDoc="0" locked="0" layoutInCell="1" allowOverlap="1">
            <wp:simplePos x="0" y="0"/>
            <wp:positionH relativeFrom="column">
              <wp:posOffset>2861945</wp:posOffset>
            </wp:positionH>
            <wp:positionV relativeFrom="line">
              <wp:posOffset>55245</wp:posOffset>
            </wp:positionV>
            <wp:extent cx="2909570" cy="3272790"/>
            <wp:effectExtent l="0" t="0" r="5080" b="381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09570" cy="3272790"/>
                    </a:xfrm>
                    <a:prstGeom prst="rect">
                      <a:avLst/>
                    </a:prstGeom>
                  </pic:spPr>
                </pic:pic>
              </a:graphicData>
            </a:graphic>
            <wp14:sizeRelH relativeFrom="page">
              <wp14:pctWidth>0</wp14:pctWidth>
            </wp14:sizeRelH>
            <wp14:sizeRelV relativeFrom="page">
              <wp14:pctHeight>0</wp14:pctHeight>
            </wp14:sizeRelV>
          </wp:anchor>
        </w:drawing>
      </w:r>
      <w:r>
        <w:rPr>
          <w:noProof/>
          <w:lang w:val="bg-BG"/>
        </w:rPr>
        <w:t>Излишъкът по текущата сметка се запазва висок, но донякъде под прага, което отразява най-вече големия дял на частн</w:t>
      </w:r>
      <w:r>
        <w:rPr>
          <w:noProof/>
          <w:lang w:val="bg-BG"/>
        </w:rPr>
        <w:t>ите спестявания. Нетната международна инвестиционна позиция продължи да се подобрява и вече е силно положителна. Кумулативните загуби на експортен пазарен дял продължават да бъдат над прага, но средносрочната тенденция показва постепенно подобрение на фона</w:t>
      </w:r>
      <w:r>
        <w:rPr>
          <w:noProof/>
          <w:lang w:val="bg-BG"/>
        </w:rPr>
        <w:t xml:space="preserve"> на забавянето на световната търговия. Тези загуби се дължаха по-скоро на слабото външно търсене, отколкото на проблеми, свързани с конкурентоспособността, тъй като разходите за труд за единица продукция остават ограничени. Дългът на частния сектор е като </w:t>
      </w:r>
      <w:r>
        <w:rPr>
          <w:noProof/>
          <w:lang w:val="bg-BG"/>
        </w:rPr>
        <w:t xml:space="preserve">цяло стабилен, като рисковете са свързани главно със задлъжнялостта на домакинствата. </w:t>
      </w:r>
      <w:r>
        <w:rPr>
          <w:noProof/>
          <w:color w:val="000000"/>
          <w:lang w:val="bg-BG"/>
        </w:rPr>
        <w:t>Дългът на домакинствата нараства непрекъснато, което крие рискове за макроикономическата стабилност с оглед на покачващите се цени на жилищата. Цените на жилищата и задлъ</w:t>
      </w:r>
      <w:r>
        <w:rPr>
          <w:noProof/>
          <w:color w:val="000000"/>
          <w:lang w:val="bg-BG"/>
        </w:rPr>
        <w:t>жнялостта на домакинствата са стимулирани по-специално чрез благоприятно данъчно третиране на ипотечните кредити, ниските лихвени проценти по ипотечните заеми и особеностите на шведския пазар на ипотечните кредити. По отношение на предлагането ограниченият</w:t>
      </w:r>
      <w:r>
        <w:rPr>
          <w:noProof/>
          <w:color w:val="000000"/>
          <w:lang w:val="bg-BG"/>
        </w:rPr>
        <w:t>а за новото строителство остават проблем, въпреки че инвестициите в жилища продължават да растат с бързи темпове. Въпреки експозицията към дълговете на домакинствата, банковият риск изглежда ограничен понастоящем предвид това, че качеството на активите и р</w:t>
      </w:r>
      <w:r>
        <w:rPr>
          <w:noProof/>
          <w:color w:val="000000"/>
          <w:lang w:val="bg-BG"/>
        </w:rPr>
        <w:t>ентабилността продължават да бъдат високи. Безработицата е с тенденция към бавно намаляване благодарение на подобряването на условията за растеж.</w:t>
      </w:r>
    </w:p>
    <w:p w:rsidR="00B41587" w:rsidRDefault="008F394C">
      <w:pPr>
        <w:rPr>
          <w:i/>
          <w:noProof/>
          <w:lang w:val="bg-BG"/>
        </w:rPr>
      </w:pPr>
      <w:r>
        <w:rPr>
          <w:i/>
          <w:noProof/>
          <w:lang w:val="bg-BG"/>
        </w:rPr>
        <w:t>Като цяло при икономическия анализ се открояват продължаващи опасения, свързани с големия частен дълг и процес</w:t>
      </w:r>
      <w:r>
        <w:rPr>
          <w:i/>
          <w:noProof/>
          <w:lang w:val="bg-BG"/>
        </w:rPr>
        <w:t>ите в жилищния сектор. Поради това, а и като има предвид установяването на дисбаланс през февруари, Комисията смята за полезно да проучи допълнително устойчивостта на дисбалансите или тяхното намаляване.</w:t>
      </w:r>
    </w:p>
    <w:p w:rsidR="00B41587" w:rsidRDefault="00B41587">
      <w:pPr>
        <w:spacing w:after="240"/>
        <w:rPr>
          <w:i/>
          <w:noProof/>
          <w:lang w:val="bg-BG"/>
        </w:rPr>
      </w:pPr>
    </w:p>
    <w:p w:rsidR="00B41587" w:rsidRDefault="008F394C">
      <w:pPr>
        <w:rPr>
          <w:noProof/>
          <w:lang w:val="bg-BG"/>
        </w:rPr>
      </w:pPr>
      <w:r>
        <w:rPr>
          <w:noProof/>
        </w:rPr>
        <w:drawing>
          <wp:anchor distT="0" distB="0" distL="114300" distR="114300" simplePos="0" relativeHeight="251725824" behindDoc="0" locked="0" layoutInCell="1" allowOverlap="1">
            <wp:simplePos x="0" y="0"/>
            <wp:positionH relativeFrom="column">
              <wp:posOffset>2762885</wp:posOffset>
            </wp:positionH>
            <wp:positionV relativeFrom="line">
              <wp:posOffset>41910</wp:posOffset>
            </wp:positionV>
            <wp:extent cx="3002915" cy="3276600"/>
            <wp:effectExtent l="0" t="0" r="698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3002915" cy="3276600"/>
                    </a:xfrm>
                    <a:prstGeom prst="rect">
                      <a:avLst/>
                    </a:prstGeom>
                  </pic:spPr>
                </pic:pic>
              </a:graphicData>
            </a:graphic>
            <wp14:sizeRelH relativeFrom="page">
              <wp14:pctWidth>0</wp14:pctWidth>
            </wp14:sizeRelH>
            <wp14:sizeRelV relativeFrom="page">
              <wp14:pctHeight>0</wp14:pctHeight>
            </wp14:sizeRelV>
          </wp:anchor>
        </w:drawing>
      </w:r>
      <w:r>
        <w:rPr>
          <w:b/>
          <w:noProof/>
          <w:lang w:val="bg-BG"/>
        </w:rPr>
        <w:t>Обединено кралство</w:t>
      </w:r>
      <w:r>
        <w:rPr>
          <w:noProof/>
          <w:lang w:val="bg-BG"/>
        </w:rPr>
        <w:t>: При предходната ПМД в Обединен</w:t>
      </w:r>
      <w:r>
        <w:rPr>
          <w:noProof/>
          <w:lang w:val="bg-BG"/>
        </w:rPr>
        <w:t xml:space="preserve">ото кралство </w:t>
      </w:r>
      <w:r>
        <w:rPr>
          <w:i/>
          <w:noProof/>
          <w:lang w:val="bg-BG"/>
        </w:rPr>
        <w:t>не бяха установени макроикономически дисбаланси</w:t>
      </w:r>
      <w:r>
        <w:rPr>
          <w:noProof/>
          <w:lang w:val="bg-BG"/>
        </w:rPr>
        <w:t>. В актуализираната таблица няколко от показателите превишават индикативните прагове, а именно дефицитът по текущата сметка, дългът на частния сектор и държавният дълг.</w:t>
      </w:r>
    </w:p>
    <w:p w:rsidR="00B41587" w:rsidRDefault="008F394C">
      <w:pPr>
        <w:rPr>
          <w:noProof/>
          <w:lang w:val="bg-BG"/>
        </w:rPr>
      </w:pPr>
      <w:r>
        <w:rPr>
          <w:noProof/>
          <w:lang w:val="bg-BG"/>
        </w:rPr>
        <w:t>Обезценяването на британска</w:t>
      </w:r>
      <w:r>
        <w:rPr>
          <w:noProof/>
          <w:lang w:val="bg-BG"/>
        </w:rPr>
        <w:t>та лира през 2016 г. значително подобри нетната международна инвестиционна позиция на Обединеното кралство, като я остави близо до равновесие. Въпреки това, докато ценовата конкурентоспособност, измерена въз основа на реалния ефективен валутен курс, нарасн</w:t>
      </w:r>
      <w:r>
        <w:rPr>
          <w:noProof/>
          <w:lang w:val="bg-BG"/>
        </w:rPr>
        <w:t>а значително поради обезценяването на британската лира, досега нетният търговски резултат в отговор на по-слабата лира е разочароващ. Значителният дефицит по текущата сметка продължи и през 2016 г., като излага Обединеното кралство на значителна нужда от в</w:t>
      </w:r>
      <w:r>
        <w:rPr>
          <w:noProof/>
          <w:lang w:val="bg-BG"/>
        </w:rPr>
        <w:t>ъншно финансиране. След няколко години на постепенно намаляване на задлъжнялостта съотношението на дълга на частния сектор към БВП се повиши и продължава да е високо. По-специално дългът на домакинствата продължава да налага внимателно наблюдение. Реалните</w:t>
      </w:r>
      <w:r>
        <w:rPr>
          <w:noProof/>
          <w:lang w:val="bg-BG"/>
        </w:rPr>
        <w:t xml:space="preserve"> цени на жилищата продължават да се покачват от вече високи равнища, въпреки че за в бъдеще се очаква умерен растеж на цените на жилищата. Публичният дълг беше почти стабилен през 2016 г., но високото съотношение на публичния дълг към БВП продължава да буд</w:t>
      </w:r>
      <w:r>
        <w:rPr>
          <w:noProof/>
          <w:lang w:val="bg-BG"/>
        </w:rPr>
        <w:t>и безпокойство. Силният ръст на заетостта продължи да бъде съпътстван от спад на безработицата, макар производителността на труда да остава слаба.</w:t>
      </w:r>
    </w:p>
    <w:p w:rsidR="00B41587" w:rsidRDefault="008F394C">
      <w:pPr>
        <w:rPr>
          <w:i/>
          <w:noProof/>
          <w:lang w:val="bg-BG"/>
        </w:rPr>
      </w:pPr>
      <w:r>
        <w:rPr>
          <w:i/>
          <w:noProof/>
          <w:lang w:val="bg-BG"/>
        </w:rPr>
        <w:t>Като цяло при икономическия анализ се открояват някои проблеми, свързани с дълга на частния сектор, пазара на</w:t>
      </w:r>
      <w:r>
        <w:rPr>
          <w:i/>
          <w:noProof/>
          <w:lang w:val="bg-BG"/>
        </w:rPr>
        <w:t xml:space="preserve"> жилищата и външната страна на икономиката. Тези проблеми е вероятно да създадат ограничени рискове за стабилността в краткосрочен план. Като цяло Комисията на този етап няма да извършва допълнителен задълбочен анализ в контекста на ПМД.</w:t>
      </w:r>
    </w:p>
    <w:p w:rsidR="00B41587" w:rsidRDefault="00B41587">
      <w:pPr>
        <w:autoSpaceDE w:val="0"/>
        <w:autoSpaceDN w:val="0"/>
        <w:adjustRightInd w:val="0"/>
        <w:rPr>
          <w:b/>
          <w:bCs/>
          <w:iCs/>
          <w:noProof/>
          <w:lang w:val="bg-BG"/>
        </w:rPr>
      </w:pPr>
    </w:p>
    <w:p w:rsidR="00B41587" w:rsidRDefault="00B41587">
      <w:pPr>
        <w:rPr>
          <w:i/>
          <w:noProof/>
          <w:lang w:val="bg-BG"/>
        </w:rPr>
      </w:pPr>
    </w:p>
    <w:p w:rsidR="00B41587" w:rsidRDefault="00B41587">
      <w:pPr>
        <w:rPr>
          <w:noProof/>
          <w:lang w:val="bg-BG"/>
        </w:rPr>
      </w:pPr>
    </w:p>
    <w:p w:rsidR="00B41587" w:rsidRDefault="00B41587">
      <w:pPr>
        <w:rPr>
          <w:noProof/>
          <w:lang w:val="bg-BG"/>
        </w:rPr>
        <w:sectPr w:rsidR="00B41587">
          <w:headerReference w:type="even" r:id="rId76"/>
          <w:headerReference w:type="default" r:id="rId77"/>
          <w:footerReference w:type="even" r:id="rId78"/>
          <w:footerReference w:type="default" r:id="rId79"/>
          <w:headerReference w:type="first" r:id="rId80"/>
          <w:footerReference w:type="first" r:id="rId81"/>
          <w:pgSz w:w="11906" w:h="16838" w:code="9"/>
          <w:pgMar w:top="1134" w:right="1417" w:bottom="1134" w:left="1417" w:header="709" w:footer="709" w:gutter="0"/>
          <w:pgNumType w:start="1"/>
          <w:cols w:space="720"/>
          <w:docGrid w:linePitch="360"/>
        </w:sectPr>
      </w:pPr>
    </w:p>
    <w:p w:rsidR="00B41587" w:rsidRDefault="008F394C">
      <w:pPr>
        <w:rPr>
          <w:noProof/>
          <w:lang w:val="bg-BG"/>
        </w:rPr>
      </w:pPr>
      <w:r>
        <w:rPr>
          <w:noProof/>
        </w:rPr>
        <w:drawing>
          <wp:inline distT="0" distB="0" distL="0" distR="0">
            <wp:extent cx="9251950" cy="559388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51950" cy="5593882"/>
                    </a:xfrm>
                    <a:prstGeom prst="rect">
                      <a:avLst/>
                    </a:prstGeom>
                    <a:noFill/>
                    <a:ln>
                      <a:noFill/>
                    </a:ln>
                  </pic:spPr>
                </pic:pic>
              </a:graphicData>
            </a:graphic>
          </wp:inline>
        </w:drawing>
      </w:r>
    </w:p>
    <w:p w:rsidR="00B41587" w:rsidRDefault="008F394C">
      <w:pPr>
        <w:rPr>
          <w:noProof/>
          <w:lang w:val="bg-BG"/>
        </w:rPr>
      </w:pPr>
      <w:r>
        <w:rPr>
          <w:noProof/>
          <w:lang w:val="bg-BG"/>
        </w:rPr>
        <w:br w:type="page"/>
        <w:t xml:space="preserve"> </w:t>
      </w:r>
      <w:r>
        <w:rPr>
          <w:noProof/>
        </w:rPr>
        <w:drawing>
          <wp:inline distT="0" distB="0" distL="0" distR="0">
            <wp:extent cx="8891270" cy="5344460"/>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1270" cy="5344460"/>
                    </a:xfrm>
                    <a:prstGeom prst="rect">
                      <a:avLst/>
                    </a:prstGeom>
                    <a:noFill/>
                    <a:ln>
                      <a:noFill/>
                    </a:ln>
                  </pic:spPr>
                </pic:pic>
              </a:graphicData>
            </a:graphic>
          </wp:inline>
        </w:drawing>
      </w:r>
      <w:r>
        <w:rPr>
          <w:noProof/>
          <w:lang w:val="bg-BG"/>
        </w:rPr>
        <w:br w:type="page"/>
      </w:r>
      <w:r>
        <w:rPr>
          <w:noProof/>
        </w:rPr>
        <w:drawing>
          <wp:inline distT="0" distB="0" distL="0" distR="0">
            <wp:extent cx="8891270" cy="5331986"/>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1270" cy="5331986"/>
                    </a:xfrm>
                    <a:prstGeom prst="rect">
                      <a:avLst/>
                    </a:prstGeom>
                    <a:noFill/>
                    <a:ln>
                      <a:noFill/>
                    </a:ln>
                  </pic:spPr>
                </pic:pic>
              </a:graphicData>
            </a:graphic>
          </wp:inline>
        </w:drawing>
      </w:r>
    </w:p>
    <w:sectPr w:rsidR="00B41587">
      <w:headerReference w:type="even" r:id="rId85"/>
      <w:headerReference w:type="default" r:id="rId86"/>
      <w:footerReference w:type="even" r:id="rId87"/>
      <w:footerReference w:type="default" r:id="rId88"/>
      <w:headerReference w:type="first" r:id="rId89"/>
      <w:footerReference w:type="first" r:id="rId90"/>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587" w:rsidRDefault="008F394C">
      <w:r>
        <w:separator/>
      </w:r>
    </w:p>
  </w:endnote>
  <w:endnote w:type="continuationSeparator" w:id="0">
    <w:p w:rsidR="00B41587" w:rsidRDefault="008F394C">
      <w:r>
        <w:continuationSeparator/>
      </w:r>
    </w:p>
  </w:endnote>
  <w:endnote w:type="continuationNotice" w:id="1">
    <w:p w:rsidR="00B41587" w:rsidRDefault="00B415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8F394C">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proofErr w:type="spellStart"/>
    <w:r>
      <w:rPr>
        <w:rFonts w:ascii="Arial" w:hAnsi="Arial" w:cs="Arial"/>
        <w:b/>
        <w:sz w:val="48"/>
      </w:rPr>
      <w:t>BG</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49000"/>
      <w:docPartObj>
        <w:docPartGallery w:val="Page Numbers (Bottom of Page)"/>
        <w:docPartUnique/>
      </w:docPartObj>
    </w:sdtPr>
    <w:sdtEndPr>
      <w:rPr>
        <w:noProof/>
      </w:rPr>
    </w:sdtEndPr>
    <w:sdtContent>
      <w:p w:rsidR="00B41587" w:rsidRDefault="008F394C">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B41587" w:rsidRDefault="00B415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8F394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B41587" w:rsidRDefault="00B415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8F394C">
    <w:pPr>
      <w:pStyle w:val="Footer"/>
      <w:jc w:val="center"/>
      <w:rPr>
        <w:rFonts w:ascii="Arial" w:hAnsi="Arial" w:cs="Arial"/>
        <w:b/>
        <w:sz w:val="48"/>
        <w:lang w:val="es-ES"/>
      </w:rPr>
    </w:pPr>
    <w:r>
      <w:fldChar w:fldCharType="begin"/>
    </w:r>
    <w:r>
      <w:rPr>
        <w:lang w:val="es-ES"/>
      </w:rPr>
      <w:instrText xml:space="preserve"> PAGE  \* MERGEFORMAT </w:instrText>
    </w:r>
    <w:r>
      <w:fldChar w:fldCharType="separate"/>
    </w:r>
    <w:r>
      <w:rPr>
        <w:noProof/>
        <w:lang w:val="es-ES"/>
      </w:rPr>
      <w:t>52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587" w:rsidRDefault="008F394C">
      <w:r>
        <w:separator/>
      </w:r>
    </w:p>
  </w:footnote>
  <w:footnote w:type="continuationSeparator" w:id="0">
    <w:p w:rsidR="00B41587" w:rsidRDefault="008F394C">
      <w:r>
        <w:continuationSeparator/>
      </w:r>
    </w:p>
  </w:footnote>
  <w:footnote w:type="continuationNotice" w:id="1">
    <w:p w:rsidR="00B41587" w:rsidRDefault="00B41587"/>
  </w:footnote>
  <w:footnote w:id="2">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 xml:space="preserve">Настоящият доклад се придружава от </w:t>
      </w:r>
      <w:r>
        <w:rPr>
          <w:i/>
          <w:sz w:val="18"/>
          <w:lang w:val="bg-BG"/>
        </w:rPr>
        <w:t>статистическо приложение</w:t>
      </w:r>
      <w:r>
        <w:rPr>
          <w:sz w:val="18"/>
          <w:lang w:val="bg-BG"/>
        </w:rPr>
        <w:t xml:space="preserve">, което съдържа многобройни статистически данни, използвани за изготвянето на настоящия доклад. </w:t>
      </w:r>
    </w:p>
  </w:footnote>
  <w:footnote w:id="3">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Вж. член 5 от Регламент (ЕС) № 1176/2011.</w:t>
      </w:r>
    </w:p>
  </w:footnote>
  <w:footnote w:id="4">
    <w:p w:rsidR="00B41587" w:rsidRDefault="008F394C">
      <w:pPr>
        <w:pStyle w:val="FootnoteText"/>
        <w:rPr>
          <w:lang w:val="bg-BG"/>
        </w:rPr>
      </w:pPr>
      <w:r>
        <w:rPr>
          <w:rStyle w:val="FootnoteReference"/>
          <w:lang w:val="bg-BG"/>
        </w:rPr>
        <w:footnoteRef/>
      </w:r>
      <w:r>
        <w:rPr>
          <w:lang w:val="bg-BG"/>
        </w:rPr>
        <w:t xml:space="preserve"> </w:t>
      </w:r>
      <w:r>
        <w:rPr>
          <w:lang w:val="bg-BG"/>
        </w:rPr>
        <w:tab/>
      </w:r>
      <w:r>
        <w:rPr>
          <w:lang w:val="bg-BG"/>
        </w:rPr>
        <w:t>Регламент (ЕС) № 1176/2011 на Европейския парламент и на Съвета от 16 ноември 2011 г. относно предотвратяването</w:t>
      </w:r>
      <w:r>
        <w:rPr>
          <w:lang w:val="bg-BG"/>
        </w:rPr>
        <w:t xml:space="preserve"> и коригирането на макроикономическите дисбаланси.</w:t>
      </w:r>
    </w:p>
  </w:footnote>
  <w:footnote w:id="5">
    <w:p w:rsidR="00B41587" w:rsidRDefault="008F394C">
      <w:pPr>
        <w:pStyle w:val="FootnoteText"/>
        <w:spacing w:before="0" w:after="0"/>
        <w:rPr>
          <w:lang w:val="bg-BG"/>
        </w:rPr>
      </w:pPr>
      <w:r>
        <w:rPr>
          <w:rStyle w:val="FootnoteReference"/>
          <w:lang w:val="bg-BG"/>
        </w:rPr>
        <w:footnoteRef/>
      </w:r>
      <w:r>
        <w:rPr>
          <w:lang w:val="bg-BG"/>
        </w:rPr>
        <w:t xml:space="preserve"> </w:t>
      </w:r>
      <w:r>
        <w:rPr>
          <w:lang w:val="bg-BG"/>
        </w:rPr>
        <w:tab/>
      </w:r>
      <w:r>
        <w:rPr>
          <w:sz w:val="18"/>
          <w:lang w:val="bg-BG"/>
        </w:rPr>
        <w:t>Данни въз основа на националните сметки.</w:t>
      </w:r>
    </w:p>
  </w:footnote>
  <w:footnote w:id="6">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Регламент (ЕС) № 1176/2011 (ОВ L 306, 23.11.2011 г., стр. 25).</w:t>
      </w:r>
    </w:p>
  </w:footnote>
  <w:footnote w:id="7">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 xml:space="preserve">Вж. „Европейски семестър за 2016 г.: </w:t>
      </w:r>
      <w:proofErr w:type="spellStart"/>
      <w:r>
        <w:rPr>
          <w:sz w:val="18"/>
          <w:lang w:val="bg-BG"/>
        </w:rPr>
        <w:t>oценка</w:t>
      </w:r>
      <w:proofErr w:type="spellEnd"/>
      <w:r>
        <w:rPr>
          <w:sz w:val="18"/>
          <w:lang w:val="bg-BG"/>
        </w:rPr>
        <w:t xml:space="preserve"> на напредъка в структурните реформи, предотвратя</w:t>
      </w:r>
      <w:r>
        <w:rPr>
          <w:sz w:val="18"/>
          <w:lang w:val="bg-BG"/>
        </w:rPr>
        <w:t xml:space="preserve">ването и коригирането на макроикономическите дисбаланси и резултати от задълбочените прегледи в съответствие с Регламент (ЕС) № 1176/2011“ (COM(2016) 95 </w:t>
      </w:r>
      <w:proofErr w:type="spellStart"/>
      <w:r>
        <w:rPr>
          <w:sz w:val="18"/>
          <w:lang w:val="bg-BG"/>
        </w:rPr>
        <w:t>final</w:t>
      </w:r>
      <w:proofErr w:type="spellEnd"/>
      <w:r>
        <w:rPr>
          <w:sz w:val="18"/>
          <w:lang w:val="bg-BG"/>
        </w:rPr>
        <w:t xml:space="preserve">/2, 7.4.2016 г.). </w:t>
      </w:r>
    </w:p>
  </w:footnote>
  <w:footnote w:id="8">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 xml:space="preserve">Регламентът за ПМД (Регламент (ЕС) № 1176/2011) не допуска механичен анализ на таблицата с показатели. За обосновката за съставянето на таблицата в ДМП и нейния анализ вж. </w:t>
      </w:r>
      <w:proofErr w:type="spellStart"/>
      <w:r>
        <w:rPr>
          <w:i/>
          <w:sz w:val="18"/>
          <w:lang w:val="bg-BG"/>
        </w:rPr>
        <w:t>The</w:t>
      </w:r>
      <w:proofErr w:type="spellEnd"/>
      <w:r>
        <w:rPr>
          <w:i/>
          <w:sz w:val="18"/>
          <w:lang w:val="bg-BG"/>
        </w:rPr>
        <w:t xml:space="preserve"> </w:t>
      </w:r>
      <w:proofErr w:type="spellStart"/>
      <w:r>
        <w:rPr>
          <w:i/>
          <w:sz w:val="18"/>
          <w:lang w:val="bg-BG"/>
        </w:rPr>
        <w:t>Macroeconomic</w:t>
      </w:r>
      <w:proofErr w:type="spellEnd"/>
      <w:r>
        <w:rPr>
          <w:i/>
          <w:sz w:val="18"/>
          <w:lang w:val="bg-BG"/>
        </w:rPr>
        <w:t xml:space="preserve"> </w:t>
      </w:r>
      <w:proofErr w:type="spellStart"/>
      <w:r>
        <w:rPr>
          <w:i/>
          <w:sz w:val="18"/>
          <w:lang w:val="bg-BG"/>
        </w:rPr>
        <w:t>Imbalance</w:t>
      </w:r>
      <w:proofErr w:type="spellEnd"/>
      <w:r>
        <w:rPr>
          <w:i/>
          <w:sz w:val="18"/>
          <w:lang w:val="bg-BG"/>
        </w:rPr>
        <w:t xml:space="preserve"> </w:t>
      </w:r>
      <w:proofErr w:type="spellStart"/>
      <w:r>
        <w:rPr>
          <w:i/>
          <w:sz w:val="18"/>
          <w:lang w:val="bg-BG"/>
        </w:rPr>
        <w:t>Procedure</w:t>
      </w:r>
      <w:proofErr w:type="spellEnd"/>
      <w:r>
        <w:rPr>
          <w:i/>
          <w:sz w:val="18"/>
          <w:lang w:val="bg-BG"/>
        </w:rPr>
        <w:t xml:space="preserve">. </w:t>
      </w:r>
      <w:proofErr w:type="spellStart"/>
      <w:r>
        <w:rPr>
          <w:i/>
          <w:sz w:val="18"/>
          <w:lang w:val="bg-BG"/>
        </w:rPr>
        <w:t>Rationale</w:t>
      </w:r>
      <w:proofErr w:type="spellEnd"/>
      <w:r>
        <w:rPr>
          <w:i/>
          <w:sz w:val="18"/>
          <w:lang w:val="bg-BG"/>
        </w:rPr>
        <w:t xml:space="preserve">, </w:t>
      </w:r>
      <w:proofErr w:type="spellStart"/>
      <w:r>
        <w:rPr>
          <w:i/>
          <w:sz w:val="18"/>
          <w:lang w:val="bg-BG"/>
        </w:rPr>
        <w:t>Process</w:t>
      </w:r>
      <w:proofErr w:type="spellEnd"/>
      <w:r>
        <w:rPr>
          <w:i/>
          <w:sz w:val="18"/>
          <w:lang w:val="bg-BG"/>
        </w:rPr>
        <w:t xml:space="preserve">, </w:t>
      </w:r>
      <w:proofErr w:type="spellStart"/>
      <w:r>
        <w:rPr>
          <w:i/>
          <w:sz w:val="18"/>
          <w:lang w:val="bg-BG"/>
        </w:rPr>
        <w:t>Application</w:t>
      </w:r>
      <w:proofErr w:type="spellEnd"/>
      <w:r>
        <w:rPr>
          <w:i/>
          <w:sz w:val="18"/>
          <w:lang w:val="bg-BG"/>
        </w:rPr>
        <w:t xml:space="preserve">: А </w:t>
      </w:r>
      <w:proofErr w:type="spellStart"/>
      <w:r>
        <w:rPr>
          <w:i/>
          <w:sz w:val="18"/>
          <w:lang w:val="bg-BG"/>
        </w:rPr>
        <w:t>Compendium</w:t>
      </w:r>
      <w:proofErr w:type="spellEnd"/>
      <w:r>
        <w:rPr>
          <w:sz w:val="18"/>
          <w:lang w:val="bg-BG"/>
        </w:rPr>
        <w:t>“ („Процедура при макроикономически дисбаланси. Обосновка, процес, прилагане: сборник“) (Европейска комисия, 2016 г.).</w:t>
      </w:r>
    </w:p>
  </w:footnote>
  <w:footnote w:id="9">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Подробните показатели в таблицата, както и съответните индикативни прагове, са посочени в таблица 1.1 в приложението.</w:t>
      </w:r>
    </w:p>
  </w:footnote>
  <w:footnote w:id="10">
    <w:p w:rsidR="00B41587" w:rsidRDefault="008F394C">
      <w:pPr>
        <w:pStyle w:val="FootnoteText"/>
        <w:spacing w:before="0" w:after="0"/>
        <w:rPr>
          <w:lang w:val="bg-BG"/>
        </w:rPr>
      </w:pPr>
      <w:r>
        <w:rPr>
          <w:rStyle w:val="FootnoteReference"/>
          <w:lang w:val="bg-BG"/>
        </w:rPr>
        <w:footnoteRef/>
      </w:r>
      <w:r>
        <w:rPr>
          <w:lang w:val="bg-BG"/>
        </w:rPr>
        <w:t xml:space="preserve"> </w:t>
      </w:r>
      <w:r>
        <w:rPr>
          <w:lang w:val="bg-BG"/>
        </w:rPr>
        <w:tab/>
      </w:r>
      <w:r>
        <w:rPr>
          <w:lang w:val="bg-BG"/>
        </w:rPr>
        <w:t xml:space="preserve">Изчисленията </w:t>
      </w:r>
      <w:r>
        <w:rPr>
          <w:lang w:val="bg-BG"/>
        </w:rPr>
        <w:t>за текущите сметки, стабилизиращи НМИП, се основават на следните допускания: прогнозите за номиналния БВП се основават на прогнозата на Европейската комисия от есента на 2017 г. (до 2019 г.) и на методиката на Комисията за прогнозите за 10 години напред; п</w:t>
      </w:r>
      <w:r>
        <w:rPr>
          <w:lang w:val="bg-BG"/>
        </w:rPr>
        <w:t>о принцип се приема, че оценъчните ефекти се равняват на нула през прогнозния период; приема се, че салдата по капиталовата сметка ще се запазят непроменени като процент от БВП, на средната стойност между 2016 г. и прогнозите до 2019 г.</w:t>
      </w:r>
    </w:p>
  </w:footnote>
  <w:footnote w:id="11">
    <w:p w:rsidR="00B41587" w:rsidRDefault="008F394C">
      <w:pPr>
        <w:spacing w:before="0" w:after="0"/>
        <w:ind w:left="426" w:hanging="426"/>
        <w:rPr>
          <w:color w:val="000000"/>
          <w:sz w:val="20"/>
          <w:szCs w:val="20"/>
          <w:lang w:val="bg-BG"/>
        </w:rPr>
      </w:pPr>
      <w:r>
        <w:rPr>
          <w:rStyle w:val="FootnoteReference"/>
          <w:color w:val="000000"/>
          <w:sz w:val="20"/>
          <w:lang w:val="bg-BG"/>
        </w:rPr>
        <w:footnoteRef/>
      </w:r>
      <w:r>
        <w:rPr>
          <w:color w:val="000000"/>
          <w:sz w:val="20"/>
          <w:lang w:val="bg-BG"/>
        </w:rPr>
        <w:t xml:space="preserve"> </w:t>
      </w:r>
      <w:r>
        <w:rPr>
          <w:lang w:val="bg-BG"/>
        </w:rPr>
        <w:tab/>
      </w:r>
      <w:r>
        <w:rPr>
          <w:sz w:val="20"/>
          <w:lang w:val="bg-BG"/>
        </w:rPr>
        <w:t>Като цяло сходна</w:t>
      </w:r>
      <w:r>
        <w:rPr>
          <w:sz w:val="20"/>
          <w:lang w:val="bg-BG"/>
        </w:rPr>
        <w:t xml:space="preserve"> оценка е представена в МВФ (Доклад за външния сектор, 2017 г.). Вж. също бележка под линия 13.</w:t>
      </w:r>
    </w:p>
  </w:footnote>
  <w:footnote w:id="12">
    <w:p w:rsidR="00B41587" w:rsidRDefault="008F394C">
      <w:pPr>
        <w:pStyle w:val="FootnoteText"/>
        <w:spacing w:before="0" w:after="0"/>
        <w:rPr>
          <w:lang w:val="bg-BG"/>
        </w:rPr>
      </w:pPr>
      <w:r>
        <w:rPr>
          <w:rStyle w:val="FootnoteReference"/>
          <w:lang w:val="bg-BG"/>
        </w:rPr>
        <w:footnoteRef/>
      </w:r>
      <w:r>
        <w:rPr>
          <w:lang w:val="bg-BG"/>
        </w:rPr>
        <w:t xml:space="preserve"> </w:t>
      </w:r>
      <w:r>
        <w:rPr>
          <w:lang w:val="bg-BG"/>
        </w:rPr>
        <w:tab/>
      </w:r>
      <w:r>
        <w:rPr>
          <w:lang w:val="bg-BG"/>
        </w:rPr>
        <w:t xml:space="preserve">В няколко държави, като Полша и Румъния, голямото повишаване на размера на капитала на един работник (т.нар. капиталов интензитет) повиши производителността </w:t>
      </w:r>
      <w:r>
        <w:rPr>
          <w:lang w:val="bg-BG"/>
        </w:rPr>
        <w:t>на труда и намали разходите за труд за единица продукция, докато в Латвия, Гърция, Португалия и Словения се случи обратното.</w:t>
      </w:r>
    </w:p>
  </w:footnote>
  <w:footnote w:id="13">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Данни въз основа на националните сметки за периода 2017—2019 г.; данните въз основа на националните сметки и данните в статистик</w:t>
      </w:r>
      <w:r>
        <w:rPr>
          <w:sz w:val="18"/>
          <w:lang w:val="bg-BG"/>
        </w:rPr>
        <w:t>ата на платежния баланс за 2015 г. и 2016 г. съвпадат.</w:t>
      </w:r>
    </w:p>
  </w:footnote>
  <w:footnote w:id="14">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Целевият показател е получен от регресии в съкратена форма, отразяващи основните определящи фактори за салдото между спестяванията и инвестициите, включително фундаментални определящи фактори (напри</w:t>
      </w:r>
      <w:r>
        <w:rPr>
          <w:sz w:val="18"/>
          <w:lang w:val="bg-BG"/>
        </w:rPr>
        <w:t>мер демография, ресурси), фактори на политиката и глобални финансови условия. Методологията е сходна с подхода за оценка на външния баланс, разработен от МВФ (</w:t>
      </w:r>
      <w:proofErr w:type="spellStart"/>
      <w:r>
        <w:rPr>
          <w:sz w:val="18"/>
          <w:lang w:val="bg-BG"/>
        </w:rPr>
        <w:t>Phillips</w:t>
      </w:r>
      <w:proofErr w:type="spellEnd"/>
      <w:r>
        <w:rPr>
          <w:sz w:val="18"/>
          <w:lang w:val="bg-BG"/>
        </w:rPr>
        <w:t xml:space="preserve">, S. </w:t>
      </w:r>
      <w:proofErr w:type="spellStart"/>
      <w:r>
        <w:rPr>
          <w:sz w:val="18"/>
          <w:lang w:val="bg-BG"/>
        </w:rPr>
        <w:t>et</w:t>
      </w:r>
      <w:proofErr w:type="spellEnd"/>
      <w:r>
        <w:rPr>
          <w:sz w:val="18"/>
          <w:lang w:val="bg-BG"/>
        </w:rPr>
        <w:t xml:space="preserve"> </w:t>
      </w:r>
      <w:proofErr w:type="spellStart"/>
      <w:r>
        <w:rPr>
          <w:sz w:val="18"/>
          <w:lang w:val="bg-BG"/>
        </w:rPr>
        <w:t>al</w:t>
      </w:r>
      <w:proofErr w:type="spellEnd"/>
      <w:r>
        <w:rPr>
          <w:sz w:val="18"/>
          <w:lang w:val="bg-BG"/>
        </w:rPr>
        <w:t>., 2013 г., „</w:t>
      </w:r>
      <w:proofErr w:type="spellStart"/>
      <w:r>
        <w:rPr>
          <w:sz w:val="18"/>
          <w:lang w:val="bg-BG"/>
        </w:rPr>
        <w:t>The</w:t>
      </w:r>
      <w:proofErr w:type="spellEnd"/>
      <w:r>
        <w:rPr>
          <w:sz w:val="18"/>
          <w:lang w:val="bg-BG"/>
        </w:rPr>
        <w:t xml:space="preserve"> </w:t>
      </w:r>
      <w:proofErr w:type="spellStart"/>
      <w:r>
        <w:rPr>
          <w:sz w:val="18"/>
          <w:lang w:val="bg-BG"/>
        </w:rPr>
        <w:t>External</w:t>
      </w:r>
      <w:proofErr w:type="spellEnd"/>
      <w:r>
        <w:rPr>
          <w:sz w:val="18"/>
          <w:lang w:val="bg-BG"/>
        </w:rPr>
        <w:t xml:space="preserve"> Balance </w:t>
      </w:r>
      <w:proofErr w:type="spellStart"/>
      <w:r>
        <w:rPr>
          <w:sz w:val="18"/>
          <w:lang w:val="bg-BG"/>
        </w:rPr>
        <w:t>Assessment</w:t>
      </w:r>
      <w:proofErr w:type="spellEnd"/>
      <w:r>
        <w:rPr>
          <w:sz w:val="18"/>
          <w:lang w:val="bg-BG"/>
        </w:rPr>
        <w:t xml:space="preserve"> (EBA) </w:t>
      </w:r>
      <w:proofErr w:type="spellStart"/>
      <w:r>
        <w:rPr>
          <w:sz w:val="18"/>
          <w:lang w:val="bg-BG"/>
        </w:rPr>
        <w:t>Methodology</w:t>
      </w:r>
      <w:proofErr w:type="spellEnd"/>
      <w:r>
        <w:rPr>
          <w:sz w:val="18"/>
          <w:lang w:val="bg-BG"/>
        </w:rPr>
        <w:t>“ („Методология з</w:t>
      </w:r>
      <w:r>
        <w:rPr>
          <w:sz w:val="18"/>
          <w:lang w:val="bg-BG"/>
        </w:rPr>
        <w:t xml:space="preserve">а оценка на външния баланс (ОВБ)“, работен документ на МВФ, 13/272). Основните разлики се състоят в използването на по-голяма извадка при оценката, малко по-различна емпирична спецификация (различни взаимодействия за променливата, която отчита ефектите на </w:t>
      </w:r>
      <w:r>
        <w:rPr>
          <w:sz w:val="18"/>
          <w:lang w:val="bg-BG"/>
        </w:rPr>
        <w:t>стареене, и допълнителна променлива, която отчита дела на производството в добавената стойност), и някои различия при определянето на нормите (прогнози, основани на по-малък набор от показатели, по-специално изключващи променливите за НИМП и за нежелание з</w:t>
      </w:r>
      <w:r>
        <w:rPr>
          <w:sz w:val="18"/>
          <w:lang w:val="bg-BG"/>
        </w:rPr>
        <w:t>а поемане на риск, както и набор от променливи относно политиките, определени на средната световна стойност). Според МВФ нормата на текущата сметка за еврозоната сочи малък излишък в размер на 2,7 % от БВП (оценка на персонала).</w:t>
      </w:r>
    </w:p>
  </w:footnote>
  <w:footnote w:id="15">
    <w:p w:rsidR="00B41587" w:rsidRDefault="008F394C">
      <w:pPr>
        <w:pStyle w:val="FootnoteText"/>
        <w:rPr>
          <w:lang w:val="bg-BG"/>
        </w:rPr>
      </w:pPr>
      <w:r>
        <w:rPr>
          <w:rStyle w:val="FootnoteReference"/>
          <w:lang w:val="bg-BG"/>
        </w:rPr>
        <w:footnoteRef/>
      </w:r>
      <w:r>
        <w:rPr>
          <w:lang w:val="bg-BG"/>
        </w:rPr>
        <w:t xml:space="preserve"> </w:t>
      </w:r>
      <w:r>
        <w:rPr>
          <w:lang w:val="bg-BG"/>
        </w:rPr>
        <w:tab/>
      </w:r>
      <w:r>
        <w:rPr>
          <w:lang w:val="bg-BG"/>
        </w:rPr>
        <w:t>Държавите с излишък се о</w:t>
      </w:r>
      <w:r>
        <w:rPr>
          <w:lang w:val="bg-BG"/>
        </w:rPr>
        <w:t xml:space="preserve">пределят, както следва: Белгия, Германия, Люксембург, Нидерландия, Австрия, Финландия;  държавите с дефицит са останали държави от Еврозона19. Всички държави с излишък отчетоха балансирано или с излишък състояние на текущите сметки за периода 1999—2012 г. </w:t>
      </w:r>
      <w:r>
        <w:rPr>
          <w:lang w:val="bg-BG"/>
        </w:rPr>
        <w:t xml:space="preserve">(единствените изключения са Германия и Австрия преди 2002 г. и Финландия след 2010 г., а всички държави с дефицит отбелязаха дефицит между 2000 г. и 2012 г.). </w:t>
      </w:r>
    </w:p>
  </w:footnote>
  <w:footnote w:id="16">
    <w:p w:rsidR="00B41587" w:rsidRDefault="008F394C">
      <w:pPr>
        <w:pStyle w:val="FootnoteText"/>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Унгария представлява изключение, въпреки че бързото нарастване на пасивите на финансовия сект</w:t>
      </w:r>
      <w:r>
        <w:rPr>
          <w:sz w:val="18"/>
          <w:lang w:val="bg-BG"/>
        </w:rPr>
        <w:t>ор, наблюдавано през 2016 г., може да се отдаде на определена сделка с ограничено макроикономическо въздействие.</w:t>
      </w:r>
    </w:p>
  </w:footnote>
  <w:footnote w:id="17">
    <w:p w:rsidR="00B41587" w:rsidRDefault="008F394C">
      <w:pPr>
        <w:ind w:left="426" w:hanging="426"/>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През ноември 2016 г. Европейският съвет за системен риск (ЕССР) издаде специфични за отделните държави предупреждения за средносрочна уязвим</w:t>
      </w:r>
      <w:r>
        <w:rPr>
          <w:sz w:val="18"/>
          <w:lang w:val="bg-BG"/>
        </w:rPr>
        <w:t>ост в сектора на жилищната недвижима собственост в осем държави членки (Австрия, Белгия, Дания, Финландия, Люксембург, Нидерландия, Швеция и Обединеното кралство).</w:t>
      </w:r>
    </w:p>
    <w:p w:rsidR="00B41587" w:rsidRDefault="00B41587">
      <w:pPr>
        <w:pStyle w:val="FootnoteText"/>
        <w:rPr>
          <w:lang w:val="bg-BG"/>
        </w:rPr>
      </w:pPr>
    </w:p>
  </w:footnote>
  <w:footnote w:id="18">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Показателят за риск от бедност или социално изключване (ИРБИ) съответства на дела на лиц</w:t>
      </w:r>
      <w:r>
        <w:rPr>
          <w:sz w:val="18"/>
          <w:lang w:val="bg-BG"/>
        </w:rPr>
        <w:t>ата, които са уязвими според поне един от три социални показателя: (1) изложени на риск от бедност (ИРБ) са лицата с разполагаем доход (коригиран за състава на домакинствата) под 60 % от средния за страната; (2) сериозните материални лишения (СМЛ) обхващат</w:t>
      </w:r>
      <w:r>
        <w:rPr>
          <w:sz w:val="18"/>
          <w:lang w:val="bg-BG"/>
        </w:rPr>
        <w:t xml:space="preserve"> показатели, които се отнасят до липсата на средства, а именно делът на лицата, понасящи поне 4 от общо 9 лишения; (3) хората, живеещи в домакинства с много нисък интензитет на икономическа активност, са лица на възраст 0—59 години, които живеят в домакинс</w:t>
      </w:r>
      <w:r>
        <w:rPr>
          <w:sz w:val="18"/>
          <w:lang w:val="bg-BG"/>
        </w:rPr>
        <w:t xml:space="preserve">тва, в които възрастните (на възраст 18—59 години) са работили с по-малко от 20 % от общия си трудов потенциал през последната година. </w:t>
      </w:r>
    </w:p>
  </w:footnote>
  <w:footnote w:id="19">
    <w:p w:rsidR="00B41587" w:rsidRDefault="008F394C">
      <w:pPr>
        <w:pStyle w:val="FootnoteText"/>
        <w:spacing w:before="0" w:after="0"/>
        <w:rPr>
          <w:sz w:val="18"/>
          <w:szCs w:val="18"/>
          <w:lang w:val="bg-BG"/>
        </w:rPr>
      </w:pPr>
      <w:r>
        <w:rPr>
          <w:rStyle w:val="FootnoteReference"/>
          <w:sz w:val="18"/>
          <w:lang w:val="bg-BG"/>
        </w:rPr>
        <w:footnoteRef/>
      </w:r>
      <w:r>
        <w:rPr>
          <w:sz w:val="18"/>
          <w:lang w:val="bg-BG"/>
        </w:rPr>
        <w:t xml:space="preserve"> </w:t>
      </w:r>
      <w:r>
        <w:rPr>
          <w:lang w:val="bg-BG"/>
        </w:rPr>
        <w:tab/>
      </w:r>
      <w:r>
        <w:rPr>
          <w:sz w:val="18"/>
          <w:lang w:val="bg-BG"/>
        </w:rPr>
        <w:t xml:space="preserve">В случая с Гърция наблюдението на дисбалансите и мониторингът на </w:t>
      </w:r>
      <w:proofErr w:type="spellStart"/>
      <w:r>
        <w:rPr>
          <w:sz w:val="18"/>
          <w:lang w:val="bg-BG"/>
        </w:rPr>
        <w:t>корективните</w:t>
      </w:r>
      <w:proofErr w:type="spellEnd"/>
      <w:r>
        <w:rPr>
          <w:sz w:val="18"/>
          <w:lang w:val="bg-BG"/>
        </w:rPr>
        <w:t xml:space="preserve"> мерки се осъществяват в рамките на прог</w:t>
      </w:r>
      <w:r>
        <w:rPr>
          <w:sz w:val="18"/>
          <w:lang w:val="bg-BG"/>
        </w:rPr>
        <w:t xml:space="preserve">рамата за финансова помощ, а не по процедурата при макроикономически дисбаланси.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587" w:rsidRDefault="00B41587">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9A5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2589B"/>
    <w:multiLevelType w:val="multilevel"/>
    <w:tmpl w:val="8E3E5EA0"/>
    <w:lvl w:ilvl="0">
      <w:start w:val="1"/>
      <w:numFmt w:val="decimal"/>
      <w:pStyle w:val="NumberedHeading1"/>
      <w:lvlText w:val="2.1.%1."/>
      <w:lvlJc w:val="left"/>
      <w:pPr>
        <w:tabs>
          <w:tab w:val="num" w:pos="567"/>
        </w:tabs>
        <w:ind w:left="567" w:hanging="567"/>
      </w:pPr>
    </w:lvl>
    <w:lvl w:ilvl="1">
      <w:start w:val="1"/>
      <w:numFmt w:val="decimal"/>
      <w:pStyle w:val="NumberedHeading2"/>
      <w:lvlText w:val="2.1.%1.%2."/>
      <w:lvlJc w:val="left"/>
      <w:pPr>
        <w:tabs>
          <w:tab w:val="num" w:pos="567"/>
        </w:tabs>
        <w:ind w:left="567" w:hanging="567"/>
      </w:pPr>
    </w:lvl>
    <w:lvl w:ilvl="2">
      <w:start w:val="1"/>
      <w:numFmt w:val="decimal"/>
      <w:pStyle w:val="NumberedHeading3"/>
      <w:lvlText w:val="2.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54F620F6"/>
    <w:multiLevelType w:val="singleLevel"/>
    <w:tmpl w:val="010ECA8C"/>
    <w:name w:val="List Dash"/>
    <w:lvl w:ilvl="0">
      <w:start w:val="1"/>
      <w:numFmt w:val="bullet"/>
      <w:lvlRestart w:val="0"/>
      <w:lvlText w:val=""/>
      <w:lvlJc w:val="left"/>
      <w:pPr>
        <w:tabs>
          <w:tab w:val="num" w:pos="283"/>
        </w:tabs>
        <w:ind w:left="283" w:hanging="283"/>
      </w:pPr>
      <w:rPr>
        <w:rFonts w:ascii="Symbol" w:hAnsi="Symbol"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5"/>
  </w:num>
  <w:num w:numId="2">
    <w:abstractNumId w:val="6"/>
  </w:num>
  <w:num w:numId="3">
    <w:abstractNumId w:val="1"/>
  </w:num>
  <w:num w:numId="4">
    <w:abstractNumId w:val="3"/>
  </w:num>
  <w:num w:numId="5">
    <w:abstractNumId w:val="0"/>
  </w:num>
  <w:num w:numId="6">
    <w:abstractNumId w:val="10"/>
  </w:num>
  <w:num w:numId="7">
    <w:abstractNumId w:val="16"/>
  </w:num>
  <w:num w:numId="8">
    <w:abstractNumId w:val="9"/>
  </w:num>
  <w:num w:numId="9">
    <w:abstractNumId w:val="8"/>
  </w:num>
  <w:num w:numId="10">
    <w:abstractNumId w:val="5"/>
  </w:num>
  <w:num w:numId="11">
    <w:abstractNumId w:val="4"/>
  </w:num>
  <w:num w:numId="12">
    <w:abstractNumId w:val="18"/>
  </w:num>
  <w:num w:numId="13">
    <w:abstractNumId w:val="20"/>
  </w:num>
  <w:num w:numId="14">
    <w:abstractNumId w:val="19"/>
  </w:num>
  <w:num w:numId="15">
    <w:abstractNumId w:val="21"/>
  </w:num>
  <w:num w:numId="16">
    <w:abstractNumId w:val="7"/>
  </w:num>
  <w:num w:numId="17">
    <w:abstractNumId w:val="11"/>
  </w:num>
  <w:num w:numId="18">
    <w:abstractNumId w:val="13"/>
  </w:num>
  <w:num w:numId="19">
    <w:abstractNumId w:val="12"/>
  </w:num>
  <w:num w:numId="20">
    <w:abstractNumId w:val="2"/>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n-IE" w:vendorID="64" w:dllVersion="131078" w:nlCheck="1" w:checkStyle="1"/>
  <w:activeWritingStyle w:appName="MSWord" w:lang="de-DE" w:vendorID="64" w:dllVersion="131078" w:nlCheck="1" w:checkStyle="1"/>
  <w:activeWritingStyle w:appName="MSWord" w:lang="en-GB"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14337" style="mso-position-vertical-relative:line"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lt;UNUSED&gt;"/>
    <w:docVar w:name="LW_COVERPAGE_EXISTS" w:val="True"/>
    <w:docVar w:name="LW_COVERPAGE_GUID" w:val="E577950A-C9B2-4E90-BE91-EA654EE6B3C7"/>
    <w:docVar w:name="LW_COVERPAGE_TYPE" w:val="1"/>
    <w:docVar w:name="LW_CROSSREFERENCE" w:val="{SWD(2017) 661 final}"/>
    <w:docVar w:name="LW_DocType" w:val="NORMAL"/>
    <w:docVar w:name="LW_EMISSION" w:val="22.11.2017"/>
    <w:docVar w:name="LW_EMISSION_ISODATE" w:val="2017-11-22"/>
    <w:docVar w:name="LW_EMISSION_LOCATION" w:val="BRX"/>
    <w:docVar w:name="LW_EMISSION_PREFIX" w:val="Брюксел, "/>
    <w:docVar w:name="LW_EMISSION_SUFFIX" w:val="\u1075?."/>
    <w:docVar w:name="LW_ID_DOCTYPE_NONLW" w:val="CP-003"/>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7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 w:val="(prepared in accordance with Articles 3 and 4 of Regulations (EU) No 1176/2011 on the prevention and correction of macroeconomic imbalances)_x000b_"/>
    <w:docVar w:name="LW_SOUS.TITRE.OBJ.CP" w:val="(prepared in accordance with Articles 3 and 4 of Regulations (EU) No 1176/2011 on the prevention and correction of macroeconomic imbalances)_x000b_"/>
    <w:docVar w:name="LW_SUPERTITRE" w:val="&lt;UNUSED&gt;"/>
    <w:docVar w:name="LW_TITRE.OBJ.CP" w:val="\u1044?\u1054? \u1045?\u1042?\u1056?\u1054?\u1055?\u1045?\u1049?\u1057?\u1050?\u1048?\u1071? \u1055?\u1040?\u1056?\u1051?\u1040?\u1052?\u1045?\u1053?\u1058?, \u1057?\u1066?\u1042?\u1045?\u1058?\u1040?, \u1045?\u1042?\u1056?\u1054?\u1055?\u1045?\u1049?\u1057?\u1050?\u1040?\u1058?\u1040? \u1062?\u1045?\u1053?\u1058?\u1056?\u1040?\u1051?\u1053?\u1040? \u1041?\u1040?\u1053?\u1050?\u1040? \u1048? \u1045?\u1042?\u1056?\u1054?\u1055?\u1045?\u1049?\u1057?\u1050?\u1048?\u1071? \u1048?\u1050?\u1054?\u1053?\u1054?\u1052?\u1048?\u1063?\u1045?\u1057?\u1050?\u1048? \u1048? \u1057?\u1054?\u1062?\u1048?\u1040?\u1051?\u1045?\u1053? \u1050?\u1054?\u1052?\u1048?\u1058?\u1045?\u1058? _x000b__x000b_&lt;FMT:Font=Calibri Cyr&gt;\u1044?\u1086?\u1082?\u1083?\u1072?\u1076? \u1079?\u1072? \u1084?\u1077?\u1093?\u1072?\u1085?\u1080?\u1079?\u1084?\u1072? \u1079?\u1072? \u1087?\u1088?\u1077?\u1076?\u1091?\u1087?\u1088?\u1077?\u1078?\u1076?\u1077?\u1085?\u1080?\u1077? \u1079?\u1072? 2018 \u1075?.&lt;/FMT&gt;_x000b__x000b_(\u1080?\u1079?\u1075?\u1086?\u1090?\u1074?\u1077?\u1085? \u1074? \u1089?\u1098?\u1086?\u1090?\u1074?\u1077?\u1090?\u1089?\u1090?\u1074?\u1080?\u1077? \u1089? \u1095?\u1083?\u1077?\u1085?\u1086?\u1074?\u1077? 3 \u1080? 4 \u1086?\u1090? \u1056?\u1077?\u1075?\u1083?\u1072?\u1084?\u1077?\u1085?\u1090? (\u1045?\u1057?) \u8470? 1176/2011 &lt;FMT:Font=Calibri Cyr&gt;\u1086?\u1090?\u1085?\u1086?\u1089?\u1085?\u1086? \u1087?\u1088?\u1077?\u1076?\u1086?\u1090?\u1074?\u1088?\u1072?\u1090?\u1103?\u1074?\u1072?\u1085?\u1077?\u1090?\u1086? \u1080? \u1082?\u1086?\u1088?\u1080?\u1075?\u1080?\u1088?\u1072?\u1085?\u1077?\u1090?\u1086? \u1085?\u1072? \u1084?\u1072?\u1082?\u1088?\u1086?\u1080?\u1082?\u1086?\u1085?\u1086?\u1084?\u1080?\u1095?\u1077?\u1089?\u1082?\u1080?\u1090?\u1077? \u1076?\u1080?\u1089?\u1073?\u1072?\u1083?\u1072?\u1085?\u1089?\u1080?&lt;/FMT&gt;)"/>
    <w:docVar w:name="LW_TYPE.DOC.CP" w:val="\u1044?\u1054?\u1050?\u1051?\u1040?\u1044? \u1053?\u1040? \u1050?\u1054?\u1052?\u1048?\u1057?\u1048?\u1071?\u1058?\u1040?"/>
  </w:docVars>
  <w:rsids>
    <w:rsidRoot w:val="00B41587"/>
    <w:rsid w:val="008F394C"/>
    <w:rsid w:val="00B4158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496">
      <w:bodyDiv w:val="1"/>
      <w:marLeft w:val="0"/>
      <w:marRight w:val="0"/>
      <w:marTop w:val="0"/>
      <w:marBottom w:val="0"/>
      <w:divBdr>
        <w:top w:val="none" w:sz="0" w:space="0" w:color="auto"/>
        <w:left w:val="none" w:sz="0" w:space="0" w:color="auto"/>
        <w:bottom w:val="none" w:sz="0" w:space="0" w:color="auto"/>
        <w:right w:val="none" w:sz="0" w:space="0" w:color="auto"/>
      </w:divBdr>
    </w:div>
    <w:div w:id="49807789">
      <w:bodyDiv w:val="1"/>
      <w:marLeft w:val="0"/>
      <w:marRight w:val="0"/>
      <w:marTop w:val="0"/>
      <w:marBottom w:val="0"/>
      <w:divBdr>
        <w:top w:val="none" w:sz="0" w:space="0" w:color="auto"/>
        <w:left w:val="none" w:sz="0" w:space="0" w:color="auto"/>
        <w:bottom w:val="none" w:sz="0" w:space="0" w:color="auto"/>
        <w:right w:val="none" w:sz="0" w:space="0" w:color="auto"/>
      </w:divBdr>
    </w:div>
    <w:div w:id="60756429">
      <w:bodyDiv w:val="1"/>
      <w:marLeft w:val="0"/>
      <w:marRight w:val="0"/>
      <w:marTop w:val="0"/>
      <w:marBottom w:val="0"/>
      <w:divBdr>
        <w:top w:val="none" w:sz="0" w:space="0" w:color="auto"/>
        <w:left w:val="none" w:sz="0" w:space="0" w:color="auto"/>
        <w:bottom w:val="none" w:sz="0" w:space="0" w:color="auto"/>
        <w:right w:val="none" w:sz="0" w:space="0" w:color="auto"/>
      </w:divBdr>
    </w:div>
    <w:div w:id="103157158">
      <w:bodyDiv w:val="1"/>
      <w:marLeft w:val="0"/>
      <w:marRight w:val="0"/>
      <w:marTop w:val="0"/>
      <w:marBottom w:val="0"/>
      <w:divBdr>
        <w:top w:val="none" w:sz="0" w:space="0" w:color="auto"/>
        <w:left w:val="none" w:sz="0" w:space="0" w:color="auto"/>
        <w:bottom w:val="none" w:sz="0" w:space="0" w:color="auto"/>
        <w:right w:val="none" w:sz="0" w:space="0" w:color="auto"/>
      </w:divBdr>
    </w:div>
    <w:div w:id="117183580">
      <w:bodyDiv w:val="1"/>
      <w:marLeft w:val="0"/>
      <w:marRight w:val="0"/>
      <w:marTop w:val="0"/>
      <w:marBottom w:val="0"/>
      <w:divBdr>
        <w:top w:val="none" w:sz="0" w:space="0" w:color="auto"/>
        <w:left w:val="none" w:sz="0" w:space="0" w:color="auto"/>
        <w:bottom w:val="none" w:sz="0" w:space="0" w:color="auto"/>
        <w:right w:val="none" w:sz="0" w:space="0" w:color="auto"/>
      </w:divBdr>
    </w:div>
    <w:div w:id="140731561">
      <w:bodyDiv w:val="1"/>
      <w:marLeft w:val="0"/>
      <w:marRight w:val="0"/>
      <w:marTop w:val="0"/>
      <w:marBottom w:val="0"/>
      <w:divBdr>
        <w:top w:val="none" w:sz="0" w:space="0" w:color="auto"/>
        <w:left w:val="none" w:sz="0" w:space="0" w:color="auto"/>
        <w:bottom w:val="none" w:sz="0" w:space="0" w:color="auto"/>
        <w:right w:val="none" w:sz="0" w:space="0" w:color="auto"/>
      </w:divBdr>
      <w:divsChild>
        <w:div w:id="1331064133">
          <w:marLeft w:val="0"/>
          <w:marRight w:val="0"/>
          <w:marTop w:val="0"/>
          <w:marBottom w:val="0"/>
          <w:divBdr>
            <w:top w:val="none" w:sz="0" w:space="0" w:color="auto"/>
            <w:left w:val="none" w:sz="0" w:space="0" w:color="auto"/>
            <w:bottom w:val="none" w:sz="0" w:space="0" w:color="auto"/>
            <w:right w:val="none" w:sz="0" w:space="0" w:color="auto"/>
          </w:divBdr>
          <w:divsChild>
            <w:div w:id="1231816476">
              <w:marLeft w:val="0"/>
              <w:marRight w:val="0"/>
              <w:marTop w:val="0"/>
              <w:marBottom w:val="0"/>
              <w:divBdr>
                <w:top w:val="none" w:sz="0" w:space="0" w:color="auto"/>
                <w:left w:val="none" w:sz="0" w:space="0" w:color="auto"/>
                <w:bottom w:val="none" w:sz="0" w:space="0" w:color="auto"/>
                <w:right w:val="none" w:sz="0" w:space="0" w:color="auto"/>
              </w:divBdr>
              <w:divsChild>
                <w:div w:id="172842393">
                  <w:marLeft w:val="0"/>
                  <w:marRight w:val="0"/>
                  <w:marTop w:val="0"/>
                  <w:marBottom w:val="0"/>
                  <w:divBdr>
                    <w:top w:val="none" w:sz="0" w:space="0" w:color="auto"/>
                    <w:left w:val="none" w:sz="0" w:space="0" w:color="auto"/>
                    <w:bottom w:val="none" w:sz="0" w:space="0" w:color="auto"/>
                    <w:right w:val="none" w:sz="0" w:space="0" w:color="auto"/>
                  </w:divBdr>
                  <w:divsChild>
                    <w:div w:id="252713285">
                      <w:marLeft w:val="0"/>
                      <w:marRight w:val="0"/>
                      <w:marTop w:val="0"/>
                      <w:marBottom w:val="0"/>
                      <w:divBdr>
                        <w:top w:val="none" w:sz="0" w:space="0" w:color="auto"/>
                        <w:left w:val="none" w:sz="0" w:space="0" w:color="auto"/>
                        <w:bottom w:val="none" w:sz="0" w:space="0" w:color="auto"/>
                        <w:right w:val="none" w:sz="0" w:space="0" w:color="auto"/>
                      </w:divBdr>
                      <w:divsChild>
                        <w:div w:id="356738012">
                          <w:marLeft w:val="0"/>
                          <w:marRight w:val="0"/>
                          <w:marTop w:val="0"/>
                          <w:marBottom w:val="0"/>
                          <w:divBdr>
                            <w:top w:val="none" w:sz="0" w:space="0" w:color="auto"/>
                            <w:left w:val="none" w:sz="0" w:space="0" w:color="auto"/>
                            <w:bottom w:val="none" w:sz="0" w:space="0" w:color="auto"/>
                            <w:right w:val="none" w:sz="0" w:space="0" w:color="auto"/>
                          </w:divBdr>
                          <w:divsChild>
                            <w:div w:id="1215849069">
                              <w:marLeft w:val="0"/>
                              <w:marRight w:val="0"/>
                              <w:marTop w:val="0"/>
                              <w:marBottom w:val="0"/>
                              <w:divBdr>
                                <w:top w:val="none" w:sz="0" w:space="0" w:color="auto"/>
                                <w:left w:val="none" w:sz="0" w:space="0" w:color="auto"/>
                                <w:bottom w:val="none" w:sz="0" w:space="0" w:color="auto"/>
                                <w:right w:val="none" w:sz="0" w:space="0" w:color="auto"/>
                              </w:divBdr>
                              <w:divsChild>
                                <w:div w:id="792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3494">
      <w:bodyDiv w:val="1"/>
      <w:marLeft w:val="0"/>
      <w:marRight w:val="0"/>
      <w:marTop w:val="0"/>
      <w:marBottom w:val="0"/>
      <w:divBdr>
        <w:top w:val="none" w:sz="0" w:space="0" w:color="auto"/>
        <w:left w:val="none" w:sz="0" w:space="0" w:color="auto"/>
        <w:bottom w:val="none" w:sz="0" w:space="0" w:color="auto"/>
        <w:right w:val="none" w:sz="0" w:space="0" w:color="auto"/>
      </w:divBdr>
    </w:div>
    <w:div w:id="159278213">
      <w:bodyDiv w:val="1"/>
      <w:marLeft w:val="0"/>
      <w:marRight w:val="0"/>
      <w:marTop w:val="0"/>
      <w:marBottom w:val="0"/>
      <w:divBdr>
        <w:top w:val="none" w:sz="0" w:space="0" w:color="auto"/>
        <w:left w:val="none" w:sz="0" w:space="0" w:color="auto"/>
        <w:bottom w:val="none" w:sz="0" w:space="0" w:color="auto"/>
        <w:right w:val="none" w:sz="0" w:space="0" w:color="auto"/>
      </w:divBdr>
    </w:div>
    <w:div w:id="248662800">
      <w:bodyDiv w:val="1"/>
      <w:marLeft w:val="0"/>
      <w:marRight w:val="0"/>
      <w:marTop w:val="0"/>
      <w:marBottom w:val="0"/>
      <w:divBdr>
        <w:top w:val="none" w:sz="0" w:space="0" w:color="auto"/>
        <w:left w:val="none" w:sz="0" w:space="0" w:color="auto"/>
        <w:bottom w:val="none" w:sz="0" w:space="0" w:color="auto"/>
        <w:right w:val="none" w:sz="0" w:space="0" w:color="auto"/>
      </w:divBdr>
    </w:div>
    <w:div w:id="292178950">
      <w:bodyDiv w:val="1"/>
      <w:marLeft w:val="0"/>
      <w:marRight w:val="0"/>
      <w:marTop w:val="0"/>
      <w:marBottom w:val="0"/>
      <w:divBdr>
        <w:top w:val="none" w:sz="0" w:space="0" w:color="auto"/>
        <w:left w:val="none" w:sz="0" w:space="0" w:color="auto"/>
        <w:bottom w:val="none" w:sz="0" w:space="0" w:color="auto"/>
        <w:right w:val="none" w:sz="0" w:space="0" w:color="auto"/>
      </w:divBdr>
    </w:div>
    <w:div w:id="439034605">
      <w:bodyDiv w:val="1"/>
      <w:marLeft w:val="0"/>
      <w:marRight w:val="0"/>
      <w:marTop w:val="0"/>
      <w:marBottom w:val="0"/>
      <w:divBdr>
        <w:top w:val="none" w:sz="0" w:space="0" w:color="auto"/>
        <w:left w:val="none" w:sz="0" w:space="0" w:color="auto"/>
        <w:bottom w:val="none" w:sz="0" w:space="0" w:color="auto"/>
        <w:right w:val="none" w:sz="0" w:space="0" w:color="auto"/>
      </w:divBdr>
    </w:div>
    <w:div w:id="451091734">
      <w:bodyDiv w:val="1"/>
      <w:marLeft w:val="0"/>
      <w:marRight w:val="0"/>
      <w:marTop w:val="0"/>
      <w:marBottom w:val="0"/>
      <w:divBdr>
        <w:top w:val="none" w:sz="0" w:space="0" w:color="auto"/>
        <w:left w:val="none" w:sz="0" w:space="0" w:color="auto"/>
        <w:bottom w:val="none" w:sz="0" w:space="0" w:color="auto"/>
        <w:right w:val="none" w:sz="0" w:space="0" w:color="auto"/>
      </w:divBdr>
    </w:div>
    <w:div w:id="570700089">
      <w:bodyDiv w:val="1"/>
      <w:marLeft w:val="0"/>
      <w:marRight w:val="0"/>
      <w:marTop w:val="0"/>
      <w:marBottom w:val="0"/>
      <w:divBdr>
        <w:top w:val="none" w:sz="0" w:space="0" w:color="auto"/>
        <w:left w:val="none" w:sz="0" w:space="0" w:color="auto"/>
        <w:bottom w:val="none" w:sz="0" w:space="0" w:color="auto"/>
        <w:right w:val="none" w:sz="0" w:space="0" w:color="auto"/>
      </w:divBdr>
    </w:div>
    <w:div w:id="641546113">
      <w:bodyDiv w:val="1"/>
      <w:marLeft w:val="0"/>
      <w:marRight w:val="0"/>
      <w:marTop w:val="0"/>
      <w:marBottom w:val="0"/>
      <w:divBdr>
        <w:top w:val="none" w:sz="0" w:space="0" w:color="auto"/>
        <w:left w:val="none" w:sz="0" w:space="0" w:color="auto"/>
        <w:bottom w:val="none" w:sz="0" w:space="0" w:color="auto"/>
        <w:right w:val="none" w:sz="0" w:space="0" w:color="auto"/>
      </w:divBdr>
    </w:div>
    <w:div w:id="648365069">
      <w:bodyDiv w:val="1"/>
      <w:marLeft w:val="0"/>
      <w:marRight w:val="0"/>
      <w:marTop w:val="0"/>
      <w:marBottom w:val="0"/>
      <w:divBdr>
        <w:top w:val="none" w:sz="0" w:space="0" w:color="auto"/>
        <w:left w:val="none" w:sz="0" w:space="0" w:color="auto"/>
        <w:bottom w:val="none" w:sz="0" w:space="0" w:color="auto"/>
        <w:right w:val="none" w:sz="0" w:space="0" w:color="auto"/>
      </w:divBdr>
    </w:div>
    <w:div w:id="686948566">
      <w:bodyDiv w:val="1"/>
      <w:marLeft w:val="0"/>
      <w:marRight w:val="0"/>
      <w:marTop w:val="0"/>
      <w:marBottom w:val="0"/>
      <w:divBdr>
        <w:top w:val="none" w:sz="0" w:space="0" w:color="auto"/>
        <w:left w:val="none" w:sz="0" w:space="0" w:color="auto"/>
        <w:bottom w:val="none" w:sz="0" w:space="0" w:color="auto"/>
        <w:right w:val="none" w:sz="0" w:space="0" w:color="auto"/>
      </w:divBdr>
    </w:div>
    <w:div w:id="708410455">
      <w:bodyDiv w:val="1"/>
      <w:marLeft w:val="0"/>
      <w:marRight w:val="0"/>
      <w:marTop w:val="0"/>
      <w:marBottom w:val="0"/>
      <w:divBdr>
        <w:top w:val="none" w:sz="0" w:space="0" w:color="auto"/>
        <w:left w:val="none" w:sz="0" w:space="0" w:color="auto"/>
        <w:bottom w:val="none" w:sz="0" w:space="0" w:color="auto"/>
        <w:right w:val="none" w:sz="0" w:space="0" w:color="auto"/>
      </w:divBdr>
    </w:div>
    <w:div w:id="721828762">
      <w:bodyDiv w:val="1"/>
      <w:marLeft w:val="0"/>
      <w:marRight w:val="0"/>
      <w:marTop w:val="0"/>
      <w:marBottom w:val="0"/>
      <w:divBdr>
        <w:top w:val="none" w:sz="0" w:space="0" w:color="auto"/>
        <w:left w:val="none" w:sz="0" w:space="0" w:color="auto"/>
        <w:bottom w:val="none" w:sz="0" w:space="0" w:color="auto"/>
        <w:right w:val="none" w:sz="0" w:space="0" w:color="auto"/>
      </w:divBdr>
    </w:div>
    <w:div w:id="793250677">
      <w:bodyDiv w:val="1"/>
      <w:marLeft w:val="0"/>
      <w:marRight w:val="0"/>
      <w:marTop w:val="0"/>
      <w:marBottom w:val="0"/>
      <w:divBdr>
        <w:top w:val="none" w:sz="0" w:space="0" w:color="auto"/>
        <w:left w:val="none" w:sz="0" w:space="0" w:color="auto"/>
        <w:bottom w:val="none" w:sz="0" w:space="0" w:color="auto"/>
        <w:right w:val="none" w:sz="0" w:space="0" w:color="auto"/>
      </w:divBdr>
    </w:div>
    <w:div w:id="805004188">
      <w:bodyDiv w:val="1"/>
      <w:marLeft w:val="0"/>
      <w:marRight w:val="0"/>
      <w:marTop w:val="0"/>
      <w:marBottom w:val="0"/>
      <w:divBdr>
        <w:top w:val="none" w:sz="0" w:space="0" w:color="auto"/>
        <w:left w:val="none" w:sz="0" w:space="0" w:color="auto"/>
        <w:bottom w:val="none" w:sz="0" w:space="0" w:color="auto"/>
        <w:right w:val="none" w:sz="0" w:space="0" w:color="auto"/>
      </w:divBdr>
    </w:div>
    <w:div w:id="820149360">
      <w:bodyDiv w:val="1"/>
      <w:marLeft w:val="0"/>
      <w:marRight w:val="0"/>
      <w:marTop w:val="0"/>
      <w:marBottom w:val="0"/>
      <w:divBdr>
        <w:top w:val="none" w:sz="0" w:space="0" w:color="auto"/>
        <w:left w:val="none" w:sz="0" w:space="0" w:color="auto"/>
        <w:bottom w:val="none" w:sz="0" w:space="0" w:color="auto"/>
        <w:right w:val="none" w:sz="0" w:space="0" w:color="auto"/>
      </w:divBdr>
    </w:div>
    <w:div w:id="868225165">
      <w:bodyDiv w:val="1"/>
      <w:marLeft w:val="0"/>
      <w:marRight w:val="0"/>
      <w:marTop w:val="0"/>
      <w:marBottom w:val="0"/>
      <w:divBdr>
        <w:top w:val="none" w:sz="0" w:space="0" w:color="auto"/>
        <w:left w:val="none" w:sz="0" w:space="0" w:color="auto"/>
        <w:bottom w:val="none" w:sz="0" w:space="0" w:color="auto"/>
        <w:right w:val="none" w:sz="0" w:space="0" w:color="auto"/>
      </w:divBdr>
    </w:div>
    <w:div w:id="870844105">
      <w:bodyDiv w:val="1"/>
      <w:marLeft w:val="0"/>
      <w:marRight w:val="0"/>
      <w:marTop w:val="0"/>
      <w:marBottom w:val="0"/>
      <w:divBdr>
        <w:top w:val="none" w:sz="0" w:space="0" w:color="auto"/>
        <w:left w:val="none" w:sz="0" w:space="0" w:color="auto"/>
        <w:bottom w:val="none" w:sz="0" w:space="0" w:color="auto"/>
        <w:right w:val="none" w:sz="0" w:space="0" w:color="auto"/>
      </w:divBdr>
    </w:div>
    <w:div w:id="900797775">
      <w:bodyDiv w:val="1"/>
      <w:marLeft w:val="0"/>
      <w:marRight w:val="0"/>
      <w:marTop w:val="0"/>
      <w:marBottom w:val="0"/>
      <w:divBdr>
        <w:top w:val="none" w:sz="0" w:space="0" w:color="auto"/>
        <w:left w:val="none" w:sz="0" w:space="0" w:color="auto"/>
        <w:bottom w:val="none" w:sz="0" w:space="0" w:color="auto"/>
        <w:right w:val="none" w:sz="0" w:space="0" w:color="auto"/>
      </w:divBdr>
    </w:div>
    <w:div w:id="984433503">
      <w:bodyDiv w:val="1"/>
      <w:marLeft w:val="0"/>
      <w:marRight w:val="0"/>
      <w:marTop w:val="0"/>
      <w:marBottom w:val="0"/>
      <w:divBdr>
        <w:top w:val="none" w:sz="0" w:space="0" w:color="auto"/>
        <w:left w:val="none" w:sz="0" w:space="0" w:color="auto"/>
        <w:bottom w:val="none" w:sz="0" w:space="0" w:color="auto"/>
        <w:right w:val="none" w:sz="0" w:space="0" w:color="auto"/>
      </w:divBdr>
    </w:div>
    <w:div w:id="1000622899">
      <w:bodyDiv w:val="1"/>
      <w:marLeft w:val="0"/>
      <w:marRight w:val="0"/>
      <w:marTop w:val="0"/>
      <w:marBottom w:val="0"/>
      <w:divBdr>
        <w:top w:val="none" w:sz="0" w:space="0" w:color="auto"/>
        <w:left w:val="none" w:sz="0" w:space="0" w:color="auto"/>
        <w:bottom w:val="none" w:sz="0" w:space="0" w:color="auto"/>
        <w:right w:val="none" w:sz="0" w:space="0" w:color="auto"/>
      </w:divBdr>
    </w:div>
    <w:div w:id="1108428609">
      <w:bodyDiv w:val="1"/>
      <w:marLeft w:val="0"/>
      <w:marRight w:val="0"/>
      <w:marTop w:val="0"/>
      <w:marBottom w:val="0"/>
      <w:divBdr>
        <w:top w:val="none" w:sz="0" w:space="0" w:color="auto"/>
        <w:left w:val="none" w:sz="0" w:space="0" w:color="auto"/>
        <w:bottom w:val="none" w:sz="0" w:space="0" w:color="auto"/>
        <w:right w:val="none" w:sz="0" w:space="0" w:color="auto"/>
      </w:divBdr>
    </w:div>
    <w:div w:id="1112284314">
      <w:bodyDiv w:val="1"/>
      <w:marLeft w:val="0"/>
      <w:marRight w:val="0"/>
      <w:marTop w:val="0"/>
      <w:marBottom w:val="0"/>
      <w:divBdr>
        <w:top w:val="none" w:sz="0" w:space="0" w:color="auto"/>
        <w:left w:val="none" w:sz="0" w:space="0" w:color="auto"/>
        <w:bottom w:val="none" w:sz="0" w:space="0" w:color="auto"/>
        <w:right w:val="none" w:sz="0" w:space="0" w:color="auto"/>
      </w:divBdr>
    </w:div>
    <w:div w:id="1247496414">
      <w:bodyDiv w:val="1"/>
      <w:marLeft w:val="0"/>
      <w:marRight w:val="0"/>
      <w:marTop w:val="0"/>
      <w:marBottom w:val="0"/>
      <w:divBdr>
        <w:top w:val="none" w:sz="0" w:space="0" w:color="auto"/>
        <w:left w:val="none" w:sz="0" w:space="0" w:color="auto"/>
        <w:bottom w:val="none" w:sz="0" w:space="0" w:color="auto"/>
        <w:right w:val="none" w:sz="0" w:space="0" w:color="auto"/>
      </w:divBdr>
      <w:divsChild>
        <w:div w:id="975257449">
          <w:marLeft w:val="0"/>
          <w:marRight w:val="0"/>
          <w:marTop w:val="0"/>
          <w:marBottom w:val="0"/>
          <w:divBdr>
            <w:top w:val="single" w:sz="6" w:space="0" w:color="666666"/>
            <w:left w:val="single" w:sz="6" w:space="0" w:color="666666"/>
            <w:bottom w:val="single" w:sz="6" w:space="0" w:color="666666"/>
            <w:right w:val="single" w:sz="6" w:space="0" w:color="666666"/>
          </w:divBdr>
          <w:divsChild>
            <w:div w:id="118229264">
              <w:marLeft w:val="0"/>
              <w:marRight w:val="0"/>
              <w:marTop w:val="0"/>
              <w:marBottom w:val="0"/>
              <w:divBdr>
                <w:top w:val="none" w:sz="0" w:space="0" w:color="auto"/>
                <w:left w:val="none" w:sz="0" w:space="0" w:color="auto"/>
                <w:bottom w:val="none" w:sz="0" w:space="0" w:color="auto"/>
                <w:right w:val="none" w:sz="0" w:space="0" w:color="auto"/>
              </w:divBdr>
              <w:divsChild>
                <w:div w:id="469712033">
                  <w:marLeft w:val="0"/>
                  <w:marRight w:val="-3000"/>
                  <w:marTop w:val="0"/>
                  <w:marBottom w:val="0"/>
                  <w:divBdr>
                    <w:top w:val="none" w:sz="0" w:space="0" w:color="auto"/>
                    <w:left w:val="none" w:sz="0" w:space="0" w:color="auto"/>
                    <w:bottom w:val="none" w:sz="0" w:space="0" w:color="auto"/>
                    <w:right w:val="none" w:sz="0" w:space="0" w:color="auto"/>
                  </w:divBdr>
                  <w:divsChild>
                    <w:div w:id="1140879682">
                      <w:marLeft w:val="0"/>
                      <w:marRight w:val="3000"/>
                      <w:marTop w:val="0"/>
                      <w:marBottom w:val="0"/>
                      <w:divBdr>
                        <w:top w:val="none" w:sz="0" w:space="0" w:color="auto"/>
                        <w:left w:val="none" w:sz="0" w:space="0" w:color="auto"/>
                        <w:bottom w:val="none" w:sz="0" w:space="0" w:color="auto"/>
                        <w:right w:val="none" w:sz="0" w:space="0" w:color="auto"/>
                      </w:divBdr>
                      <w:divsChild>
                        <w:div w:id="1656951147">
                          <w:marLeft w:val="3000"/>
                          <w:marRight w:val="0"/>
                          <w:marTop w:val="0"/>
                          <w:marBottom w:val="0"/>
                          <w:divBdr>
                            <w:top w:val="none" w:sz="0" w:space="0" w:color="auto"/>
                            <w:left w:val="none" w:sz="0" w:space="0" w:color="auto"/>
                            <w:bottom w:val="none" w:sz="0" w:space="0" w:color="auto"/>
                            <w:right w:val="none" w:sz="0" w:space="0" w:color="auto"/>
                          </w:divBdr>
                          <w:divsChild>
                            <w:div w:id="1344162096">
                              <w:marLeft w:val="0"/>
                              <w:marRight w:val="0"/>
                              <w:marTop w:val="0"/>
                              <w:marBottom w:val="0"/>
                              <w:divBdr>
                                <w:top w:val="none" w:sz="0" w:space="0" w:color="auto"/>
                                <w:left w:val="none" w:sz="0" w:space="0" w:color="auto"/>
                                <w:bottom w:val="none" w:sz="0" w:space="0" w:color="auto"/>
                                <w:right w:val="none" w:sz="0" w:space="0" w:color="auto"/>
                              </w:divBdr>
                              <w:divsChild>
                                <w:div w:id="756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3517">
      <w:bodyDiv w:val="1"/>
      <w:marLeft w:val="0"/>
      <w:marRight w:val="0"/>
      <w:marTop w:val="0"/>
      <w:marBottom w:val="0"/>
      <w:divBdr>
        <w:top w:val="none" w:sz="0" w:space="0" w:color="auto"/>
        <w:left w:val="none" w:sz="0" w:space="0" w:color="auto"/>
        <w:bottom w:val="none" w:sz="0" w:space="0" w:color="auto"/>
        <w:right w:val="none" w:sz="0" w:space="0" w:color="auto"/>
      </w:divBdr>
    </w:div>
    <w:div w:id="1400713511">
      <w:bodyDiv w:val="1"/>
      <w:marLeft w:val="0"/>
      <w:marRight w:val="0"/>
      <w:marTop w:val="0"/>
      <w:marBottom w:val="0"/>
      <w:divBdr>
        <w:top w:val="none" w:sz="0" w:space="0" w:color="auto"/>
        <w:left w:val="none" w:sz="0" w:space="0" w:color="auto"/>
        <w:bottom w:val="none" w:sz="0" w:space="0" w:color="auto"/>
        <w:right w:val="none" w:sz="0" w:space="0" w:color="auto"/>
      </w:divBdr>
      <w:divsChild>
        <w:div w:id="922376417">
          <w:marLeft w:val="0"/>
          <w:marRight w:val="0"/>
          <w:marTop w:val="0"/>
          <w:marBottom w:val="0"/>
          <w:divBdr>
            <w:top w:val="single" w:sz="6" w:space="0" w:color="666666"/>
            <w:left w:val="single" w:sz="6" w:space="0" w:color="666666"/>
            <w:bottom w:val="single" w:sz="6" w:space="0" w:color="666666"/>
            <w:right w:val="single" w:sz="6" w:space="0" w:color="666666"/>
          </w:divBdr>
          <w:divsChild>
            <w:div w:id="242881105">
              <w:marLeft w:val="0"/>
              <w:marRight w:val="0"/>
              <w:marTop w:val="0"/>
              <w:marBottom w:val="0"/>
              <w:divBdr>
                <w:top w:val="none" w:sz="0" w:space="0" w:color="auto"/>
                <w:left w:val="none" w:sz="0" w:space="0" w:color="auto"/>
                <w:bottom w:val="none" w:sz="0" w:space="0" w:color="auto"/>
                <w:right w:val="none" w:sz="0" w:space="0" w:color="auto"/>
              </w:divBdr>
              <w:divsChild>
                <w:div w:id="1845513562">
                  <w:marLeft w:val="0"/>
                  <w:marRight w:val="-3000"/>
                  <w:marTop w:val="0"/>
                  <w:marBottom w:val="0"/>
                  <w:divBdr>
                    <w:top w:val="none" w:sz="0" w:space="0" w:color="auto"/>
                    <w:left w:val="none" w:sz="0" w:space="0" w:color="auto"/>
                    <w:bottom w:val="none" w:sz="0" w:space="0" w:color="auto"/>
                    <w:right w:val="none" w:sz="0" w:space="0" w:color="auto"/>
                  </w:divBdr>
                  <w:divsChild>
                    <w:div w:id="2040081624">
                      <w:marLeft w:val="0"/>
                      <w:marRight w:val="3000"/>
                      <w:marTop w:val="0"/>
                      <w:marBottom w:val="0"/>
                      <w:divBdr>
                        <w:top w:val="none" w:sz="0" w:space="0" w:color="auto"/>
                        <w:left w:val="none" w:sz="0" w:space="0" w:color="auto"/>
                        <w:bottom w:val="none" w:sz="0" w:space="0" w:color="auto"/>
                        <w:right w:val="none" w:sz="0" w:space="0" w:color="auto"/>
                      </w:divBdr>
                      <w:divsChild>
                        <w:div w:id="461921713">
                          <w:marLeft w:val="3000"/>
                          <w:marRight w:val="0"/>
                          <w:marTop w:val="0"/>
                          <w:marBottom w:val="0"/>
                          <w:divBdr>
                            <w:top w:val="none" w:sz="0" w:space="0" w:color="auto"/>
                            <w:left w:val="none" w:sz="0" w:space="0" w:color="auto"/>
                            <w:bottom w:val="none" w:sz="0" w:space="0" w:color="auto"/>
                            <w:right w:val="none" w:sz="0" w:space="0" w:color="auto"/>
                          </w:divBdr>
                          <w:divsChild>
                            <w:div w:id="1060131620">
                              <w:marLeft w:val="0"/>
                              <w:marRight w:val="0"/>
                              <w:marTop w:val="0"/>
                              <w:marBottom w:val="0"/>
                              <w:divBdr>
                                <w:top w:val="none" w:sz="0" w:space="0" w:color="auto"/>
                                <w:left w:val="none" w:sz="0" w:space="0" w:color="auto"/>
                                <w:bottom w:val="none" w:sz="0" w:space="0" w:color="auto"/>
                                <w:right w:val="none" w:sz="0" w:space="0" w:color="auto"/>
                              </w:divBdr>
                              <w:divsChild>
                                <w:div w:id="2105178536">
                                  <w:marLeft w:val="0"/>
                                  <w:marRight w:val="0"/>
                                  <w:marTop w:val="0"/>
                                  <w:marBottom w:val="0"/>
                                  <w:divBdr>
                                    <w:top w:val="none" w:sz="0" w:space="0" w:color="auto"/>
                                    <w:left w:val="none" w:sz="0" w:space="0" w:color="auto"/>
                                    <w:bottom w:val="none" w:sz="0" w:space="0" w:color="auto"/>
                                    <w:right w:val="none" w:sz="0" w:space="0" w:color="auto"/>
                                  </w:divBdr>
                                  <w:divsChild>
                                    <w:div w:id="14674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550571">
      <w:bodyDiv w:val="1"/>
      <w:marLeft w:val="0"/>
      <w:marRight w:val="0"/>
      <w:marTop w:val="0"/>
      <w:marBottom w:val="0"/>
      <w:divBdr>
        <w:top w:val="none" w:sz="0" w:space="0" w:color="auto"/>
        <w:left w:val="none" w:sz="0" w:space="0" w:color="auto"/>
        <w:bottom w:val="none" w:sz="0" w:space="0" w:color="auto"/>
        <w:right w:val="none" w:sz="0" w:space="0" w:color="auto"/>
      </w:divBdr>
    </w:div>
    <w:div w:id="1466653479">
      <w:bodyDiv w:val="1"/>
      <w:marLeft w:val="0"/>
      <w:marRight w:val="0"/>
      <w:marTop w:val="0"/>
      <w:marBottom w:val="0"/>
      <w:divBdr>
        <w:top w:val="none" w:sz="0" w:space="0" w:color="auto"/>
        <w:left w:val="none" w:sz="0" w:space="0" w:color="auto"/>
        <w:bottom w:val="none" w:sz="0" w:space="0" w:color="auto"/>
        <w:right w:val="none" w:sz="0" w:space="0" w:color="auto"/>
      </w:divBdr>
    </w:div>
    <w:div w:id="1489639301">
      <w:bodyDiv w:val="1"/>
      <w:marLeft w:val="0"/>
      <w:marRight w:val="0"/>
      <w:marTop w:val="0"/>
      <w:marBottom w:val="0"/>
      <w:divBdr>
        <w:top w:val="none" w:sz="0" w:space="0" w:color="auto"/>
        <w:left w:val="none" w:sz="0" w:space="0" w:color="auto"/>
        <w:bottom w:val="none" w:sz="0" w:space="0" w:color="auto"/>
        <w:right w:val="none" w:sz="0" w:space="0" w:color="auto"/>
      </w:divBdr>
    </w:div>
    <w:div w:id="1533377447">
      <w:bodyDiv w:val="1"/>
      <w:marLeft w:val="0"/>
      <w:marRight w:val="0"/>
      <w:marTop w:val="0"/>
      <w:marBottom w:val="0"/>
      <w:divBdr>
        <w:top w:val="none" w:sz="0" w:space="0" w:color="auto"/>
        <w:left w:val="none" w:sz="0" w:space="0" w:color="auto"/>
        <w:bottom w:val="none" w:sz="0" w:space="0" w:color="auto"/>
        <w:right w:val="none" w:sz="0" w:space="0" w:color="auto"/>
      </w:divBdr>
    </w:div>
    <w:div w:id="1536503041">
      <w:bodyDiv w:val="1"/>
      <w:marLeft w:val="0"/>
      <w:marRight w:val="0"/>
      <w:marTop w:val="0"/>
      <w:marBottom w:val="0"/>
      <w:divBdr>
        <w:top w:val="none" w:sz="0" w:space="0" w:color="auto"/>
        <w:left w:val="none" w:sz="0" w:space="0" w:color="auto"/>
        <w:bottom w:val="none" w:sz="0" w:space="0" w:color="auto"/>
        <w:right w:val="none" w:sz="0" w:space="0" w:color="auto"/>
      </w:divBdr>
      <w:divsChild>
        <w:div w:id="2142260508">
          <w:marLeft w:val="0"/>
          <w:marRight w:val="0"/>
          <w:marTop w:val="0"/>
          <w:marBottom w:val="0"/>
          <w:divBdr>
            <w:top w:val="single" w:sz="6" w:space="0" w:color="666666"/>
            <w:left w:val="single" w:sz="6" w:space="0" w:color="666666"/>
            <w:bottom w:val="single" w:sz="6" w:space="0" w:color="666666"/>
            <w:right w:val="single" w:sz="6" w:space="0" w:color="666666"/>
          </w:divBdr>
          <w:divsChild>
            <w:div w:id="1238788554">
              <w:marLeft w:val="0"/>
              <w:marRight w:val="0"/>
              <w:marTop w:val="0"/>
              <w:marBottom w:val="0"/>
              <w:divBdr>
                <w:top w:val="none" w:sz="0" w:space="0" w:color="auto"/>
                <w:left w:val="none" w:sz="0" w:space="0" w:color="auto"/>
                <w:bottom w:val="none" w:sz="0" w:space="0" w:color="auto"/>
                <w:right w:val="none" w:sz="0" w:space="0" w:color="auto"/>
              </w:divBdr>
              <w:divsChild>
                <w:div w:id="190729290">
                  <w:marLeft w:val="0"/>
                  <w:marRight w:val="-3000"/>
                  <w:marTop w:val="0"/>
                  <w:marBottom w:val="0"/>
                  <w:divBdr>
                    <w:top w:val="none" w:sz="0" w:space="0" w:color="auto"/>
                    <w:left w:val="none" w:sz="0" w:space="0" w:color="auto"/>
                    <w:bottom w:val="none" w:sz="0" w:space="0" w:color="auto"/>
                    <w:right w:val="none" w:sz="0" w:space="0" w:color="auto"/>
                  </w:divBdr>
                  <w:divsChild>
                    <w:div w:id="1607074126">
                      <w:marLeft w:val="0"/>
                      <w:marRight w:val="3000"/>
                      <w:marTop w:val="0"/>
                      <w:marBottom w:val="0"/>
                      <w:divBdr>
                        <w:top w:val="none" w:sz="0" w:space="0" w:color="auto"/>
                        <w:left w:val="none" w:sz="0" w:space="0" w:color="auto"/>
                        <w:bottom w:val="none" w:sz="0" w:space="0" w:color="auto"/>
                        <w:right w:val="none" w:sz="0" w:space="0" w:color="auto"/>
                      </w:divBdr>
                      <w:divsChild>
                        <w:div w:id="716004668">
                          <w:marLeft w:val="3000"/>
                          <w:marRight w:val="0"/>
                          <w:marTop w:val="0"/>
                          <w:marBottom w:val="0"/>
                          <w:divBdr>
                            <w:top w:val="none" w:sz="0" w:space="0" w:color="auto"/>
                            <w:left w:val="none" w:sz="0" w:space="0" w:color="auto"/>
                            <w:bottom w:val="none" w:sz="0" w:space="0" w:color="auto"/>
                            <w:right w:val="none" w:sz="0" w:space="0" w:color="auto"/>
                          </w:divBdr>
                          <w:divsChild>
                            <w:div w:id="541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05877">
      <w:bodyDiv w:val="1"/>
      <w:marLeft w:val="0"/>
      <w:marRight w:val="0"/>
      <w:marTop w:val="0"/>
      <w:marBottom w:val="0"/>
      <w:divBdr>
        <w:top w:val="none" w:sz="0" w:space="0" w:color="auto"/>
        <w:left w:val="none" w:sz="0" w:space="0" w:color="auto"/>
        <w:bottom w:val="none" w:sz="0" w:space="0" w:color="auto"/>
        <w:right w:val="none" w:sz="0" w:space="0" w:color="auto"/>
      </w:divBdr>
    </w:div>
    <w:div w:id="1794909035">
      <w:bodyDiv w:val="1"/>
      <w:marLeft w:val="0"/>
      <w:marRight w:val="0"/>
      <w:marTop w:val="0"/>
      <w:marBottom w:val="0"/>
      <w:divBdr>
        <w:top w:val="none" w:sz="0" w:space="0" w:color="auto"/>
        <w:left w:val="none" w:sz="0" w:space="0" w:color="auto"/>
        <w:bottom w:val="none" w:sz="0" w:space="0" w:color="auto"/>
        <w:right w:val="none" w:sz="0" w:space="0" w:color="auto"/>
      </w:divBdr>
    </w:div>
    <w:div w:id="1914388420">
      <w:bodyDiv w:val="1"/>
      <w:marLeft w:val="0"/>
      <w:marRight w:val="0"/>
      <w:marTop w:val="0"/>
      <w:marBottom w:val="0"/>
      <w:divBdr>
        <w:top w:val="none" w:sz="0" w:space="0" w:color="auto"/>
        <w:left w:val="none" w:sz="0" w:space="0" w:color="auto"/>
        <w:bottom w:val="none" w:sz="0" w:space="0" w:color="auto"/>
        <w:right w:val="none" w:sz="0" w:space="0" w:color="auto"/>
      </w:divBdr>
    </w:div>
    <w:div w:id="1934239408">
      <w:bodyDiv w:val="1"/>
      <w:marLeft w:val="0"/>
      <w:marRight w:val="0"/>
      <w:marTop w:val="0"/>
      <w:marBottom w:val="0"/>
      <w:divBdr>
        <w:top w:val="none" w:sz="0" w:space="0" w:color="auto"/>
        <w:left w:val="none" w:sz="0" w:space="0" w:color="auto"/>
        <w:bottom w:val="none" w:sz="0" w:space="0" w:color="auto"/>
        <w:right w:val="none" w:sz="0" w:space="0" w:color="auto"/>
      </w:divBdr>
    </w:div>
    <w:div w:id="1946501170">
      <w:bodyDiv w:val="1"/>
      <w:marLeft w:val="0"/>
      <w:marRight w:val="0"/>
      <w:marTop w:val="0"/>
      <w:marBottom w:val="0"/>
      <w:divBdr>
        <w:top w:val="none" w:sz="0" w:space="0" w:color="auto"/>
        <w:left w:val="none" w:sz="0" w:space="0" w:color="auto"/>
        <w:bottom w:val="none" w:sz="0" w:space="0" w:color="auto"/>
        <w:right w:val="none" w:sz="0" w:space="0" w:color="auto"/>
      </w:divBdr>
      <w:divsChild>
        <w:div w:id="52001360">
          <w:marLeft w:val="0"/>
          <w:marRight w:val="0"/>
          <w:marTop w:val="0"/>
          <w:marBottom w:val="0"/>
          <w:divBdr>
            <w:top w:val="single" w:sz="6" w:space="0" w:color="666666"/>
            <w:left w:val="single" w:sz="6" w:space="0" w:color="666666"/>
            <w:bottom w:val="single" w:sz="6" w:space="0" w:color="666666"/>
            <w:right w:val="single" w:sz="6" w:space="0" w:color="666666"/>
          </w:divBdr>
          <w:divsChild>
            <w:div w:id="911622475">
              <w:marLeft w:val="0"/>
              <w:marRight w:val="0"/>
              <w:marTop w:val="0"/>
              <w:marBottom w:val="0"/>
              <w:divBdr>
                <w:top w:val="none" w:sz="0" w:space="0" w:color="auto"/>
                <w:left w:val="none" w:sz="0" w:space="0" w:color="auto"/>
                <w:bottom w:val="none" w:sz="0" w:space="0" w:color="auto"/>
                <w:right w:val="none" w:sz="0" w:space="0" w:color="auto"/>
              </w:divBdr>
              <w:divsChild>
                <w:div w:id="2138445233">
                  <w:marLeft w:val="0"/>
                  <w:marRight w:val="-3000"/>
                  <w:marTop w:val="0"/>
                  <w:marBottom w:val="0"/>
                  <w:divBdr>
                    <w:top w:val="none" w:sz="0" w:space="0" w:color="auto"/>
                    <w:left w:val="none" w:sz="0" w:space="0" w:color="auto"/>
                    <w:bottom w:val="none" w:sz="0" w:space="0" w:color="auto"/>
                    <w:right w:val="none" w:sz="0" w:space="0" w:color="auto"/>
                  </w:divBdr>
                  <w:divsChild>
                    <w:div w:id="357700272">
                      <w:marLeft w:val="0"/>
                      <w:marRight w:val="3000"/>
                      <w:marTop w:val="0"/>
                      <w:marBottom w:val="0"/>
                      <w:divBdr>
                        <w:top w:val="none" w:sz="0" w:space="0" w:color="auto"/>
                        <w:left w:val="none" w:sz="0" w:space="0" w:color="auto"/>
                        <w:bottom w:val="none" w:sz="0" w:space="0" w:color="auto"/>
                        <w:right w:val="none" w:sz="0" w:space="0" w:color="auto"/>
                      </w:divBdr>
                      <w:divsChild>
                        <w:div w:id="1335918388">
                          <w:marLeft w:val="3000"/>
                          <w:marRight w:val="0"/>
                          <w:marTop w:val="0"/>
                          <w:marBottom w:val="0"/>
                          <w:divBdr>
                            <w:top w:val="none" w:sz="0" w:space="0" w:color="auto"/>
                            <w:left w:val="none" w:sz="0" w:space="0" w:color="auto"/>
                            <w:bottom w:val="none" w:sz="0" w:space="0" w:color="auto"/>
                            <w:right w:val="none" w:sz="0" w:space="0" w:color="auto"/>
                          </w:divBdr>
                          <w:divsChild>
                            <w:div w:id="251665272">
                              <w:marLeft w:val="0"/>
                              <w:marRight w:val="0"/>
                              <w:marTop w:val="0"/>
                              <w:marBottom w:val="0"/>
                              <w:divBdr>
                                <w:top w:val="none" w:sz="0" w:space="0" w:color="auto"/>
                                <w:left w:val="none" w:sz="0" w:space="0" w:color="auto"/>
                                <w:bottom w:val="none" w:sz="0" w:space="0" w:color="auto"/>
                                <w:right w:val="none" w:sz="0" w:space="0" w:color="auto"/>
                              </w:divBdr>
                              <w:divsChild>
                                <w:div w:id="1565677531">
                                  <w:marLeft w:val="0"/>
                                  <w:marRight w:val="0"/>
                                  <w:marTop w:val="0"/>
                                  <w:marBottom w:val="0"/>
                                  <w:divBdr>
                                    <w:top w:val="none" w:sz="0" w:space="0" w:color="auto"/>
                                    <w:left w:val="none" w:sz="0" w:space="0" w:color="auto"/>
                                    <w:bottom w:val="none" w:sz="0" w:space="0" w:color="auto"/>
                                    <w:right w:val="none" w:sz="0" w:space="0" w:color="auto"/>
                                  </w:divBdr>
                                  <w:divsChild>
                                    <w:div w:id="894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856688">
      <w:bodyDiv w:val="1"/>
      <w:marLeft w:val="0"/>
      <w:marRight w:val="0"/>
      <w:marTop w:val="0"/>
      <w:marBottom w:val="0"/>
      <w:divBdr>
        <w:top w:val="none" w:sz="0" w:space="0" w:color="auto"/>
        <w:left w:val="none" w:sz="0" w:space="0" w:color="auto"/>
        <w:bottom w:val="none" w:sz="0" w:space="0" w:color="auto"/>
        <w:right w:val="none" w:sz="0" w:space="0" w:color="auto"/>
      </w:divBdr>
    </w:div>
    <w:div w:id="2128506562">
      <w:bodyDiv w:val="1"/>
      <w:marLeft w:val="0"/>
      <w:marRight w:val="0"/>
      <w:marTop w:val="0"/>
      <w:marBottom w:val="0"/>
      <w:divBdr>
        <w:top w:val="none" w:sz="0" w:space="0" w:color="auto"/>
        <w:left w:val="none" w:sz="0" w:space="0" w:color="auto"/>
        <w:bottom w:val="none" w:sz="0" w:space="0" w:color="auto"/>
        <w:right w:val="none" w:sz="0" w:space="0" w:color="auto"/>
      </w:divBdr>
    </w:div>
    <w:div w:id="2146044320">
      <w:bodyDiv w:val="1"/>
      <w:marLeft w:val="0"/>
      <w:marRight w:val="0"/>
      <w:marTop w:val="0"/>
      <w:marBottom w:val="0"/>
      <w:divBdr>
        <w:top w:val="none" w:sz="0" w:space="0" w:color="auto"/>
        <w:left w:val="none" w:sz="0" w:space="0" w:color="auto"/>
        <w:bottom w:val="none" w:sz="0" w:space="0" w:color="auto"/>
        <w:right w:val="none" w:sz="0" w:space="0" w:color="auto"/>
      </w:divBdr>
      <w:divsChild>
        <w:div w:id="1276904805">
          <w:marLeft w:val="0"/>
          <w:marRight w:val="0"/>
          <w:marTop w:val="0"/>
          <w:marBottom w:val="0"/>
          <w:divBdr>
            <w:top w:val="none" w:sz="0" w:space="0" w:color="auto"/>
            <w:left w:val="none" w:sz="0" w:space="0" w:color="auto"/>
            <w:bottom w:val="none" w:sz="0" w:space="0" w:color="auto"/>
            <w:right w:val="none" w:sz="0" w:space="0" w:color="auto"/>
          </w:divBdr>
          <w:divsChild>
            <w:div w:id="56755799">
              <w:marLeft w:val="0"/>
              <w:marRight w:val="0"/>
              <w:marTop w:val="0"/>
              <w:marBottom w:val="0"/>
              <w:divBdr>
                <w:top w:val="none" w:sz="0" w:space="0" w:color="auto"/>
                <w:left w:val="none" w:sz="0" w:space="0" w:color="auto"/>
                <w:bottom w:val="none" w:sz="0" w:space="0" w:color="auto"/>
                <w:right w:val="none" w:sz="0" w:space="0" w:color="auto"/>
              </w:divBdr>
              <w:divsChild>
                <w:div w:id="1234849094">
                  <w:marLeft w:val="0"/>
                  <w:marRight w:val="0"/>
                  <w:marTop w:val="0"/>
                  <w:marBottom w:val="0"/>
                  <w:divBdr>
                    <w:top w:val="none" w:sz="0" w:space="0" w:color="auto"/>
                    <w:left w:val="none" w:sz="0" w:space="0" w:color="auto"/>
                    <w:bottom w:val="none" w:sz="0" w:space="0" w:color="auto"/>
                    <w:right w:val="none" w:sz="0" w:space="0" w:color="auto"/>
                  </w:divBdr>
                  <w:divsChild>
                    <w:div w:id="1815289193">
                      <w:marLeft w:val="0"/>
                      <w:marRight w:val="0"/>
                      <w:marTop w:val="0"/>
                      <w:marBottom w:val="0"/>
                      <w:divBdr>
                        <w:top w:val="none" w:sz="0" w:space="0" w:color="auto"/>
                        <w:left w:val="none" w:sz="0" w:space="0" w:color="auto"/>
                        <w:bottom w:val="none" w:sz="0" w:space="0" w:color="auto"/>
                        <w:right w:val="none" w:sz="0" w:space="0" w:color="auto"/>
                      </w:divBdr>
                      <w:divsChild>
                        <w:div w:id="1860242052">
                          <w:marLeft w:val="0"/>
                          <w:marRight w:val="0"/>
                          <w:marTop w:val="0"/>
                          <w:marBottom w:val="0"/>
                          <w:divBdr>
                            <w:top w:val="none" w:sz="0" w:space="0" w:color="auto"/>
                            <w:left w:val="none" w:sz="0" w:space="0" w:color="auto"/>
                            <w:bottom w:val="none" w:sz="0" w:space="0" w:color="auto"/>
                            <w:right w:val="none" w:sz="0" w:space="0" w:color="auto"/>
                          </w:divBdr>
                          <w:divsChild>
                            <w:div w:id="2026402740">
                              <w:marLeft w:val="0"/>
                              <w:marRight w:val="0"/>
                              <w:marTop w:val="0"/>
                              <w:marBottom w:val="0"/>
                              <w:divBdr>
                                <w:top w:val="none" w:sz="0" w:space="0" w:color="auto"/>
                                <w:left w:val="none" w:sz="0" w:space="0" w:color="auto"/>
                                <w:bottom w:val="none" w:sz="0" w:space="0" w:color="auto"/>
                                <w:right w:val="none" w:sz="0" w:space="0" w:color="auto"/>
                              </w:divBdr>
                              <w:divsChild>
                                <w:div w:id="607322399">
                                  <w:marLeft w:val="0"/>
                                  <w:marRight w:val="0"/>
                                  <w:marTop w:val="0"/>
                                  <w:marBottom w:val="0"/>
                                  <w:divBdr>
                                    <w:top w:val="none" w:sz="0" w:space="0" w:color="auto"/>
                                    <w:left w:val="none" w:sz="0" w:space="0" w:color="auto"/>
                                    <w:bottom w:val="none" w:sz="0" w:space="0" w:color="auto"/>
                                    <w:right w:val="none" w:sz="0" w:space="0" w:color="auto"/>
                                  </w:divBdr>
                                  <w:divsChild>
                                    <w:div w:id="688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image" Target="media/image1.emf"/><Relationship Id="rId26" Type="http://schemas.openxmlformats.org/officeDocument/2006/relationships/package" Target="embeddings/Microsoft_Excel_Worksheet1.xlsx"/><Relationship Id="rId39" Type="http://schemas.openxmlformats.org/officeDocument/2006/relationships/image" Target="media/image12.emf"/><Relationship Id="rId21" Type="http://schemas.openxmlformats.org/officeDocument/2006/relationships/footer" Target="footer1.xm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header" Target="header4.xml"/><Relationship Id="rId84" Type="http://schemas.openxmlformats.org/officeDocument/2006/relationships/image" Target="media/image51.emf"/><Relationship Id="rId89" Type="http://schemas.openxmlformats.org/officeDocument/2006/relationships/header" Target="header9.xml"/><Relationship Id="rId7" Type="http://schemas.openxmlformats.org/officeDocument/2006/relationships/customXml" Target="../customXml/item7.xml"/><Relationship Id="rId71" Type="http://schemas.openxmlformats.org/officeDocument/2006/relationships/image" Target="media/image44.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4.emf"/><Relationship Id="rId11" Type="http://schemas.openxmlformats.org/officeDocument/2006/relationships/numbering" Target="numbering.xml"/><Relationship Id="rId24" Type="http://schemas.openxmlformats.org/officeDocument/2006/relationships/footer" Target="footer3.xml"/><Relationship Id="rId32" Type="http://schemas.openxmlformats.org/officeDocument/2006/relationships/package" Target="embeddings/Microsoft_Excel_Worksheet4.xlsx"/><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footer" Target="footer5.xml"/><Relationship Id="rId87"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image" Target="media/image49.emf"/><Relationship Id="rId90" Type="http://schemas.openxmlformats.org/officeDocument/2006/relationships/footer" Target="footer9.xml"/><Relationship Id="rId19" Type="http://schemas.openxmlformats.org/officeDocument/2006/relationships/header" Target="header1.xml"/><Relationship Id="rId14" Type="http://schemas.openxmlformats.org/officeDocument/2006/relationships/settings" Target="settings.xml"/><Relationship Id="rId22" Type="http://schemas.openxmlformats.org/officeDocument/2006/relationships/footer" Target="footer2.xml"/><Relationship Id="rId27" Type="http://schemas.openxmlformats.org/officeDocument/2006/relationships/image" Target="media/image3.emf"/><Relationship Id="rId30" Type="http://schemas.openxmlformats.org/officeDocument/2006/relationships/package" Target="embeddings/Microsoft_Excel_Worksheet3.xlsx"/><Relationship Id="rId35" Type="http://schemas.openxmlformats.org/officeDocument/2006/relationships/image" Target="media/image8.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eader" Target="header5.xml"/><Relationship Id="rId8" Type="http://schemas.openxmlformats.org/officeDocument/2006/relationships/customXml" Target="../customXml/item8.xml"/><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header" Target="header6.xm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2.xml"/><Relationship Id="rId41" Type="http://schemas.openxmlformats.org/officeDocument/2006/relationships/image" Target="media/image14.e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0.emf"/><Relationship Id="rId88" Type="http://schemas.openxmlformats.org/officeDocument/2006/relationships/footer" Target="foot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package" Target="embeddings/Microsoft_Excel_Worksheet2.xlsx"/><Relationship Id="rId36" Type="http://schemas.openxmlformats.org/officeDocument/2006/relationships/image" Target="media/image9.emf"/><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customXml" Target="../customXml/item10.xml"/><Relationship Id="rId31" Type="http://schemas.openxmlformats.org/officeDocument/2006/relationships/image" Target="media/image5.emf"/><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oter" Target="footer4.xml"/><Relationship Id="rId81" Type="http://schemas.openxmlformats.org/officeDocument/2006/relationships/footer" Target="footer6.xm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customXml" Target="../customXml/item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8EBF-277C-46A7-9E86-9D99E2A98304}">
  <ds:schemaRefs>
    <ds:schemaRef ds:uri="http://schemas.openxmlformats.org/officeDocument/2006/bibliography"/>
  </ds:schemaRefs>
</ds:datastoreItem>
</file>

<file path=customXml/itemProps10.xml><?xml version="1.0" encoding="utf-8"?>
<ds:datastoreItem xmlns:ds="http://schemas.openxmlformats.org/officeDocument/2006/customXml" ds:itemID="{1A1F40D9-4C13-4C4C-95EB-30C53A91A8B3}">
  <ds:schemaRefs>
    <ds:schemaRef ds:uri="http://schemas.openxmlformats.org/officeDocument/2006/bibliography"/>
  </ds:schemaRefs>
</ds:datastoreItem>
</file>

<file path=customXml/itemProps2.xml><?xml version="1.0" encoding="utf-8"?>
<ds:datastoreItem xmlns:ds="http://schemas.openxmlformats.org/officeDocument/2006/customXml" ds:itemID="{B9729C62-9922-4450-A863-8C43663F8BD6}">
  <ds:schemaRefs>
    <ds:schemaRef ds:uri="http://schemas.openxmlformats.org/officeDocument/2006/bibliography"/>
  </ds:schemaRefs>
</ds:datastoreItem>
</file>

<file path=customXml/itemProps3.xml><?xml version="1.0" encoding="utf-8"?>
<ds:datastoreItem xmlns:ds="http://schemas.openxmlformats.org/officeDocument/2006/customXml" ds:itemID="{2DDB1AFA-FCEE-41BA-9D44-179B74C5F9A1}">
  <ds:schemaRefs>
    <ds:schemaRef ds:uri="http://schemas.openxmlformats.org/officeDocument/2006/bibliography"/>
  </ds:schemaRefs>
</ds:datastoreItem>
</file>

<file path=customXml/itemProps4.xml><?xml version="1.0" encoding="utf-8"?>
<ds:datastoreItem xmlns:ds="http://schemas.openxmlformats.org/officeDocument/2006/customXml" ds:itemID="{92DDD067-07B0-41DE-A924-D06E72FC34F9}">
  <ds:schemaRefs>
    <ds:schemaRef ds:uri="http://schemas.openxmlformats.org/officeDocument/2006/bibliography"/>
  </ds:schemaRefs>
</ds:datastoreItem>
</file>

<file path=customXml/itemProps5.xml><?xml version="1.0" encoding="utf-8"?>
<ds:datastoreItem xmlns:ds="http://schemas.openxmlformats.org/officeDocument/2006/customXml" ds:itemID="{56FC13FB-9EB7-49EE-AB94-1FE0742F2B97}">
  <ds:schemaRefs>
    <ds:schemaRef ds:uri="http://schemas.openxmlformats.org/officeDocument/2006/bibliography"/>
  </ds:schemaRefs>
</ds:datastoreItem>
</file>

<file path=customXml/itemProps6.xml><?xml version="1.0" encoding="utf-8"?>
<ds:datastoreItem xmlns:ds="http://schemas.openxmlformats.org/officeDocument/2006/customXml" ds:itemID="{CAA08160-5020-42C3-A8AE-383EA155D58F}">
  <ds:schemaRefs>
    <ds:schemaRef ds:uri="http://schemas.openxmlformats.org/officeDocument/2006/bibliography"/>
  </ds:schemaRefs>
</ds:datastoreItem>
</file>

<file path=customXml/itemProps7.xml><?xml version="1.0" encoding="utf-8"?>
<ds:datastoreItem xmlns:ds="http://schemas.openxmlformats.org/officeDocument/2006/customXml" ds:itemID="{753B0C76-0BDA-480F-82B8-FFF6A4880B87}">
  <ds:schemaRefs>
    <ds:schemaRef ds:uri="http://schemas.openxmlformats.org/officeDocument/2006/bibliography"/>
  </ds:schemaRefs>
</ds:datastoreItem>
</file>

<file path=customXml/itemProps8.xml><?xml version="1.0" encoding="utf-8"?>
<ds:datastoreItem xmlns:ds="http://schemas.openxmlformats.org/officeDocument/2006/customXml" ds:itemID="{877F5BAC-3F7E-4240-8A45-CF63FCB1B365}">
  <ds:schemaRefs>
    <ds:schemaRef ds:uri="http://schemas.openxmlformats.org/officeDocument/2006/bibliography"/>
  </ds:schemaRefs>
</ds:datastoreItem>
</file>

<file path=customXml/itemProps9.xml><?xml version="1.0" encoding="utf-8"?>
<ds:datastoreItem xmlns:ds="http://schemas.openxmlformats.org/officeDocument/2006/customXml" ds:itemID="{E315E6A7-FA62-4638-B3E6-5D18E44FE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177</TotalTime>
  <Pages>53</Pages>
  <Words>17154</Words>
  <Characters>102343</Characters>
  <Application>Microsoft Office Word</Application>
  <DocSecurity>0</DocSecurity>
  <Lines>852</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97</cp:revision>
  <cp:lastPrinted>2017-11-13T15:59:00Z</cp:lastPrinted>
  <dcterms:created xsi:type="dcterms:W3CDTF">2017-11-22T15:45:00Z</dcterms:created>
  <dcterms:modified xsi:type="dcterms:W3CDTF">2017-11-27T09:49:00Z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Level of sensitivity">
    <vt:lpwstr>Standard treatment</vt:lpwstr>
  </property>
</Properties>
</file>