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393881337"/>
      <w:bookmarkStart w:id="1" w:name="_Toc493749349"/>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75E8A1C-50AF-4747-9A59-AA869F52398C" style="width:450.75pt;height:366pt">
            <v:imagedata r:id="rId9" o:title=""/>
          </v:shape>
        </w:pict>
      </w:r>
    </w:p>
    <w:bookmarkEnd w:id="2"/>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rFonts w:ascii="Times New Roman" w:hAnsi="Times New Roman"/>
          <w:noProof/>
        </w:rPr>
      </w:pPr>
      <w:bookmarkStart w:id="3" w:name="_Toc493749346"/>
      <w:bookmarkStart w:id="4" w:name="_GoBack"/>
      <w:bookmarkEnd w:id="0"/>
      <w:bookmarkEnd w:id="1"/>
      <w:bookmarkEnd w:id="4"/>
      <w:r>
        <w:rPr>
          <w:rFonts w:ascii="Times New Roman" w:hAnsi="Times New Roman"/>
          <w:noProof/>
        </w:rPr>
        <w:lastRenderedPageBreak/>
        <w:t>ПРИЛОЖЕНИЕ I: Специфична за всяка държава оценка на проектите на бюджетни планове</w:t>
      </w:r>
      <w:bookmarkEnd w:id="3"/>
    </w:p>
    <w:p>
      <w:pPr>
        <w:rPr>
          <w:rFonts w:ascii="Times New Roman" w:hAnsi="Times New Roman"/>
          <w:b/>
          <w:noProof/>
          <w:sz w:val="24"/>
          <w:szCs w:val="24"/>
          <w:u w:val="single"/>
        </w:rPr>
      </w:pPr>
      <w:r>
        <w:rPr>
          <w:rFonts w:ascii="Times New Roman" w:hAnsi="Times New Roman"/>
          <w:b/>
          <w:noProof/>
          <w:sz w:val="24"/>
          <w:u w:val="single"/>
        </w:rPr>
        <w:t>Държави членки, за които се прилагат предпазните мерки на ПСР</w:t>
      </w:r>
    </w:p>
    <w:p>
      <w:pPr>
        <w:jc w:val="both"/>
        <w:rPr>
          <w:rFonts w:ascii="Times New Roman" w:hAnsi="Times New Roman"/>
          <w:b/>
          <w:i/>
          <w:noProof/>
          <w:sz w:val="24"/>
          <w:szCs w:val="24"/>
        </w:rPr>
      </w:pPr>
      <w:r>
        <w:rPr>
          <w:rFonts w:ascii="Times New Roman" w:hAnsi="Times New Roman"/>
          <w:b/>
          <w:i/>
          <w:noProof/>
          <w:sz w:val="24"/>
        </w:rPr>
        <w:t>Планове, които спазват изискванията към държавата</w:t>
      </w:r>
    </w:p>
    <w:p>
      <w:pPr>
        <w:keepNext/>
        <w:spacing w:line="240" w:lineRule="auto"/>
        <w:jc w:val="both"/>
        <w:rPr>
          <w:rFonts w:ascii="Times New Roman" w:hAnsi="Times New Roman"/>
          <w:noProof/>
          <w:sz w:val="24"/>
          <w:szCs w:val="24"/>
        </w:rPr>
      </w:pPr>
      <w:r>
        <w:rPr>
          <w:rFonts w:ascii="Times New Roman" w:hAnsi="Times New Roman"/>
          <w:noProof/>
          <w:sz w:val="24"/>
        </w:rPr>
        <w:t xml:space="preserve">Комисията е на мнение, че проектът на бюджетен план на </w:t>
      </w:r>
      <w:r>
        <w:rPr>
          <w:rFonts w:ascii="Times New Roman" w:hAnsi="Times New Roman"/>
          <w:b/>
          <w:noProof/>
          <w:sz w:val="24"/>
        </w:rPr>
        <w:t>Германия</w:t>
      </w:r>
      <w:r>
        <w:rPr>
          <w:rFonts w:ascii="Times New Roman" w:hAnsi="Times New Roman"/>
          <w:noProof/>
          <w:sz w:val="24"/>
        </w:rPr>
        <w:t>, за която понастоящем се прилагат предпазните мерки и целевият показател за намаляване на дълга, спазва разпоредбите на Пакта за стабилност и растеж. Благоприятната бюджетна ситуация на Германия позволява покриването на допълнителни разходи за стимулиране на потенциалния растеж, включително чрез публични инвестиции в инфраструктурата, образованието, научните изследвания и иновациите, както бе препоръчано от Съвета в контекста на европейския семестър, и за намаляването на натрупаното изоставане в областта на инвестициите, особено на общинско равнище. Комисията смята също така, че Германия е отбелязала слаб напредък по отношение на структурната част от фискалните препоръки, съдържащи се в Препоръката на Съвета от 11 юли 2017 г. в контекста на европейския семестър от 2017 г., и поради това приканва германските органи да ускорят напредъка.</w:t>
      </w:r>
    </w:p>
    <w:p>
      <w:pPr>
        <w:keepNext/>
        <w:spacing w:line="240" w:lineRule="auto"/>
        <w:jc w:val="both"/>
        <w:rPr>
          <w:rFonts w:ascii="Times New Roman" w:hAnsi="Times New Roman"/>
          <w:noProof/>
          <w:sz w:val="24"/>
          <w:szCs w:val="24"/>
        </w:rPr>
      </w:pPr>
      <w:r>
        <w:rPr>
          <w:rFonts w:ascii="Times New Roman" w:hAnsi="Times New Roman"/>
          <w:noProof/>
          <w:sz w:val="24"/>
        </w:rPr>
        <w:t xml:space="preserve">Комисията е на мнение, че проектът на бюджетен план на </w:t>
      </w:r>
      <w:r>
        <w:rPr>
          <w:rFonts w:ascii="Times New Roman" w:hAnsi="Times New Roman"/>
          <w:b/>
          <w:noProof/>
          <w:sz w:val="24"/>
        </w:rPr>
        <w:t>Литва</w:t>
      </w:r>
      <w:r>
        <w:rPr>
          <w:rFonts w:ascii="Times New Roman" w:hAnsi="Times New Roman"/>
          <w:noProof/>
          <w:sz w:val="24"/>
        </w:rPr>
        <w:t>, за която понастоящем се прилагат предпазните мерки, спазва разпоредбите на Пакта за стабилност и растеж. Комисията приканва органите към изпълнение на бюджета за 2018 г. Комисията смята също така, че Литва е отбелязала известен напредък по отношение на структурната част от фискалните препоръки, съдържащи се в Препоръката на Съвета от 11 юли 2017 г. в контекста на европейския семестър от 2017</w:t>
      </w:r>
      <w:r>
        <w:rPr>
          <w:rFonts w:ascii="Times New Roman" w:hAnsi="Times New Roman"/>
          <w:noProof/>
          <w:sz w:val="24"/>
          <w:lang w:val="en-GB"/>
        </w:rPr>
        <w:t> </w:t>
      </w:r>
      <w:r>
        <w:rPr>
          <w:rFonts w:ascii="Times New Roman" w:hAnsi="Times New Roman"/>
          <w:noProof/>
          <w:sz w:val="24"/>
        </w:rPr>
        <w:t xml:space="preserve">г., и приканва органите да постигнат допълнителен напредък. </w:t>
      </w:r>
    </w:p>
    <w:p>
      <w:pPr>
        <w:keepNext/>
        <w:spacing w:line="240" w:lineRule="auto"/>
        <w:jc w:val="both"/>
        <w:rPr>
          <w:rFonts w:ascii="Times New Roman" w:hAnsi="Times New Roman"/>
          <w:noProof/>
          <w:sz w:val="24"/>
          <w:szCs w:val="24"/>
        </w:rPr>
      </w:pPr>
      <w:r>
        <w:rPr>
          <w:rFonts w:ascii="Times New Roman" w:hAnsi="Times New Roman"/>
          <w:noProof/>
          <w:sz w:val="24"/>
        </w:rPr>
        <w:t xml:space="preserve">Комисията е на мнение, че проектът на бюджетен план на </w:t>
      </w:r>
      <w:r>
        <w:rPr>
          <w:rFonts w:ascii="Times New Roman" w:hAnsi="Times New Roman"/>
          <w:b/>
          <w:noProof/>
          <w:sz w:val="24"/>
        </w:rPr>
        <w:t>Латвия</w:t>
      </w:r>
      <w:r>
        <w:rPr>
          <w:rFonts w:ascii="Times New Roman" w:hAnsi="Times New Roman"/>
          <w:noProof/>
          <w:sz w:val="24"/>
        </w:rPr>
        <w:t>, за която понастоящем се прилагат предпазните мерки, спазва разпоредбите на Пакта за стабилност и растеж. Комисията приканва органите към изпълнение на бюджета за 2018 г. Комисията смята също така, че Латвия е отбелязала известен напредък по отношение на структурната част от фискалните препоръки, съдържащи се в Препоръката на Съвета от 11 юли 2017 г. в контекста на европейския семестър от 2017</w:t>
      </w:r>
      <w:r>
        <w:rPr>
          <w:rFonts w:ascii="Times New Roman" w:hAnsi="Times New Roman"/>
          <w:noProof/>
          <w:sz w:val="24"/>
          <w:lang w:val="en-GB"/>
        </w:rPr>
        <w:t> </w:t>
      </w:r>
      <w:r>
        <w:rPr>
          <w:rFonts w:ascii="Times New Roman" w:hAnsi="Times New Roman"/>
          <w:noProof/>
          <w:sz w:val="24"/>
        </w:rPr>
        <w:t xml:space="preserve">г., и приканва органите да постигнат допълнителен напредък. </w:t>
      </w:r>
    </w:p>
    <w:p>
      <w:pPr>
        <w:keepNext/>
        <w:spacing w:line="240" w:lineRule="auto"/>
        <w:jc w:val="both"/>
        <w:rPr>
          <w:rFonts w:ascii="Times New Roman" w:hAnsi="Times New Roman"/>
          <w:noProof/>
          <w:sz w:val="24"/>
          <w:szCs w:val="24"/>
        </w:rPr>
      </w:pPr>
      <w:r>
        <w:rPr>
          <w:rFonts w:ascii="Times New Roman" w:hAnsi="Times New Roman"/>
          <w:noProof/>
          <w:sz w:val="24"/>
        </w:rPr>
        <w:t xml:space="preserve">Комисията е на мнение, че проектът на бюджетен план на </w:t>
      </w:r>
      <w:r>
        <w:rPr>
          <w:rFonts w:ascii="Times New Roman" w:hAnsi="Times New Roman"/>
          <w:b/>
          <w:noProof/>
          <w:sz w:val="24"/>
        </w:rPr>
        <w:t>Люксембург</w:t>
      </w:r>
      <w:r>
        <w:rPr>
          <w:rFonts w:ascii="Times New Roman" w:hAnsi="Times New Roman"/>
          <w:noProof/>
          <w:sz w:val="24"/>
        </w:rPr>
        <w:t xml:space="preserve">, за който понастоящем се прилагат предпазните мерки, спазва разпоредбите на Пакта за стабилност и растеж. Комисията приканва органите към изпълнение на бюджета за 2018 г. </w:t>
      </w:r>
      <w:r>
        <w:rPr>
          <w:noProof/>
        </w:rPr>
        <w:t xml:space="preserve"> </w:t>
      </w:r>
      <w:r>
        <w:rPr>
          <w:rFonts w:ascii="Times New Roman" w:hAnsi="Times New Roman"/>
          <w:noProof/>
          <w:sz w:val="24"/>
        </w:rPr>
        <w:t>Комисията смята също така, че Люксембург е отбелязал слаб напредък по отношение на структурната част от фискалните препоръки, съдържащи се в Препоръката на Съвета от 11 юли 2017 г. в контекста на европейския семестър от 2017</w:t>
      </w:r>
      <w:r>
        <w:rPr>
          <w:rFonts w:ascii="Times New Roman" w:hAnsi="Times New Roman"/>
          <w:noProof/>
          <w:sz w:val="24"/>
          <w:lang w:val="en-GB"/>
        </w:rPr>
        <w:t> </w:t>
      </w:r>
      <w:r>
        <w:rPr>
          <w:rFonts w:ascii="Times New Roman" w:hAnsi="Times New Roman"/>
          <w:noProof/>
          <w:sz w:val="24"/>
        </w:rPr>
        <w:t>г., и поради това приканва органите да ускорят напредъка.</w:t>
      </w:r>
    </w:p>
    <w:p>
      <w:pPr>
        <w:keepNext/>
        <w:spacing w:line="240" w:lineRule="auto"/>
        <w:jc w:val="both"/>
        <w:rPr>
          <w:rFonts w:ascii="Times New Roman" w:hAnsi="Times New Roman"/>
          <w:noProof/>
          <w:sz w:val="24"/>
          <w:szCs w:val="24"/>
        </w:rPr>
      </w:pPr>
      <w:r>
        <w:rPr>
          <w:rFonts w:ascii="Times New Roman" w:hAnsi="Times New Roman"/>
          <w:noProof/>
          <w:sz w:val="24"/>
        </w:rPr>
        <w:t xml:space="preserve">Комисията е на мнение, че проектът на бюджетен план на </w:t>
      </w:r>
      <w:r>
        <w:rPr>
          <w:rFonts w:ascii="Times New Roman" w:hAnsi="Times New Roman"/>
          <w:b/>
          <w:noProof/>
          <w:sz w:val="24"/>
        </w:rPr>
        <w:t>Нидерландия</w:t>
      </w:r>
      <w:r>
        <w:rPr>
          <w:rFonts w:ascii="Times New Roman" w:hAnsi="Times New Roman"/>
          <w:noProof/>
          <w:sz w:val="24"/>
        </w:rPr>
        <w:t>, за който понастоящем се прилагат предпазните мерки, спазва разпоредбите на Пакта за стабилност и растеж. Комисията приканва органите към изпълнение на бюджета за 2018 г. Комисията смята също така, че Нидерландия е отбелязала известен напредък по отношение на структурната част от фискалните препоръки, съдържащи се в Препоръката на Съвета от 11 юли 2017 г. в контекста на европейския семестър от 2017</w:t>
      </w:r>
      <w:r>
        <w:rPr>
          <w:rFonts w:ascii="Times New Roman" w:hAnsi="Times New Roman"/>
          <w:noProof/>
          <w:sz w:val="24"/>
          <w:lang w:val="en-GB"/>
        </w:rPr>
        <w:t> </w:t>
      </w:r>
      <w:r>
        <w:rPr>
          <w:rFonts w:ascii="Times New Roman" w:hAnsi="Times New Roman"/>
          <w:noProof/>
          <w:sz w:val="24"/>
        </w:rPr>
        <w:t>г., и приканва органите да постигнат допълнителен напредък.</w:t>
      </w:r>
    </w:p>
    <w:p>
      <w:pPr>
        <w:keepNext/>
        <w:spacing w:line="240" w:lineRule="auto"/>
        <w:jc w:val="both"/>
        <w:rPr>
          <w:rFonts w:ascii="Times New Roman" w:hAnsi="Times New Roman"/>
          <w:noProof/>
          <w:sz w:val="24"/>
          <w:szCs w:val="24"/>
        </w:rPr>
      </w:pPr>
      <w:r>
        <w:rPr>
          <w:rFonts w:ascii="Times New Roman" w:hAnsi="Times New Roman"/>
          <w:noProof/>
          <w:sz w:val="24"/>
        </w:rPr>
        <w:t xml:space="preserve">Комисията е на мнение, че проектът на бюджетен план на </w:t>
      </w:r>
      <w:r>
        <w:rPr>
          <w:rFonts w:ascii="Times New Roman" w:hAnsi="Times New Roman"/>
          <w:b/>
          <w:noProof/>
          <w:sz w:val="24"/>
        </w:rPr>
        <w:t>Финландия</w:t>
      </w:r>
      <w:r>
        <w:rPr>
          <w:rFonts w:ascii="Times New Roman" w:hAnsi="Times New Roman"/>
          <w:noProof/>
          <w:sz w:val="24"/>
        </w:rPr>
        <w:t xml:space="preserve">, за която понастоящем се прилагат предпазните мерки и целевият показател за намаляване на дълга, спазва разпоредбите на Пакта за стабилност и растеж. Комисията приканва органите към изпълнение на бюджета за 2018 г. </w:t>
      </w:r>
      <w:r>
        <w:rPr>
          <w:noProof/>
        </w:rPr>
        <w:t xml:space="preserve"> </w:t>
      </w:r>
      <w:r>
        <w:rPr>
          <w:rFonts w:ascii="Times New Roman" w:hAnsi="Times New Roman"/>
          <w:noProof/>
          <w:sz w:val="24"/>
        </w:rPr>
        <w:t>Комисията смята също така, че Финландия е отбелязала известен напредък по отношение на структурната част от фискалните препоръки, съдържащи се в Препоръката на Съвета от 11 юли 2017 г. в контекста на европейския семестър от 2017 г., и приканва органите да постигнат допълнителен напредък.</w:t>
      </w:r>
    </w:p>
    <w:p>
      <w:pPr>
        <w:keepNext/>
        <w:jc w:val="both"/>
        <w:rPr>
          <w:rFonts w:ascii="Times New Roman" w:hAnsi="Times New Roman"/>
          <w:noProof/>
          <w:sz w:val="24"/>
          <w:szCs w:val="24"/>
        </w:rPr>
      </w:pPr>
    </w:p>
    <w:p>
      <w:pPr>
        <w:keepNext/>
        <w:jc w:val="both"/>
        <w:rPr>
          <w:rFonts w:ascii="Times New Roman" w:hAnsi="Times New Roman"/>
          <w:b/>
          <w:i/>
          <w:noProof/>
          <w:sz w:val="24"/>
          <w:szCs w:val="24"/>
        </w:rPr>
      </w:pPr>
      <w:r>
        <w:rPr>
          <w:rFonts w:ascii="Times New Roman" w:hAnsi="Times New Roman"/>
          <w:b/>
          <w:i/>
          <w:noProof/>
          <w:sz w:val="24"/>
        </w:rPr>
        <w:t>Планове, които до голяма степен спазват изискванията към държавата</w:t>
      </w:r>
    </w:p>
    <w:p>
      <w:pPr>
        <w:keepNext/>
        <w:spacing w:before="120" w:after="120" w:line="240" w:lineRule="auto"/>
        <w:jc w:val="both"/>
        <w:rPr>
          <w:rFonts w:ascii="Times New Roman" w:hAnsi="Times New Roman"/>
          <w:noProof/>
          <w:sz w:val="24"/>
          <w:szCs w:val="24"/>
        </w:rPr>
      </w:pPr>
      <w:r>
        <w:rPr>
          <w:rFonts w:ascii="Times New Roman" w:hAnsi="Times New Roman"/>
          <w:noProof/>
          <w:sz w:val="24"/>
        </w:rPr>
        <w:t xml:space="preserve">Според Комисията проектът на бюджетен план на </w:t>
      </w:r>
      <w:r>
        <w:rPr>
          <w:rFonts w:ascii="Times New Roman" w:hAnsi="Times New Roman"/>
          <w:b/>
          <w:noProof/>
          <w:sz w:val="24"/>
        </w:rPr>
        <w:t>Естония</w:t>
      </w:r>
      <w:r>
        <w:rPr>
          <w:rFonts w:ascii="Times New Roman" w:hAnsi="Times New Roman"/>
          <w:noProof/>
          <w:sz w:val="24"/>
        </w:rPr>
        <w:t>, за която понастоящем се прилагат предпазните мерки, до голяма степен отговаря на разпоредбите на ПСР. В прогнозата на Комисията от есента се посочва риск от известно отклонение от плана за корекции за постигане на СБЦ през 2018 г. Комисията приканва органите да имат готовност да предприемат допълнителни мерки в рамките на националните бюджетни процедури, за да гарантират, че бюджетът за 2018 г. ще бъде в съответствие с ПСР.</w:t>
      </w:r>
    </w:p>
    <w:p>
      <w:pPr>
        <w:keepNext/>
        <w:spacing w:before="120" w:after="120" w:line="240" w:lineRule="auto"/>
        <w:jc w:val="both"/>
        <w:rPr>
          <w:rFonts w:ascii="Times New Roman" w:hAnsi="Times New Roman"/>
          <w:noProof/>
          <w:sz w:val="24"/>
          <w:szCs w:val="24"/>
        </w:rPr>
      </w:pPr>
      <w:r>
        <w:rPr>
          <w:rFonts w:ascii="Times New Roman" w:hAnsi="Times New Roman"/>
          <w:noProof/>
          <w:sz w:val="24"/>
        </w:rPr>
        <w:t xml:space="preserve">Според Комисията проектът на бюджетен план на </w:t>
      </w:r>
      <w:r>
        <w:rPr>
          <w:rFonts w:ascii="Times New Roman" w:hAnsi="Times New Roman"/>
          <w:b/>
          <w:noProof/>
          <w:sz w:val="24"/>
        </w:rPr>
        <w:t>Ирландия</w:t>
      </w:r>
      <w:r>
        <w:rPr>
          <w:rFonts w:ascii="Times New Roman" w:hAnsi="Times New Roman"/>
          <w:noProof/>
          <w:sz w:val="24"/>
        </w:rPr>
        <w:t>, за която понастоящем се прилагат предпазните мерки и преходният период за постигане на достатъчен напредък към спазване на целевия показател за намаляване на дълга, до голяма степен съответства на разпоредбите на ПСР. Комисията приканва органите да имат готовност да предприемат допълнителни мерки в рамките на националните бюджетни процедури, за да гарантират, че бюджетът за 2018 г. ще бъде в съответствие с ПСР. Комисията смята също така, че Ирландия е отбелязала известен напредък по отношение на структурната част от фискалните препоръки, съдържащи се в Препоръката на Съвета от 11 юли 2017 г. в контекста на европейския семестър от 2017 г., и приканва органите да постигнат допълнителен напредък.</w:t>
      </w:r>
    </w:p>
    <w:p>
      <w:pPr>
        <w:keepNext/>
        <w:spacing w:before="120" w:after="120" w:line="240" w:lineRule="auto"/>
        <w:jc w:val="both"/>
        <w:rPr>
          <w:rFonts w:ascii="Times New Roman" w:hAnsi="Times New Roman"/>
          <w:noProof/>
          <w:sz w:val="24"/>
          <w:szCs w:val="24"/>
        </w:rPr>
      </w:pPr>
      <w:r>
        <w:rPr>
          <w:rFonts w:ascii="Times New Roman" w:hAnsi="Times New Roman"/>
          <w:noProof/>
          <w:sz w:val="24"/>
        </w:rPr>
        <w:t xml:space="preserve">Според Комисията проектът на бюджетен план на </w:t>
      </w:r>
      <w:r>
        <w:rPr>
          <w:rFonts w:ascii="Times New Roman" w:hAnsi="Times New Roman"/>
          <w:b/>
          <w:noProof/>
          <w:sz w:val="24"/>
        </w:rPr>
        <w:t>Кипър</w:t>
      </w:r>
      <w:r>
        <w:rPr>
          <w:rFonts w:ascii="Times New Roman" w:hAnsi="Times New Roman"/>
          <w:noProof/>
          <w:sz w:val="24"/>
        </w:rPr>
        <w:t xml:space="preserve">, за който понастоящем се прилагат предпазните мерки и преходният период за постигане на достатъчен напредък към спазване на целевия показател за намаляване на дълга, до голяма степен отговаря на разпоредбите на Пакта за стабилност и растеж. Съгласно прогнозата на Комисията от есента на 2017 г. съществува риск от известно отклонение от СБЦ през 2017 г. и 2018 г. Очаква се Кипър да спази критерия за дълга през 2017 г. и 2018 г. Комисията приканва органите да имат готовност да предприемат необходимите мерки в рамките на националните бюджетни процедури, за да гарантират, че бюджетът за 2018 г. ще бъде в пълно съответствие с ПСР, и да наблюдават внимателно развитието на разходите в краткосрочен и средносрочен план поради рисковете, свързани с увеличения на разходите, финансирани от извънредни приходи. </w:t>
      </w:r>
      <w:r>
        <w:rPr>
          <w:noProof/>
        </w:rPr>
        <w:t xml:space="preserve"> </w:t>
      </w:r>
      <w:r>
        <w:rPr>
          <w:rFonts w:ascii="Times New Roman" w:hAnsi="Times New Roman"/>
          <w:noProof/>
          <w:sz w:val="24"/>
        </w:rPr>
        <w:t>Комисията смята също така, че Кипър е отбелязал известен напредък по отношение на структурната част от фискалните препоръки, съдържащи се в Препоръката на Съвета от 11 юли 2017 г. в контекста на европейския семестър от 2017 г., и приканва органите да постигнат допълнителен напредък.</w:t>
      </w:r>
    </w:p>
    <w:p>
      <w:pPr>
        <w:keepNext/>
        <w:spacing w:before="120" w:after="120" w:line="240" w:lineRule="auto"/>
        <w:jc w:val="both"/>
        <w:rPr>
          <w:rFonts w:ascii="Times New Roman" w:hAnsi="Times New Roman"/>
          <w:noProof/>
          <w:sz w:val="24"/>
          <w:szCs w:val="24"/>
        </w:rPr>
      </w:pPr>
      <w:r>
        <w:rPr>
          <w:rFonts w:ascii="Times New Roman" w:hAnsi="Times New Roman"/>
          <w:noProof/>
          <w:sz w:val="24"/>
        </w:rPr>
        <w:t xml:space="preserve">Според Комисията проектът на бюджетен план на </w:t>
      </w:r>
      <w:r>
        <w:rPr>
          <w:rFonts w:ascii="Times New Roman" w:hAnsi="Times New Roman"/>
          <w:b/>
          <w:noProof/>
          <w:sz w:val="24"/>
        </w:rPr>
        <w:t>Малта</w:t>
      </w:r>
      <w:r>
        <w:rPr>
          <w:rFonts w:ascii="Times New Roman" w:hAnsi="Times New Roman"/>
          <w:noProof/>
          <w:sz w:val="24"/>
        </w:rPr>
        <w:t>, за която понастоящем се прилагат предпазните мерки, до голяма степен отговаря на разпоредбите на ПСР. Въпреки че на пръв поглед структурното салдо се очаква да остане с излишък през 2018 г., според прогнозата на Комисията има риск по отношение на динамиката на публичните разходи. Комисията приканва органите да имат готовност да предприемат допълнителни мерки в рамките на националните бюджетни процедури, за да гарантират, че бюджетът за 2018 г. ще бъде в съответствие с ПСР. Комисията смята също така, че Малта е отбелязала известен напредък по отношение на структурната част от фискалните препоръки, съдържащи се в Препоръката на Съвета от 11 юли 2017</w:t>
      </w:r>
      <w:r>
        <w:rPr>
          <w:rFonts w:ascii="Times New Roman" w:hAnsi="Times New Roman"/>
          <w:noProof/>
          <w:sz w:val="24"/>
          <w:lang w:val="en-GB"/>
        </w:rPr>
        <w:t> </w:t>
      </w:r>
      <w:r>
        <w:rPr>
          <w:rFonts w:ascii="Times New Roman" w:hAnsi="Times New Roman"/>
          <w:noProof/>
          <w:sz w:val="24"/>
        </w:rPr>
        <w:t>г. в контекста на европейския семестър от 2017 г., и приканва органите да постигнат допълнителен напредък.</w:t>
      </w:r>
    </w:p>
    <w:p>
      <w:pPr>
        <w:keepNext/>
        <w:spacing w:before="120" w:after="120" w:line="240" w:lineRule="auto"/>
        <w:jc w:val="both"/>
        <w:rPr>
          <w:rFonts w:ascii="Times New Roman" w:hAnsi="Times New Roman"/>
          <w:noProof/>
          <w:sz w:val="24"/>
          <w:szCs w:val="24"/>
        </w:rPr>
      </w:pPr>
      <w:r>
        <w:rPr>
          <w:rFonts w:ascii="Times New Roman" w:hAnsi="Times New Roman"/>
          <w:noProof/>
          <w:sz w:val="24"/>
        </w:rPr>
        <w:t xml:space="preserve">Според Комисията проектът на бюджетен план на </w:t>
      </w:r>
      <w:r>
        <w:rPr>
          <w:rFonts w:ascii="Times New Roman" w:hAnsi="Times New Roman"/>
          <w:b/>
          <w:noProof/>
          <w:sz w:val="24"/>
        </w:rPr>
        <w:t>Словакия</w:t>
      </w:r>
      <w:r>
        <w:rPr>
          <w:rFonts w:ascii="Times New Roman" w:hAnsi="Times New Roman"/>
          <w:noProof/>
          <w:sz w:val="24"/>
        </w:rPr>
        <w:t>, за която понастоящем се прилагат предпазните мерки, до голяма степен отговаря на разпоредбите на ПСР. Комисията приканва органите да имат готовност да предприемат допълнителни мерки в рамките на националните бюджетни процедури, за да гарантират, че бюджетът за 2018 г. ще бъде в съответствие с ПСР. Комисията смята също така, че Словакия е отбелязала известен напредък по отношение на структурната част от фискалните препоръки, съдържащи се в Препоръката на Съвета от 11 юли 2017 г. в контекста на европейския семестър от 2017 г., и приканва органите да постигнат допълнителен напредък.</w:t>
      </w:r>
    </w:p>
    <w:p>
      <w:pPr>
        <w:keepNext/>
        <w:spacing w:before="120" w:after="120" w:line="240" w:lineRule="auto"/>
        <w:jc w:val="both"/>
        <w:rPr>
          <w:rFonts w:ascii="Times New Roman" w:hAnsi="Times New Roman"/>
          <w:noProof/>
          <w:sz w:val="24"/>
          <w:szCs w:val="24"/>
        </w:rPr>
      </w:pPr>
    </w:p>
    <w:p>
      <w:pPr>
        <w:keepNext/>
        <w:spacing w:before="120" w:after="120"/>
        <w:jc w:val="both"/>
        <w:rPr>
          <w:rFonts w:ascii="Times New Roman" w:hAnsi="Times New Roman"/>
          <w:b/>
          <w:i/>
          <w:noProof/>
          <w:sz w:val="24"/>
          <w:szCs w:val="24"/>
        </w:rPr>
      </w:pPr>
      <w:r>
        <w:rPr>
          <w:rFonts w:ascii="Times New Roman" w:hAnsi="Times New Roman"/>
          <w:b/>
          <w:i/>
          <w:noProof/>
          <w:sz w:val="24"/>
        </w:rPr>
        <w:t>Планове, които са изложени на риск от неспазване на изискванията към държавата</w:t>
      </w:r>
    </w:p>
    <w:p>
      <w:pPr>
        <w:keepNext/>
        <w:spacing w:before="120" w:after="120" w:line="240" w:lineRule="auto"/>
        <w:jc w:val="both"/>
        <w:rPr>
          <w:noProof/>
          <w:szCs w:val="24"/>
        </w:rPr>
      </w:pPr>
      <w:r>
        <w:rPr>
          <w:rFonts w:ascii="Times New Roman" w:hAnsi="Times New Roman"/>
          <w:noProof/>
          <w:sz w:val="24"/>
        </w:rPr>
        <w:t xml:space="preserve">Като взе предвид необходимостта от намиране на баланс между двете цели за укрепване на процеса на възстановяване и за гарантиране на фискална устойчивост, Комисията е на мнение, че проектът на бюджетен план на </w:t>
      </w:r>
      <w:r>
        <w:rPr>
          <w:rFonts w:ascii="Times New Roman" w:hAnsi="Times New Roman"/>
          <w:b/>
          <w:noProof/>
          <w:sz w:val="24"/>
        </w:rPr>
        <w:t>Белгия</w:t>
      </w:r>
      <w:r>
        <w:rPr>
          <w:rFonts w:ascii="Times New Roman" w:hAnsi="Times New Roman"/>
          <w:noProof/>
          <w:sz w:val="24"/>
        </w:rPr>
        <w:t>, за която понастоящем се прилагат предпазните мерки и целевият показател за намаляване на дълга, е изложен на риск от неспазване на разпоредбите на ПСР. По-специално Комисията прогнозира риск от съществено отклонение от изискваната корекция за постигане на СБЦ през 2017 г. и 2018 г. Поради това Комисията приканва органите да предприемат необходимите мерки в рамките на националните бюджетни процедури, за да гарантират, че бюджетът за 2018 г. ще бъде в съответствие с ПСР, и ги приканва да използват извънредните приходи за ускоряване на намаляването на съотношението на държавния дълг към БВП. Спазването на изискванията на предпазните мерки е ключов фактор при оценката на спазването на критерия за дълга. Комисията смята също така, че Белгия е отбелязала известен напредък по отношение на структурната част от фискалните препоръки, съдържащи се в Препоръката на Съвета от 11 юли 2017 г. в контекста на европейския семестър от 2017 г., и приканва органите да постигнат допълнителен напредък.</w:t>
      </w:r>
    </w:p>
    <w:p>
      <w:pPr>
        <w:keepNext/>
        <w:spacing w:before="120" w:after="120" w:line="240" w:lineRule="auto"/>
        <w:jc w:val="both"/>
        <w:rPr>
          <w:noProof/>
          <w:szCs w:val="24"/>
        </w:rPr>
      </w:pPr>
      <w:r>
        <w:rPr>
          <w:rFonts w:ascii="Times New Roman" w:hAnsi="Times New Roman"/>
          <w:noProof/>
          <w:sz w:val="24"/>
        </w:rPr>
        <w:t xml:space="preserve">Като взе предвид необходимостта от намиране на баланс между двете цели за укрепване на процеса на възстановяване и за гарантиране на фискална устойчивост, Комисията е на мнение, че проектът на бюджетен план на </w:t>
      </w:r>
      <w:r>
        <w:rPr>
          <w:rFonts w:ascii="Times New Roman" w:hAnsi="Times New Roman"/>
          <w:b/>
          <w:noProof/>
          <w:sz w:val="24"/>
        </w:rPr>
        <w:t>Италия</w:t>
      </w:r>
      <w:r>
        <w:rPr>
          <w:rFonts w:ascii="Times New Roman" w:hAnsi="Times New Roman"/>
          <w:noProof/>
          <w:sz w:val="24"/>
        </w:rPr>
        <w:t>, за която понастоящем се прилагат предпазните мерки и целевият показател за намаляване на дълга, е изложен на риск от неспазване на разпоредбите на Пакта за стабилност и растеж. Фискалната корекция, предвидена в прогнозата на Комисията от есента на 2017 г. за 2018 г., не е адекватна в светлината на предизвикателствата за устойчивостта, пред които е изправена Италия. Поради това Комисията приканва органите да предприемат необходимите мерки в рамките на националните бюджетни процедури, за да гарантират, че бюджетът за 2018 г. ще бъде в съответствие с ПСР, и ги приканва да използват извънредните приходи за ускоряване на намаляването на съотношението на държавния дълг към БВП. Спазването на изискванията на предпазните мерки е ключов фактор при оценката на спазването на критерия за дълга. Комисията смята също така, че Италия е отбелязала известен напредък по отношение на структурната част от фискалните препоръки, съдържащи се в Препоръката на Съвета от 11 юли 2017 г., и приканва органите да постигнат допълнителен напредък.</w:t>
      </w:r>
    </w:p>
    <w:p>
      <w:pPr>
        <w:keepNext/>
        <w:spacing w:before="120" w:after="120" w:line="240" w:lineRule="auto"/>
        <w:jc w:val="both"/>
        <w:rPr>
          <w:noProof/>
          <w:szCs w:val="24"/>
        </w:rPr>
      </w:pPr>
      <w:r>
        <w:rPr>
          <w:rFonts w:ascii="Times New Roman" w:hAnsi="Times New Roman"/>
          <w:noProof/>
          <w:sz w:val="24"/>
        </w:rPr>
        <w:t xml:space="preserve">Като признава, че нейните прогнози предполагат запазване на политиката, Комисията е на мнение, че проектът на бюджетен план на </w:t>
      </w:r>
      <w:r>
        <w:rPr>
          <w:rFonts w:ascii="Times New Roman" w:hAnsi="Times New Roman"/>
          <w:b/>
          <w:noProof/>
          <w:sz w:val="24"/>
        </w:rPr>
        <w:t>Австрия</w:t>
      </w:r>
      <w:r>
        <w:rPr>
          <w:rFonts w:ascii="Times New Roman" w:hAnsi="Times New Roman"/>
          <w:noProof/>
          <w:sz w:val="24"/>
        </w:rPr>
        <w:t xml:space="preserve">, за която понастоящем се прилагат предпазните мерки и целевият показател за намаляване на дълга, е изложен на риск от неспазване на разпоредбите на Пакта за стабилност и растеж. Комисията приканва органите да предприемат необходимите мерки в рамките на националните бюджетни процедури, за да се гарантира, че бюджетът за 2018 г. е в съответствие с ПСР. Комисията смята също така, че Австрия е отбелязала известен напредък по отношение на структурната част от фискалните препоръки, съдържащи се в Препоръката на Съвета от 11 юли 2017 г. в контекста на европейския семестър, и затова приканва органите да постигнат допълнителен напредък. </w:t>
      </w:r>
    </w:p>
    <w:p>
      <w:pPr>
        <w:keepNext/>
        <w:spacing w:before="120" w:after="120" w:line="240" w:lineRule="auto"/>
        <w:jc w:val="both"/>
        <w:rPr>
          <w:noProof/>
          <w:spacing w:val="-2"/>
          <w:szCs w:val="24"/>
        </w:rPr>
      </w:pPr>
      <w:r>
        <w:rPr>
          <w:rFonts w:ascii="Times New Roman" w:hAnsi="Times New Roman"/>
          <w:noProof/>
          <w:spacing w:val="-2"/>
          <w:sz w:val="24"/>
        </w:rPr>
        <w:t xml:space="preserve">Като взе предвид необходимостта от намиране на баланс между двете цели за укрепване на процеса на възстановяване и за гарантиране на фискална устойчивост, Комисията е на мнение, че проектът на бюджетен план на </w:t>
      </w:r>
      <w:r>
        <w:rPr>
          <w:rFonts w:ascii="Times New Roman" w:hAnsi="Times New Roman"/>
          <w:b/>
          <w:noProof/>
          <w:spacing w:val="-2"/>
          <w:sz w:val="24"/>
        </w:rPr>
        <w:t>Португалия</w:t>
      </w:r>
      <w:r>
        <w:rPr>
          <w:rFonts w:ascii="Times New Roman" w:hAnsi="Times New Roman"/>
          <w:noProof/>
          <w:spacing w:val="-2"/>
          <w:sz w:val="24"/>
        </w:rPr>
        <w:t xml:space="preserve">, за която понастоящем се прилагат предпазните мерки и преходните условия за спазване на целевия показател за намаляване на дълга, е изложен на риск от неспазване на разпоредбите на Пакта за стабилност и растеж. По-специално Комисията прогнозира риск от съществено отклонение от изискваната корекция за постигане на СБЦ през 2017 г. и 2018 г. Поради това Комисията приканва органите да предприемат необходимите мерки в рамките на националните бюджетни процедури, за да се гарантира, че бюджетът за 2018 г. е в съответствие с ПСР. </w:t>
      </w:r>
      <w:r>
        <w:rPr>
          <w:noProof/>
          <w:spacing w:val="-2"/>
        </w:rPr>
        <w:t xml:space="preserve"> </w:t>
      </w:r>
      <w:r>
        <w:rPr>
          <w:rFonts w:ascii="Times New Roman" w:hAnsi="Times New Roman"/>
          <w:noProof/>
          <w:spacing w:val="-2"/>
          <w:sz w:val="24"/>
        </w:rPr>
        <w:t>Комисията смята също така, че Португалия е отбелязала слаб напредък по отношение на структурната част от фискалните препоръки, съдържащи се в Препоръката на Съвета от 11 юли 2017 г. в контекста на европейския семестър от 2017</w:t>
      </w:r>
      <w:r>
        <w:rPr>
          <w:rFonts w:ascii="Times New Roman" w:hAnsi="Times New Roman"/>
          <w:noProof/>
          <w:spacing w:val="-2"/>
          <w:sz w:val="24"/>
          <w:lang w:val="en-GB"/>
        </w:rPr>
        <w:t> </w:t>
      </w:r>
      <w:r>
        <w:rPr>
          <w:rFonts w:ascii="Times New Roman" w:hAnsi="Times New Roman"/>
          <w:noProof/>
          <w:spacing w:val="-2"/>
          <w:sz w:val="24"/>
        </w:rPr>
        <w:t>г., и поради това приканва органите да ускорят напредъка.</w:t>
      </w:r>
    </w:p>
    <w:p>
      <w:pPr>
        <w:keepNext/>
        <w:spacing w:before="120" w:after="120" w:line="240" w:lineRule="auto"/>
        <w:jc w:val="both"/>
        <w:rPr>
          <w:rFonts w:ascii="Times New Roman" w:eastAsia="Times New Roman" w:hAnsi="Times New Roman"/>
          <w:noProof/>
          <w:spacing w:val="-2"/>
          <w:sz w:val="24"/>
          <w:szCs w:val="24"/>
        </w:rPr>
      </w:pPr>
      <w:r>
        <w:rPr>
          <w:rFonts w:ascii="Times New Roman" w:hAnsi="Times New Roman"/>
          <w:noProof/>
          <w:spacing w:val="-2"/>
          <w:sz w:val="24"/>
        </w:rPr>
        <w:t xml:space="preserve">Като взе предвид необходимостта от намиране на баланс между целите за укрепване на процеса на възстановяване и за гарантиране на фискална устойчивост, Комисията е на мнение, че проектът на бюджетен план на </w:t>
      </w:r>
      <w:r>
        <w:rPr>
          <w:rFonts w:ascii="Times New Roman" w:hAnsi="Times New Roman"/>
          <w:b/>
          <w:noProof/>
          <w:spacing w:val="-2"/>
          <w:sz w:val="24"/>
        </w:rPr>
        <w:t>Словения</w:t>
      </w:r>
      <w:r>
        <w:rPr>
          <w:rFonts w:ascii="Times New Roman" w:hAnsi="Times New Roman"/>
          <w:noProof/>
          <w:spacing w:val="-2"/>
          <w:sz w:val="24"/>
        </w:rPr>
        <w:t>, за която понастоящем се прилагат предпазните мерки и преходният период за постигане на достатъчен напредък към спазване на целевия показател за намаляване на дълга, е изложен на риск от неспазване на разпоредбите на Пакта за стабилност и растеж.  Фискалната корекция, предвидена в прогнозата на Комисията за 2018 г., не е адекватна в светлината на средносрочните предизвикателства за устойчивостта, пред които е изправена Словения. Подобряването на номиналния дефицит и отношението на дълга към БВП отчасти се обяснява с благоприятната икономическа среда. Укрепването на възстановяването предоставя условия на Словения за връщане към достатъчни фискални резерви, необходими за смекчаване на бъдещи икономически спадове. Поради това Комисията приканва органите да предприемат необходимите мерки в рамките на националните бюджетни процедури, за да се гарантира, че бюджетът за 2018 г. е в съответствие с ПСР. Комисията смята също така, че Словения е отбелязала известен напредък по отношение на структурната част от фискалните препоръки, съдържащи се в Препоръката на Съвета от 11 юли в контекста на европейския семестър от 2017 г., и поради това приканва органите да постигнат допълнителен напредък.</w:t>
      </w:r>
    </w:p>
    <w:p>
      <w:pPr>
        <w:pStyle w:val="NumPar1"/>
        <w:numPr>
          <w:ilvl w:val="0"/>
          <w:numId w:val="0"/>
        </w:numPr>
        <w:rPr>
          <w:noProof/>
        </w:rPr>
      </w:pPr>
    </w:p>
    <w:p>
      <w:pPr>
        <w:keepNext/>
        <w:rPr>
          <w:rFonts w:ascii="Times New Roman" w:hAnsi="Times New Roman"/>
          <w:b/>
          <w:noProof/>
          <w:sz w:val="24"/>
          <w:szCs w:val="24"/>
          <w:u w:val="single"/>
        </w:rPr>
      </w:pPr>
      <w:r>
        <w:rPr>
          <w:rFonts w:ascii="Times New Roman" w:hAnsi="Times New Roman"/>
          <w:b/>
          <w:noProof/>
          <w:sz w:val="24"/>
          <w:u w:val="single"/>
        </w:rPr>
        <w:t>Държави членки, за които се прилагат корективните мерки на ПСР</w:t>
      </w:r>
    </w:p>
    <w:p>
      <w:pPr>
        <w:keepNext/>
        <w:jc w:val="both"/>
        <w:rPr>
          <w:rFonts w:ascii="Times New Roman" w:hAnsi="Times New Roman"/>
          <w:b/>
          <w:i/>
          <w:noProof/>
          <w:sz w:val="24"/>
          <w:szCs w:val="24"/>
        </w:rPr>
      </w:pPr>
      <w:r>
        <w:rPr>
          <w:rFonts w:ascii="Times New Roman" w:hAnsi="Times New Roman"/>
          <w:b/>
          <w:i/>
          <w:noProof/>
          <w:sz w:val="24"/>
        </w:rPr>
        <w:t>Планове, които до голяма степен спазват изискванията към държавата</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Комисията е на мнение, че проектът на бюджетен план на </w:t>
      </w:r>
      <w:r>
        <w:rPr>
          <w:rFonts w:ascii="Times New Roman" w:hAnsi="Times New Roman"/>
          <w:b/>
          <w:noProof/>
          <w:sz w:val="24"/>
        </w:rPr>
        <w:t>Испания</w:t>
      </w:r>
      <w:r>
        <w:rPr>
          <w:rFonts w:ascii="Times New Roman" w:hAnsi="Times New Roman"/>
          <w:noProof/>
          <w:sz w:val="24"/>
        </w:rPr>
        <w:t xml:space="preserve">, за която понастоящем се прилагат корективните мерки, до голяма степен отговаря на разпоредбите на ПСР, тъй като според прогнозата на Комисията от есента на 2017 г. прекомерният дефицит ще бъде коригиран своевременно. Въпреки това, като се има предвид, че прогнозите на проекта за бюджетен план предполагат запазване на политиката, нито прогнозата на Комисията, нито проектът на бюджетен план предвиждат, целта за номинален дефицит, определена в решението на Съвета, да бъде постигната през 2018 г. Освен това не се прогнозира необходимата фискална корекция през 2018 г. да бъде постигната с широк марж. </w:t>
      </w:r>
      <w:r>
        <w:rPr>
          <w:noProof/>
        </w:rPr>
        <w:t xml:space="preserve"> </w:t>
      </w:r>
      <w:r>
        <w:rPr>
          <w:rFonts w:ascii="Times New Roman" w:hAnsi="Times New Roman"/>
          <w:noProof/>
          <w:sz w:val="24"/>
        </w:rPr>
        <w:t>Комисията смята също така, че Испания е отбелязала известен напредък по отношение на структурната част от фискалните препоръки, съдържащи се в Решението на Съвета от 8 август 2016 г. и в Препоръката на Съвета от 11 юли 2017 г., в контекста на европейския семестър за 2017</w:t>
      </w:r>
      <w:r>
        <w:rPr>
          <w:rFonts w:ascii="Times New Roman" w:hAnsi="Times New Roman"/>
          <w:noProof/>
          <w:sz w:val="24"/>
          <w:lang w:val="en-GB"/>
        </w:rPr>
        <w:t> </w:t>
      </w:r>
      <w:r>
        <w:rPr>
          <w:rFonts w:ascii="Times New Roman" w:hAnsi="Times New Roman"/>
          <w:noProof/>
          <w:sz w:val="24"/>
        </w:rPr>
        <w:t>г., и приканва за засилване на фискалната рамка и рамката на политиката за обществените поръчки на Испания.</w:t>
      </w:r>
    </w:p>
    <w:p>
      <w:pPr>
        <w:keepNext/>
        <w:spacing w:before="120" w:after="120"/>
        <w:jc w:val="both"/>
        <w:rPr>
          <w:rFonts w:ascii="Times New Roman" w:hAnsi="Times New Roman"/>
          <w:noProof/>
          <w:sz w:val="24"/>
          <w:szCs w:val="24"/>
        </w:rPr>
      </w:pPr>
    </w:p>
    <w:p>
      <w:pPr>
        <w:keepNext/>
        <w:spacing w:before="120" w:after="120"/>
        <w:jc w:val="both"/>
        <w:rPr>
          <w:rFonts w:ascii="Times New Roman" w:hAnsi="Times New Roman"/>
          <w:b/>
          <w:i/>
          <w:noProof/>
          <w:sz w:val="24"/>
          <w:szCs w:val="24"/>
        </w:rPr>
      </w:pPr>
      <w:r>
        <w:rPr>
          <w:rFonts w:ascii="Times New Roman" w:hAnsi="Times New Roman"/>
          <w:b/>
          <w:i/>
          <w:noProof/>
          <w:sz w:val="24"/>
        </w:rPr>
        <w:t>Планове, които са изложени на риск от неспазване на изискванията към държавата</w:t>
      </w:r>
    </w:p>
    <w:p>
      <w:pPr>
        <w:spacing w:line="240" w:lineRule="auto"/>
        <w:jc w:val="both"/>
        <w:rPr>
          <w:noProof/>
        </w:rPr>
      </w:pPr>
      <w:r>
        <w:rPr>
          <w:rFonts w:ascii="Times New Roman" w:hAnsi="Times New Roman"/>
          <w:noProof/>
          <w:sz w:val="24"/>
        </w:rPr>
        <w:t xml:space="preserve">Като взе предвид необходимостта от намиране на баланс между двете цели за укрепване на процеса на възстановяване и за гарантиране на фискална устойчивост, Комисията е на мнение, че проектът на бюджетен план на </w:t>
      </w:r>
      <w:r>
        <w:rPr>
          <w:rFonts w:ascii="Times New Roman" w:hAnsi="Times New Roman"/>
          <w:b/>
          <w:noProof/>
          <w:sz w:val="24"/>
        </w:rPr>
        <w:t>Франция</w:t>
      </w:r>
      <w:r>
        <w:rPr>
          <w:rFonts w:ascii="Times New Roman" w:hAnsi="Times New Roman"/>
          <w:noProof/>
          <w:sz w:val="24"/>
        </w:rPr>
        <w:t xml:space="preserve"> за 2018 г., за която понастоящем се прилагат корективните мерки и може да стане предмет на предпазните мерки и на преходното правило за дълга от 2018 г., е изложен на риск от неспазване на разпоредбите на Пакта за стабилност и растеж. По-специално Комисията прогнозира риск от съществено отклонение от изискваната корекция за постигане на СБЦ през 2018 г. Поради това Комисията приканва органите да предприемат необходимите мерки в рамките на националните бюджетни процедури, за да гарантират, че бюджетът за 2018 г. ще бъде в съответствие с ПСР, и ги приканва да използват извънредните приходи за ускоряване на намаляването на съотношението на държавния дълг към БВП. Спазването на изискванията на предпазните мерки е ключов фактор при оценката на спазването на критерия за дълга. Комисията смята също така, че Франция е отбелязала известен напредък по отношение на структурната част от фискалните препоръки, съдържащи се в Препоръката на Съвета от 11 юли 2017 г., издадена в контекста на европейския семестър от 2017 г., и приканва органите да постигнат допълнителен напредък. </w:t>
      </w:r>
    </w:p>
    <w:p>
      <w:pPr>
        <w:pStyle w:val="NumPar1"/>
        <w:numPr>
          <w:ilvl w:val="0"/>
          <w:numId w:val="0"/>
        </w:numPr>
        <w:rPr>
          <w:b/>
          <w:bCs/>
          <w:noProof/>
          <w:sz w:val="26"/>
          <w:szCs w:val="26"/>
        </w:rPr>
      </w:pPr>
    </w:p>
    <w:p>
      <w:pPr>
        <w:spacing w:after="0" w:line="240" w:lineRule="auto"/>
        <w:rPr>
          <w:rFonts w:ascii="Times New Roman" w:eastAsia="Times New Roman" w:hAnsi="Times New Roman"/>
          <w:b/>
          <w:bCs/>
          <w:noProof/>
          <w:sz w:val="26"/>
          <w:szCs w:val="26"/>
        </w:rPr>
      </w:pPr>
      <w:bookmarkStart w:id="5" w:name="_Toc435029400"/>
      <w:r>
        <w:rPr>
          <w:noProof/>
        </w:rPr>
        <w:br w:type="page"/>
      </w:r>
    </w:p>
    <w:p>
      <w:pPr>
        <w:pStyle w:val="Heading1"/>
        <w:rPr>
          <w:rFonts w:ascii="Times New Roman" w:hAnsi="Times New Roman"/>
          <w:noProof/>
        </w:rPr>
      </w:pPr>
      <w:bookmarkStart w:id="6" w:name="_Toc493749347"/>
      <w:r>
        <w:rPr>
          <w:rFonts w:ascii="Times New Roman" w:hAnsi="Times New Roman"/>
          <w:noProof/>
        </w:rPr>
        <w:t>ПРИЛОЖЕНИЕ II: Методика и допускания, използвани в икономическата прогноза на Комисията от есента на 2017 г.</w:t>
      </w:r>
      <w:bookmarkEnd w:id="5"/>
      <w:bookmarkEnd w:id="6"/>
    </w:p>
    <w:p>
      <w:pPr>
        <w:spacing w:before="120" w:after="120" w:line="240" w:lineRule="auto"/>
        <w:jc w:val="both"/>
        <w:rPr>
          <w:rFonts w:ascii="Times New Roman" w:hAnsi="Times New Roman"/>
          <w:noProof/>
          <w:sz w:val="24"/>
          <w:szCs w:val="24"/>
        </w:rPr>
      </w:pPr>
      <w:bookmarkStart w:id="7" w:name="_Toc393881336"/>
      <w:r>
        <w:rPr>
          <w:rFonts w:ascii="Times New Roman" w:hAnsi="Times New Roman"/>
          <w:noProof/>
          <w:sz w:val="24"/>
        </w:rPr>
        <w:t>Съгласно член 7, параграф 4 от Регламент (ЕС) № 473/2013 „Методиката (включително моделите) и допусканията според най-актуалните икономически прогнози на службите на Комисията за всяка държава членка, включително оценката на въздействието на съвкупните бюджетни мерки върху икономическия ръст, се прилагат към общата оценка“. Допусканията, заложени в прогнозата на Комисията от есента на 2017 г., която се разработва независимо от служители на Комисията, са обяснени в самия документ с прогнозите</w:t>
      </w:r>
      <w:r>
        <w:rPr>
          <w:rStyle w:val="FootnoteReference"/>
          <w:rFonts w:ascii="Times New Roman" w:hAnsi="Times New Roman"/>
          <w:noProof/>
          <w:sz w:val="24"/>
        </w:rPr>
        <w:footnoteReference w:id="1"/>
      </w:r>
      <w:r>
        <w:rPr>
          <w:rFonts w:ascii="Times New Roman" w:hAnsi="Times New Roman"/>
          <w:noProof/>
          <w:sz w:val="24"/>
        </w:rPr>
        <w:t>.</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Бюджетните данни до 2016 г. са съставени въз основа на данните, представени от държавите членки на Комисията до 1 октомври 2017 г. и потвърдени от Евростат на 23 октомври 2017 г. Евростат не е направил изменения в данните, докладвани от държавите членки </w:t>
      </w:r>
      <w:r>
        <w:rPr>
          <w:rFonts w:ascii="Times New Roman" w:hAnsi="Times New Roman"/>
          <w:noProof/>
          <w:color w:val="000000"/>
          <w:sz w:val="24"/>
        </w:rPr>
        <w:t>през есента на 2017 г.</w:t>
      </w:r>
      <w:r>
        <w:rPr>
          <w:rFonts w:ascii="Times New Roman" w:hAnsi="Times New Roman"/>
          <w:noProof/>
          <w:sz w:val="24"/>
        </w:rPr>
        <w:t xml:space="preserve"> Евростат оттегли резервите си относно качеството на данните, докладвани от Люксембург във връзка със секторната класификация на болниците, както и редица технически въпроси, като например записването на вземанията и задълженията, размера на статистическите неточности в таблиците по EDP и липсата на данни за местното управление. Евростат изрази резерва относно качеството на данните, докладвани от Франция във връзка с регистрирането на някои операции на Френската агенция за развитие (</w:t>
      </w:r>
      <w:r>
        <w:rPr>
          <w:rFonts w:ascii="Times New Roman" w:hAnsi="Times New Roman"/>
          <w:i/>
          <w:noProof/>
          <w:sz w:val="24"/>
        </w:rPr>
        <w:t>Agence Française de Développement</w:t>
      </w:r>
      <w:r>
        <w:rPr>
          <w:rFonts w:ascii="Times New Roman" w:hAnsi="Times New Roman"/>
          <w:noProof/>
          <w:sz w:val="24"/>
        </w:rPr>
        <w:t xml:space="preserve">). Евростат поддържа резервата относно качеството на данните, докладвани от Белгия във връзка със секторната класификация на болниците. Евростат поддържа и резервата относно качеството на данните, докладвани от Унгария във връзка със секторната класификация на Eximbank. От друга страна, Евростат оттегли резервата относно качеството на данните, докладвани от Унгария във връзка със секторната класификация на законоустановения фонд за закрила и </w:t>
      </w:r>
      <w:r>
        <w:rPr>
          <w:rFonts w:ascii="Times New Roman" w:hAnsi="Times New Roman"/>
          <w:i/>
          <w:noProof/>
          <w:sz w:val="24"/>
        </w:rPr>
        <w:t>Унгарското дружество за преструктуриране и управление на задълженията</w:t>
      </w:r>
      <w:r>
        <w:rPr>
          <w:rFonts w:ascii="Times New Roman" w:hAnsi="Times New Roman"/>
          <w:noProof/>
          <w:sz w:val="24"/>
        </w:rPr>
        <w:t>.</w:t>
      </w:r>
    </w:p>
    <w:p>
      <w:pPr>
        <w:spacing w:before="120" w:after="120" w:line="240" w:lineRule="auto"/>
        <w:jc w:val="both"/>
        <w:rPr>
          <w:rFonts w:ascii="Times New Roman" w:hAnsi="Times New Roman"/>
          <w:noProof/>
          <w:sz w:val="24"/>
          <w:szCs w:val="24"/>
        </w:rPr>
      </w:pPr>
      <w:r>
        <w:rPr>
          <w:rFonts w:ascii="Times New Roman" w:hAnsi="Times New Roman"/>
          <w:noProof/>
          <w:sz w:val="24"/>
        </w:rPr>
        <w:t>За целите на прогнозата мерките в подкрепа на финансовата стабилност са отчетени в съответствие с решението на Евростат от 15 юли 2009 г.</w:t>
      </w:r>
      <w:r>
        <w:rPr>
          <w:rStyle w:val="FootnoteReference"/>
          <w:rFonts w:ascii="Times New Roman" w:hAnsi="Times New Roman"/>
          <w:noProof/>
          <w:sz w:val="24"/>
        </w:rPr>
        <w:footnoteReference w:id="2"/>
      </w:r>
      <w:r>
        <w:rPr>
          <w:rFonts w:ascii="Times New Roman" w:hAnsi="Times New Roman"/>
          <w:noProof/>
          <w:sz w:val="24"/>
        </w:rPr>
        <w:t xml:space="preserve"> Освен ако съответните държави членки са представили друга информация, вливанията на капитал, за които е налична достатъчно подробна информация, са включени в прогнозата като финансови трансакции, т.е. като увеличаващи дълга, но не и дефицита. Държавните гаранции за банковите пасиви и депозитите не са включени като разходи на сектор „Държавно управление“, освен ако не са налице доказателства, че те са били изискани към момента на приключване на прогнозата. Следва да се отбележи обаче, че заемите, предоставени на банки от страна на правителството или от други субекти, класифицирани в сектор „Държавно управление“, обикновено са част от държавния дълг.</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За 2018 г. са взети предвид всички бюджети, които са били приети или са били представени пред националните парламенти, както и всички други мерки, за които има достатъчно данни. По-специално, цялата информация, включена в проектите на бюджетни планове (ПБП), подадени до средата на октомври, е отразена в прогнозата от есента. По отношение на 2019 г. използваното в прогнозата допускане, че няма да има промяна в провежданата политика, предполага екстраполиране на тенденциите за приходите и разходите и включване на мерките, за които има достатъчно подробна информация. </w:t>
      </w:r>
    </w:p>
    <w:p>
      <w:pPr>
        <w:spacing w:before="120" w:after="120" w:line="240" w:lineRule="auto"/>
        <w:jc w:val="both"/>
        <w:rPr>
          <w:rFonts w:ascii="Times New Roman" w:hAnsi="Times New Roman"/>
          <w:noProof/>
          <w:sz w:val="24"/>
          <w:szCs w:val="24"/>
        </w:rPr>
      </w:pPr>
      <w:r>
        <w:rPr>
          <w:rFonts w:ascii="Times New Roman" w:hAnsi="Times New Roman"/>
          <w:noProof/>
          <w:sz w:val="24"/>
        </w:rPr>
        <w:t>В прогнозата за периода 2017—2019 г. европейските обобщени данни за консолидирания дълг на сектор „Държавно управление“ са публикувани на неконсолидирана основа (т.е. не са коригирани с междуправителствените заеми). За да се осигури съгласуваност в динамичните редове, данните за предходните периоди също са публикувани на тази основа. Прогнозите за консолидирания държавен дълг за отделните държави членки през периода 2017—2019 г. отразяват въздействието на гаранциите за Европейския инструмент за финансова стабилност (ЕИФС), двустранните заеми за други държави членки, както и участието в капитала на ЕМС, както бе предвидено към крайната дата за изготвяне на прогнозата</w:t>
      </w:r>
      <w:r>
        <w:rPr>
          <w:rStyle w:val="FootnoteReference"/>
          <w:rFonts w:ascii="Times New Roman" w:hAnsi="Times New Roman"/>
          <w:noProof/>
          <w:sz w:val="24"/>
        </w:rPr>
        <w:footnoteReference w:id="3"/>
      </w:r>
      <w:r>
        <w:rPr>
          <w:rFonts w:ascii="Times New Roman" w:hAnsi="Times New Roman"/>
          <w:noProof/>
          <w:sz w:val="24"/>
        </w:rPr>
        <w:t>.</w:t>
      </w:r>
    </w:p>
    <w:p>
      <w:pPr>
        <w:spacing w:before="120" w:after="120" w:line="240" w:lineRule="auto"/>
        <w:jc w:val="both"/>
        <w:rPr>
          <w:rFonts w:ascii="Times New Roman" w:hAnsi="Times New Roman"/>
          <w:noProof/>
          <w:sz w:val="24"/>
          <w:szCs w:val="24"/>
        </w:rPr>
      </w:pPr>
      <w:r>
        <w:rPr>
          <w:rFonts w:ascii="Times New Roman" w:hAnsi="Times New Roman"/>
          <w:noProof/>
          <w:sz w:val="24"/>
        </w:rPr>
        <w:t>Според прогнозата на Комисията от есента на 2017 г. бюджетните мерки, докладвани в ПБП за 2018 г., водят до леко намаляване на общия дефицит (въздействието е по-малко от 0,1 % от БВП). Това се дължи изцяло на съвкупното въздействие на разходните мерки, докато приходните мерки са неутрални като цяло. Като цяло механичното въздействие върху растежа на БВП в краткосрочен план се очаква да бъде незначително.</w:t>
      </w:r>
    </w:p>
    <w:p>
      <w:pPr>
        <w:spacing w:before="120" w:after="120" w:line="240" w:lineRule="auto"/>
        <w:jc w:val="both"/>
        <w:rPr>
          <w:rFonts w:ascii="Times New Roman" w:hAnsi="Times New Roman"/>
          <w:noProof/>
          <w:sz w:val="24"/>
          <w:szCs w:val="24"/>
        </w:rPr>
      </w:pPr>
      <w:r>
        <w:rPr>
          <w:rFonts w:ascii="Times New Roman" w:hAnsi="Times New Roman"/>
          <w:noProof/>
          <w:sz w:val="24"/>
        </w:rPr>
        <w:t xml:space="preserve">Важно е тези прогнози да се тълкуват с известна предпазливост: </w:t>
      </w:r>
    </w:p>
    <w:p>
      <w:pPr>
        <w:pStyle w:val="ListParagraph"/>
        <w:numPr>
          <w:ilvl w:val="0"/>
          <w:numId w:val="3"/>
        </w:numPr>
        <w:spacing w:before="120" w:after="120" w:line="240" w:lineRule="auto"/>
        <w:ind w:left="425" w:hanging="425"/>
        <w:jc w:val="both"/>
        <w:rPr>
          <w:rFonts w:ascii="Times New Roman" w:hAnsi="Times New Roman"/>
          <w:noProof/>
          <w:sz w:val="24"/>
          <w:szCs w:val="24"/>
        </w:rPr>
      </w:pPr>
      <w:r>
        <w:rPr>
          <w:rFonts w:ascii="Times New Roman" w:hAnsi="Times New Roman"/>
          <w:noProof/>
          <w:sz w:val="24"/>
        </w:rPr>
        <w:t xml:space="preserve">непредприемането на действия за преодоляване на фискалните дисбаланси би могло да засили нестабилността на финансовите активи и да доведе до по-високи спредове и лихвени проценти, които влияят отрицателно върху растежа. </w:t>
      </w:r>
    </w:p>
    <w:p>
      <w:pPr>
        <w:pStyle w:val="ListParagraph"/>
        <w:numPr>
          <w:ilvl w:val="0"/>
          <w:numId w:val="3"/>
        </w:numPr>
        <w:spacing w:before="120" w:after="120" w:line="240" w:lineRule="auto"/>
        <w:ind w:left="425" w:hanging="425"/>
        <w:jc w:val="both"/>
        <w:rPr>
          <w:rFonts w:ascii="Times New Roman" w:hAnsi="Times New Roman"/>
          <w:noProof/>
          <w:sz w:val="24"/>
          <w:szCs w:val="24"/>
        </w:rPr>
      </w:pPr>
      <w:r>
        <w:rPr>
          <w:rFonts w:ascii="Times New Roman" w:hAnsi="Times New Roman"/>
          <w:noProof/>
          <w:sz w:val="24"/>
        </w:rPr>
        <w:t>Целта на регламента е да се направи оценка на въздействието на мерките, предприети в рамките на ПБП. Ето защо мерките, приети и влезли в сила преди ПБП, не са включени в оценката (дори да могат да окажат допълнително въздействие върху прогнозите за публичните финанси за 2018 г.).</w:t>
      </w:r>
    </w:p>
    <w:p>
      <w:pPr>
        <w:pStyle w:val="ListParagraph"/>
        <w:numPr>
          <w:ilvl w:val="0"/>
          <w:numId w:val="3"/>
        </w:numPr>
        <w:spacing w:before="120" w:after="120" w:line="240" w:lineRule="auto"/>
        <w:ind w:left="425" w:hanging="425"/>
        <w:jc w:val="both"/>
        <w:rPr>
          <w:rFonts w:ascii="Times New Roman" w:hAnsi="Times New Roman"/>
          <w:noProof/>
          <w:sz w:val="24"/>
          <w:szCs w:val="24"/>
        </w:rPr>
      </w:pPr>
      <w:r>
        <w:rPr>
          <w:rFonts w:ascii="Times New Roman" w:hAnsi="Times New Roman"/>
          <w:noProof/>
          <w:sz w:val="24"/>
        </w:rPr>
        <w:t>Предприетите мерки, които влизат в сила през 2018 г., също могат да компенсират съществуващите мерки с еднократен ефект през 2017 г. или тенденцията за нарастване на някои разходи.</w:t>
      </w:r>
      <w:bookmarkStart w:id="8" w:name="_Toc493749348"/>
      <w:r>
        <w:rPr>
          <w:rFonts w:ascii="Times New Roman" w:hAnsi="Times New Roman"/>
          <w:noProof/>
          <w:sz w:val="24"/>
        </w:rPr>
        <w:t xml:space="preserve"> Базовият сценарий, спрямо който горепосочените разходни мерки се докладват, сам по себе си предполага експанзионистична позиция. Това се илюстрира от факта, че въпреки незначителното въздействие върху намаляването на дефицита на мерките по ПБП, съвкупната фискална позиция през 2018 г. е умерено експанзионистична.</w:t>
      </w:r>
      <w:r>
        <w:rPr>
          <w:noProof/>
        </w:rPr>
        <w:br w:type="page"/>
      </w:r>
    </w:p>
    <w:p>
      <w:pPr>
        <w:pStyle w:val="Heading1"/>
        <w:rPr>
          <w:rFonts w:ascii="Times New Roman" w:hAnsi="Times New Roman"/>
          <w:noProof/>
        </w:rPr>
      </w:pPr>
      <w:r>
        <w:rPr>
          <w:rFonts w:ascii="Times New Roman" w:hAnsi="Times New Roman"/>
          <w:noProof/>
        </w:rPr>
        <w:t xml:space="preserve">ПРИЛОЖЕНИЕ III: </w:t>
      </w:r>
      <w:bookmarkEnd w:id="7"/>
      <w:r>
        <w:rPr>
          <w:rFonts w:ascii="Times New Roman" w:hAnsi="Times New Roman"/>
          <w:noProof/>
        </w:rPr>
        <w:t>Анализ на чувствителността</w:t>
      </w:r>
      <w:bookmarkEnd w:id="8"/>
    </w:p>
    <w:p>
      <w:pPr>
        <w:spacing w:line="240" w:lineRule="auto"/>
        <w:jc w:val="both"/>
        <w:rPr>
          <w:rFonts w:ascii="Times New Roman" w:hAnsi="Times New Roman"/>
          <w:noProof/>
          <w:sz w:val="24"/>
        </w:rPr>
      </w:pPr>
      <w:r>
        <w:rPr>
          <w:rFonts w:ascii="Times New Roman" w:hAnsi="Times New Roman"/>
          <w:noProof/>
          <w:sz w:val="24"/>
        </w:rPr>
        <w:t>Съгласно член 7 от Регламент (ЕС) № 473/2013 „Докладът с общата оценка включва анализи на влиянието на променливите, които посочват рисковете за устойчивостта на публичните финанси в случай на неблагоприятно икономическо, финансово или бюджетно развитие.“ С оглед на това в настоящото приложение се прави анализ на изменението на държавния дълг в резултат на евентуални макроикономически сътресения (в зависимост от растежа, лихвените проценти и първичното салдо на консолидирания държавен бюджет), който се опира на резултатите от стохастични прогнози за дълга</w:t>
      </w:r>
      <w:r>
        <w:rPr>
          <w:rFonts w:ascii="Times New Roman" w:hAnsi="Times New Roman"/>
          <w:noProof/>
          <w:sz w:val="24"/>
          <w:vertAlign w:val="superscript"/>
        </w:rPr>
        <w:footnoteReference w:id="4"/>
      </w:r>
      <w:r>
        <w:rPr>
          <w:rFonts w:ascii="Times New Roman" w:hAnsi="Times New Roman"/>
          <w:noProof/>
          <w:sz w:val="24"/>
        </w:rPr>
        <w:t>. Анализът позволява да се направи оценка на евентуалното въздействие върху динамиката на държавния дълг на неблагоприятните и благоприятните рискови фактори за растежа на номиналния БВП, ефекта на положителното/отрицателното развитие на финансовите пазари, който се изразява в по-ниска/по-висока цена на заемните средства за правителствата, както и на финансовите сътресения, които се отразяват на състоянието на държавния бюджет.</w:t>
      </w:r>
    </w:p>
    <w:p>
      <w:pPr>
        <w:spacing w:line="240" w:lineRule="auto"/>
        <w:jc w:val="both"/>
        <w:rPr>
          <w:rFonts w:ascii="Times New Roman" w:hAnsi="Times New Roman"/>
          <w:noProof/>
          <w:sz w:val="24"/>
        </w:rPr>
      </w:pPr>
      <w:r>
        <w:rPr>
          <w:rFonts w:ascii="Times New Roman" w:hAnsi="Times New Roman"/>
          <w:noProof/>
          <w:sz w:val="24"/>
        </w:rPr>
        <w:t>Със стохастични прогнози неяснотата по отношение на бъдещите макроикономически условия се включва в анализа на динамиката на държавния дълг около един „основен“ прогнозен сценарий за дълга, който в двете части на графиката по-долу съответства на резултатите за разглежданите 18 държави членки от еврозоната респективно по сценария, включен в прогнозата на Комисията от есента на 2017 г., и по прогнозния сценарий съгласно проектите на бюджетните планове (ПБП) (и в двата случая обичайното допускане за запазване на непроменена фискална политика важи и за времето извън прогнозния период)</w:t>
      </w:r>
      <w:r>
        <w:rPr>
          <w:rFonts w:ascii="Times New Roman" w:hAnsi="Times New Roman"/>
          <w:noProof/>
          <w:sz w:val="24"/>
          <w:vertAlign w:val="superscript"/>
        </w:rPr>
        <w:footnoteReference w:id="5"/>
      </w:r>
      <w:r>
        <w:rPr>
          <w:rFonts w:ascii="Times New Roman" w:hAnsi="Times New Roman"/>
          <w:noProof/>
          <w:sz w:val="24"/>
        </w:rPr>
        <w:t>. За да се получи „конусът“ (разпределението) на възможните посоки на изменение на дълга, които са представени на графиката по-долу, към макроикономическите условия (краткосрочни и дългосрочни лихвени проценти по държавните облигации, темп на растеж, първично салдо в сектор „Държавно управление“), възприети в основния сценарий, се симулират сътресения. Конусът съответства на множество възможни макроикономически условия и включва симулация на около 2000 различни сътресения по отношение на растежа, лихвените проценти и първичното салдо. Размерът и корелацията на сътресенията отразяват поведението на променливите през минали периоди</w:t>
      </w:r>
      <w:r>
        <w:rPr>
          <w:rFonts w:ascii="Times New Roman" w:hAnsi="Times New Roman"/>
          <w:noProof/>
          <w:sz w:val="24"/>
          <w:vertAlign w:val="superscript"/>
        </w:rPr>
        <w:footnoteReference w:id="6"/>
      </w:r>
      <w:r>
        <w:rPr>
          <w:rFonts w:ascii="Times New Roman" w:hAnsi="Times New Roman"/>
          <w:noProof/>
          <w:sz w:val="24"/>
        </w:rPr>
        <w:t>. Това означава, че методиката не включва действителната несигурност, която в настоящия момент може да бъде по-висока, по-специално що се отнася до разликата между фактическия и потенциалния БВП. Така диаграмите в графиката по-долу представят вероятностна информация за динамиката на дълга за разглежданите 18 държави членки от еврозоната, като се вземе предвид евентуалното възникване на сътресения за растежа, лихвените проценти и първичното салдо, чиито мащаб и корелация са точно отражение на наблюдаваните в минали периоди сътресения.</w:t>
      </w:r>
    </w:p>
    <w:p>
      <w:pPr>
        <w:spacing w:line="240" w:lineRule="auto"/>
        <w:jc w:val="both"/>
        <w:rPr>
          <w:rFonts w:ascii="Times New Roman" w:hAnsi="Times New Roman"/>
          <w:noProof/>
          <w:sz w:val="24"/>
        </w:rPr>
      </w:pPr>
      <w:r>
        <w:rPr>
          <w:rFonts w:ascii="Times New Roman" w:hAnsi="Times New Roman"/>
          <w:noProof/>
          <w:sz w:val="24"/>
        </w:rPr>
        <w:t>В диаграмите прогнозното развитие на дълга по основния сценарий (за който са симулирани макроикономически сътресения) е представено като прекъсната линия, а прогнозната крива на дълга (медианата), която разделя на две целия набор от възможни траектории, получени при симулацията на сътресенията, е изобразена като плътна черна линия в центъра на конуса. Самият конус покрива 80 % от всички възможни посоки на развитие на дълга, получени чрез симулация на 2000 сътресения по отношение на растежа, лихвените проценти и първичното салдо (като долната и горната линия, очертаващи конуса, представляват съответно 10-тия и 90-тия процентил на разпределението); по този начин от защрихованата област на диаграмата са изключени симулираните посоки на развитие на дълга (20 % от всички възможности), произтичаща от по-крайни (по-слабо вероятни) сътресения, т.е. случаи от крайните участъци на разпределението. Защрихованите по различен начин части в конуса представляват различни части на общото разпределение на възможните посоки на развитие на дълга. Оцветената в тъмносиньо част (очертана от 40-тия и 60-тия процентил) включва 20 % от всички възможности за развитие на дълга, които се доближават до основния сценарий.</w:t>
      </w:r>
    </w:p>
    <w:p>
      <w:pPr>
        <w:spacing w:line="240" w:lineRule="auto"/>
        <w:jc w:val="center"/>
        <w:rPr>
          <w:rFonts w:ascii="Times New Roman" w:hAnsi="Times New Roman"/>
          <w:b/>
          <w:noProof/>
        </w:rPr>
      </w:pPr>
      <w:r>
        <w:rPr>
          <w:rFonts w:ascii="Times New Roman" w:hAnsi="Times New Roman"/>
          <w:b/>
          <w:noProof/>
        </w:rPr>
        <w:t>Графика III.1: Диаграми, получени чрез стохастични прогнози на държавния дълг по сценария, включен в прогнозата на Комисията, и прогнозния сценарий, предвиден в проектите на бюджетни планове (ПБП)</w:t>
      </w:r>
    </w:p>
    <w:tbl>
      <w:tblPr>
        <w:tblW w:w="0" w:type="auto"/>
        <w:jc w:val="center"/>
        <w:tblLook w:val="04A0" w:firstRow="1" w:lastRow="0" w:firstColumn="1" w:lastColumn="0" w:noHBand="0" w:noVBand="1"/>
      </w:tblPr>
      <w:tblGrid>
        <w:gridCol w:w="9071"/>
      </w:tblGrid>
      <w:tr>
        <w:trPr>
          <w:trHeight w:val="5029"/>
          <w:jc w:val="center"/>
        </w:trPr>
        <w:tc>
          <w:tcPr>
            <w:tcW w:w="9071" w:type="dxa"/>
            <w:shd w:val="clear" w:color="auto" w:fill="auto"/>
          </w:tcPr>
          <w:p>
            <w:pPr>
              <w:spacing w:after="0" w:line="240" w:lineRule="auto"/>
              <w:jc w:val="center"/>
              <w:rPr>
                <w:rFonts w:ascii="Times New Roman" w:hAnsi="Times New Roman"/>
                <w:b/>
                <w:noProof/>
              </w:rPr>
            </w:pPr>
            <w:r>
              <w:rPr>
                <w:rFonts w:ascii="Times New Roman" w:hAnsi="Times New Roman"/>
                <w:b/>
                <w:noProof/>
                <w:lang w:val="en-US" w:eastAsia="en-US" w:bidi="ar-SA"/>
              </w:rPr>
              <w:drawing>
                <wp:inline distT="0" distB="0" distL="0" distR="0">
                  <wp:extent cx="5364944" cy="35528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64944" cy="3552825"/>
                          </a:xfrm>
                          <a:prstGeom prst="rect">
                            <a:avLst/>
                          </a:prstGeom>
                          <a:noFill/>
                          <a:ln>
                            <a:noFill/>
                          </a:ln>
                        </pic:spPr>
                      </pic:pic>
                    </a:graphicData>
                  </a:graphic>
                </wp:inline>
              </w:drawing>
            </w:r>
          </w:p>
        </w:tc>
      </w:tr>
      <w:tr>
        <w:trPr>
          <w:jc w:val="center"/>
        </w:trPr>
        <w:tc>
          <w:tcPr>
            <w:tcW w:w="9071" w:type="dxa"/>
            <w:shd w:val="clear" w:color="auto" w:fill="auto"/>
          </w:tcPr>
          <w:p>
            <w:pPr>
              <w:spacing w:after="0" w:line="240" w:lineRule="auto"/>
              <w:jc w:val="center"/>
              <w:rPr>
                <w:rFonts w:ascii="Times New Roman" w:hAnsi="Times New Roman"/>
                <w:b/>
                <w:noProof/>
              </w:rPr>
            </w:pPr>
          </w:p>
          <w:p>
            <w:pPr>
              <w:spacing w:after="0" w:line="240" w:lineRule="auto"/>
              <w:jc w:val="center"/>
              <w:rPr>
                <w:rFonts w:ascii="Times New Roman" w:hAnsi="Times New Roman"/>
                <w:b/>
                <w:noProof/>
              </w:rPr>
            </w:pPr>
            <w:r>
              <w:rPr>
                <w:rFonts w:ascii="Times New Roman" w:hAnsi="Times New Roman"/>
                <w:b/>
                <w:noProof/>
                <w:lang w:val="en-US" w:eastAsia="en-US" w:bidi="ar-SA"/>
              </w:rPr>
              <w:drawing>
                <wp:inline distT="0" distB="0" distL="0" distR="0">
                  <wp:extent cx="5372100" cy="38882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72100" cy="3888292"/>
                          </a:xfrm>
                          <a:prstGeom prst="rect">
                            <a:avLst/>
                          </a:prstGeom>
                          <a:noFill/>
                          <a:ln>
                            <a:noFill/>
                          </a:ln>
                        </pic:spPr>
                      </pic:pic>
                    </a:graphicData>
                  </a:graphic>
                </wp:inline>
              </w:drawing>
            </w:r>
          </w:p>
        </w:tc>
      </w:tr>
    </w:tbl>
    <w:p>
      <w:pPr>
        <w:spacing w:line="240" w:lineRule="auto"/>
        <w:jc w:val="both"/>
        <w:rPr>
          <w:rFonts w:ascii="Times New Roman" w:hAnsi="Times New Roman"/>
          <w:noProof/>
        </w:rPr>
      </w:pPr>
    </w:p>
    <w:p>
      <w:pPr>
        <w:spacing w:line="240" w:lineRule="auto"/>
        <w:jc w:val="both"/>
        <w:rPr>
          <w:rFonts w:ascii="Times New Roman" w:hAnsi="Times New Roman"/>
          <w:noProof/>
          <w:sz w:val="24"/>
        </w:rPr>
      </w:pPr>
      <w:r>
        <w:rPr>
          <w:rFonts w:ascii="Times New Roman" w:hAnsi="Times New Roman"/>
          <w:noProof/>
          <w:sz w:val="24"/>
        </w:rPr>
        <w:t xml:space="preserve">За прогнозните сценарии на Комисията и на ПБП, като се отчитат благоприятните и неблагоприятните рискови фактори за първичното салдо на консолидирания държавен бюджет, растежа и условията на финансовите пазари, при вероятност от 80 % (тъй като конусът представлява 80 % от всички възможни симулирани посоки на развитие на дълга) дългът в еврозоната (ЕЗ-18) през 2018 г. се прогнозира между 83 % и 89 % от БВП. Така долната и горната граница на интервала за съотношението на дълга през 2018 г. са разположени по доста подобен начин при прогнозния сценарий на Комисията в сравнение със сценария, включен в ПБП, поради много малката разлика между съответните основни прогнози, за които е направена симулацията на макроикономическите сътресения (съотношение на дълга към БВП от около 86 % при сценария на Комисията и при сценария в ПБП). </w:t>
      </w:r>
    </w:p>
    <w:p>
      <w:pPr>
        <w:spacing w:line="240" w:lineRule="auto"/>
        <w:jc w:val="both"/>
        <w:rPr>
          <w:rFonts w:ascii="Times New Roman" w:hAnsi="Times New Roman"/>
          <w:noProof/>
          <w:sz w:val="24"/>
        </w:rPr>
      </w:pPr>
      <w:r>
        <w:rPr>
          <w:rFonts w:ascii="Times New Roman" w:hAnsi="Times New Roman"/>
          <w:noProof/>
          <w:sz w:val="24"/>
        </w:rPr>
        <w:t>За периода след 2018 г. (хоризонта на настоящите ПБП) резултатите от симулацията показват, че разликата между двата сценария по отношение на прогнозираните съотношения на дълга към БВП при наличие на сътресения остава много ограничена. В края на обхванатия от диаграмите прогнозен период (2022 г.) ще има 50 % вероятност съотношението на дълга към БВП да бъде над 79 % и 80 % от БВП при сценариите съответно в ПБП и на Комисията. Тази малка разлика се дължи главно на първичното структурно салдо, което се запазва на малко по-високо последно прогнозно ниво на излишъка в сценария в ПБП спрямо сценария на Комисията.</w:t>
      </w:r>
    </w:p>
    <w:p>
      <w:pPr>
        <w:spacing w:line="240" w:lineRule="auto"/>
        <w:jc w:val="both"/>
        <w:rPr>
          <w:rFonts w:ascii="Times New Roman" w:hAnsi="Times New Roman"/>
          <w:noProof/>
          <w:sz w:val="24"/>
        </w:rPr>
      </w:pPr>
      <w:r>
        <w:rPr>
          <w:rFonts w:ascii="Times New Roman" w:hAnsi="Times New Roman"/>
          <w:noProof/>
          <w:sz w:val="24"/>
        </w:rPr>
        <w:t>Следва да се отбележи, че тъй като размерът и корелацията на сътресенията отразяват динамиката на променливите през минали периоди, методиката не отразява действителната несигурност, която може да е налице по-специално при оценката на разликата между фактическия и потенциалния БВП. Като се има предвид предишният опит, свързан със съществени преразглеждания на прогнозираната разлика между фактическия и БВП, често пъти в посока по-нисък потенциален БВП от постигнатия в действителност, основателно е да се смята, че съществува допълнителен източник на риск по отношение на посоките на развитие на дълга в бъдеще, който не е отразен в предходния анализ.</w:t>
      </w:r>
    </w:p>
    <w:p>
      <w:pPr>
        <w:spacing w:after="0" w:line="240" w:lineRule="auto"/>
        <w:ind w:left="720" w:hanging="720"/>
        <w:jc w:val="center"/>
        <w:rPr>
          <w:rFonts w:ascii="Times New Roman" w:hAnsi="Times New Roman"/>
          <w:noProof/>
        </w:rPr>
      </w:pPr>
    </w:p>
    <w:p>
      <w:pPr>
        <w:spacing w:after="0" w:line="240" w:lineRule="auto"/>
        <w:rPr>
          <w:rFonts w:ascii="Times New Roman" w:hAnsi="Times New Roman"/>
          <w:b/>
          <w:bCs/>
          <w:noProof/>
          <w:sz w:val="26"/>
          <w:szCs w:val="26"/>
        </w:rPr>
      </w:pPr>
      <w:r>
        <w:rPr>
          <w:noProof/>
        </w:rPr>
        <w:br w:type="page"/>
      </w:r>
    </w:p>
    <w:p>
      <w:pPr>
        <w:pStyle w:val="Heading1"/>
        <w:rPr>
          <w:rFonts w:ascii="Times New Roman" w:hAnsi="Times New Roman"/>
          <w:noProof/>
        </w:rPr>
      </w:pPr>
      <w:r>
        <w:rPr>
          <w:rFonts w:ascii="Times New Roman" w:hAnsi="Times New Roman"/>
          <w:noProof/>
        </w:rPr>
        <w:t>ПРИЛОЖЕНИЕ IV. Графики и таблици</w:t>
      </w:r>
    </w:p>
    <w:p>
      <w:pPr>
        <w:keepNext/>
        <w:rPr>
          <w:rFonts w:ascii="Times New Roman" w:hAnsi="Times New Roman"/>
          <w:b/>
          <w:noProof/>
          <w:sz w:val="24"/>
          <w:szCs w:val="24"/>
        </w:rPr>
      </w:pPr>
      <w:r>
        <w:rPr>
          <w:rFonts w:ascii="Times New Roman" w:hAnsi="Times New Roman"/>
          <w:b/>
          <w:noProof/>
          <w:sz w:val="24"/>
        </w:rPr>
        <w:t>Таблица IV.1: Ръст на реалния БВП (в %) за разглежданите 18 държави членки от еврозоната съгласно програмите за стабилност (ПС), проектите на бюджетни планове (ПБП) и прогнозата на Комисията от есента на 2017 г. (ЕК)</w:t>
      </w:r>
    </w:p>
    <w:p>
      <w:pPr>
        <w:keepNext/>
        <w:jc w:val="center"/>
        <w:rPr>
          <w:rFonts w:ascii="Times New Roman" w:hAnsi="Times New Roman"/>
          <w:b/>
          <w:noProof/>
          <w:sz w:val="24"/>
          <w:szCs w:val="24"/>
        </w:rPr>
      </w:pPr>
      <w:r>
        <w:rPr>
          <w:noProof/>
          <w:lang w:val="en-US" w:eastAsia="en-US" w:bidi="ar-SA"/>
        </w:rPr>
        <w:drawing>
          <wp:inline distT="0" distB="0" distL="0" distR="0">
            <wp:extent cx="4278630" cy="403987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8630" cy="4039870"/>
                    </a:xfrm>
                    <a:prstGeom prst="rect">
                      <a:avLst/>
                    </a:prstGeom>
                    <a:noFill/>
                    <a:ln>
                      <a:noFill/>
                    </a:ln>
                  </pic:spPr>
                </pic:pic>
              </a:graphicData>
            </a:graphic>
          </wp:inline>
        </w:drawing>
      </w:r>
    </w:p>
    <w:p>
      <w:pPr>
        <w:rPr>
          <w:rFonts w:ascii="Times New Roman" w:hAnsi="Times New Roman"/>
          <w:noProof/>
        </w:rPr>
      </w:pPr>
    </w:p>
    <w:p>
      <w:pPr>
        <w:keepNext/>
        <w:rPr>
          <w:rFonts w:ascii="Times New Roman" w:hAnsi="Times New Roman"/>
          <w:b/>
          <w:noProof/>
          <w:sz w:val="24"/>
          <w:szCs w:val="24"/>
        </w:rPr>
      </w:pPr>
      <w:r>
        <w:rPr>
          <w:rFonts w:ascii="Times New Roman" w:hAnsi="Times New Roman"/>
          <w:b/>
          <w:noProof/>
          <w:sz w:val="24"/>
        </w:rPr>
        <w:t>Таблица IV.2: Цели за номиналното салдо (в % от БВП) за разглежданите 18 държави членки от еврозоната съгласно програмите за стабилност (ПС), проектите на бюджетни планове (ПБП) и прогнозата на Комисията от есента на 2017 г. (ЕК)</w:t>
      </w:r>
    </w:p>
    <w:p>
      <w:pPr>
        <w:jc w:val="center"/>
        <w:rPr>
          <w:rFonts w:ascii="Times New Roman" w:hAnsi="Times New Roman"/>
          <w:b/>
          <w:noProof/>
          <w:sz w:val="24"/>
          <w:szCs w:val="24"/>
        </w:rPr>
      </w:pPr>
      <w:r>
        <w:rPr>
          <w:noProof/>
          <w:lang w:val="en-US" w:eastAsia="en-US" w:bidi="ar-SA"/>
        </w:rPr>
        <w:drawing>
          <wp:inline distT="0" distB="0" distL="0" distR="0">
            <wp:extent cx="4278630" cy="403987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78630" cy="4039870"/>
                    </a:xfrm>
                    <a:prstGeom prst="rect">
                      <a:avLst/>
                    </a:prstGeom>
                    <a:noFill/>
                    <a:ln>
                      <a:noFill/>
                    </a:ln>
                  </pic:spPr>
                </pic:pic>
              </a:graphicData>
            </a:graphic>
          </wp:inline>
        </w:drawing>
      </w:r>
    </w:p>
    <w:p>
      <w:pPr>
        <w:rPr>
          <w:rFonts w:ascii="Times New Roman" w:hAnsi="Times New Roman"/>
          <w:b/>
          <w:noProof/>
          <w:sz w:val="24"/>
          <w:szCs w:val="24"/>
        </w:rPr>
      </w:pPr>
      <w:r>
        <w:rPr>
          <w:noProof/>
        </w:rPr>
        <w:br w:type="page"/>
      </w:r>
    </w:p>
    <w:p>
      <w:pPr>
        <w:keepNext/>
        <w:spacing w:after="0" w:line="240" w:lineRule="auto"/>
        <w:rPr>
          <w:rFonts w:ascii="Times New Roman" w:hAnsi="Times New Roman"/>
          <w:b/>
          <w:noProof/>
          <w:sz w:val="24"/>
          <w:szCs w:val="24"/>
        </w:rPr>
      </w:pPr>
      <w:r>
        <w:rPr>
          <w:rFonts w:ascii="Times New Roman" w:hAnsi="Times New Roman"/>
          <w:b/>
          <w:noProof/>
          <w:sz w:val="24"/>
        </w:rPr>
        <w:t>Графика IV.1: Сравнение на номиналното салдо на сектор „Държавно управление“ (% от БВП), заложено за 2018 г. в прогнозата на Комисията от есента на 2017 г. (ЕК) и в проектите на бюджетни планове (ПБП)</w:t>
      </w:r>
    </w:p>
    <w:p>
      <w:pPr>
        <w:keepNext/>
        <w:spacing w:after="0"/>
        <w:rPr>
          <w:rFonts w:ascii="Times New Roman" w:hAnsi="Times New Roman"/>
          <w:b/>
          <w:noProof/>
          <w:sz w:val="24"/>
          <w:szCs w:val="24"/>
        </w:rPr>
      </w:pPr>
      <w:r>
        <w:rPr>
          <w:noProof/>
          <w:lang w:val="en-US" w:eastAsia="en-US" w:bidi="ar-SA"/>
        </w:rPr>
        <w:drawing>
          <wp:inline distT="0" distB="0" distL="0" distR="0">
            <wp:extent cx="5514975" cy="3691628"/>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12532" cy="3689993"/>
                    </a:xfrm>
                    <a:prstGeom prst="rect">
                      <a:avLst/>
                    </a:prstGeom>
                    <a:noFill/>
                    <a:ln>
                      <a:noFill/>
                    </a:ln>
                  </pic:spPr>
                </pic:pic>
              </a:graphicData>
            </a:graphic>
          </wp:inline>
        </w:drawing>
      </w:r>
    </w:p>
    <w:p>
      <w:pPr>
        <w:autoSpaceDE w:val="0"/>
        <w:autoSpaceDN w:val="0"/>
        <w:adjustRightInd w:val="0"/>
        <w:spacing w:after="120" w:line="240" w:lineRule="auto"/>
        <w:jc w:val="both"/>
        <w:rPr>
          <w:rFonts w:ascii="Times New Roman" w:hAnsi="Times New Roman"/>
          <w:noProof/>
          <w:spacing w:val="-6"/>
          <w:sz w:val="20"/>
          <w:szCs w:val="20"/>
        </w:rPr>
      </w:pPr>
      <w:r>
        <w:rPr>
          <w:rFonts w:ascii="Times New Roman" w:hAnsi="Times New Roman"/>
          <w:noProof/>
          <w:spacing w:val="-6"/>
          <w:sz w:val="20"/>
        </w:rPr>
        <w:t>Забележка: Графиката показва номиналните бюджетни салда за 2018 г. от ПБП (хоризонтална ос) спрямо предвижданията в прогнозата на Комисията от есента на 2017 г. (вертикална ос). Държавите членки над (под) бисектрисата са тези, при които Комисията прогнозира по-ниско (по-високо) номинално салдо, отколкото ПБП.</w:t>
      </w:r>
    </w:p>
    <w:p>
      <w:pPr>
        <w:autoSpaceDE w:val="0"/>
        <w:autoSpaceDN w:val="0"/>
        <w:adjustRightInd w:val="0"/>
        <w:spacing w:after="0" w:line="240" w:lineRule="auto"/>
        <w:jc w:val="both"/>
        <w:rPr>
          <w:rFonts w:ascii="Times New Roman" w:hAnsi="Times New Roman"/>
          <w:b/>
          <w:noProof/>
          <w:sz w:val="24"/>
          <w:szCs w:val="24"/>
        </w:rPr>
      </w:pPr>
      <w:r>
        <w:rPr>
          <w:rFonts w:ascii="Times New Roman" w:hAnsi="Times New Roman"/>
          <w:b/>
          <w:noProof/>
          <w:sz w:val="24"/>
        </w:rPr>
        <w:t xml:space="preserve">Графика IV.2: Компоненти на разликата в целевите равнища за номиналното салдо (в % от БВП) за 2018 г. между прогнозата на Комисията от есента на 2017 г. и проектите на бюджетни планове </w:t>
      </w:r>
    </w:p>
    <w:p>
      <w:pPr>
        <w:keepNext/>
        <w:spacing w:after="0"/>
        <w:rPr>
          <w:rFonts w:ascii="Times New Roman" w:hAnsi="Times New Roman"/>
          <w:b/>
          <w:noProof/>
          <w:sz w:val="24"/>
          <w:szCs w:val="24"/>
        </w:rPr>
      </w:pPr>
      <w:r>
        <w:rPr>
          <w:noProof/>
          <w:lang w:val="en-US" w:eastAsia="en-US" w:bidi="ar-SA"/>
        </w:rPr>
        <w:drawing>
          <wp:inline distT="0" distB="0" distL="0" distR="0">
            <wp:extent cx="5390866" cy="2519368"/>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90349" cy="2519126"/>
                    </a:xfrm>
                    <a:prstGeom prst="rect">
                      <a:avLst/>
                    </a:prstGeom>
                    <a:noFill/>
                    <a:ln>
                      <a:noFill/>
                    </a:ln>
                  </pic:spPr>
                </pic:pic>
              </a:graphicData>
            </a:graphic>
          </wp:inline>
        </w:drawing>
      </w:r>
    </w:p>
    <w:p>
      <w:pPr>
        <w:autoSpaceDE w:val="0"/>
        <w:autoSpaceDN w:val="0"/>
        <w:adjustRightInd w:val="0"/>
        <w:spacing w:after="0" w:line="240" w:lineRule="auto"/>
        <w:jc w:val="both"/>
        <w:rPr>
          <w:rFonts w:ascii="Times New Roman" w:hAnsi="Times New Roman"/>
          <w:noProof/>
        </w:rPr>
      </w:pPr>
      <w:r>
        <w:rPr>
          <w:rFonts w:ascii="Times New Roman" w:hAnsi="Times New Roman"/>
          <w:noProof/>
          <w:sz w:val="20"/>
        </w:rPr>
        <w:t>Забележка: В графиката разликата в номиналното салдо за 2018 г. между ПБП и прогнозата на Комисията е показана като въздействието на друга начална точка (базов ефект 2017 г.), въздействието на различните предположения за растеж (ефект на номиналния растеж) и остатъчен дял, който включва разлика в политиките, свързана с очакваното въздействие на мерките. Положителният знак означава, че прогнозата на Комисията е по-оптимистична.</w:t>
      </w:r>
      <w:r>
        <w:rPr>
          <w:noProof/>
        </w:rPr>
        <w:br w:type="page"/>
      </w:r>
    </w:p>
    <w:p>
      <w:pPr>
        <w:rPr>
          <w:rFonts w:ascii="Times New Roman" w:hAnsi="Times New Roman"/>
          <w:b/>
          <w:noProof/>
          <w:sz w:val="24"/>
          <w:szCs w:val="24"/>
        </w:rPr>
      </w:pPr>
      <w:r>
        <w:rPr>
          <w:rFonts w:ascii="Times New Roman" w:hAnsi="Times New Roman"/>
          <w:b/>
          <w:noProof/>
          <w:sz w:val="24"/>
        </w:rPr>
        <w:t>Таблица IV.3: Изменение на структурното салдо (в % от БВП) за разглежданите 18 държави членки от еврозоната, заложено в програмите за стабилност (ПС), проектите на бюджетни планове (ПБП) и прогнозата на Комисията от есента на 2017 г. (ЕК)</w:t>
      </w:r>
    </w:p>
    <w:p>
      <w:pPr>
        <w:jc w:val="center"/>
        <w:rPr>
          <w:rFonts w:ascii="Times New Roman" w:hAnsi="Times New Roman"/>
          <w:noProof/>
        </w:rPr>
      </w:pPr>
      <w:r>
        <w:rPr>
          <w:noProof/>
          <w:lang w:val="en-US" w:eastAsia="en-US" w:bidi="ar-SA"/>
        </w:rPr>
        <w:drawing>
          <wp:inline distT="0" distB="0" distL="0" distR="0">
            <wp:extent cx="4278630" cy="403987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8630" cy="4039870"/>
                    </a:xfrm>
                    <a:prstGeom prst="rect">
                      <a:avLst/>
                    </a:prstGeom>
                    <a:noFill/>
                    <a:ln>
                      <a:noFill/>
                    </a:ln>
                  </pic:spPr>
                </pic:pic>
              </a:graphicData>
            </a:graphic>
          </wp:inline>
        </w:drawing>
      </w:r>
    </w:p>
    <w:p>
      <w:pPr>
        <w:spacing w:after="0" w:line="240" w:lineRule="auto"/>
        <w:rPr>
          <w:rFonts w:ascii="Times New Roman" w:hAnsi="Times New Roman"/>
          <w:b/>
          <w:noProof/>
        </w:rPr>
      </w:pPr>
      <w:r>
        <w:rPr>
          <w:noProof/>
        </w:rPr>
        <w:br w:type="page"/>
      </w:r>
    </w:p>
    <w:p>
      <w:pPr>
        <w:rPr>
          <w:rFonts w:ascii="Times New Roman" w:hAnsi="Times New Roman"/>
          <w:b/>
          <w:noProof/>
          <w:sz w:val="24"/>
          <w:szCs w:val="24"/>
        </w:rPr>
      </w:pPr>
      <w:r>
        <w:rPr>
          <w:rFonts w:ascii="Times New Roman" w:hAnsi="Times New Roman"/>
          <w:b/>
          <w:noProof/>
          <w:sz w:val="24"/>
        </w:rPr>
        <w:t>Таблица IV.4: Изменение на структурното първично салдо (в % от БВП) за разглежданите 18 държави членки от еврозоната съгласно програмите за стабилност (ПС), проектите на бюджетни планове (ПБП) и прогнозата на Комисията от есента на 2017 г. (ЕК)</w:t>
      </w:r>
    </w:p>
    <w:p>
      <w:pPr>
        <w:spacing w:after="0" w:line="240" w:lineRule="auto"/>
        <w:jc w:val="center"/>
        <w:rPr>
          <w:rFonts w:ascii="Times New Roman" w:hAnsi="Times New Roman"/>
          <w:noProof/>
        </w:rPr>
      </w:pPr>
      <w:r>
        <w:rPr>
          <w:noProof/>
          <w:lang w:val="en-US" w:eastAsia="en-US" w:bidi="ar-SA"/>
        </w:rPr>
        <w:drawing>
          <wp:inline distT="0" distB="0" distL="0" distR="0">
            <wp:extent cx="4278630" cy="403987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78630" cy="4039870"/>
                    </a:xfrm>
                    <a:prstGeom prst="rect">
                      <a:avLst/>
                    </a:prstGeom>
                    <a:noFill/>
                    <a:ln>
                      <a:noFill/>
                    </a:ln>
                  </pic:spPr>
                </pic:pic>
              </a:graphicData>
            </a:graphic>
          </wp:inline>
        </w:drawing>
      </w:r>
      <w:r>
        <w:rPr>
          <w:rFonts w:ascii="Times New Roman" w:hAnsi="Times New Roman"/>
          <w:noProof/>
        </w:rPr>
        <w:t xml:space="preserve"> </w:t>
      </w:r>
    </w:p>
    <w:p>
      <w:pPr>
        <w:rPr>
          <w:rFonts w:ascii="Times New Roman" w:hAnsi="Times New Roman"/>
          <w:noProof/>
        </w:rPr>
      </w:pPr>
    </w:p>
    <w:p>
      <w:pPr>
        <w:keepNext/>
        <w:spacing w:after="0"/>
        <w:rPr>
          <w:rFonts w:ascii="Times New Roman" w:hAnsi="Times New Roman"/>
          <w:b/>
          <w:noProof/>
          <w:sz w:val="24"/>
        </w:rPr>
      </w:pPr>
      <w:r>
        <w:rPr>
          <w:rFonts w:ascii="Times New Roman" w:hAnsi="Times New Roman"/>
          <w:b/>
          <w:noProof/>
          <w:sz w:val="24"/>
        </w:rPr>
        <w:t>Графика IV.3: Изменение на структурното салдо през 2018 г. (% от потенциалния БВП): Проекти на бюджетни планове (ПБП) спрямо прогноза на Комисията от есента на 2017 г. (ЕК)</w:t>
      </w:r>
    </w:p>
    <w:p>
      <w:pPr>
        <w:keepNext/>
        <w:spacing w:after="0"/>
        <w:rPr>
          <w:rFonts w:ascii="Times New Roman" w:hAnsi="Times New Roman"/>
          <w:b/>
          <w:noProof/>
          <w:sz w:val="24"/>
          <w:szCs w:val="24"/>
          <w:lang w:val="en-GB"/>
        </w:rPr>
      </w:pPr>
      <w:r>
        <w:rPr>
          <w:noProof/>
          <w:lang w:val="en-US" w:eastAsia="en-US" w:bidi="ar-SA"/>
        </w:rPr>
        <w:drawing>
          <wp:inline distT="0" distB="0" distL="0" distR="0">
            <wp:extent cx="5471595" cy="31146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69171" cy="3113295"/>
                    </a:xfrm>
                    <a:prstGeom prst="rect">
                      <a:avLst/>
                    </a:prstGeom>
                    <a:noFill/>
                    <a:ln>
                      <a:noFill/>
                    </a:ln>
                  </pic:spPr>
                </pic:pic>
              </a:graphicData>
            </a:graphic>
          </wp:inline>
        </w:drawing>
      </w:r>
    </w:p>
    <w:p>
      <w:pPr>
        <w:spacing w:before="120" w:after="0"/>
        <w:rPr>
          <w:rFonts w:ascii="Times New Roman" w:hAnsi="Times New Roman"/>
          <w:b/>
          <w:noProof/>
          <w:sz w:val="24"/>
          <w:szCs w:val="24"/>
        </w:rPr>
      </w:pPr>
      <w:r>
        <w:rPr>
          <w:rFonts w:ascii="Times New Roman" w:hAnsi="Times New Roman"/>
          <w:b/>
          <w:noProof/>
          <w:sz w:val="24"/>
        </w:rPr>
        <w:t>Графика IV.4: Дискреционно фискално усилие през 2018 г. (% от БВП): Проекти на бюджетни планове (ПБП) спрямо прогноза на Комисията от есента на 2017 г. (ЕК)</w:t>
      </w:r>
    </w:p>
    <w:p>
      <w:pPr>
        <w:spacing w:before="120" w:after="0"/>
        <w:rPr>
          <w:rFonts w:ascii="Times New Roman" w:hAnsi="Times New Roman"/>
          <w:b/>
          <w:noProof/>
          <w:sz w:val="24"/>
          <w:szCs w:val="24"/>
        </w:rPr>
      </w:pPr>
      <w:r>
        <w:rPr>
          <w:noProof/>
          <w:lang w:val="en-US" w:eastAsia="en-US" w:bidi="ar-SA"/>
        </w:rPr>
        <w:drawing>
          <wp:inline distT="0" distB="0" distL="0" distR="0">
            <wp:extent cx="5500048" cy="3204991"/>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09707" cy="3210619"/>
                    </a:xfrm>
                    <a:prstGeom prst="rect">
                      <a:avLst/>
                    </a:prstGeom>
                    <a:noFill/>
                    <a:ln>
                      <a:noFill/>
                    </a:ln>
                  </pic:spPr>
                </pic:pic>
              </a:graphicData>
            </a:graphic>
          </wp:inline>
        </w:drawing>
      </w:r>
    </w:p>
    <w:p>
      <w:pPr>
        <w:autoSpaceDE w:val="0"/>
        <w:autoSpaceDN w:val="0"/>
        <w:adjustRightInd w:val="0"/>
        <w:spacing w:after="0" w:line="240" w:lineRule="auto"/>
        <w:jc w:val="both"/>
        <w:rPr>
          <w:rFonts w:ascii="Times New Roman" w:hAnsi="Times New Roman"/>
          <w:noProof/>
          <w:sz w:val="20"/>
          <w:szCs w:val="20"/>
        </w:rPr>
      </w:pPr>
      <w:r>
        <w:rPr>
          <w:rFonts w:ascii="Times New Roman" w:hAnsi="Times New Roman"/>
          <w:noProof/>
          <w:sz w:val="20"/>
        </w:rPr>
        <w:t>Забележка: За изчисляването на дискреционното фискално усилие въз основа на ПБП средната стойност за 10 години на потенциалния темп на растеж в прогнозата на Комисията се използва като референтна ставка за средносрочния икономически растеж.</w:t>
      </w:r>
    </w:p>
    <w:p>
      <w:pPr>
        <w:keepNext/>
        <w:rPr>
          <w:rFonts w:ascii="Times New Roman" w:hAnsi="Times New Roman"/>
          <w:b/>
          <w:noProof/>
          <w:sz w:val="24"/>
          <w:szCs w:val="24"/>
        </w:rPr>
      </w:pPr>
      <w:r>
        <w:rPr>
          <w:rFonts w:ascii="Times New Roman" w:hAnsi="Times New Roman"/>
          <w:b/>
          <w:noProof/>
          <w:sz w:val="24"/>
        </w:rPr>
        <w:t>Таблица IV.5: Средносрочни бюджетни цели (СБЦ), определени в програмите за стабилност за 2017 г., и минимални показатели (MП), считано от 2018 г., за разглежданите 18 държави членки от еврозоната</w:t>
      </w:r>
    </w:p>
    <w:p>
      <w:pPr>
        <w:keepNext/>
        <w:jc w:val="center"/>
        <w:rPr>
          <w:rFonts w:ascii="Times New Roman" w:hAnsi="Times New Roman"/>
          <w:b/>
          <w:noProof/>
          <w:sz w:val="24"/>
          <w:szCs w:val="24"/>
        </w:rPr>
      </w:pPr>
      <w:r>
        <w:rPr>
          <w:noProof/>
          <w:lang w:val="en-US" w:eastAsia="en-US" w:bidi="ar-SA"/>
        </w:rPr>
        <w:drawing>
          <wp:inline distT="0" distB="0" distL="0" distR="0">
            <wp:extent cx="3978275" cy="3876040"/>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78275" cy="3876040"/>
                    </a:xfrm>
                    <a:prstGeom prst="rect">
                      <a:avLst/>
                    </a:prstGeom>
                    <a:noFill/>
                    <a:ln>
                      <a:noFill/>
                    </a:ln>
                  </pic:spPr>
                </pic:pic>
              </a:graphicData>
            </a:graphic>
          </wp:inline>
        </w:drawing>
      </w:r>
    </w:p>
    <w:p>
      <w:pPr>
        <w:keepNext/>
        <w:jc w:val="center"/>
        <w:rPr>
          <w:rFonts w:ascii="Times New Roman" w:hAnsi="Times New Roman"/>
          <w:noProof/>
        </w:rPr>
      </w:pPr>
    </w:p>
    <w:p>
      <w:pPr>
        <w:rPr>
          <w:rFonts w:ascii="Times New Roman" w:hAnsi="Times New Roman"/>
          <w:b/>
          <w:noProof/>
          <w:sz w:val="24"/>
          <w:szCs w:val="24"/>
        </w:rPr>
      </w:pPr>
      <w:r>
        <w:rPr>
          <w:noProof/>
        </w:rPr>
        <w:br w:type="page"/>
      </w:r>
    </w:p>
    <w:p>
      <w:pPr>
        <w:keepNext/>
        <w:rPr>
          <w:rFonts w:ascii="Times New Roman" w:hAnsi="Times New Roman"/>
          <w:b/>
          <w:noProof/>
          <w:sz w:val="24"/>
          <w:szCs w:val="24"/>
        </w:rPr>
      </w:pPr>
      <w:r>
        <w:rPr>
          <w:rFonts w:ascii="Times New Roman" w:hAnsi="Times New Roman"/>
          <w:b/>
          <w:noProof/>
          <w:sz w:val="24"/>
        </w:rPr>
        <w:t>Графика IV.5a: Позиция на държавите членки по отношение на техните СБЦ в съответствие с прогнозата на Комисията от есента на 2017 г. (% от БВП)</w:t>
      </w:r>
    </w:p>
    <w:p>
      <w:pPr>
        <w:keepNext/>
        <w:rPr>
          <w:rFonts w:ascii="Times New Roman" w:hAnsi="Times New Roman"/>
          <w:b/>
          <w:noProof/>
          <w:sz w:val="24"/>
          <w:szCs w:val="24"/>
        </w:rPr>
      </w:pPr>
      <w:r>
        <w:rPr>
          <w:rFonts w:ascii="Times New Roman" w:hAnsi="Times New Roman"/>
          <w:b/>
          <w:noProof/>
          <w:sz w:val="24"/>
          <w:szCs w:val="24"/>
          <w:lang w:val="en-US" w:eastAsia="en-US" w:bidi="ar-SA"/>
        </w:rPr>
        <w:drawing>
          <wp:inline distT="0" distB="0" distL="0" distR="0">
            <wp:extent cx="5731510" cy="2638290"/>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1510" cy="2638290"/>
                    </a:xfrm>
                    <a:prstGeom prst="rect">
                      <a:avLst/>
                    </a:prstGeom>
                    <a:noFill/>
                    <a:ln>
                      <a:noFill/>
                    </a:ln>
                  </pic:spPr>
                </pic:pic>
              </a:graphicData>
            </a:graphic>
          </wp:inline>
        </w:drawing>
      </w:r>
    </w:p>
    <w:p>
      <w:pPr>
        <w:rPr>
          <w:rFonts w:ascii="Times New Roman" w:hAnsi="Times New Roman"/>
          <w:b/>
          <w:noProof/>
          <w:sz w:val="24"/>
          <w:szCs w:val="24"/>
        </w:rPr>
      </w:pPr>
      <w:r>
        <w:rPr>
          <w:rFonts w:ascii="Times New Roman" w:hAnsi="Times New Roman"/>
          <w:b/>
          <w:noProof/>
          <w:sz w:val="24"/>
        </w:rPr>
        <w:t>Графика IV.5б: Позиция на държавите членки по отношение на техните СБЦ в съответствие с проектите на бюджетни планове за 2018 г. (% от БВП)</w:t>
      </w:r>
    </w:p>
    <w:p>
      <w:pPr>
        <w:spacing w:after="0"/>
        <w:rPr>
          <w:rFonts w:ascii="Times New Roman" w:hAnsi="Times New Roman"/>
          <w:b/>
          <w:noProof/>
          <w:sz w:val="24"/>
          <w:szCs w:val="24"/>
        </w:rPr>
      </w:pPr>
      <w:r>
        <w:rPr>
          <w:rFonts w:ascii="Times New Roman" w:hAnsi="Times New Roman"/>
          <w:b/>
          <w:noProof/>
          <w:sz w:val="24"/>
          <w:szCs w:val="24"/>
          <w:lang w:val="en-US" w:eastAsia="en-US" w:bidi="ar-SA"/>
        </w:rPr>
        <w:drawing>
          <wp:inline distT="0" distB="0" distL="0" distR="0">
            <wp:extent cx="5731510" cy="2635917"/>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2635917"/>
                    </a:xfrm>
                    <a:prstGeom prst="rect">
                      <a:avLst/>
                    </a:prstGeom>
                    <a:noFill/>
                    <a:ln>
                      <a:noFill/>
                    </a:ln>
                  </pic:spPr>
                </pic:pic>
              </a:graphicData>
            </a:graphic>
          </wp:inline>
        </w:drawing>
      </w:r>
    </w:p>
    <w:p>
      <w:pPr>
        <w:autoSpaceDE w:val="0"/>
        <w:autoSpaceDN w:val="0"/>
        <w:adjustRightInd w:val="0"/>
        <w:spacing w:after="0" w:line="240" w:lineRule="auto"/>
        <w:jc w:val="both"/>
        <w:rPr>
          <w:rFonts w:ascii="Times New Roman" w:hAnsi="Times New Roman"/>
          <w:noProof/>
          <w:sz w:val="20"/>
          <w:szCs w:val="20"/>
        </w:rPr>
      </w:pPr>
      <w:r>
        <w:rPr>
          <w:rFonts w:ascii="Times New Roman" w:hAnsi="Times New Roman"/>
          <w:noProof/>
          <w:sz w:val="20"/>
        </w:rPr>
        <w:t>Забележка: Графиката представя напредъка на държавите членки към постигане на техните средносрочни цели между 2017 и 2018 г. въз основа на прогнозата на Комисията (горната графика) и проектите на бюджетни планове (долната графика). Основата на стрелката представлява началната позиция на структурното салдо през 2017 г., а върхът на стрелката представлява прогнозното или планираното (преизчисленото) структурно салдо през 2018 г. Така големината на зелената (червената) стрелка отговаря на подобрението (влошаването) на структурното салдо между 2017 г. и 2018 г. На последно място, тъмните квадрати представляват средносрочната бюджетна цел на всяка държава членка за 2018 г.</w:t>
      </w:r>
    </w:p>
    <w:p>
      <w:pPr>
        <w:jc w:val="both"/>
        <w:rPr>
          <w:rFonts w:ascii="Times New Roman" w:hAnsi="Times New Roman"/>
          <w:noProof/>
          <w:sz w:val="20"/>
          <w:szCs w:val="20"/>
        </w:rPr>
      </w:pPr>
    </w:p>
    <w:p>
      <w:pPr>
        <w:keepNext/>
        <w:rPr>
          <w:rFonts w:ascii="Times New Roman" w:hAnsi="Times New Roman"/>
          <w:b/>
          <w:noProof/>
          <w:sz w:val="24"/>
          <w:szCs w:val="24"/>
        </w:rPr>
      </w:pPr>
      <w:r>
        <w:rPr>
          <w:noProof/>
        </w:rPr>
        <w:br w:type="page"/>
      </w:r>
    </w:p>
    <w:p>
      <w:pPr>
        <w:rPr>
          <w:rFonts w:ascii="Times New Roman" w:hAnsi="Times New Roman"/>
          <w:b/>
          <w:noProof/>
          <w:sz w:val="24"/>
          <w:szCs w:val="24"/>
        </w:rPr>
      </w:pPr>
      <w:r>
        <w:rPr>
          <w:rFonts w:ascii="Times New Roman" w:hAnsi="Times New Roman"/>
          <w:b/>
          <w:noProof/>
          <w:sz w:val="24"/>
        </w:rPr>
        <w:t>Таблица IV.6: Съотношение на дълга към БВП (в % от БВП) за разглежданите 18 държави членки от еврозоната съгласно програмите за стабилност (ПС), проектите на бюджетни планове (ПБП) и прогнозата на Комисията от есента на 2017 г. (ЕК)</w:t>
      </w:r>
    </w:p>
    <w:p>
      <w:pPr>
        <w:jc w:val="center"/>
        <w:rPr>
          <w:rFonts w:ascii="Times New Roman" w:hAnsi="Times New Roman"/>
          <w:b/>
          <w:noProof/>
          <w:sz w:val="24"/>
          <w:szCs w:val="24"/>
        </w:rPr>
      </w:pPr>
      <w:r>
        <w:rPr>
          <w:noProof/>
          <w:lang w:val="en-US" w:eastAsia="en-US" w:bidi="ar-SA"/>
        </w:rPr>
        <w:drawing>
          <wp:inline distT="0" distB="0" distL="0" distR="0">
            <wp:extent cx="4278630" cy="4039870"/>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78630" cy="4039870"/>
                    </a:xfrm>
                    <a:prstGeom prst="rect">
                      <a:avLst/>
                    </a:prstGeom>
                    <a:noFill/>
                    <a:ln>
                      <a:noFill/>
                    </a:ln>
                  </pic:spPr>
                </pic:pic>
              </a:graphicData>
            </a:graphic>
          </wp:inline>
        </w:drawing>
      </w:r>
    </w:p>
    <w:p>
      <w:pPr>
        <w:keepNext/>
        <w:rPr>
          <w:rFonts w:ascii="Times New Roman" w:hAnsi="Times New Roman"/>
          <w:b/>
          <w:noProof/>
          <w:sz w:val="24"/>
          <w:szCs w:val="24"/>
        </w:rPr>
      </w:pPr>
      <w:r>
        <w:rPr>
          <w:rFonts w:ascii="Times New Roman" w:hAnsi="Times New Roman"/>
          <w:b/>
          <w:noProof/>
          <w:sz w:val="24"/>
        </w:rPr>
        <w:t>Графика IV.6: Фактори за изменението на съотношението на дълга между 2017 и 2018 г. въз основа на ПБП (% от БВП)</w:t>
      </w:r>
    </w:p>
    <w:p>
      <w:pPr>
        <w:keepNext/>
        <w:spacing w:after="0"/>
        <w:rPr>
          <w:rFonts w:ascii="Times New Roman" w:hAnsi="Times New Roman"/>
          <w:b/>
          <w:noProof/>
          <w:sz w:val="24"/>
          <w:szCs w:val="24"/>
        </w:rPr>
      </w:pPr>
      <w:r>
        <w:rPr>
          <w:noProof/>
          <w:lang w:val="en-US" w:eastAsia="en-US" w:bidi="ar-SA"/>
        </w:rPr>
        <w:drawing>
          <wp:inline distT="0" distB="0" distL="0" distR="0">
            <wp:extent cx="5731510" cy="2628670"/>
            <wp:effectExtent l="0" t="0" r="254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31510" cy="2628670"/>
                    </a:xfrm>
                    <a:prstGeom prst="rect">
                      <a:avLst/>
                    </a:prstGeom>
                    <a:noFill/>
                    <a:ln>
                      <a:noFill/>
                    </a:ln>
                  </pic:spPr>
                </pic:pic>
              </a:graphicData>
            </a:graphic>
          </wp:inline>
        </w:drawing>
      </w:r>
    </w:p>
    <w:p>
      <w:pPr>
        <w:jc w:val="both"/>
        <w:rPr>
          <w:rFonts w:ascii="Times New Roman" w:hAnsi="Times New Roman"/>
          <w:noProof/>
        </w:rPr>
      </w:pPr>
      <w:r>
        <w:rPr>
          <w:rFonts w:ascii="Times New Roman" w:hAnsi="Times New Roman"/>
          <w:noProof/>
          <w:sz w:val="20"/>
        </w:rPr>
        <w:t>Забележка: В графиката изменението в съотношенията дълг/БВП е показано като въздействието на първичното салдо, планираните корекции наличности-потоци и лавинообразния ефект. Лавинообразният ефект представлява разликата между прогнозираните темпове на растеж и лихвените проценти.</w:t>
      </w:r>
    </w:p>
    <w:p>
      <w:pPr>
        <w:spacing w:after="0" w:line="240" w:lineRule="auto"/>
        <w:rPr>
          <w:rFonts w:ascii="Times New Roman" w:hAnsi="Times New Roman"/>
          <w:noProof/>
        </w:rPr>
      </w:pPr>
      <w:r>
        <w:rPr>
          <w:noProof/>
        </w:rPr>
        <w:br w:type="page"/>
      </w:r>
    </w:p>
    <w:p>
      <w:pPr>
        <w:rPr>
          <w:rFonts w:ascii="Times New Roman" w:hAnsi="Times New Roman"/>
          <w:b/>
          <w:noProof/>
          <w:sz w:val="24"/>
          <w:szCs w:val="24"/>
        </w:rPr>
      </w:pPr>
      <w:r>
        <w:rPr>
          <w:rFonts w:ascii="Times New Roman" w:hAnsi="Times New Roman"/>
          <w:b/>
          <w:noProof/>
          <w:sz w:val="24"/>
        </w:rPr>
        <w:t>Таблица IV.7: Структура на фискалната консолидация през 2017 г. и 2018 г. за разглежданите 18 държави членки от еврозоната съгласно програмите за стабилност (ПС), проектите на бюджетни планове (ПБП) и прогнозата на Комисията от есента на 2017 г. (ЕК)</w:t>
      </w:r>
    </w:p>
    <w:p>
      <w:pPr>
        <w:jc w:val="center"/>
        <w:rPr>
          <w:rFonts w:ascii="Times New Roman" w:hAnsi="Times New Roman"/>
          <w:b/>
          <w:noProof/>
          <w:sz w:val="24"/>
          <w:szCs w:val="24"/>
        </w:rPr>
      </w:pPr>
      <w:r>
        <w:rPr>
          <w:noProof/>
          <w:lang w:val="en-US" w:eastAsia="en-US" w:bidi="ar-SA"/>
        </w:rPr>
        <w:drawing>
          <wp:inline distT="0" distB="0" distL="0" distR="0">
            <wp:extent cx="4449445" cy="3582670"/>
            <wp:effectExtent l="0" t="0" r="825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49445" cy="3582670"/>
                    </a:xfrm>
                    <a:prstGeom prst="rect">
                      <a:avLst/>
                    </a:prstGeom>
                    <a:noFill/>
                    <a:ln>
                      <a:noFill/>
                    </a:ln>
                  </pic:spPr>
                </pic:pic>
              </a:graphicData>
            </a:graphic>
          </wp:inline>
        </w:drawing>
      </w:r>
    </w:p>
    <w:p>
      <w:pPr>
        <w:jc w:val="center"/>
        <w:rPr>
          <w:rFonts w:ascii="Times New Roman" w:hAnsi="Times New Roman"/>
          <w:noProof/>
        </w:rPr>
      </w:pPr>
    </w:p>
    <w:p>
      <w:pPr>
        <w:keepNext/>
        <w:rPr>
          <w:rFonts w:ascii="Times New Roman" w:hAnsi="Times New Roman"/>
          <w:b/>
          <w:noProof/>
          <w:sz w:val="24"/>
          <w:szCs w:val="24"/>
        </w:rPr>
      </w:pPr>
    </w:p>
    <w:p>
      <w:pPr>
        <w:keepNext/>
        <w:rPr>
          <w:rFonts w:ascii="Times New Roman" w:hAnsi="Times New Roman"/>
          <w:noProof/>
          <w:sz w:val="20"/>
          <w:szCs w:val="20"/>
        </w:rPr>
      </w:pPr>
      <w:r>
        <w:rPr>
          <w:noProof/>
        </w:rPr>
        <w:br w:type="page"/>
      </w:r>
    </w:p>
    <w:p>
      <w:pPr>
        <w:autoSpaceDE w:val="0"/>
        <w:autoSpaceDN w:val="0"/>
        <w:adjustRightInd w:val="0"/>
        <w:spacing w:after="240" w:line="240" w:lineRule="auto"/>
        <w:jc w:val="both"/>
        <w:rPr>
          <w:rFonts w:ascii="Times New Roman" w:hAnsi="Times New Roman"/>
          <w:b/>
          <w:noProof/>
          <w:sz w:val="24"/>
          <w:szCs w:val="24"/>
        </w:rPr>
      </w:pPr>
      <w:r>
        <w:rPr>
          <w:rFonts w:ascii="Times New Roman" w:hAnsi="Times New Roman"/>
          <w:b/>
          <w:noProof/>
          <w:sz w:val="24"/>
        </w:rPr>
        <w:t>Графика IV.7: Прогнозни промени в съотношенията на разходите, коригирани спрямо икономическия цикъл, в проектите на бюджетни планове (ПБП) за 2018 г. и в прогнозата на Комисията от есента на 2017 г. (ЕК)</w:t>
      </w:r>
    </w:p>
    <w:p>
      <w:pPr>
        <w:autoSpaceDE w:val="0"/>
        <w:autoSpaceDN w:val="0"/>
        <w:adjustRightInd w:val="0"/>
        <w:spacing w:after="240" w:line="240" w:lineRule="auto"/>
        <w:jc w:val="both"/>
        <w:rPr>
          <w:rFonts w:ascii="Times New Roman" w:hAnsi="Times New Roman"/>
          <w:noProof/>
          <w:sz w:val="20"/>
          <w:szCs w:val="20"/>
          <w:lang w:val="en-GB"/>
        </w:rPr>
      </w:pPr>
      <w:r>
        <w:rPr>
          <w:noProof/>
          <w:lang w:val="en-US" w:eastAsia="en-US" w:bidi="ar-SA"/>
        </w:rPr>
        <w:drawing>
          <wp:inline distT="0" distB="0" distL="0" distR="0">
            <wp:extent cx="5960768" cy="53435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65449" cy="5347722"/>
                    </a:xfrm>
                    <a:prstGeom prst="rect">
                      <a:avLst/>
                    </a:prstGeom>
                  </pic:spPr>
                </pic:pic>
              </a:graphicData>
            </a:graphic>
          </wp:inline>
        </w:drawing>
      </w:r>
    </w:p>
    <w:p>
      <w:pPr>
        <w:rPr>
          <w:rFonts w:ascii="Times New Roman" w:hAnsi="Times New Roman"/>
          <w:noProof/>
          <w:sz w:val="20"/>
          <w:szCs w:val="20"/>
          <w:lang w:val="en-GB"/>
        </w:rPr>
      </w:pPr>
      <w:r>
        <w:rPr>
          <w:rFonts w:ascii="Times New Roman" w:hAnsi="Times New Roman"/>
          <w:noProof/>
          <w:sz w:val="20"/>
          <w:szCs w:val="20"/>
          <w:lang w:val="en-GB"/>
        </w:rPr>
        <w:br w:type="page"/>
      </w:r>
    </w:p>
    <w:p>
      <w:pPr>
        <w:rPr>
          <w:rFonts w:ascii="Times New Roman" w:hAnsi="Times New Roman"/>
          <w:b/>
          <w:noProof/>
          <w:sz w:val="24"/>
          <w:szCs w:val="24"/>
        </w:rPr>
      </w:pPr>
      <w:r>
        <w:rPr>
          <w:rFonts w:ascii="Times New Roman" w:hAnsi="Times New Roman"/>
          <w:b/>
          <w:noProof/>
          <w:sz w:val="24"/>
        </w:rPr>
        <w:t xml:space="preserve">Графика IV.8: Прогнозни промени в основните видове разходи (в % от БВП) за 2018 г. в разглежданите 18 държави членки от еврозоната: Проекти на бюджетни планове (ПБП) спрямо прогноза на Комисията от есента на 2017 г. (ЕК) </w:t>
      </w:r>
    </w:p>
    <w:p>
      <w:pPr>
        <w:jc w:val="both"/>
        <w:rPr>
          <w:rFonts w:ascii="Times New Roman" w:hAnsi="Times New Roman"/>
          <w:noProof/>
        </w:rPr>
      </w:pPr>
      <w:r>
        <w:rPr>
          <w:noProof/>
          <w:lang w:val="en-US" w:eastAsia="en-US" w:bidi="ar-SA"/>
        </w:rPr>
        <w:drawing>
          <wp:inline distT="0" distB="0" distL="0" distR="0">
            <wp:extent cx="5731510" cy="3691419"/>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731510" cy="3691419"/>
                    </a:xfrm>
                    <a:prstGeom prst="rect">
                      <a:avLst/>
                    </a:prstGeom>
                  </pic:spPr>
                </pic:pic>
              </a:graphicData>
            </a:graphic>
          </wp:inline>
        </w:drawing>
      </w:r>
    </w:p>
    <w:p>
      <w:pPr>
        <w:autoSpaceDE w:val="0"/>
        <w:autoSpaceDN w:val="0"/>
        <w:adjustRightInd w:val="0"/>
        <w:spacing w:after="0" w:line="240" w:lineRule="auto"/>
        <w:jc w:val="both"/>
        <w:rPr>
          <w:rFonts w:ascii="Times New Roman" w:hAnsi="Times New Roman"/>
          <w:noProof/>
          <w:sz w:val="20"/>
          <w:szCs w:val="20"/>
        </w:rPr>
      </w:pPr>
      <w:r>
        <w:rPr>
          <w:rFonts w:ascii="Times New Roman" w:hAnsi="Times New Roman"/>
          <w:noProof/>
          <w:sz w:val="20"/>
        </w:rPr>
        <w:t>Забележка: Графиката показва приноса на основните компоненти на разходите за прогнозните промени в съотношенията разходи/БВП.</w:t>
      </w:r>
    </w:p>
    <w:p>
      <w:pPr>
        <w:jc w:val="both"/>
        <w:rPr>
          <w:rFonts w:ascii="Times New Roman" w:hAnsi="Times New Roman"/>
          <w:noProof/>
        </w:rPr>
      </w:pPr>
    </w:p>
    <w:p>
      <w:pPr>
        <w:keepNext/>
        <w:rPr>
          <w:rFonts w:ascii="Times New Roman" w:hAnsi="Times New Roman"/>
          <w:noProof/>
        </w:rPr>
      </w:pPr>
      <w:r>
        <w:rPr>
          <w:rFonts w:ascii="Times New Roman" w:hAnsi="Times New Roman"/>
          <w:b/>
          <w:noProof/>
          <w:sz w:val="24"/>
        </w:rPr>
        <w:t>Графика IV.9: Инвестиции (% от БВП) през 2018 г. според проектите за бюджетни планове на държавите членки от еврозоната</w:t>
      </w:r>
    </w:p>
    <w:p>
      <w:pPr>
        <w:jc w:val="both"/>
        <w:rPr>
          <w:rFonts w:ascii="Times New Roman" w:hAnsi="Times New Roman"/>
          <w:noProof/>
        </w:rPr>
      </w:pPr>
      <w:r>
        <w:rPr>
          <w:rFonts w:ascii="Times New Roman" w:hAnsi="Times New Roman"/>
          <w:noProof/>
          <w:lang w:val="en-US" w:eastAsia="en-US" w:bidi="ar-SA"/>
        </w:rPr>
        <w:drawing>
          <wp:inline distT="0" distB="0" distL="0" distR="0">
            <wp:extent cx="5731510" cy="6525895"/>
            <wp:effectExtent l="0" t="0" r="254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CD4B0.tmp"/>
                    <pic:cNvPicPr/>
                  </pic:nvPicPr>
                  <pic:blipFill>
                    <a:blip r:embed="rId34">
                      <a:extLst>
                        <a:ext uri="{28A0092B-C50C-407E-A947-70E740481C1C}">
                          <a14:useLocalDpi xmlns:a14="http://schemas.microsoft.com/office/drawing/2010/main" val="0"/>
                        </a:ext>
                      </a:extLst>
                    </a:blip>
                    <a:stretch>
                      <a:fillRect/>
                    </a:stretch>
                  </pic:blipFill>
                  <pic:spPr>
                    <a:xfrm>
                      <a:off x="0" y="0"/>
                      <a:ext cx="5731510" cy="6525895"/>
                    </a:xfrm>
                    <a:prstGeom prst="rect">
                      <a:avLst/>
                    </a:prstGeom>
                  </pic:spPr>
                </pic:pic>
              </a:graphicData>
            </a:graphic>
          </wp:inline>
        </w:drawing>
      </w:r>
    </w:p>
    <w:p>
      <w:pPr>
        <w:keepNext/>
        <w:rPr>
          <w:rFonts w:ascii="Times New Roman" w:hAnsi="Times New Roman"/>
          <w:b/>
          <w:noProof/>
          <w:sz w:val="24"/>
          <w:szCs w:val="24"/>
        </w:rPr>
      </w:pPr>
      <w:r>
        <w:rPr>
          <w:rFonts w:ascii="Times New Roman" w:hAnsi="Times New Roman"/>
          <w:b/>
          <w:noProof/>
          <w:sz w:val="24"/>
        </w:rPr>
        <w:t xml:space="preserve">Графика IV.10: Дискреционни приходни мерки и други промени в съотношението на приходите през 2018 г.: Проекти на бюджетни планове (ПБП) спрямо прогноза на Комисията от есента на 2017 г. (ЕК) </w:t>
      </w:r>
    </w:p>
    <w:p>
      <w:pPr>
        <w:keepNext/>
        <w:jc w:val="both"/>
        <w:rPr>
          <w:rFonts w:ascii="Times New Roman" w:hAnsi="Times New Roman"/>
          <w:noProof/>
        </w:rPr>
      </w:pPr>
      <w:r>
        <w:rPr>
          <w:noProof/>
          <w:lang w:val="en-US" w:eastAsia="en-US" w:bidi="ar-SA"/>
        </w:rPr>
        <w:drawing>
          <wp:inline distT="0" distB="0" distL="0" distR="0">
            <wp:extent cx="5380779" cy="2343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381495" cy="2343462"/>
                    </a:xfrm>
                    <a:prstGeom prst="rect">
                      <a:avLst/>
                    </a:prstGeom>
                  </pic:spPr>
                </pic:pic>
              </a:graphicData>
            </a:graphic>
          </wp:inline>
        </w:drawing>
      </w:r>
    </w:p>
    <w:p>
      <w:pPr>
        <w:keepNext/>
        <w:jc w:val="both"/>
        <w:rPr>
          <w:rFonts w:ascii="Times New Roman" w:hAnsi="Times New Roman"/>
          <w:noProof/>
        </w:rPr>
      </w:pPr>
    </w:p>
    <w:p>
      <w:pPr>
        <w:keepNext/>
        <w:rPr>
          <w:rFonts w:ascii="Times New Roman" w:hAnsi="Times New Roman"/>
          <w:b/>
          <w:noProof/>
          <w:sz w:val="24"/>
          <w:szCs w:val="24"/>
        </w:rPr>
      </w:pPr>
      <w:r>
        <w:rPr>
          <w:rFonts w:ascii="Times New Roman" w:hAnsi="Times New Roman"/>
          <w:b/>
          <w:noProof/>
          <w:sz w:val="24"/>
        </w:rPr>
        <w:t xml:space="preserve">Графика IV.11: Прогнозни промени в основните видове данъчни приходи (в % от БВП) за 2018 г. за разглежданите 18 държави членки от еврозоната: Проекти на бюджетни планове (ПБП) спрямо прогноза на Комисията от есента на 2017 г. (ЕК) </w:t>
      </w:r>
    </w:p>
    <w:p>
      <w:pPr>
        <w:spacing w:after="0"/>
        <w:rPr>
          <w:rFonts w:ascii="Times New Roman" w:hAnsi="Times New Roman"/>
          <w:b/>
          <w:noProof/>
          <w:sz w:val="24"/>
          <w:szCs w:val="24"/>
        </w:rPr>
      </w:pPr>
      <w:r>
        <w:rPr>
          <w:noProof/>
          <w:lang w:val="en-US" w:eastAsia="en-US" w:bidi="ar-SA"/>
        </w:rPr>
        <w:drawing>
          <wp:inline distT="0" distB="0" distL="0" distR="0">
            <wp:extent cx="5457825" cy="350575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457825" cy="3505756"/>
                    </a:xfrm>
                    <a:prstGeom prst="rect">
                      <a:avLst/>
                    </a:prstGeom>
                  </pic:spPr>
                </pic:pic>
              </a:graphicData>
            </a:graphic>
          </wp:inline>
        </w:drawing>
      </w:r>
    </w:p>
    <w:p>
      <w:pPr>
        <w:autoSpaceDE w:val="0"/>
        <w:autoSpaceDN w:val="0"/>
        <w:adjustRightInd w:val="0"/>
        <w:spacing w:after="0" w:line="240" w:lineRule="auto"/>
        <w:jc w:val="both"/>
        <w:rPr>
          <w:rFonts w:ascii="Times New Roman" w:hAnsi="Times New Roman"/>
          <w:noProof/>
          <w:sz w:val="20"/>
        </w:rPr>
      </w:pPr>
      <w:r>
        <w:rPr>
          <w:rFonts w:ascii="Times New Roman" w:hAnsi="Times New Roman"/>
          <w:noProof/>
          <w:sz w:val="20"/>
        </w:rPr>
        <w:t>Забележка: Графиката показва приноса на основните компоненти на приходите за прогнозните промени в съотношението приходи/БВП.</w:t>
      </w:r>
    </w:p>
    <w:p>
      <w:pPr>
        <w:autoSpaceDE w:val="0"/>
        <w:autoSpaceDN w:val="0"/>
        <w:adjustRightInd w:val="0"/>
        <w:spacing w:after="0" w:line="240" w:lineRule="auto"/>
        <w:jc w:val="both"/>
        <w:rPr>
          <w:rFonts w:ascii="Times New Roman" w:hAnsi="Times New Roman"/>
          <w:noProof/>
          <w:sz w:val="20"/>
          <w:szCs w:val="20"/>
        </w:rPr>
      </w:pPr>
    </w:p>
    <w:p>
      <w:pPr>
        <w:keepNext/>
        <w:rPr>
          <w:rFonts w:ascii="Times New Roman" w:hAnsi="Times New Roman"/>
          <w:b/>
          <w:noProof/>
          <w:sz w:val="24"/>
          <w:szCs w:val="24"/>
        </w:rPr>
      </w:pPr>
      <w:r>
        <w:rPr>
          <w:rFonts w:ascii="Times New Roman" w:hAnsi="Times New Roman"/>
          <w:b/>
          <w:noProof/>
          <w:sz w:val="24"/>
        </w:rPr>
        <w:t>Таблица IV.8: Краткосрочна еластичност, заложена в прогнозите за приходите за 2018 г. в разглежданите 18 държави членки от еврозоната: Проекти на бюджетни планове (ПБП) спрямо прогноза на Комисията от есента на 2017 г. (ЕК) и стандартна еластичност, прогнозирана от ОИСР</w:t>
      </w:r>
    </w:p>
    <w:p>
      <w:pPr>
        <w:spacing w:after="0"/>
        <w:jc w:val="center"/>
        <w:rPr>
          <w:rFonts w:ascii="Times New Roman" w:hAnsi="Times New Roman"/>
          <w:noProof/>
          <w:sz w:val="20"/>
          <w:szCs w:val="20"/>
          <w:u w:val="single"/>
        </w:rPr>
      </w:pPr>
      <w:r>
        <w:rPr>
          <w:noProof/>
          <w:lang w:val="en-US" w:eastAsia="en-US" w:bidi="ar-SA"/>
        </w:rPr>
        <w:drawing>
          <wp:inline distT="0" distB="0" distL="0" distR="0">
            <wp:extent cx="3029585" cy="384873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29585" cy="3848735"/>
                    </a:xfrm>
                    <a:prstGeom prst="rect">
                      <a:avLst/>
                    </a:prstGeom>
                    <a:noFill/>
                    <a:ln>
                      <a:noFill/>
                    </a:ln>
                  </pic:spPr>
                </pic:pic>
              </a:graphicData>
            </a:graphic>
          </wp:inline>
        </w:drawing>
      </w:r>
    </w:p>
    <w:p>
      <w:pPr>
        <w:autoSpaceDE w:val="0"/>
        <w:autoSpaceDN w:val="0"/>
        <w:adjustRightInd w:val="0"/>
        <w:spacing w:after="0" w:line="240" w:lineRule="auto"/>
        <w:jc w:val="both"/>
        <w:rPr>
          <w:rFonts w:ascii="Times New Roman" w:hAnsi="Times New Roman"/>
          <w:b/>
          <w:noProof/>
        </w:rPr>
      </w:pPr>
      <w:r>
        <w:rPr>
          <w:rFonts w:ascii="Times New Roman" w:hAnsi="Times New Roman"/>
          <w:noProof/>
          <w:sz w:val="20"/>
        </w:rPr>
        <w:t>Забележка: Сравнението между еластичността съгласно ПБП и съгласно прогнозата на Комисията, от една страна, и еластичността на ОИСР, от друга страна, следва да се прави внимателно. Докато първите две са нетни еластичности спрямо ръста на БВП, то тази на ОИСР строго погледнато е изчислена по отношение на разликата между фактическия и потенциалния БВП. Като цяло разликите са малки.</w:t>
      </w:r>
    </w:p>
    <w:p>
      <w:pPr>
        <w:autoSpaceDE w:val="0"/>
        <w:autoSpaceDN w:val="0"/>
        <w:adjustRightInd w:val="0"/>
        <w:spacing w:after="0" w:line="240" w:lineRule="auto"/>
        <w:rPr>
          <w:rFonts w:ascii="Times New Roman" w:hAnsi="Times New Roman"/>
          <w:noProof/>
          <w:sz w:val="20"/>
          <w:szCs w:val="20"/>
        </w:rPr>
      </w:pPr>
    </w:p>
    <w:p>
      <w:pPr>
        <w:rPr>
          <w:rFonts w:ascii="Times New Roman" w:hAnsi="Times New Roman"/>
          <w:b/>
          <w:noProof/>
          <w:sz w:val="24"/>
          <w:szCs w:val="24"/>
        </w:rPr>
      </w:pPr>
      <w:r>
        <w:rPr>
          <w:noProof/>
        </w:rPr>
        <w:br w:type="page"/>
      </w:r>
    </w:p>
    <w:p>
      <w:pPr>
        <w:keepNext/>
        <w:rPr>
          <w:rFonts w:ascii="Times New Roman" w:hAnsi="Times New Roman"/>
          <w:b/>
          <w:noProof/>
          <w:sz w:val="24"/>
          <w:szCs w:val="24"/>
        </w:rPr>
      </w:pPr>
      <w:r>
        <w:rPr>
          <w:rFonts w:ascii="Times New Roman" w:hAnsi="Times New Roman"/>
          <w:b/>
          <w:noProof/>
          <w:sz w:val="24"/>
        </w:rPr>
        <w:t>Таблица IV.9: Показатели за устойчивост въз основа на прогнозата на Европейската комисия от есента на 2017 г.</w:t>
      </w:r>
    </w:p>
    <w:p>
      <w:pPr>
        <w:keepNext/>
        <w:jc w:val="center"/>
        <w:rPr>
          <w:rFonts w:ascii="Times New Roman" w:hAnsi="Times New Roman"/>
          <w:b/>
          <w:noProof/>
          <w:sz w:val="24"/>
          <w:szCs w:val="24"/>
        </w:rPr>
      </w:pPr>
      <w:r>
        <w:rPr>
          <w:noProof/>
          <w:lang w:val="en-US" w:eastAsia="en-US" w:bidi="ar-SA"/>
        </w:rPr>
        <w:drawing>
          <wp:inline distT="0" distB="0" distL="0" distR="0">
            <wp:extent cx="4387850" cy="3801110"/>
            <wp:effectExtent l="0" t="0" r="0"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87850" cy="3801110"/>
                    </a:xfrm>
                    <a:prstGeom prst="rect">
                      <a:avLst/>
                    </a:prstGeom>
                    <a:noFill/>
                    <a:ln>
                      <a:noFill/>
                    </a:ln>
                  </pic:spPr>
                </pic:pic>
              </a:graphicData>
            </a:graphic>
          </wp:inline>
        </w:drawing>
      </w:r>
    </w:p>
    <w:p>
      <w:pPr>
        <w:autoSpaceDE w:val="0"/>
        <w:autoSpaceDN w:val="0"/>
        <w:adjustRightInd w:val="0"/>
        <w:spacing w:after="0" w:line="240" w:lineRule="auto"/>
        <w:jc w:val="both"/>
        <w:rPr>
          <w:rFonts w:ascii="Times New Roman" w:hAnsi="Times New Roman"/>
          <w:noProof/>
          <w:sz w:val="20"/>
          <w:szCs w:val="20"/>
        </w:rPr>
      </w:pPr>
      <w:r>
        <w:rPr>
          <w:rFonts w:ascii="Times New Roman" w:hAnsi="Times New Roman"/>
          <w:noProof/>
          <w:sz w:val="20"/>
        </w:rPr>
        <w:t>Забележка: Въз основа на методиката, използвана в доклада на Европейската комисия за фискалната устойчивост от 2015 г. и в Обзора на устойчивост на дълга за 2016 г. Тези актуализирани резултати, основани на прогнозата на Европейската комисия от есента на 2017 г., ще бъдат представени в предстоящия Обзор на устойчивост на дълга за 2017 г.</w:t>
      </w:r>
    </w:p>
    <w:sectPr>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036967"/>
      <w:docPartObj>
        <w:docPartGallery w:val="Page Numbers (Bottom of Page)"/>
        <w:docPartUnique/>
      </w:docPartObj>
    </w:sdtPr>
    <w:sdtEndPr>
      <w:rPr>
        <w:noProof/>
      </w:rPr>
    </w:sdtEndPr>
    <w:sdtContent>
      <w:p>
        <w:pPr>
          <w:pStyle w:val="Foot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284" w:hanging="284"/>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Методологическите допускания, залегнали в основата на икономическата прогноза на Комисията от есента на 2017 г., са на разположение на адрес: </w:t>
      </w:r>
      <w:hyperlink r:id="rId1">
        <w:r>
          <w:rPr>
            <w:rStyle w:val="Hyperlink"/>
            <w:rFonts w:ascii="Times New Roman" w:hAnsi="Times New Roman"/>
          </w:rPr>
          <w:t>http://ec.europa.eu/economy_finance/publications/eeip/forecasts_en.htm</w:t>
        </w:r>
      </w:hyperlink>
      <w:r>
        <w:rPr>
          <w:rFonts w:ascii="Times New Roman" w:hAnsi="Times New Roman"/>
        </w:rPr>
        <w:t xml:space="preserve"> ).</w:t>
      </w:r>
    </w:p>
  </w:footnote>
  <w:footnote w:id="2">
    <w:p>
      <w:pPr>
        <w:pStyle w:val="FootnoteText"/>
        <w:spacing w:after="0" w:line="240" w:lineRule="auto"/>
        <w:ind w:left="284" w:hanging="284"/>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На разположение на адрес: </w:t>
      </w:r>
      <w:hyperlink r:id="rId2">
        <w:r>
          <w:rPr>
            <w:rStyle w:val="Hyperlink"/>
            <w:rFonts w:ascii="Times New Roman" w:hAnsi="Times New Roman"/>
          </w:rPr>
          <w:t>http://ec.europa.eu/eurostat/documents/1015035/2041337/FT-Eurostat-Decision-9-July-2009-3--final-.pdf</w:t>
        </w:r>
      </w:hyperlink>
      <w:r>
        <w:rPr>
          <w:rFonts w:ascii="Times New Roman" w:hAnsi="Times New Roman"/>
        </w:rPr>
        <w:t>.</w:t>
      </w:r>
    </w:p>
  </w:footnote>
  <w:footnote w:id="3">
    <w:p>
      <w:pPr>
        <w:pStyle w:val="FootnoteText"/>
        <w:spacing w:after="0" w:line="240" w:lineRule="auto"/>
        <w:ind w:left="284" w:hanging="284"/>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 съответствие с Решението на Евростат от 27 януари 2011 г. относно статистическото отчитане на операциите, извършвани от ЕИФС, което е на разположение на адрес: </w:t>
      </w:r>
      <w:hyperlink r:id="rId3">
        <w:r>
          <w:rPr>
            <w:rStyle w:val="Hyperlink"/>
            <w:rFonts w:ascii="Times New Roman" w:hAnsi="Times New Roman"/>
          </w:rPr>
          <w:t>http://ec.europa.eu/eurostat/documents/2995521/5034386/2-27012011-AP-EN.PDF</w:t>
        </w:r>
      </w:hyperlink>
      <w:r>
        <w:rPr>
          <w:rStyle w:val="Hyperlink"/>
          <w:rFonts w:ascii="Times New Roman" w:hAnsi="Times New Roman"/>
          <w:color w:val="000000"/>
        </w:rPr>
        <w:t>.</w:t>
      </w:r>
    </w:p>
  </w:footnote>
  <w:footnote w:id="4">
    <w:p>
      <w:pPr>
        <w:pStyle w:val="FootnoteText"/>
        <w:spacing w:after="0" w:line="240" w:lineRule="auto"/>
        <w:ind w:left="284" w:hanging="284"/>
        <w:jc w:val="both"/>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Използваната</w:t>
      </w:r>
      <w:r>
        <w:t xml:space="preserve"> </w:t>
      </w:r>
      <w:r>
        <w:rPr>
          <w:rStyle w:val="FootnoteReference"/>
          <w:rFonts w:ascii="Times New Roman" w:hAnsi="Times New Roman"/>
          <w:vertAlign w:val="baseline"/>
        </w:rPr>
        <w:t>тук методика за стохастични прогнози за държавния дълг е представена в доклада на Европейската комисия за фискалната устойчивост за 2015 г., раздел 1.3.2, и в Berti K. (2013 г.), „Stochastic public debt projections using the historical variance-covariance matrix approach for EU countries“, European Economy Economic Paper № 480.</w:t>
      </w:r>
    </w:p>
  </w:footnote>
  <w:footnote w:id="5">
    <w:p>
      <w:pPr>
        <w:pStyle w:val="FootnoteText"/>
        <w:spacing w:after="0" w:line="240" w:lineRule="auto"/>
        <w:ind w:left="284" w:hanging="284"/>
        <w:jc w:val="both"/>
        <w:rPr>
          <w:rStyle w:val="FootnoteReference"/>
          <w:rFonts w:ascii="Times New Roman" w:hAnsi="Times New Roman"/>
          <w:vertAlign w:val="baseline"/>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Това означава допускане, че</w:t>
      </w:r>
      <w:r>
        <w:t xml:space="preserve"> </w:t>
      </w:r>
      <w:r>
        <w:rPr>
          <w:rFonts w:ascii="Times New Roman" w:hAnsi="Times New Roman"/>
        </w:rPr>
        <w:t>структурното първично салдо в разглежданите 18 държави членки от еврозоната се запазва постоянно на последната прогнозна стойност – излишък от 0,8 % през 2018 г. в сценария съгласно ПБП, спрямо излишък от 0,6 % през 2019 г. в сценария на Комисията, през остатъка от прогнозния хоризонт.</w:t>
      </w:r>
    </w:p>
  </w:footnote>
  <w:footnote w:id="6">
    <w:p>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vertAlign w:val="baseline"/>
        </w:rPr>
        <w:t xml:space="preserve"> </w:t>
      </w:r>
      <w:r>
        <w:tab/>
      </w:r>
      <w:r>
        <w:rPr>
          <w:rStyle w:val="FootnoteReference"/>
          <w:rFonts w:ascii="Times New Roman" w:hAnsi="Times New Roman"/>
          <w:vertAlign w:val="baseline"/>
        </w:rPr>
        <w:t>Допуска се,</w:t>
      </w:r>
      <w:r>
        <w:rPr>
          <w:rFonts w:ascii="Times New Roman" w:hAnsi="Times New Roman"/>
        </w:rPr>
        <w:t xml:space="preserve">че сътресенията </w:t>
      </w:r>
      <w:r>
        <w:rPr>
          <w:rStyle w:val="FootnoteReference"/>
          <w:rFonts w:ascii="Times New Roman" w:hAnsi="Times New Roman"/>
          <w:vertAlign w:val="baseline"/>
        </w:rPr>
        <w:t>следват общо нормално разпределение.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348939B8"/>
    <w:multiLevelType w:val="hybridMultilevel"/>
    <w:tmpl w:val="3184E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433342C"/>
    <w:multiLevelType w:val="hybridMultilevel"/>
    <w:tmpl w:val="A002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4"/>
    <w:docVar w:name="LW_ANNEX_UNIQUE" w:val="0"/>
    <w:docVar w:name="LW_CORRIGENDUM" w:val="&lt;UNUSED&gt;"/>
    <w:docVar w:name="LW_COVERPAGE_EXISTS" w:val="True"/>
    <w:docVar w:name="LW_COVERPAGE_GUID" w:val="F75E8A1C-50AF-4747-9A59-AA869F52398C"/>
    <w:docVar w:name="LW_COVERPAGE_TYPE" w:val="1"/>
    <w:docVar w:name="LW_CROSSREFERENCE" w:val="&lt;UNUSED&gt;"/>
    <w:docVar w:name="LW_DocType" w:val="NORMAL"/>
    <w:docVar w:name="LW_EMISSION" w:val="22.11.2017"/>
    <w:docVar w:name="LW_EMISSION_ISODATE" w:val="2017-11-22"/>
    <w:docVar w:name="LW_EMISSION_LOCATION" w:val="BRX"/>
    <w:docVar w:name="LW_EMISSION_PREFIX" w:val="Брюксел, "/>
    <w:docVar w:name="LW_EMISSION_SUFFIX" w:val="\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5?\u1088?\u1086?\u1077?\u1082?\u1090?\u1080? \u1085?\u1072? \u1073?\u1102?\u1076?\u1078?\u1077?\u1090?\u1085?\u1080? \u1087?\u1083?\u1072?\u1085?\u1086?\u1074?\u1077? \u1079?\u1072? 2018 \u1075?.: \u1086?\u1073?\u1097?\u1072? \u1086?\u1094?\u1077?\u1085?\u1082?\u1072?"/>
    <w:docVar w:name="LW_PART_NBR" w:val="&lt;UNUSED&gt;"/>
    <w:docVar w:name="LW_PART_NBR_TOTAL" w:val="&lt;UNUSED&gt;"/>
    <w:docVar w:name="LW_REF.INST.NEW" w:val="COM"/>
    <w:docVar w:name="LW_REF.INST.NEW_ADOPTED" w:val="final"/>
    <w:docVar w:name="LW_REF.INST.NEW_TEXT" w:val="(2017) 8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71?_x000b_"/>
    <w:docVar w:name="LW_TYPEACTEPRINCIPAL.CP" w:val="\u1057?\u1098?\u1086?\u1073?\u1097?\u1077?\u1085?\u1080?\u1077? \u1085?\u1072? \u1050?\u1086?\u1084?\u1080?\u1089?\u1080?\u1103?\u1090?\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kern w:val="32"/>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kern w:val="32"/>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kern w:val="32"/>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kern w:val="32"/>
      <w:sz w:val="32"/>
      <w:szCs w:val="32"/>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vertAlign w:val="superscript"/>
    </w:rPr>
  </w:style>
  <w:style w:type="character" w:styleId="Hyperlink">
    <w:name w:val="Hyperlink"/>
    <w:uiPriority w:val="99"/>
    <w:unhideWhenUsed/>
    <w:rPr>
      <w:color w:val="0000FF"/>
      <w:u w:val="single"/>
    </w:rPr>
  </w:style>
  <w:style w:type="paragraph" w:customStyle="1" w:styleId="NumPar1">
    <w:name w:val="NumPar 1"/>
    <w:basedOn w:val="Normal"/>
    <w:next w:val="Normal"/>
    <w:pPr>
      <w:numPr>
        <w:numId w:val="1"/>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eastAsia="Times New Roman" w:hAnsi="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Heading1Char"/>
    <w:link w:val="FooterCoverPage"/>
    <w:rPr>
      <w:rFonts w:ascii="Times New Roman" w:eastAsia="Calibri" w:hAnsi="Times New Roman" w:cs="Times New Roman"/>
      <w:b w:val="0"/>
      <w:bCs w:val="0"/>
      <w:kern w:val="32"/>
      <w:sz w:val="24"/>
      <w:szCs w:val="3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basedOn w:val="Heading1Char"/>
    <w:link w:val="FooterSensitivity"/>
    <w:rPr>
      <w:rFonts w:ascii="Times New Roman" w:eastAsia="Calibri" w:hAnsi="Times New Roman" w:cs="Times New Roman"/>
      <w:b/>
      <w:bCs w:val="0"/>
      <w:kern w:val="32"/>
      <w:sz w:val="32"/>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Heading1Char"/>
    <w:link w:val="HeaderCoverPage"/>
    <w:rPr>
      <w:rFonts w:ascii="Times New Roman" w:eastAsia="Calibri" w:hAnsi="Times New Roman" w:cs="Times New Roman"/>
      <w:b w:val="0"/>
      <w:bCs w:val="0"/>
      <w:kern w:val="32"/>
      <w:sz w:val="24"/>
      <w:szCs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basedOn w:val="Heading1Char"/>
    <w:link w:val="HeaderSensitivity"/>
    <w:rPr>
      <w:rFonts w:ascii="Times New Roman" w:eastAsia="Calibri" w:hAnsi="Times New Roman" w:cs="Times New Roman"/>
      <w:b/>
      <w:bCs w:val="0"/>
      <w:kern w:val="32"/>
      <w:sz w:val="32"/>
      <w:szCs w:val="32"/>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Calibri" w:eastAsia="Calibri" w:hAnsi="Calibri" w:cs="Times New Roman"/>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E Fußnotenzeichen,ftref"/>
    <w:link w:val="FootnotesymbolCarZchn"/>
    <w:uiPriority w:val="99"/>
    <w:unhideWhenUsed/>
    <w:qFormat/>
    <w:rPr>
      <w:vertAlign w:val="superscript"/>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vertAlign w:val="superscript"/>
    </w:rPr>
  </w:style>
  <w:style w:type="character" w:styleId="Hyperlink">
    <w:name w:val="Hyperlink"/>
    <w:uiPriority w:val="99"/>
    <w:unhideWhenUsed/>
    <w:rPr>
      <w:color w:val="0000FF"/>
      <w:u w:val="single"/>
    </w:rPr>
  </w:style>
  <w:style w:type="paragraph" w:customStyle="1" w:styleId="NumPar1">
    <w:name w:val="NumPar 1"/>
    <w:basedOn w:val="Normal"/>
    <w:next w:val="Normal"/>
    <w:pPr>
      <w:numPr>
        <w:numId w:val="1"/>
      </w:numPr>
      <w:spacing w:before="120" w:after="120" w:line="240" w:lineRule="auto"/>
      <w:jc w:val="both"/>
    </w:pPr>
    <w:rPr>
      <w:rFonts w:ascii="Times New Roman" w:eastAsia="Times New Roman" w:hAnsi="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eastAsia="Times New Roman" w:hAnsi="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eastAsia="Times New Roman" w:hAnsi="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eastAsia="Times New Roman" w:hAnsi="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64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20.tmp"/><Relationship Id="rId42"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png"/><Relationship Id="rId38" Type="http://schemas.openxmlformats.org/officeDocument/2006/relationships/image" Target="media/image24.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5.emf"/><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image" Target="media/image18.png"/><Relationship Id="rId37" Type="http://schemas.openxmlformats.org/officeDocument/2006/relationships/image" Target="media/image23.emf"/><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png"/><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image" Target="media/image17.emf"/><Relationship Id="rId44"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png"/><Relationship Id="rId43"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documents/2995521/5034386/2-27012011-AP-EN.PDF" TargetMode="External"/><Relationship Id="rId2" Type="http://schemas.openxmlformats.org/officeDocument/2006/relationships/hyperlink" Target="http://ec.europa.eu/eurostat/documents/1015035/2041337/FT-Eurostat-Decision-9-July-2009-3--final-.pdf" TargetMode="External"/><Relationship Id="rId1" Type="http://schemas.openxmlformats.org/officeDocument/2006/relationships/hyperlink" Target="http://ec.europa.eu/economy_finance/publications/eeip/forecasts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B2B15-210C-4B51-85E6-51AFE24A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21</Pages>
  <Words>5227</Words>
  <Characters>29641</Characters>
  <Application>Microsoft Office Word</Application>
  <DocSecurity>0</DocSecurity>
  <Lines>529</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VANGOMPEL Sien (ECFIN)</dc:creator>
  <cp:lastModifiedBy>DIGIT/A3</cp:lastModifiedBy>
  <cp:revision>56</cp:revision>
  <cp:lastPrinted>2017-11-21T14:18:00Z</cp:lastPrinted>
  <dcterms:created xsi:type="dcterms:W3CDTF">2017-11-22T08:26:00Z</dcterms:created>
  <dcterms:modified xsi:type="dcterms:W3CDTF">2017-11-24T15:11:00Z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4</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ies>
</file>