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3D7" w:rsidRDefault="00FF265A">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9602A326-A5FC-4FD7-99DD-57126EFF658C" style="width:450.6pt;height:409.65pt">
            <v:imagedata r:id="rId8" o:title=""/>
          </v:shape>
        </w:pict>
      </w:r>
    </w:p>
    <w:p w:rsidR="003133D7" w:rsidRDefault="003133D7">
      <w:pPr>
        <w:rPr>
          <w:noProof/>
        </w:rPr>
        <w:sectPr w:rsidR="003133D7">
          <w:footerReference w:type="default" r:id="rId9"/>
          <w:pgSz w:w="11907" w:h="16839"/>
          <w:pgMar w:top="1134" w:right="1417" w:bottom="1134" w:left="1417" w:header="709" w:footer="709" w:gutter="0"/>
          <w:pgNumType w:start="0"/>
          <w:cols w:space="720"/>
          <w:docGrid w:linePitch="360"/>
        </w:sectPr>
      </w:pPr>
    </w:p>
    <w:p w:rsidR="003133D7" w:rsidRDefault="00FF265A">
      <w:pPr>
        <w:pStyle w:val="Exposdesmotifstitre"/>
        <w:rPr>
          <w:noProof/>
        </w:rPr>
      </w:pPr>
      <w:r>
        <w:rPr>
          <w:noProof/>
        </w:rPr>
        <w:lastRenderedPageBreak/>
        <w:t>EXPLANATORY MEMORANDUM</w:t>
      </w:r>
    </w:p>
    <w:p w:rsidR="003133D7" w:rsidRDefault="00FF265A">
      <w:pPr>
        <w:pStyle w:val="ManualHeading2"/>
        <w:pBdr>
          <w:left w:val="nil"/>
        </w:pBdr>
        <w:rPr>
          <w:noProof/>
        </w:rPr>
      </w:pPr>
      <w:r>
        <w:rPr>
          <w:noProof/>
        </w:rPr>
        <w:t>1.</w:t>
      </w:r>
      <w:r>
        <w:rPr>
          <w:noProof/>
        </w:rPr>
        <w:tab/>
        <w:t>CONTEXT OF THE PROPOSAL</w:t>
      </w:r>
    </w:p>
    <w:p w:rsidR="003133D7" w:rsidRDefault="00FF265A">
      <w:pPr>
        <w:pStyle w:val="ManualHeading2"/>
        <w:pBdr>
          <w:left w:val="nil"/>
        </w:pBdr>
        <w:rPr>
          <w:noProof/>
        </w:rPr>
      </w:pPr>
      <w:r>
        <w:rPr>
          <w:noProof/>
        </w:rPr>
        <w:t>Reasons for and objectives of the proposal</w:t>
      </w:r>
    </w:p>
    <w:p w:rsidR="003133D7" w:rsidRDefault="00FF265A">
      <w:pPr>
        <w:pStyle w:val="Body"/>
        <w:spacing w:before="0" w:after="240"/>
        <w:rPr>
          <w:noProof/>
        </w:rPr>
      </w:pPr>
      <w:r>
        <w:rPr>
          <w:noProof/>
        </w:rPr>
        <w:t xml:space="preserve">The European Medicines Agency has been established by </w:t>
      </w:r>
      <w:r>
        <w:rPr>
          <w:noProof/>
        </w:rPr>
        <w:t>Regulation (EEC) No 2309/93, which has been replaced by Regulation (EC) No 726/2004</w:t>
      </w:r>
      <w:r>
        <w:rPr>
          <w:rStyle w:val="FootnoteReference"/>
          <w:rFonts w:eastAsiaTheme="majorEastAsia"/>
          <w:noProof/>
        </w:rPr>
        <w:footnoteReference w:id="1"/>
      </w:r>
      <w:r>
        <w:rPr>
          <w:noProof/>
        </w:rPr>
        <w:t>. In accordance with Article 1 of Decision of 29 October 1993 taken by common agreement between the representatives of the governments of the Member States, meeting at Head</w:t>
      </w:r>
      <w:r>
        <w:rPr>
          <w:noProof/>
        </w:rPr>
        <w:t xml:space="preserve"> of State and Government level, on the location of the seats of certain bodies and departments of the European Communities and of Europol</w:t>
      </w:r>
      <w:r>
        <w:rPr>
          <w:rStyle w:val="FootnoteReference"/>
          <w:rFonts w:eastAsiaTheme="majorEastAsia"/>
          <w:noProof/>
        </w:rPr>
        <w:footnoteReference w:id="2"/>
      </w:r>
      <w:r>
        <w:rPr>
          <w:noProof/>
        </w:rPr>
        <w:t>, the European Medicines Agency has its seat in London, United Kingdom.</w:t>
      </w:r>
    </w:p>
    <w:p w:rsidR="003133D7" w:rsidRDefault="00FF265A">
      <w:pPr>
        <w:pBdr>
          <w:left w:val="nil"/>
        </w:pBdr>
        <w:spacing w:before="0" w:after="0"/>
        <w:rPr>
          <w:noProof/>
        </w:rPr>
      </w:pPr>
      <w:r>
        <w:rPr>
          <w:noProof/>
        </w:rPr>
        <w:t>On 29 March 2017 the United Kingdom notified t</w:t>
      </w:r>
      <w:r>
        <w:rPr>
          <w:noProof/>
        </w:rPr>
        <w:t xml:space="preserve">o the European Council its intention to leave the Union, pursuant to Article 50 of the Treaty on European Union. </w:t>
      </w:r>
    </w:p>
    <w:p w:rsidR="003133D7" w:rsidRDefault="003133D7">
      <w:pPr>
        <w:pBdr>
          <w:left w:val="nil"/>
        </w:pBdr>
        <w:spacing w:before="0" w:after="0"/>
        <w:rPr>
          <w:noProof/>
        </w:rPr>
      </w:pPr>
    </w:p>
    <w:p w:rsidR="003133D7" w:rsidRDefault="00FF265A">
      <w:pPr>
        <w:pBdr>
          <w:left w:val="nil"/>
        </w:pBdr>
        <w:spacing w:before="0" w:after="0"/>
        <w:rPr>
          <w:noProof/>
        </w:rPr>
      </w:pPr>
      <w:r>
        <w:rPr>
          <w:noProof/>
        </w:rPr>
        <w:t>On 20 November 2017, the 27 remaining Member States, in the margins of the General Affairs Council (Art. 50), selected Amsterdam, the Netherl</w:t>
      </w:r>
      <w:r>
        <w:rPr>
          <w:noProof/>
        </w:rPr>
        <w:t xml:space="preserve">ands, as the new seat of the European Medicines Agency. </w:t>
      </w:r>
    </w:p>
    <w:p w:rsidR="003133D7" w:rsidRDefault="00FF265A">
      <w:pPr>
        <w:pStyle w:val="ManualHeading1"/>
        <w:rPr>
          <w:noProof/>
        </w:rPr>
      </w:pPr>
      <w:r>
        <w:rPr>
          <w:noProof/>
        </w:rPr>
        <w:t>2.</w:t>
      </w:r>
      <w:r>
        <w:rPr>
          <w:noProof/>
        </w:rPr>
        <w:tab/>
        <w:t>LEGAL BASIS, SUBSIDIARITY AND PROPORTIONALITY</w:t>
      </w:r>
    </w:p>
    <w:p w:rsidR="003133D7" w:rsidRDefault="00FF265A">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rsidR="003133D7" w:rsidRDefault="00FF265A">
      <w:pPr>
        <w:pStyle w:val="Body"/>
        <w:tabs>
          <w:tab w:val="left" w:pos="850"/>
        </w:tabs>
        <w:spacing w:before="0" w:after="240"/>
        <w:rPr>
          <w:noProof/>
        </w:rPr>
      </w:pPr>
      <w:r>
        <w:rPr>
          <w:noProof/>
        </w:rPr>
        <w:t xml:space="preserve">The act to be amended being based on Articles 114 and 168(4)(c) of the Treaty on the Functioning of the European Union ("TFEU"), the amending act should be founded on that basis. </w:t>
      </w:r>
    </w:p>
    <w:p w:rsidR="003133D7" w:rsidRDefault="00FF265A">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w:t>
      </w:r>
      <w:bookmarkStart w:id="0" w:name="_GoBack"/>
      <w:bookmarkEnd w:id="0"/>
      <w:r>
        <w:rPr>
          <w:rFonts w:eastAsia="Arial Unicode MS"/>
          <w:noProof/>
          <w:u w:color="000000"/>
          <w:bdr w:val="nil"/>
          <w:lang w:val="en-US" w:eastAsia="en-GB"/>
        </w:rPr>
        <w:t>ument</w:t>
      </w:r>
    </w:p>
    <w:p w:rsidR="003133D7" w:rsidRDefault="00FF265A">
      <w:pPr>
        <w:pStyle w:val="Body"/>
        <w:tabs>
          <w:tab w:val="left" w:pos="850"/>
        </w:tabs>
        <w:spacing w:before="0" w:after="240"/>
        <w:rPr>
          <w:noProof/>
        </w:rPr>
      </w:pPr>
      <w:r>
        <w:rPr>
          <w:noProof/>
        </w:rPr>
        <w:t>This proposal seeks the amendment of Regulation (</w:t>
      </w:r>
      <w:r>
        <w:rPr>
          <w:noProof/>
        </w:rPr>
        <w:t>EC) No 726/2004. The corresponding amendment is therefore proposed as an amending Regulation.</w:t>
      </w:r>
    </w:p>
    <w:p w:rsidR="003133D7" w:rsidRDefault="00FF265A">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and Proportionality  </w:t>
      </w:r>
    </w:p>
    <w:p w:rsidR="003133D7" w:rsidRDefault="00FF265A">
      <w:pPr>
        <w:pStyle w:val="Body"/>
        <w:tabs>
          <w:tab w:val="left" w:pos="850"/>
        </w:tabs>
        <w:spacing w:before="0" w:after="240"/>
        <w:rPr>
          <w:noProof/>
        </w:rPr>
      </w:pPr>
      <w:r>
        <w:rPr>
          <w:noProof/>
        </w:rPr>
        <w:t>The issue of the location of the seat of the Agency falls within the exclusive competence of the Union. The measure is propor</w:t>
      </w:r>
      <w:r>
        <w:rPr>
          <w:noProof/>
        </w:rPr>
        <w:t>tionate to the purpose of the proposed Regulation, namely to confirm the new seat of the Agency within Regulation (EC) No 726/2004.</w:t>
      </w:r>
    </w:p>
    <w:p w:rsidR="003133D7" w:rsidRDefault="00FF265A">
      <w:pPr>
        <w:pStyle w:val="ManualHeading1"/>
        <w:rPr>
          <w:noProof/>
        </w:rPr>
      </w:pPr>
      <w:r>
        <w:rPr>
          <w:noProof/>
        </w:rPr>
        <w:t>4.</w:t>
      </w:r>
      <w:r>
        <w:rPr>
          <w:noProof/>
        </w:rPr>
        <w:tab/>
        <w:t>BUDGETARY IMPLICATIONS</w:t>
      </w:r>
    </w:p>
    <w:p w:rsidR="003133D7" w:rsidRDefault="00FF265A">
      <w:pPr>
        <w:pStyle w:val="Body"/>
        <w:spacing w:before="0" w:after="240"/>
        <w:rPr>
          <w:noProof/>
        </w:rPr>
      </w:pPr>
      <w:r>
        <w:rPr>
          <w:noProof/>
        </w:rPr>
        <w:t>The relocation of the European Medicines Agency will have budgetary implications, in particular in</w:t>
      </w:r>
      <w:r>
        <w:rPr>
          <w:noProof/>
        </w:rPr>
        <w:t xml:space="preserve"> view of the costs related to the early termination of its current rental contract in London as a consequence of the withdrawal, the costs related to the move itself and the costs related to the installation in the new premises in Amsterdam. As set out in </w:t>
      </w:r>
      <w:r>
        <w:rPr>
          <w:noProof/>
        </w:rPr>
        <w:t>the negotiation directives of the Council of 22 May 2017 for the negotiation of an agreement with the United Kingdom setting out the arrangements for its withdrawal from the European Union, the United Kingdom should fully cover the specific costs related t</w:t>
      </w:r>
      <w:r>
        <w:rPr>
          <w:noProof/>
        </w:rPr>
        <w:t>o the withdrawal process, such as the relocation of the agencies based in the United Kingdom.</w:t>
      </w:r>
    </w:p>
    <w:p w:rsidR="003133D7" w:rsidRDefault="00FF265A">
      <w:pPr>
        <w:pStyle w:val="Body"/>
        <w:spacing w:before="0" w:after="240"/>
        <w:rPr>
          <w:noProof/>
        </w:rPr>
      </w:pPr>
      <w:r>
        <w:rPr>
          <w:noProof/>
        </w:rPr>
        <w:lastRenderedPageBreak/>
        <w:t>Some of the relocation costs may have to be pre-financed by the EU budget, prior to the financial settlement. In this respect, the Commission will assess possible</w:t>
      </w:r>
      <w:r>
        <w:rPr>
          <w:noProof/>
        </w:rPr>
        <w:t xml:space="preserve"> additional funding needs to be channelled through the EU budget in cooperation with the </w:t>
      </w:r>
      <w:r>
        <w:rPr>
          <w:noProof/>
          <w:lang w:val="en-US"/>
        </w:rPr>
        <w:t>European Medicines Agency. As necessary, the Commission will present relevant proposals to the European Parliament and the Council in the context of the annual budgeta</w:t>
      </w:r>
      <w:r>
        <w:rPr>
          <w:noProof/>
          <w:lang w:val="en-US"/>
        </w:rPr>
        <w:t xml:space="preserve">ry procedure for 2019, and if necessary for 2018. </w:t>
      </w:r>
      <w:r>
        <w:rPr>
          <w:noProof/>
        </w:rPr>
        <w:t>This concerns for instance the costs related to the move itself. In addition, the costs related to the installation in the new premises will also be presented in the context of the building procedure set ou</w:t>
      </w:r>
      <w:r>
        <w:rPr>
          <w:noProof/>
        </w:rPr>
        <w:t>t in Article 203 of the Financial Regulation</w:t>
      </w:r>
      <w:r>
        <w:rPr>
          <w:rStyle w:val="FootnoteReference"/>
          <w:rFonts w:eastAsiaTheme="majorEastAsia"/>
          <w:noProof/>
        </w:rPr>
        <w:footnoteReference w:id="3"/>
      </w:r>
      <w:r>
        <w:rPr>
          <w:noProof/>
        </w:rPr>
        <w:t>, which requires prior approval from the European Parliament and the Council before contracts related to building projects are concluded. This procedure is expected to be launched as soon as possible (at the lat</w:t>
      </w:r>
      <w:r>
        <w:rPr>
          <w:noProof/>
        </w:rPr>
        <w:t xml:space="preserve">est in early 2018). </w:t>
      </w:r>
    </w:p>
    <w:p w:rsidR="003133D7" w:rsidRDefault="00FF265A">
      <w:pPr>
        <w:pStyle w:val="Body"/>
        <w:spacing w:before="0" w:after="240"/>
        <w:rPr>
          <w:noProof/>
        </w:rPr>
      </w:pPr>
      <w:r>
        <w:rPr>
          <w:noProof/>
        </w:rPr>
        <w:t xml:space="preserve">. </w:t>
      </w:r>
    </w:p>
    <w:p w:rsidR="003133D7" w:rsidRDefault="003133D7">
      <w:pPr>
        <w:rPr>
          <w:noProof/>
        </w:rPr>
        <w:sectPr w:rsidR="003133D7">
          <w:footerReference w:type="default" r:id="rId10"/>
          <w:footerReference w:type="first" r:id="rId11"/>
          <w:pgSz w:w="11907" w:h="16839"/>
          <w:pgMar w:top="1134" w:right="1417" w:bottom="1134" w:left="1417" w:header="709" w:footer="709" w:gutter="0"/>
          <w:cols w:space="708"/>
          <w:docGrid w:linePitch="360"/>
        </w:sectPr>
      </w:pPr>
    </w:p>
    <w:p w:rsidR="003133D7" w:rsidRDefault="00FF265A">
      <w:pPr>
        <w:pStyle w:val="Rfrenceinterinstitutionnelle"/>
        <w:rPr>
          <w:noProof/>
        </w:rPr>
      </w:pPr>
      <w:r>
        <w:rPr>
          <w:noProof/>
        </w:rPr>
        <w:lastRenderedPageBreak/>
        <w:t>2017/0328 (COD)</w:t>
      </w:r>
    </w:p>
    <w:p w:rsidR="003133D7" w:rsidRDefault="00FF265A">
      <w:pPr>
        <w:pStyle w:val="Statut"/>
        <w:rPr>
          <w:noProof/>
        </w:rPr>
      </w:pPr>
      <w:r>
        <w:rPr>
          <w:noProof/>
        </w:rPr>
        <w:t>Proposal for a</w:t>
      </w:r>
    </w:p>
    <w:p w:rsidR="003133D7" w:rsidRDefault="00FF265A">
      <w:pPr>
        <w:pStyle w:val="Typedudocument"/>
        <w:rPr>
          <w:noProof/>
        </w:rPr>
      </w:pPr>
      <w:r>
        <w:rPr>
          <w:noProof/>
        </w:rPr>
        <w:t>REGULATION OF THE EUROPEAN PARLIAMENT AND OF THE COUNCIL</w:t>
      </w:r>
    </w:p>
    <w:p w:rsidR="003133D7" w:rsidRDefault="00FF265A">
      <w:pPr>
        <w:pStyle w:val="Titreobjet"/>
        <w:rPr>
          <w:noProof/>
        </w:rPr>
      </w:pPr>
      <w:r>
        <w:rPr>
          <w:noProof/>
        </w:rPr>
        <w:t xml:space="preserve">amending Regulation (EC) No 726/2004 as regards the location of the seat of the European </w:t>
      </w:r>
      <w:r>
        <w:rPr>
          <w:noProof/>
        </w:rPr>
        <w:t>Medicines Agency</w:t>
      </w:r>
      <w:r>
        <w:rPr>
          <w:noProof/>
        </w:rPr>
        <w:br/>
      </w:r>
    </w:p>
    <w:p w:rsidR="003133D7" w:rsidRDefault="00FF265A">
      <w:pPr>
        <w:pStyle w:val="IntrtEEE"/>
        <w:rPr>
          <w:noProof/>
        </w:rPr>
      </w:pPr>
      <w:r>
        <w:rPr>
          <w:noProof/>
        </w:rPr>
        <w:t>(Text with EEA relevance)</w:t>
      </w:r>
    </w:p>
    <w:p w:rsidR="003133D7" w:rsidRDefault="00FF265A">
      <w:pPr>
        <w:pStyle w:val="Institutionquiagit"/>
        <w:rPr>
          <w:noProof/>
        </w:rPr>
      </w:pPr>
      <w:r>
        <w:rPr>
          <w:noProof/>
        </w:rPr>
        <w:t xml:space="preserve">THE EUROPEAN PARLIAMENT AND THE COUNCIL OF THE EUROPEAN </w:t>
      </w:r>
      <w:smartTag w:uri="urn:schemas-microsoft-com:office:smarttags" w:element="place">
        <w:r>
          <w:rPr>
            <w:noProof/>
          </w:rPr>
          <w:t>UNION</w:t>
        </w:r>
      </w:smartTag>
      <w:r>
        <w:rPr>
          <w:noProof/>
        </w:rPr>
        <w:t>,</w:t>
      </w:r>
    </w:p>
    <w:p w:rsidR="003133D7" w:rsidRDefault="00FF265A">
      <w:pPr>
        <w:rPr>
          <w:noProof/>
        </w:rPr>
      </w:pPr>
      <w:r>
        <w:rPr>
          <w:noProof/>
        </w:rPr>
        <w:t>Having regard to the Treaty on the Functioning of the European Union, and in particular Article 114 and article 168(4)(c) thereof,</w:t>
      </w:r>
    </w:p>
    <w:p w:rsidR="003133D7" w:rsidRDefault="00FF265A">
      <w:pPr>
        <w:rPr>
          <w:noProof/>
        </w:rPr>
      </w:pPr>
      <w:r>
        <w:rPr>
          <w:noProof/>
        </w:rPr>
        <w:t>Having regard to t</w:t>
      </w:r>
      <w:r>
        <w:rPr>
          <w:noProof/>
        </w:rPr>
        <w:t>he proposal from the European Commission,</w:t>
      </w:r>
    </w:p>
    <w:p w:rsidR="003133D7" w:rsidRDefault="00FF265A">
      <w:pPr>
        <w:rPr>
          <w:noProof/>
        </w:rPr>
      </w:pPr>
      <w:r>
        <w:rPr>
          <w:noProof/>
        </w:rPr>
        <w:t>After transmission of the draft legislative act to the national parliaments,</w:t>
      </w:r>
    </w:p>
    <w:p w:rsidR="003133D7" w:rsidRDefault="00FF265A">
      <w:pPr>
        <w:rPr>
          <w:noProof/>
        </w:rPr>
      </w:pPr>
      <w:r>
        <w:rPr>
          <w:noProof/>
        </w:rPr>
        <w:t>Having regard to the opinion of the European Economic and Social Committee</w:t>
      </w:r>
      <w:r>
        <w:rPr>
          <w:rStyle w:val="FootnoteReference"/>
          <w:noProof/>
        </w:rPr>
        <w:footnoteReference w:id="4"/>
      </w:r>
      <w:r>
        <w:rPr>
          <w:noProof/>
        </w:rPr>
        <w:t xml:space="preserve">, </w:t>
      </w:r>
    </w:p>
    <w:p w:rsidR="003133D7" w:rsidRDefault="00FF265A">
      <w:pPr>
        <w:rPr>
          <w:noProof/>
        </w:rPr>
      </w:pPr>
      <w:r>
        <w:rPr>
          <w:noProof/>
        </w:rPr>
        <w:t>Having regard to the opinion of the Committee of the Region</w:t>
      </w:r>
      <w:r>
        <w:rPr>
          <w:noProof/>
        </w:rPr>
        <w:t>s</w:t>
      </w:r>
      <w:r>
        <w:rPr>
          <w:rStyle w:val="FootnoteReference"/>
          <w:noProof/>
        </w:rPr>
        <w:footnoteReference w:id="5"/>
      </w:r>
      <w:r>
        <w:rPr>
          <w:noProof/>
        </w:rPr>
        <w:t>,</w:t>
      </w:r>
    </w:p>
    <w:p w:rsidR="003133D7" w:rsidRDefault="00FF265A">
      <w:pPr>
        <w:rPr>
          <w:noProof/>
        </w:rPr>
      </w:pPr>
      <w:r>
        <w:rPr>
          <w:noProof/>
        </w:rPr>
        <w:t>Acting in accordance with the ordinary legislative procedure,</w:t>
      </w:r>
    </w:p>
    <w:p w:rsidR="003133D7" w:rsidRDefault="00FF265A">
      <w:pPr>
        <w:rPr>
          <w:noProof/>
        </w:rPr>
      </w:pPr>
      <w:r>
        <w:rPr>
          <w:noProof/>
        </w:rPr>
        <w:t>Whereas:</w:t>
      </w:r>
    </w:p>
    <w:p w:rsidR="003133D7" w:rsidRDefault="00FF265A">
      <w:pPr>
        <w:pStyle w:val="ManualConsidrant"/>
        <w:rPr>
          <w:noProof/>
        </w:rPr>
      </w:pPr>
      <w:r>
        <w:t>(1)</w:t>
      </w:r>
      <w:r>
        <w:tab/>
      </w:r>
      <w:r>
        <w:rPr>
          <w:noProof/>
        </w:rPr>
        <w:t xml:space="preserve">In the context of the United Kingdom's notification on 29 March 2017 of its intention to leave the Union, pursuant to Article 50 of the Treaty on European Union, the other 27 </w:t>
      </w:r>
      <w:r>
        <w:rPr>
          <w:noProof/>
        </w:rPr>
        <w:t>Member States, meeting in the margins of the General Affairs Council (‘Article 50’), selected Amsterdam, the Netherlands, as the new seat of the European Medicines Agency.</w:t>
      </w:r>
    </w:p>
    <w:p w:rsidR="003133D7" w:rsidRDefault="00FF265A">
      <w:pPr>
        <w:pStyle w:val="ManualConsidrant"/>
        <w:rPr>
          <w:noProof/>
        </w:rPr>
      </w:pPr>
      <w:r>
        <w:t>(2)</w:t>
      </w:r>
      <w:r>
        <w:tab/>
      </w:r>
      <w:r>
        <w:rPr>
          <w:noProof/>
        </w:rPr>
        <w:t>Having regard to Article 50(3) of the Treaty on European Union, the European Med</w:t>
      </w:r>
      <w:r>
        <w:rPr>
          <w:noProof/>
        </w:rPr>
        <w:t>icines Agency should take its new seat as from the date on which the Treaties cease to apply to the United Kingdom or from 30 March 2019, whichever is the earlier.</w:t>
      </w:r>
    </w:p>
    <w:p w:rsidR="003133D7" w:rsidRDefault="00FF265A">
      <w:pPr>
        <w:pStyle w:val="ManualConsidrant"/>
        <w:rPr>
          <w:noProof/>
        </w:rPr>
      </w:pPr>
      <w:r>
        <w:t>(3)</w:t>
      </w:r>
      <w:r>
        <w:tab/>
      </w:r>
      <w:r>
        <w:rPr>
          <w:noProof/>
        </w:rPr>
        <w:t>To ensure the proper functioning of the European Medicines Agency in its new location, a</w:t>
      </w:r>
      <w:r>
        <w:rPr>
          <w:noProof/>
        </w:rPr>
        <w:t xml:space="preserve"> headquarters agreement should be concluded before the European Medicines Agency takes up its new seat.</w:t>
      </w:r>
    </w:p>
    <w:p w:rsidR="003133D7" w:rsidRDefault="00FF265A">
      <w:pPr>
        <w:pStyle w:val="ManualConsidrant"/>
        <w:rPr>
          <w:noProof/>
        </w:rPr>
      </w:pPr>
      <w:r>
        <w:t>(4)</w:t>
      </w:r>
      <w:r>
        <w:tab/>
      </w:r>
      <w:r>
        <w:rPr>
          <w:noProof/>
        </w:rPr>
        <w:t>To give the European Medicines Agency sufficient time to relocate, this Regulation should enter into force as a matter of urgency.</w:t>
      </w:r>
    </w:p>
    <w:p w:rsidR="003133D7" w:rsidRDefault="00FF265A">
      <w:pPr>
        <w:pStyle w:val="ManualConsidrant"/>
        <w:rPr>
          <w:noProof/>
        </w:rPr>
      </w:pPr>
      <w:r>
        <w:t>(5)</w:t>
      </w:r>
      <w:r>
        <w:tab/>
      </w:r>
      <w:r>
        <w:rPr>
          <w:noProof/>
        </w:rPr>
        <w:t>Regulation (E</w:t>
      </w:r>
      <w:r>
        <w:rPr>
          <w:noProof/>
        </w:rPr>
        <w:t>C) No 726/2004 of the European Parliament and of the Council</w:t>
      </w:r>
      <w:r>
        <w:rPr>
          <w:rStyle w:val="FootnoteReference"/>
          <w:noProof/>
        </w:rPr>
        <w:footnoteReference w:id="6"/>
      </w:r>
      <w:r>
        <w:rPr>
          <w:noProof/>
        </w:rPr>
        <w:t xml:space="preserve"> should therefore be amended accordingly,</w:t>
      </w:r>
    </w:p>
    <w:p w:rsidR="003133D7" w:rsidRDefault="00FF265A">
      <w:pPr>
        <w:pStyle w:val="Formuledadoption"/>
        <w:rPr>
          <w:noProof/>
        </w:rPr>
      </w:pPr>
      <w:r>
        <w:rPr>
          <w:noProof/>
        </w:rPr>
        <w:lastRenderedPageBreak/>
        <w:t>HAVE ADOPTED THIS REGULATION:</w:t>
      </w:r>
    </w:p>
    <w:p w:rsidR="003133D7" w:rsidRDefault="00FF265A">
      <w:pPr>
        <w:pStyle w:val="Titrearticle"/>
        <w:rPr>
          <w:noProof/>
        </w:rPr>
      </w:pPr>
      <w:r>
        <w:rPr>
          <w:noProof/>
        </w:rPr>
        <w:t>Article 1</w:t>
      </w:r>
    </w:p>
    <w:p w:rsidR="003133D7" w:rsidRDefault="00FF265A">
      <w:pPr>
        <w:pStyle w:val="Body"/>
        <w:rPr>
          <w:noProof/>
        </w:rPr>
      </w:pPr>
      <w:r>
        <w:rPr>
          <w:rFonts w:eastAsia="Arial Unicode MS" w:cs="Arial Unicode MS"/>
          <w:noProof/>
        </w:rPr>
        <w:t>In Regulation (EC) No 726/2004, the following Article 71a is inserted:</w:t>
      </w:r>
    </w:p>
    <w:p w:rsidR="003133D7" w:rsidRDefault="00FF265A">
      <w:pPr>
        <w:pStyle w:val="Body"/>
        <w:jc w:val="center"/>
        <w:rPr>
          <w:rFonts w:eastAsia="Arial Unicode MS" w:cs="Arial Unicode MS"/>
          <w:i/>
          <w:noProof/>
        </w:rPr>
      </w:pPr>
      <w:r>
        <w:rPr>
          <w:rFonts w:eastAsia="Arial Unicode MS" w:cs="Arial Unicode MS"/>
          <w:noProof/>
        </w:rPr>
        <w:t>“</w:t>
      </w:r>
      <w:r>
        <w:rPr>
          <w:rFonts w:eastAsia="Arial Unicode MS" w:cs="Arial Unicode MS"/>
          <w:i/>
          <w:noProof/>
        </w:rPr>
        <w:t>Article 71a</w:t>
      </w:r>
    </w:p>
    <w:p w:rsidR="003133D7" w:rsidRDefault="00FF265A">
      <w:pPr>
        <w:pStyle w:val="Titrearticle"/>
        <w:rPr>
          <w:rFonts w:eastAsia="Arial Unicode MS" w:cs="Arial Unicode MS"/>
          <w:noProof/>
        </w:rPr>
      </w:pPr>
      <w:r>
        <w:rPr>
          <w:rFonts w:eastAsia="Arial Unicode MS" w:cs="Arial Unicode MS"/>
          <w:noProof/>
        </w:rPr>
        <w:t>The Agency shall have its sea</w:t>
      </w:r>
      <w:r>
        <w:rPr>
          <w:rFonts w:eastAsia="Arial Unicode MS" w:cs="Arial Unicode MS"/>
          <w:noProof/>
        </w:rPr>
        <w:t>t in Amsterdam, the Netherlands.”</w:t>
      </w:r>
    </w:p>
    <w:p w:rsidR="003133D7" w:rsidRDefault="00FF265A">
      <w:pPr>
        <w:pStyle w:val="Titrearticle"/>
        <w:rPr>
          <w:noProof/>
        </w:rPr>
      </w:pPr>
      <w:r>
        <w:rPr>
          <w:noProof/>
        </w:rPr>
        <w:t>Article 2</w:t>
      </w:r>
    </w:p>
    <w:p w:rsidR="003133D7" w:rsidRDefault="00FF265A">
      <w:pPr>
        <w:rPr>
          <w:noProof/>
        </w:rPr>
      </w:pPr>
      <w:r>
        <w:rPr>
          <w:rFonts w:eastAsia="Arial Unicode MS" w:cs="Arial Unicode MS"/>
          <w:noProof/>
        </w:rPr>
        <w:t xml:space="preserve">This Regulation shall enter into force on the day of its publication in the </w:t>
      </w:r>
      <w:r>
        <w:rPr>
          <w:rFonts w:eastAsia="Arial Unicode MS" w:cs="Arial Unicode MS"/>
          <w:i/>
          <w:iCs/>
          <w:noProof/>
        </w:rPr>
        <w:t>Official Journal of the European Union</w:t>
      </w:r>
      <w:r>
        <w:rPr>
          <w:noProof/>
        </w:rPr>
        <w:t>.</w:t>
      </w:r>
    </w:p>
    <w:p w:rsidR="003133D7" w:rsidRDefault="00FF265A">
      <w:pPr>
        <w:pStyle w:val="Body"/>
        <w:rPr>
          <w:rFonts w:eastAsia="Arial Unicode MS" w:cs="Arial Unicode MS"/>
          <w:noProof/>
        </w:rPr>
      </w:pPr>
      <w:r>
        <w:rPr>
          <w:rFonts w:eastAsia="Arial Unicode MS" w:cs="Arial Unicode MS"/>
          <w:noProof/>
        </w:rPr>
        <w:t xml:space="preserve">This Regulation shall apply from the date on which the Treaties cease to apply to the United Kingdom or from 30 March 2019, whichever is the earlier. </w:t>
      </w:r>
    </w:p>
    <w:p w:rsidR="003133D7" w:rsidRDefault="00FF265A">
      <w:pPr>
        <w:pStyle w:val="Applicationdirecte"/>
        <w:rPr>
          <w:noProof/>
        </w:rPr>
      </w:pPr>
      <w:r>
        <w:rPr>
          <w:noProof/>
        </w:rPr>
        <w:t>This Regulation shall be binding in its entirety and directly applicable in all Member States.</w:t>
      </w:r>
    </w:p>
    <w:p w:rsidR="003133D7" w:rsidRDefault="00FF265A">
      <w:pPr>
        <w:pStyle w:val="Fait"/>
        <w:rPr>
          <w:noProof/>
        </w:rPr>
      </w:pPr>
      <w:r>
        <w:t>Done at Br</w:t>
      </w:r>
      <w:r>
        <w:t>ussels,</w:t>
      </w:r>
    </w:p>
    <w:p w:rsidR="003133D7" w:rsidRDefault="00FF265A">
      <w:pPr>
        <w:pStyle w:val="Institutionquisigne"/>
        <w:rPr>
          <w:noProof/>
        </w:rPr>
      </w:pPr>
      <w:r>
        <w:rPr>
          <w:noProof/>
        </w:rPr>
        <w:t>For the European Parliament</w:t>
      </w:r>
      <w:r>
        <w:rPr>
          <w:noProof/>
        </w:rPr>
        <w:tab/>
        <w:t>For the Council</w:t>
      </w:r>
    </w:p>
    <w:p w:rsidR="003133D7" w:rsidRDefault="00FF265A">
      <w:pPr>
        <w:pStyle w:val="Personnequisigne"/>
        <w:rPr>
          <w:noProof/>
        </w:rPr>
      </w:pPr>
      <w:r>
        <w:rPr>
          <w:noProof/>
        </w:rPr>
        <w:t>The President</w:t>
      </w:r>
      <w:r>
        <w:rPr>
          <w:noProof/>
        </w:rPr>
        <w:tab/>
        <w:t>The President</w:t>
      </w:r>
    </w:p>
    <w:sectPr w:rsidR="003133D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3D7" w:rsidRDefault="00FF265A">
      <w:pPr>
        <w:spacing w:before="0" w:after="0"/>
      </w:pPr>
      <w:r>
        <w:separator/>
      </w:r>
    </w:p>
  </w:endnote>
  <w:endnote w:type="continuationSeparator" w:id="0">
    <w:p w:rsidR="003133D7" w:rsidRDefault="00FF265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3D7" w:rsidRDefault="00FF265A">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3D7" w:rsidRDefault="00FF265A">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3D7" w:rsidRDefault="003133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3D7" w:rsidRDefault="00FF265A">
      <w:pPr>
        <w:spacing w:before="0" w:after="0"/>
      </w:pPr>
      <w:r>
        <w:separator/>
      </w:r>
    </w:p>
  </w:footnote>
  <w:footnote w:type="continuationSeparator" w:id="0">
    <w:p w:rsidR="003133D7" w:rsidRDefault="00FF265A">
      <w:pPr>
        <w:spacing w:before="0" w:after="0"/>
      </w:pPr>
      <w:r>
        <w:continuationSeparator/>
      </w:r>
    </w:p>
  </w:footnote>
  <w:footnote w:id="1">
    <w:p w:rsidR="003133D7" w:rsidRDefault="00FF265A">
      <w:pPr>
        <w:pStyle w:val="FootnoteText"/>
      </w:pPr>
      <w:r>
        <w:rPr>
          <w:rStyle w:val="FootnoteReference"/>
        </w:rPr>
        <w:footnoteRef/>
      </w:r>
      <w:r>
        <w:rPr>
          <w:rFonts w:eastAsia="Arial Unicode MS" w:cs="Arial Unicode MS"/>
        </w:rPr>
        <w:tab/>
        <w:t>Regulation (EC) No 726/2004 of the European Parliament and of the Council of 31 march 2004 laying down Community procedures for the authorisation and supervision of medic</w:t>
      </w:r>
      <w:r>
        <w:rPr>
          <w:rFonts w:eastAsia="Arial Unicode MS" w:cs="Arial Unicode MS"/>
        </w:rPr>
        <w:t>inal products for human and veterinary use and establishing a European Medicines Agency (OJ L 136, 30.4.2004, p. 1).</w:t>
      </w:r>
    </w:p>
  </w:footnote>
  <w:footnote w:id="2">
    <w:p w:rsidR="003133D7" w:rsidRDefault="00FF265A">
      <w:pPr>
        <w:pStyle w:val="FootnoteText"/>
      </w:pPr>
      <w:r>
        <w:rPr>
          <w:rStyle w:val="FootnoteReference"/>
        </w:rPr>
        <w:footnoteRef/>
      </w:r>
      <w:r>
        <w:rPr>
          <w:rFonts w:eastAsia="Arial Unicode MS" w:cs="Arial Unicode MS"/>
        </w:rPr>
        <w:tab/>
        <w:t>OJ C 323, 30.11.1993, p. 1.</w:t>
      </w:r>
    </w:p>
  </w:footnote>
  <w:footnote w:id="3">
    <w:p w:rsidR="003133D7" w:rsidRDefault="00FF265A">
      <w:pPr>
        <w:pStyle w:val="FootnoteText"/>
        <w:ind w:left="0" w:firstLine="0"/>
      </w:pPr>
      <w:r>
        <w:rPr>
          <w:rStyle w:val="FootnoteReference"/>
        </w:rPr>
        <w:footnoteRef/>
      </w:r>
      <w:r>
        <w:tab/>
        <w:t>Regulation (EU, Euratom) No 966/2012 of the European Parliament and of the Council of 25 October 2012 on th</w:t>
      </w:r>
      <w:r>
        <w:t>e financial rules applicable to the general budget of the Union and repealing Council Regulation (EC, Euratom) No 1605/2002 (OJ L 298, 26.10.2012, p. 1).</w:t>
      </w:r>
    </w:p>
  </w:footnote>
  <w:footnote w:id="4">
    <w:p w:rsidR="003133D7" w:rsidRDefault="00FF265A">
      <w:pPr>
        <w:pStyle w:val="FootnoteText"/>
      </w:pPr>
      <w:r>
        <w:rPr>
          <w:rStyle w:val="FootnoteReference"/>
        </w:rPr>
        <w:footnoteRef/>
      </w:r>
      <w:r>
        <w:tab/>
        <w:t>OJ C , , p. .</w:t>
      </w:r>
    </w:p>
  </w:footnote>
  <w:footnote w:id="5">
    <w:p w:rsidR="003133D7" w:rsidRDefault="00FF265A">
      <w:pPr>
        <w:pStyle w:val="FootnoteText"/>
      </w:pPr>
      <w:r>
        <w:rPr>
          <w:rStyle w:val="FootnoteReference"/>
        </w:rPr>
        <w:footnoteRef/>
      </w:r>
      <w:r>
        <w:tab/>
        <w:t>OJ C , , p. .</w:t>
      </w:r>
    </w:p>
  </w:footnote>
  <w:footnote w:id="6">
    <w:p w:rsidR="003133D7" w:rsidRDefault="00FF265A">
      <w:pPr>
        <w:pStyle w:val="FootnoteText"/>
        <w:ind w:left="567" w:hanging="567"/>
      </w:pPr>
      <w:r>
        <w:rPr>
          <w:rStyle w:val="FootnoteReference"/>
        </w:rPr>
        <w:footnoteRef/>
      </w:r>
      <w:r>
        <w:tab/>
        <w:t xml:space="preserve">Regulation (EC) No 726/2004 of the European Parliament and of the </w:t>
      </w:r>
      <w:r>
        <w:t>Council of 31 March 2004 laying down Community procedures for the authorisation and supervision of medicinal products for human and veterinary use and establishing a European Medicines Agency (OJ L 136, 30.4.2004,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B30512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0C4EFA2"/>
    <w:lvl w:ilvl="0">
      <w:start w:val="1"/>
      <w:numFmt w:val="decimal"/>
      <w:pStyle w:val="ListNumber3"/>
      <w:lvlText w:val="%1."/>
      <w:lvlJc w:val="left"/>
      <w:pPr>
        <w:tabs>
          <w:tab w:val="num" w:pos="926"/>
        </w:tabs>
        <w:ind w:left="926" w:hanging="360"/>
      </w:pPr>
    </w:lvl>
  </w:abstractNum>
  <w:abstractNum w:abstractNumId="2">
    <w:nsid w:val="FFFFFF7F"/>
    <w:multiLevelType w:val="singleLevel"/>
    <w:tmpl w:val="F676AF9A"/>
    <w:lvl w:ilvl="0">
      <w:start w:val="1"/>
      <w:numFmt w:val="decimal"/>
      <w:pStyle w:val="ListNumber2"/>
      <w:lvlText w:val="%1."/>
      <w:lvlJc w:val="left"/>
      <w:pPr>
        <w:tabs>
          <w:tab w:val="num" w:pos="643"/>
        </w:tabs>
        <w:ind w:left="643" w:hanging="360"/>
      </w:pPr>
    </w:lvl>
  </w:abstractNum>
  <w:abstractNum w:abstractNumId="3">
    <w:nsid w:val="FFFFFF81"/>
    <w:multiLevelType w:val="singleLevel"/>
    <w:tmpl w:val="0178A87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A646FC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B2CF19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4B46528"/>
    <w:lvl w:ilvl="0">
      <w:start w:val="1"/>
      <w:numFmt w:val="decimal"/>
      <w:pStyle w:val="ListNumber"/>
      <w:lvlText w:val="%1."/>
      <w:lvlJc w:val="left"/>
      <w:pPr>
        <w:tabs>
          <w:tab w:val="num" w:pos="360"/>
        </w:tabs>
        <w:ind w:left="360" w:hanging="360"/>
      </w:pPr>
    </w:lvl>
  </w:abstractNum>
  <w:abstractNum w:abstractNumId="7">
    <w:nsid w:val="FFFFFF89"/>
    <w:multiLevelType w:val="singleLevel"/>
    <w:tmpl w:val="0674FC9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3F3F9B"/>
    <w:multiLevelType w:val="hybridMultilevel"/>
    <w:tmpl w:val="D5060374"/>
    <w:styleLink w:val="ImportedStyle2"/>
    <w:lvl w:ilvl="0" w:tplc="D8B8925A">
      <w:start w:val="1"/>
      <w:numFmt w:val="decimal"/>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1A92DD50">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F6B6558A">
      <w:start w:val="1"/>
      <w:numFmt w:val="decimal"/>
      <w:lvlText w:val="(%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tplc="F548968E">
      <w:start w:val="1"/>
      <w:numFmt w:val="decimal"/>
      <w:lvlText w:val="(%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tplc="529CC194">
      <w:start w:val="1"/>
      <w:numFmt w:val="decimal"/>
      <w:lvlText w:val="(%5)"/>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tplc="F4CCD19E">
      <w:start w:val="1"/>
      <w:numFmt w:val="decimal"/>
      <w:lvlText w:val="(%6)"/>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tplc="466CF33C">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tplc="FEFEDB30">
      <w:start w:val="1"/>
      <w:numFmt w:val="decimal"/>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tplc="66A64ACC">
      <w:start w:val="1"/>
      <w:numFmt w:val="decimal"/>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num>
  <w:num w:numId="2">
    <w:abstractNumId w:val="22"/>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attachedTemplate r:id="rId1"/>
  <w:revisionView w:markup="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1-24 17:10:36"/>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10"/>
    <w:docVar w:name="DQCStatus" w:val="Yellow"/>
    <w:docVar w:name="DQCVersion" w:val="3"/>
    <w:docVar w:name="DQCWithWarnings" w:val="0"/>
    <w:docVar w:name="LW_CORRIGENDUM" w:val="&lt;UNUSED&gt;"/>
    <w:docVar w:name="LW_COVERPAGE_EXISTS" w:val="True"/>
    <w:docVar w:name="LW_COVERPAGE_GUID" w:val="9602A326-A5FC-4FD7-99DD-57126EFF658C"/>
    <w:docVar w:name="LW_COVERPAGE_TYPE" w:val="1"/>
    <w:docVar w:name="LW_CROSSREFERENCE" w:val="&lt;UNUSED&gt;"/>
    <w:docVar w:name="LW_DocType" w:val="COM"/>
    <w:docVar w:name="LW_EMISSION" w:val="29.11.2017"/>
    <w:docVar w:name="LW_EMISSION_ISODATE" w:val="2017-11-29"/>
    <w:docVar w:name="LW_EMISSION_LOCATION" w:val="BRX"/>
    <w:docVar w:name="LW_EMISSION_PREFIX" w:val="Brussels,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328"/>
    <w:docVar w:name="LW_REF.II.NEW.CP_YEAR" w:val="2017"/>
    <w:docVar w:name="LW_REF.INST.NEW" w:val="COM"/>
    <w:docVar w:name="LW_REF.INST.NEW_ADOPTED" w:val="final"/>
    <w:docVar w:name="LW_REF.INST.NEW_TEXT" w:val="(2017) 73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amending Regulation (EC) No 726/2004 as regards the location of the seat of the European Medicines Agency_x000b_"/>
    <w:docVar w:name="LW_TYPE.DOC.CP" w:val="REGULATION OF THE EUROPEAN PARLIAMENT AND OF THE COUNCIL"/>
  </w:docVars>
  <w:rsids>
    <w:rsidRoot w:val="003133D7"/>
    <w:rsid w:val="003133D7"/>
    <w:rsid w:val="00FF2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lang w:val="en-GB" w:eastAsia="en-GB"/>
    </w:rPr>
  </w:style>
  <w:style w:type="numbering" w:customStyle="1" w:styleId="ImportedStyle2">
    <w:name w:val="Imported Style 2"/>
    <w:pPr>
      <w:numPr>
        <w:numId w:val="1"/>
      </w:numPr>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lang w:val="en-GB" w:eastAsia="en-GB"/>
    </w:rPr>
  </w:style>
  <w:style w:type="numbering" w:customStyle="1" w:styleId="ImportedStyle2">
    <w:name w:val="Imported Style 2"/>
    <w:pPr>
      <w:numPr>
        <w:numId w:val="1"/>
      </w:numPr>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6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5</Pages>
  <Words>947</Words>
  <Characters>4870</Characters>
  <Application>Microsoft Office Word</Application>
  <DocSecurity>0</DocSecurity>
  <Lines>97</Lines>
  <Paragraphs>47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Heilemann</dc:creator>
  <cp:lastModifiedBy>Stefanie Heilemann</cp:lastModifiedBy>
  <cp:revision>2</cp:revision>
  <dcterms:created xsi:type="dcterms:W3CDTF">2017-11-28T15:03:00Z</dcterms:created>
  <dcterms:modified xsi:type="dcterms:W3CDTF">2017-11-28T15:03:00Z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Yellow (DQC version 03)</vt:lpwstr>
  </property>
</Properties>
</file>