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BC" w:rsidRDefault="00682113" w:rsidP="0068211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B5BA1DC-B7DB-41D4-8E87-F92DC7E0EF61" style="width:450.25pt;height:320.8pt">
            <v:imagedata r:id="rId9" o:title=""/>
          </v:shape>
        </w:pict>
      </w:r>
    </w:p>
    <w:bookmarkEnd w:id="0"/>
    <w:p w:rsidR="00747FBC" w:rsidRDefault="00747FBC">
      <w:pPr>
        <w:pStyle w:val="Pagedecouverture"/>
        <w:rPr>
          <w:noProof/>
        </w:rPr>
        <w:sectPr w:rsidR="00747FBC" w:rsidSect="0068211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47FBC" w:rsidRDefault="00682113">
      <w:pPr>
        <w:keepNext/>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lastRenderedPageBreak/>
        <w:t>Introduction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interplay between patents and standards is important for innovation and growth. Standards ensure that interoperable and safe </w:t>
      </w:r>
      <w:r>
        <w:rPr>
          <w:rFonts w:ascii="Times New Roman" w:eastAsia="Calibri" w:hAnsi="Times New Roman" w:cs="Times New Roman"/>
          <w:noProof/>
          <w:sz w:val="24"/>
          <w:szCs w:val="24"/>
        </w:rPr>
        <w:t>technologies are widely disseminated among companies and consumers. Patents provide R&amp;D with incentives and enable innovative companies to receive an adequate return on investments. Standards</w:t>
      </w:r>
      <w:r>
        <w:rPr>
          <w:rStyle w:val="FootnoteReference"/>
          <w:rFonts w:ascii="Times New Roman" w:eastAsia="Calibri" w:hAnsi="Times New Roman" w:cs="Times New Roman"/>
          <w:noProof/>
          <w:sz w:val="24"/>
          <w:szCs w:val="24"/>
        </w:rPr>
        <w:footnoteReference w:id="2"/>
      </w:r>
      <w:r>
        <w:rPr>
          <w:rFonts w:ascii="Times New Roman" w:eastAsia="Calibri" w:hAnsi="Times New Roman" w:cs="Times New Roman"/>
          <w:noProof/>
          <w:sz w:val="24"/>
          <w:szCs w:val="24"/>
        </w:rPr>
        <w:t xml:space="preserve"> frequently make reference to technologies that are protected by</w:t>
      </w:r>
      <w:r>
        <w:rPr>
          <w:rFonts w:ascii="Times New Roman" w:eastAsia="Calibri" w:hAnsi="Times New Roman" w:cs="Times New Roman"/>
          <w:noProof/>
          <w:sz w:val="24"/>
          <w:szCs w:val="24"/>
        </w:rPr>
        <w:t xml:space="preserve"> patents. A patent that protects technology essential to a standard is called a standard-essential patent (SEP). SEPs therefore protect technologies that are essential for complying with technical standards and for marketing products based on such standard</w:t>
      </w:r>
      <w:r>
        <w:rPr>
          <w:rFonts w:ascii="Times New Roman" w:eastAsia="Calibri" w:hAnsi="Times New Roman" w:cs="Times New Roman"/>
          <w:noProof/>
          <w:sz w:val="24"/>
          <w:szCs w:val="24"/>
        </w:rPr>
        <w:t xml:space="preserve">s. </w:t>
      </w:r>
    </w:p>
    <w:p w:rsidR="00747FBC" w:rsidRDefault="00682113">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Standards support innovation and growth in Europe, in particular providing for interoperability of digital technologies that are the foundation of the Digital Single Market (DSM). For example, computers, smartphones or tablets connect to the internet o</w:t>
      </w:r>
      <w:r>
        <w:rPr>
          <w:rFonts w:ascii="Times New Roman" w:eastAsia="Calibri" w:hAnsi="Times New Roman" w:cs="Times New Roman"/>
          <w:noProof/>
          <w:sz w:val="24"/>
          <w:szCs w:val="24"/>
        </w:rPr>
        <w:t>r other devices via standardised technologies such as long-term evolution (LTE), WiFi, or Bluetooth, all of which are protected by SEPs. Without the widespread use of such standardised technologies, such interconnectivity would not be possible</w:t>
      </w:r>
      <w:r>
        <w:rPr>
          <w:rStyle w:val="FootnoteReference"/>
          <w:rFonts w:ascii="Times New Roman" w:eastAsia="Calibri" w:hAnsi="Times New Roman" w:cs="Times New Roman"/>
          <w:noProof/>
          <w:sz w:val="24"/>
          <w:szCs w:val="24"/>
        </w:rPr>
        <w:footnoteReference w:id="3"/>
      </w:r>
      <w:r>
        <w:rPr>
          <w:rFonts w:ascii="Times New Roman" w:eastAsia="Calibri" w:hAnsi="Times New Roman" w:cs="Times New Roman"/>
          <w:noProof/>
          <w:sz w:val="24"/>
          <w:szCs w:val="24"/>
        </w:rPr>
        <w:t>.</w:t>
      </w:r>
    </w:p>
    <w:p w:rsidR="00747FBC" w:rsidRDefault="00747FBC">
      <w:pPr>
        <w:autoSpaceDE w:val="0"/>
        <w:autoSpaceDN w:val="0"/>
        <w:adjustRightInd w:val="0"/>
        <w:spacing w:after="0" w:line="240" w:lineRule="auto"/>
        <w:jc w:val="both"/>
        <w:rPr>
          <w:rFonts w:ascii="Times New Roman" w:eastAsia="Calibri" w:hAnsi="Times New Roman" w:cs="Times New Roman"/>
          <w:noProof/>
          <w:sz w:val="24"/>
          <w:szCs w:val="24"/>
        </w:rPr>
      </w:pPr>
    </w:p>
    <w:p w:rsidR="00747FBC" w:rsidRDefault="00682113">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hy</w:t>
      </w:r>
      <w:r>
        <w:rPr>
          <w:rFonts w:ascii="Times New Roman" w:eastAsia="Calibri" w:hAnsi="Times New Roman" w:cs="Times New Roman"/>
          <w:noProof/>
          <w:sz w:val="24"/>
          <w:szCs w:val="24"/>
        </w:rPr>
        <w:t>per-connected era, interconnectivity becomes even more crucial. A wide range of new products need to be interconnected, as to provide consumers with additional products and services (e.g. smart house appliances) and to create new business opportunities for</w:t>
      </w:r>
      <w:r>
        <w:rPr>
          <w:rFonts w:ascii="Times New Roman" w:eastAsia="Calibri" w:hAnsi="Times New Roman" w:cs="Times New Roman"/>
          <w:noProof/>
          <w:sz w:val="24"/>
          <w:szCs w:val="24"/>
        </w:rPr>
        <w:t xml:space="preserve"> European companies. </w:t>
      </w:r>
    </w:p>
    <w:p w:rsidR="00747FBC" w:rsidRDefault="00747FBC">
      <w:pPr>
        <w:autoSpaceDE w:val="0"/>
        <w:autoSpaceDN w:val="0"/>
        <w:adjustRightInd w:val="0"/>
        <w:spacing w:after="0" w:line="240" w:lineRule="auto"/>
        <w:jc w:val="both"/>
        <w:rPr>
          <w:rFonts w:ascii="Times New Roman" w:eastAsia="Calibri" w:hAnsi="Times New Roman" w:cs="Times New Roman"/>
          <w:noProof/>
          <w:sz w:val="24"/>
          <w:szCs w:val="24"/>
        </w:rPr>
      </w:pPr>
    </w:p>
    <w:p w:rsidR="00747FBC" w:rsidRDefault="00682113">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digitalisation of the economy creates great opportunities for EU industry. The estimated economic potential of IoT applications in devices for humans, homes, offices, factories, worksites, retail environments, cities, vehicles </w:t>
      </w:r>
      <w:r>
        <w:rPr>
          <w:rFonts w:ascii="Times New Roman" w:eastAsia="Calibri" w:hAnsi="Times New Roman" w:cs="Times New Roman"/>
          <w:noProof/>
          <w:sz w:val="24"/>
          <w:szCs w:val="24"/>
        </w:rPr>
        <w:t>and the outdoors will be up to EUR 9 trillion per year by 2025 in developed countries</w:t>
      </w:r>
      <w:r>
        <w:rPr>
          <w:rStyle w:val="FootnoteReference"/>
          <w:rFonts w:ascii="Times New Roman" w:eastAsia="Calibri" w:hAnsi="Times New Roman" w:cs="Times New Roman"/>
          <w:noProof/>
          <w:sz w:val="24"/>
          <w:szCs w:val="24"/>
        </w:rPr>
        <w:footnoteReference w:id="4"/>
      </w:r>
      <w:r>
        <w:rPr>
          <w:rFonts w:ascii="Times New Roman" w:eastAsia="Calibri" w:hAnsi="Times New Roman" w:cs="Times New Roman"/>
          <w:noProof/>
          <w:sz w:val="24"/>
          <w:szCs w:val="24"/>
        </w:rPr>
        <w:t>. The digitalisation of products and services can add more than EUR 110 billion in revenue to the European economy per year over the next five years</w:t>
      </w:r>
      <w:r>
        <w:rPr>
          <w:rStyle w:val="FootnoteReference"/>
          <w:rFonts w:ascii="Times New Roman" w:eastAsia="Calibri" w:hAnsi="Times New Roman" w:cs="Times New Roman"/>
          <w:noProof/>
          <w:sz w:val="24"/>
          <w:szCs w:val="24"/>
        </w:rPr>
        <w:footnoteReference w:id="5"/>
      </w:r>
      <w:r>
        <w:rPr>
          <w:rFonts w:ascii="Times New Roman" w:eastAsia="Calibri" w:hAnsi="Times New Roman" w:cs="Times New Roman"/>
          <w:noProof/>
          <w:sz w:val="24"/>
          <w:szCs w:val="24"/>
        </w:rPr>
        <w:t>. The ability of conn</w:t>
      </w:r>
      <w:r>
        <w:rPr>
          <w:rFonts w:ascii="Times New Roman" w:eastAsia="Calibri" w:hAnsi="Times New Roman" w:cs="Times New Roman"/>
          <w:noProof/>
          <w:sz w:val="24"/>
          <w:szCs w:val="24"/>
        </w:rPr>
        <w:t>ected devices and systems to work together is crucial for maximising this economic potential. Without interoperability, enabled by standards, 40 % of the potential benefits of IoT systems would not be reaped</w:t>
      </w:r>
      <w:r>
        <w:rPr>
          <w:rStyle w:val="FootnoteReference"/>
          <w:rFonts w:ascii="Times New Roman" w:eastAsia="Calibri" w:hAnsi="Times New Roman" w:cs="Times New Roman"/>
          <w:noProof/>
          <w:sz w:val="24"/>
          <w:szCs w:val="24"/>
        </w:rPr>
        <w:footnoteReference w:id="6"/>
      </w:r>
      <w:r>
        <w:rPr>
          <w:rFonts w:ascii="Times New Roman" w:eastAsia="Calibri" w:hAnsi="Times New Roman" w:cs="Times New Roman"/>
          <w:noProof/>
          <w:sz w:val="24"/>
          <w:szCs w:val="24"/>
        </w:rPr>
        <w:t xml:space="preserve">.Without formal standardisation and SEPs, there </w:t>
      </w:r>
      <w:r>
        <w:rPr>
          <w:rFonts w:ascii="Times New Roman" w:eastAsia="Calibri" w:hAnsi="Times New Roman" w:cs="Times New Roman"/>
          <w:noProof/>
          <w:sz w:val="24"/>
          <w:szCs w:val="24"/>
        </w:rPr>
        <w:t>would be, for example, no connected vehicles. Telediagnosis or remote operations with distant hospitals or to exchange patient information would not be possible either.</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Patent holders contribute technology for developing standards within standard developin</w:t>
      </w:r>
      <w:r>
        <w:rPr>
          <w:rFonts w:ascii="Times New Roman" w:eastAsia="Calibri" w:hAnsi="Times New Roman" w:cs="Times New Roman"/>
          <w:noProof/>
          <w:sz w:val="24"/>
          <w:szCs w:val="24"/>
        </w:rPr>
        <w:t>g organisations (SDOs). Once a standard is established and the holders of the SEPs have given a commitment to license them on fair, reasonable and non-discriminatory (FRAND) terms, the technology included in the standard should be available to any potentia</w:t>
      </w:r>
      <w:r>
        <w:rPr>
          <w:rFonts w:ascii="Times New Roman" w:eastAsia="Calibri" w:hAnsi="Times New Roman" w:cs="Times New Roman"/>
          <w:noProof/>
          <w:sz w:val="24"/>
          <w:szCs w:val="24"/>
        </w:rPr>
        <w:t>l user of the standard. Smooth licensing practices are therefore essential to guarantee fair, reasonable and non-</w:t>
      </w:r>
      <w:r>
        <w:rPr>
          <w:rFonts w:ascii="Times New Roman" w:eastAsia="Calibri" w:hAnsi="Times New Roman" w:cs="Times New Roman"/>
          <w:noProof/>
          <w:sz w:val="24"/>
          <w:szCs w:val="24"/>
        </w:rPr>
        <w:lastRenderedPageBreak/>
        <w:t>discriminatory access to the standardised technologies and to reward patent holders so they continue to invest in R&amp;D and standardisation activ</w:t>
      </w:r>
      <w:r>
        <w:rPr>
          <w:rFonts w:ascii="Times New Roman" w:eastAsia="Calibri" w:hAnsi="Times New Roman" w:cs="Times New Roman"/>
          <w:noProof/>
          <w:sz w:val="24"/>
          <w:szCs w:val="24"/>
        </w:rPr>
        <w:t xml:space="preserve">ities. This in turn plays a prominent role in developing a connected society, where new market players outside the traditional ICT sectors (producers of household appliances, connected cars, etc.) need access to the standardised technology.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evidence h</w:t>
      </w:r>
      <w:r>
        <w:rPr>
          <w:rFonts w:ascii="Times New Roman" w:eastAsia="Calibri" w:hAnsi="Times New Roman" w:cs="Times New Roman"/>
          <w:noProof/>
          <w:sz w:val="24"/>
          <w:szCs w:val="24"/>
        </w:rPr>
        <w:t>owever suggests that the licensing and enforcement of SEPs is not seamless and may lead to conflicts. Technology users accuse SEP holders of charging excessive licensing fees based on weak patent portfolios and of using litigation threats. SEP holders clai</w:t>
      </w:r>
      <w:r>
        <w:rPr>
          <w:rFonts w:ascii="Times New Roman" w:eastAsia="Calibri" w:hAnsi="Times New Roman" w:cs="Times New Roman"/>
          <w:noProof/>
          <w:sz w:val="24"/>
          <w:szCs w:val="24"/>
        </w:rPr>
        <w:t>m that technology users 'free ride' on their innovations and consciously infringe intellectual property rights (IPR) without engaging in good faith licensing negotiations</w:t>
      </w:r>
      <w:r>
        <w:rPr>
          <w:rStyle w:val="FootnoteReference"/>
          <w:rFonts w:ascii="Times New Roman" w:eastAsia="Calibri" w:hAnsi="Times New Roman" w:cs="Times New Roman"/>
          <w:noProof/>
          <w:sz w:val="24"/>
          <w:szCs w:val="24"/>
        </w:rPr>
        <w:footnoteReference w:id="7"/>
      </w:r>
      <w:r>
        <w:rPr>
          <w:rFonts w:ascii="Times New Roman" w:eastAsia="Calibri" w:hAnsi="Times New Roman" w:cs="Times New Roman"/>
          <w:noProof/>
          <w:sz w:val="24"/>
          <w:szCs w:val="24"/>
        </w:rPr>
        <w:t xml:space="preserve">. Problems may be particularly acute when players coming from new industrial sectors </w:t>
      </w:r>
      <w:r>
        <w:rPr>
          <w:rFonts w:ascii="Times New Roman" w:eastAsia="Calibri" w:hAnsi="Times New Roman" w:cs="Times New Roman"/>
          <w:noProof/>
          <w:sz w:val="24"/>
          <w:szCs w:val="24"/>
        </w:rPr>
        <w:t>who are unfamiliar with the traditional ICT business need access to standardised technologies. Disputes and delays in negotiations between technological users and holders may ultimately delay the widespread use of key standardised technologies. This can ha</w:t>
      </w:r>
      <w:r>
        <w:rPr>
          <w:rFonts w:ascii="Times New Roman" w:eastAsia="Calibri" w:hAnsi="Times New Roman" w:cs="Times New Roman"/>
          <w:noProof/>
          <w:sz w:val="24"/>
          <w:szCs w:val="24"/>
        </w:rPr>
        <w:t xml:space="preserve">mper the development of interconnected products in Europe, eventually affecting the competitiveness of the EU economy.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its April 2016 Communication on Standardisation Priorities for the Digital Single Market</w:t>
      </w:r>
      <w:r>
        <w:rPr>
          <w:rStyle w:val="FootnoteReference"/>
          <w:rFonts w:ascii="Times New Roman" w:eastAsia="Calibri" w:hAnsi="Times New Roman" w:cs="Times New Roman"/>
          <w:noProof/>
          <w:sz w:val="24"/>
          <w:szCs w:val="24"/>
        </w:rPr>
        <w:footnoteReference w:id="8"/>
      </w:r>
      <w:r>
        <w:rPr>
          <w:rFonts w:ascii="Times New Roman" w:eastAsia="Calibri" w:hAnsi="Times New Roman" w:cs="Times New Roman"/>
          <w:noProof/>
          <w:sz w:val="24"/>
          <w:szCs w:val="24"/>
        </w:rPr>
        <w:t>, the Commission identified three main areas where the SEP licensing environment could be improved: opaque information on SEP exposure; unclear valuation of patented technologies reading on standards and the definition of FRAND; and the risk of uncertainty</w:t>
      </w:r>
      <w:r>
        <w:rPr>
          <w:rFonts w:ascii="Times New Roman" w:eastAsia="Calibri" w:hAnsi="Times New Roman" w:cs="Times New Roman"/>
          <w:noProof/>
          <w:sz w:val="24"/>
          <w:szCs w:val="24"/>
        </w:rPr>
        <w:t xml:space="preserve"> in enforcement of SEPs. In addition, the role of open source communities in the development of standards also should be assessed.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therefore a need for a clear, balanced and reasonable policy for Standard Essential Patents in the EU with the aim </w:t>
      </w:r>
      <w:r>
        <w:rPr>
          <w:rFonts w:ascii="Times New Roman" w:eastAsia="Calibri" w:hAnsi="Times New Roman" w:cs="Times New Roman"/>
          <w:noProof/>
          <w:sz w:val="24"/>
          <w:szCs w:val="24"/>
        </w:rPr>
        <w:t xml:space="preserve">of contributing to the development of the Internet of Things and harnessing Europe's lead role in in this context. </w:t>
      </w:r>
    </w:p>
    <w:p w:rsidR="00747FBC" w:rsidRDefault="00682113">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Conflicting interests of stakeholders in certain SDOs may make it difficult for these organisations to provide effective guidance on such co</w:t>
      </w:r>
      <w:r>
        <w:rPr>
          <w:rFonts w:ascii="Times New Roman" w:eastAsia="Calibri" w:hAnsi="Times New Roman" w:cs="Times New Roman"/>
          <w:noProof/>
          <w:sz w:val="24"/>
          <w:szCs w:val="24"/>
        </w:rPr>
        <w:t xml:space="preserve">mplex legal and intellectual property (IP) policy issues. </w:t>
      </w:r>
      <w:r>
        <w:rPr>
          <w:rFonts w:ascii="Times New Roman" w:hAnsi="Times New Roman"/>
          <w:noProof/>
          <w:sz w:val="24"/>
        </w:rPr>
        <w:t>Licensing platform initiatives in this area are still at an early stage and have not yet been adopted by implementers, who may well be hesitant given the uncertainty in the current SEP regulatory en</w:t>
      </w:r>
      <w:r>
        <w:rPr>
          <w:rFonts w:ascii="Times New Roman" w:hAnsi="Times New Roman"/>
          <w:noProof/>
          <w:sz w:val="24"/>
        </w:rPr>
        <w:t>vironment and who have little incentive to enter</w:t>
      </w:r>
      <w:r>
        <w:rPr>
          <w:rFonts w:ascii="Times New Roman" w:eastAsia="Calibri" w:hAnsi="Times New Roman" w:cs="Times New Roman"/>
          <w:noProof/>
          <w:sz w:val="24"/>
          <w:szCs w:val="24"/>
        </w:rPr>
        <w:t xml:space="preserve"> into</w:t>
      </w:r>
      <w:r>
        <w:rPr>
          <w:rFonts w:ascii="Times New Roman" w:hAnsi="Times New Roman"/>
          <w:noProof/>
          <w:sz w:val="24"/>
        </w:rPr>
        <w:t xml:space="preserve"> a deal in this context.</w:t>
      </w:r>
      <w:r>
        <w:rPr>
          <w:rFonts w:ascii="Times New Roman" w:eastAsia="Calibri" w:hAnsi="Times New Roman" w:cs="Times New Roman"/>
          <w:i/>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the standardisation of 5G and IoT is a global issue. Europe's industry retains a leading position in many sectors in global markets. The Commission notes the impor</w:t>
      </w:r>
      <w:r>
        <w:rPr>
          <w:rFonts w:ascii="Times New Roman" w:eastAsia="Calibri" w:hAnsi="Times New Roman" w:cs="Times New Roman"/>
          <w:noProof/>
          <w:sz w:val="24"/>
          <w:szCs w:val="24"/>
        </w:rPr>
        <w:t>tant role European standardisation plays in the global context</w:t>
      </w:r>
      <w:r>
        <w:rPr>
          <w:rStyle w:val="FootnoteReference"/>
          <w:rFonts w:ascii="Times New Roman" w:eastAsia="Calibri" w:hAnsi="Times New Roman" w:cs="Times New Roman"/>
          <w:noProof/>
          <w:sz w:val="24"/>
          <w:szCs w:val="24"/>
        </w:rPr>
        <w:footnoteReference w:id="9"/>
      </w:r>
      <w:r>
        <w:rPr>
          <w:rFonts w:ascii="Times New Roman" w:eastAsia="Calibri" w:hAnsi="Times New Roman" w:cs="Times New Roman"/>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therefore considers that there is an urgent need to set out key principles that foster a balanced, smooth and predictable framework for SEPs. These key principles reflect two </w:t>
      </w:r>
      <w:r>
        <w:rPr>
          <w:rFonts w:ascii="Times New Roman" w:eastAsia="Calibri" w:hAnsi="Times New Roman" w:cs="Times New Roman"/>
          <w:noProof/>
          <w:sz w:val="24"/>
          <w:szCs w:val="24"/>
        </w:rPr>
        <w:t>main objectives: incentivising the development and inclusion of top technologies in standards, by preserving fair and adequate return for these contributions, and ensuring smooth and wide dissemination of standardised technologies based on fair access cond</w:t>
      </w:r>
      <w:r>
        <w:rPr>
          <w:rFonts w:ascii="Times New Roman" w:eastAsia="Calibri" w:hAnsi="Times New Roman" w:cs="Times New Roman"/>
          <w:noProof/>
          <w:sz w:val="24"/>
          <w:szCs w:val="24"/>
        </w:rPr>
        <w:t xml:space="preserve">itions. A balanced and successful policy on SEPs licensing should work to the benefit of start-ups in </w:t>
      </w:r>
      <w:r>
        <w:rPr>
          <w:rFonts w:ascii="Times New Roman" w:eastAsia="Calibri" w:hAnsi="Times New Roman" w:cs="Times New Roman"/>
          <w:noProof/>
          <w:sz w:val="24"/>
          <w:szCs w:val="24"/>
        </w:rPr>
        <w:lastRenderedPageBreak/>
        <w:t xml:space="preserve">Europe and should serve all EU citizens by giving them access to products and services based on the best performing standardised technology.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Communi</w:t>
      </w:r>
      <w:r>
        <w:rPr>
          <w:rFonts w:ascii="Times New Roman" w:eastAsia="Calibri" w:hAnsi="Times New Roman" w:cs="Times New Roman"/>
          <w:noProof/>
          <w:sz w:val="24"/>
          <w:szCs w:val="24"/>
        </w:rPr>
        <w:t>cation draws on the responsibility of all actors in the SEP licensing context, and all stakeholders are encouraged to contribute to making this framework work in practice.</w:t>
      </w:r>
      <w:r>
        <w:rPr>
          <w:rFonts w:ascii="Times New Roman" w:eastAsia="Times New Roman" w:hAnsi="Times New Roman" w:cs="Times New Roman"/>
          <w:noProof/>
          <w:sz w:val="24"/>
          <w:szCs w:val="24"/>
          <w:lang w:eastAsia="en-GB"/>
        </w:rPr>
        <w:t xml:space="preserve"> It is not intended to represent a statement of the law and is without prejudice to t</w:t>
      </w:r>
      <w:r>
        <w:rPr>
          <w:rFonts w:ascii="Times New Roman" w:eastAsia="Times New Roman" w:hAnsi="Times New Roman" w:cs="Times New Roman"/>
          <w:noProof/>
          <w:sz w:val="24"/>
          <w:szCs w:val="24"/>
          <w:lang w:eastAsia="en-GB"/>
        </w:rPr>
        <w:t xml:space="preserve">he interpretation of EU law </w:t>
      </w:r>
      <w:r>
        <w:rPr>
          <w:rFonts w:ascii="Times New Roman" w:eastAsia="Calibri" w:hAnsi="Times New Roman" w:cs="Times New Roman"/>
          <w:noProof/>
          <w:sz w:val="24"/>
          <w:szCs w:val="24"/>
        </w:rPr>
        <w:t>by the Court of Justice of the European Union (CJEU). It does not bind the Commission as regards the application of EU rules on competition, and in particular Articles 101 and 102 of the Treaty on the Functioning of the European</w:t>
      </w:r>
      <w:r>
        <w:rPr>
          <w:rFonts w:ascii="Times New Roman" w:eastAsia="Calibri" w:hAnsi="Times New Roman" w:cs="Times New Roman"/>
          <w:noProof/>
          <w:sz w:val="24"/>
          <w:szCs w:val="24"/>
        </w:rPr>
        <w:t xml:space="preserve"> Union (TFEU).  </w:t>
      </w:r>
    </w:p>
    <w:p w:rsidR="00747FBC" w:rsidRDefault="00682113">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Increasing transparency on SEPs exposure</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Information on the existence, scope and relevance of SEPs is vital for fair licensing negotiations and for allowing potential users of a standard to identify the scale of their exposure to SEPs and </w:t>
      </w:r>
      <w:r>
        <w:rPr>
          <w:rFonts w:ascii="Times New Roman" w:eastAsia="Calibri" w:hAnsi="Times New Roman" w:cs="Times New Roman"/>
          <w:noProof/>
          <w:sz w:val="24"/>
          <w:szCs w:val="24"/>
        </w:rPr>
        <w:t>necessary licensing partners. However, currently the only information on SEPs accessible to users can be found in declaration databases maintained by SDOs which may lack transparency. This situation makes licensing negotiations and the anticipation of risk</w:t>
      </w:r>
      <w:r>
        <w:rPr>
          <w:rFonts w:ascii="Times New Roman" w:eastAsia="Calibri" w:hAnsi="Times New Roman" w:cs="Times New Roman"/>
          <w:noProof/>
          <w:sz w:val="24"/>
          <w:szCs w:val="24"/>
        </w:rPr>
        <w:t>s related to SEPs particularly difficult to navigate for start-ups and SMEs.  The primary purpose of declarations is to reassure an SDO and all third parties that the technology will be accessible to users, typically under a commitment to license under FRA</w:t>
      </w:r>
      <w:r>
        <w:rPr>
          <w:rFonts w:ascii="Times New Roman" w:eastAsia="Calibri" w:hAnsi="Times New Roman" w:cs="Times New Roman"/>
          <w:noProof/>
          <w:sz w:val="24"/>
          <w:szCs w:val="24"/>
        </w:rPr>
        <w:t>ND conditions.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SDO databases may record tens of thousands of SEPs for a single standard, and this trend is growing</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 The declarations are based on a self-assessment by the patent holder, and are not subject to scrutiny regarding the essentiality of the dec</w:t>
      </w:r>
      <w:r>
        <w:rPr>
          <w:rFonts w:ascii="Times New Roman" w:eastAsia="Calibri" w:hAnsi="Times New Roman" w:cs="Times New Roman"/>
          <w:noProof/>
          <w:sz w:val="24"/>
          <w:szCs w:val="24"/>
        </w:rPr>
        <w:t>lared patent, which can evolve in the course of the standard adoption procedure. In addition, stakeholders report that even in concrete licensing negotiations licensors fail to substantiate their claims with more precise information. This is particularly u</w:t>
      </w:r>
      <w:r>
        <w:rPr>
          <w:rFonts w:ascii="Times New Roman" w:eastAsia="Calibri" w:hAnsi="Times New Roman" w:cs="Times New Roman"/>
          <w:noProof/>
          <w:sz w:val="24"/>
          <w:szCs w:val="24"/>
        </w:rPr>
        <w:t>nsatisfactory in the context of IoT where new players with little experience of SEPs licensing are continually entering the market for connectivity. The Commission therefore believes that measures, as outlined below, are needed to improve the information o</w:t>
      </w:r>
      <w:r>
        <w:rPr>
          <w:rFonts w:ascii="Times New Roman" w:eastAsia="Calibri" w:hAnsi="Times New Roman" w:cs="Times New Roman"/>
          <w:noProof/>
          <w:sz w:val="24"/>
          <w:szCs w:val="24"/>
        </w:rPr>
        <w:t>n SEPs.</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Improving quality and accessibility of information recorded in SDO databases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believes that SDOs should provide detailed information in their databases to support the SEP licensing framework. While SDO databases collect large amounts </w:t>
      </w:r>
      <w:r>
        <w:rPr>
          <w:rFonts w:ascii="Times New Roman" w:eastAsia="Calibri" w:hAnsi="Times New Roman" w:cs="Times New Roman"/>
          <w:noProof/>
          <w:sz w:val="24"/>
          <w:szCs w:val="24"/>
        </w:rPr>
        <w:t>of declaration data</w:t>
      </w:r>
      <w:r>
        <w:rPr>
          <w:rStyle w:val="FootnoteReference"/>
          <w:rFonts w:ascii="Times New Roman" w:eastAsia="Calibri" w:hAnsi="Times New Roman" w:cs="Times New Roman"/>
          <w:noProof/>
          <w:sz w:val="24"/>
          <w:szCs w:val="24"/>
        </w:rPr>
        <w:footnoteReference w:id="11"/>
      </w:r>
      <w:r>
        <w:rPr>
          <w:rFonts w:ascii="Times New Roman" w:eastAsia="Calibri" w:hAnsi="Times New Roman" w:cs="Times New Roman"/>
          <w:noProof/>
          <w:sz w:val="24"/>
          <w:szCs w:val="24"/>
        </w:rPr>
        <w:t>, they often do not provide user-friendly accessibility to interested parties, and lack essential quality features. The Commission therefore takes the view that the quality and accessibility of the databases should be improved</w:t>
      </w:r>
      <w:r>
        <w:rPr>
          <w:rStyle w:val="FootnoteReference"/>
          <w:rFonts w:ascii="Times New Roman" w:eastAsia="Calibri" w:hAnsi="Times New Roman" w:cs="Times New Roman"/>
          <w:noProof/>
          <w:sz w:val="24"/>
          <w:szCs w:val="24"/>
        </w:rPr>
        <w:footnoteReference w:id="12"/>
      </w:r>
      <w:r>
        <w:rPr>
          <w:rFonts w:ascii="Times New Roman" w:eastAsia="Calibri" w:hAnsi="Times New Roman" w:cs="Times New Roman"/>
          <w:noProof/>
          <w:sz w:val="24"/>
          <w:szCs w:val="24"/>
        </w:rPr>
        <w:t xml:space="preserve">. First, </w:t>
      </w:r>
      <w:r>
        <w:rPr>
          <w:rFonts w:ascii="Times New Roman" w:eastAsia="Calibri" w:hAnsi="Times New Roman" w:cs="Times New Roman"/>
          <w:noProof/>
          <w:sz w:val="24"/>
          <w:szCs w:val="24"/>
        </w:rPr>
        <w:t>data should be easily accessible through user friendly interfaces, both for patent holders, implementers and third parties. All declared information should be searchable based on the relevant standardisation projects, which may also require the transformat</w:t>
      </w:r>
      <w:r>
        <w:rPr>
          <w:rFonts w:ascii="Times New Roman" w:eastAsia="Calibri" w:hAnsi="Times New Roman" w:cs="Times New Roman"/>
          <w:noProof/>
          <w:sz w:val="24"/>
          <w:szCs w:val="24"/>
        </w:rPr>
        <w:t>ion of historic data into current formats. Quality processes should eliminate also duplications and other obvious flaws. Finally, there should be links to patent office databases, including updates of patent status, ownership and its transfer. Work on impr</w:t>
      </w:r>
      <w:r>
        <w:rPr>
          <w:rFonts w:ascii="Times New Roman" w:eastAsia="Calibri" w:hAnsi="Times New Roman" w:cs="Times New Roman"/>
          <w:noProof/>
          <w:sz w:val="24"/>
          <w:szCs w:val="24"/>
        </w:rPr>
        <w:t>oving databases needs to be combined with a stricter scrutiny on compliance with declaration obligations as defined in current SDO policies to avoid incomplete declarations</w:t>
      </w:r>
      <w:r>
        <w:rPr>
          <w:rStyle w:val="FootnoteReference"/>
          <w:rFonts w:ascii="Times New Roman" w:eastAsia="Calibri" w:hAnsi="Times New Roman" w:cs="Times New Roman"/>
          <w:noProof/>
          <w:sz w:val="24"/>
          <w:szCs w:val="24"/>
        </w:rPr>
        <w:footnoteReference w:id="13"/>
      </w:r>
      <w:r>
        <w:rPr>
          <w:rFonts w:ascii="Times New Roman" w:eastAsia="Calibri" w:hAnsi="Times New Roman" w:cs="Times New Roman"/>
          <w:noProof/>
          <w:sz w:val="24"/>
          <w:szCs w:val="24"/>
        </w:rPr>
        <w:t>.</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Developing an information tool to assist licensing negotiations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w:t>
      </w:r>
      <w:r>
        <w:rPr>
          <w:rFonts w:ascii="Times New Roman" w:eastAsia="Calibri" w:hAnsi="Times New Roman" w:cs="Times New Roman"/>
          <w:noProof/>
          <w:sz w:val="24"/>
          <w:szCs w:val="24"/>
        </w:rPr>
        <w:t>notes that the current declaration system in SDOs supports the technical standard setting process and is not geared towards future SEP licensing. However, it is clear that there are net benefits in extending the current practice and purpose of declarations</w:t>
      </w:r>
      <w:r>
        <w:rPr>
          <w:rFonts w:ascii="Times New Roman" w:eastAsia="Calibri" w:hAnsi="Times New Roman" w:cs="Times New Roman"/>
          <w:noProof/>
          <w:sz w:val="24"/>
          <w:szCs w:val="24"/>
        </w:rPr>
        <w:t xml:space="preserve"> and databases to the creation of new transparency tools which, without losing their main purpose, can greatly facilitate licensing negotiation. Proportionality considerations are essential in this context. Whilst excessive burdens for stakeholders should </w:t>
      </w:r>
      <w:r>
        <w:rPr>
          <w:rFonts w:ascii="Times New Roman" w:eastAsia="Calibri" w:hAnsi="Times New Roman" w:cs="Times New Roman"/>
          <w:noProof/>
          <w:sz w:val="24"/>
          <w:szCs w:val="24"/>
        </w:rPr>
        <w:t>be avoided, it should be born in mind that in concrete licensing negotiations, patent holders necessarily have to invest in substantiating to SEP users why patents from the patent holders' portfolio are essential to the standard or how these patents are be</w:t>
      </w:r>
      <w:r>
        <w:rPr>
          <w:rFonts w:ascii="Times New Roman" w:eastAsia="Calibri" w:hAnsi="Times New Roman" w:cs="Times New Roman"/>
          <w:noProof/>
          <w:sz w:val="24"/>
          <w:szCs w:val="24"/>
        </w:rPr>
        <w:t>ing infringed</w:t>
      </w:r>
      <w:r>
        <w:rPr>
          <w:rStyle w:val="FootnoteReference"/>
          <w:rFonts w:ascii="Times New Roman" w:eastAsia="Calibri" w:hAnsi="Times New Roman" w:cs="Times New Roman"/>
          <w:noProof/>
          <w:sz w:val="24"/>
          <w:szCs w:val="24"/>
        </w:rPr>
        <w:footnoteReference w:id="14"/>
      </w:r>
      <w:r>
        <w:rPr>
          <w:rFonts w:ascii="Times New Roman" w:eastAsia="Calibri" w:hAnsi="Times New Roman" w:cs="Times New Roman"/>
          <w:noProof/>
          <w:sz w:val="24"/>
          <w:szCs w:val="24"/>
        </w:rPr>
        <w:t>. The Commission therefore believes that proposed incremental improvements with controlled costs can substantially reduce overall transaction costs during licensing negotiations as well as infringement risks, to benefit both parties in negoti</w:t>
      </w:r>
      <w:r>
        <w:rPr>
          <w:rFonts w:ascii="Times New Roman" w:eastAsia="Calibri" w:hAnsi="Times New Roman" w:cs="Times New Roman"/>
          <w:noProof/>
          <w:sz w:val="24"/>
          <w:szCs w:val="24"/>
        </w:rPr>
        <w:t>ations</w:t>
      </w:r>
      <w:r>
        <w:rPr>
          <w:rStyle w:val="FootnoteReference"/>
          <w:rFonts w:ascii="Times New Roman" w:eastAsia="Calibri" w:hAnsi="Times New Roman" w:cs="Times New Roman"/>
          <w:noProof/>
          <w:sz w:val="24"/>
          <w:szCs w:val="24"/>
        </w:rPr>
        <w:footnoteReference w:id="15"/>
      </w:r>
      <w:r>
        <w:rPr>
          <w:rFonts w:ascii="Times New Roman" w:eastAsia="Calibri" w:hAnsi="Times New Roman" w:cs="Times New Roman"/>
          <w:noProof/>
          <w:sz w:val="24"/>
          <w:szCs w:val="24"/>
        </w:rPr>
        <w:t>.</w:t>
      </w:r>
    </w:p>
    <w:p w:rsidR="00747FBC" w:rsidRDefault="00682113">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eastAsia="Calibri" w:hAnsi="Times New Roman" w:cs="Times New Roman"/>
          <w:b/>
          <w:noProof/>
          <w:sz w:val="24"/>
          <w:szCs w:val="24"/>
        </w:rPr>
        <w:t>More up-to-date and precise declarations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Declarations occur early on in the standardisation process, with normally no review later on. However, technical solutions proposed in standards negotiations evolve up until the final standard</w:t>
      </w:r>
      <w:r>
        <w:rPr>
          <w:rStyle w:val="FootnoteReference"/>
          <w:rFonts w:ascii="Times New Roman" w:hAnsi="Times New Roman" w:cs="Times New Roman"/>
          <w:noProof/>
          <w:sz w:val="24"/>
          <w:szCs w:val="24"/>
        </w:rPr>
        <w:footnoteReference w:id="16"/>
      </w:r>
      <w:r>
        <w:rPr>
          <w:rFonts w:ascii="Times New Roman" w:eastAsia="Calibri" w:hAnsi="Times New Roman" w:cs="Times New Roman"/>
          <w:noProof/>
          <w:sz w:val="24"/>
          <w:szCs w:val="24"/>
        </w:rPr>
        <w:t xml:space="preserve"> is agreed. While the majority of declarations concern patent applications, the patent claims under the final patent granted after adoption of the standard can differ considerably</w:t>
      </w:r>
      <w:r>
        <w:rPr>
          <w:rStyle w:val="FootnoteReference"/>
          <w:rFonts w:ascii="Times New Roman" w:hAnsi="Times New Roman" w:cs="Times New Roman"/>
          <w:noProof/>
          <w:sz w:val="24"/>
          <w:szCs w:val="24"/>
        </w:rPr>
        <w:footnoteReference w:id="17"/>
      </w:r>
      <w:r>
        <w:rPr>
          <w:rFonts w:ascii="Times New Roman" w:eastAsia="Calibri" w:hAnsi="Times New Roman" w:cs="Times New Roman"/>
          <w:noProof/>
          <w:sz w:val="24"/>
          <w:szCs w:val="24"/>
        </w:rPr>
        <w:t xml:space="preserve">, as their content may change during the granting process. Therefore, </w:t>
      </w:r>
      <w:r>
        <w:rPr>
          <w:rFonts w:ascii="Times New Roman" w:hAnsi="Times New Roman"/>
          <w:noProof/>
          <w:sz w:val="24"/>
        </w:rPr>
        <w:t>righth</w:t>
      </w:r>
      <w:r>
        <w:rPr>
          <w:rFonts w:ascii="Times New Roman" w:hAnsi="Times New Roman"/>
          <w:noProof/>
          <w:sz w:val="24"/>
        </w:rPr>
        <w:t>olders should review the relevance of their declarations at the time of adoption of the final standard</w:t>
      </w:r>
      <w:r>
        <w:rPr>
          <w:rFonts w:ascii="Times New Roman" w:eastAsia="Calibri" w:hAnsi="Times New Roman" w:cs="Times New Roman"/>
          <w:noProof/>
          <w:sz w:val="24"/>
          <w:szCs w:val="24"/>
        </w:rPr>
        <w:t xml:space="preserve"> (and subsequent significant revisions) and when a final granting decision on the patent is taken.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Declarations should also include enough information</w:t>
      </w:r>
      <w:r>
        <w:rPr>
          <w:rFonts w:ascii="Times New Roman" w:eastAsia="Calibri" w:hAnsi="Times New Roman" w:cs="Times New Roman"/>
          <w:noProof/>
          <w:sz w:val="24"/>
          <w:szCs w:val="24"/>
        </w:rPr>
        <w:t xml:space="preserve"> to</w:t>
      </w:r>
      <w:r>
        <w:rPr>
          <w:rFonts w:ascii="Times New Roman" w:eastAsia="Calibri" w:hAnsi="Times New Roman" w:cs="Times New Roman"/>
          <w:noProof/>
          <w:sz w:val="24"/>
          <w:szCs w:val="24"/>
        </w:rPr>
        <w:t xml:space="preserve"> assess patent exposure. Patent holders should at least make reference to the section of the standard that is relevant to the SEP and to the link with the patent family. Declarations should also clearly identify a contact for the owner/licensor of the decl</w:t>
      </w:r>
      <w:r>
        <w:rPr>
          <w:rFonts w:ascii="Times New Roman" w:eastAsia="Calibri" w:hAnsi="Times New Roman" w:cs="Times New Roman"/>
          <w:noProof/>
          <w:sz w:val="24"/>
          <w:szCs w:val="24"/>
        </w:rPr>
        <w:t>ared SEP.</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Finally, it should be noted that SEPs on key technologies are more frequently litigated</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 xml:space="preserve">. Associated information is relevant for all interested licensees and can play a role in limiting the possibility of future litigation. SDOs should therefore </w:t>
      </w:r>
      <w:r>
        <w:rPr>
          <w:rFonts w:ascii="Times New Roman" w:eastAsia="Calibri" w:hAnsi="Times New Roman" w:cs="Times New Roman"/>
          <w:noProof/>
          <w:sz w:val="24"/>
          <w:szCs w:val="24"/>
        </w:rPr>
        <w:t xml:space="preserve">provide the possibility and incentives for patent holders and technology users to </w:t>
      </w:r>
      <w:r>
        <w:rPr>
          <w:rFonts w:ascii="Times New Roman" w:hAnsi="Times New Roman"/>
          <w:noProof/>
          <w:sz w:val="24"/>
        </w:rPr>
        <w:t>report the case reference and main outcome of final decisions</w:t>
      </w:r>
      <w:r>
        <w:rPr>
          <w:rFonts w:ascii="Times New Roman" w:eastAsia="Calibri" w:hAnsi="Times New Roman" w:cs="Times New Roman"/>
          <w:noProof/>
          <w:sz w:val="24"/>
          <w:szCs w:val="24"/>
        </w:rPr>
        <w:t>, positive or negative, on declared SEPs (including on essentiality and patent validity). As companies usually on</w:t>
      </w:r>
      <w:r>
        <w:rPr>
          <w:rFonts w:ascii="Times New Roman" w:eastAsia="Calibri" w:hAnsi="Times New Roman" w:cs="Times New Roman"/>
          <w:noProof/>
          <w:sz w:val="24"/>
          <w:szCs w:val="24"/>
        </w:rPr>
        <w:t xml:space="preserve">ly litigate a few valuable patents within a portfolio, and both patent holders and users should have an interest in reporting decisions in their respective favour, the associated burden of this measure would be limited. </w:t>
      </w:r>
    </w:p>
    <w:p w:rsidR="00747FBC" w:rsidRDefault="00682113">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Essentiality checks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Evidence points</w:t>
      </w:r>
      <w:r>
        <w:rPr>
          <w:rFonts w:ascii="Times New Roman" w:eastAsia="Calibri" w:hAnsi="Times New Roman" w:cs="Times New Roman"/>
          <w:noProof/>
          <w:sz w:val="24"/>
          <w:szCs w:val="24"/>
        </w:rPr>
        <w:t xml:space="preserve"> to the risk of broad over-declarations and makes a strong case for more reliability with respect to SEP essentiality</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xml:space="preserve">. Stakeholders report that recorded declarations create a </w:t>
      </w:r>
      <w:r>
        <w:rPr>
          <w:rFonts w:ascii="Times New Roman" w:eastAsia="Calibri" w:hAnsi="Times New Roman" w:cs="Times New Roman"/>
          <w:i/>
          <w:noProof/>
          <w:sz w:val="24"/>
          <w:szCs w:val="24"/>
        </w:rPr>
        <w:t>de facto</w:t>
      </w:r>
      <w:r>
        <w:rPr>
          <w:rFonts w:ascii="Times New Roman" w:eastAsia="Calibri" w:hAnsi="Times New Roman" w:cs="Times New Roman"/>
          <w:noProof/>
          <w:sz w:val="24"/>
          <w:szCs w:val="24"/>
        </w:rPr>
        <w:t xml:space="preserve"> presumption of essentiality in negotiations with licensees</w:t>
      </w:r>
      <w:r>
        <w:rPr>
          <w:rStyle w:val="FootnoteReference"/>
          <w:rFonts w:ascii="Times New Roman" w:eastAsia="Calibri" w:hAnsi="Times New Roman" w:cs="Times New Roman"/>
          <w:noProof/>
          <w:sz w:val="24"/>
          <w:szCs w:val="24"/>
        </w:rPr>
        <w:footnoteReference w:id="20"/>
      </w:r>
      <w:r>
        <w:rPr>
          <w:rFonts w:ascii="Times New Roman" w:eastAsia="Calibri" w:hAnsi="Times New Roman" w:cs="Times New Roman"/>
          <w:noProof/>
          <w:sz w:val="24"/>
          <w:szCs w:val="24"/>
        </w:rPr>
        <w:t xml:space="preserve">. This </w:t>
      </w:r>
      <w:r>
        <w:rPr>
          <w:rFonts w:ascii="Times New Roman" w:eastAsia="Calibri" w:hAnsi="Times New Roman" w:cs="Times New Roman"/>
          <w:noProof/>
          <w:sz w:val="24"/>
          <w:szCs w:val="24"/>
        </w:rPr>
        <w:t>scenario places a high burden on any willing licensee, especially SMEs and start-ups, to check the essentiality of a large number of SEPs in licensing negotiations.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therefore a </w:t>
      </w:r>
      <w:r>
        <w:rPr>
          <w:rFonts w:ascii="Times New Roman" w:hAnsi="Times New Roman"/>
          <w:noProof/>
          <w:sz w:val="24"/>
        </w:rPr>
        <w:t>need for a higher degree of scrutiny on essentiality claims</w:t>
      </w:r>
      <w:r>
        <w:rPr>
          <w:rFonts w:ascii="Times New Roman" w:eastAsia="Calibri" w:hAnsi="Times New Roman" w:cs="Times New Roman"/>
          <w:noProof/>
          <w:sz w:val="24"/>
          <w:szCs w:val="24"/>
        </w:rPr>
        <w:t>. This woul</w:t>
      </w:r>
      <w:r>
        <w:rPr>
          <w:rFonts w:ascii="Times New Roman" w:eastAsia="Calibri" w:hAnsi="Times New Roman" w:cs="Times New Roman"/>
          <w:noProof/>
          <w:sz w:val="24"/>
          <w:szCs w:val="24"/>
        </w:rPr>
        <w:t>d require scrutiny being performed by an independent party with technical capabilities and market recognition, at the right point in time. Having said this, introducing such a scrutiny requirement to SEPs must be balanced against the cost</w:t>
      </w:r>
      <w:r>
        <w:rPr>
          <w:rStyle w:val="FootnoteReference"/>
          <w:rFonts w:ascii="Times New Roman" w:eastAsia="Calibri" w:hAnsi="Times New Roman" w:cs="Times New Roman"/>
          <w:noProof/>
          <w:sz w:val="24"/>
          <w:szCs w:val="24"/>
        </w:rPr>
        <w:footnoteReference w:id="21"/>
      </w:r>
      <w:r>
        <w:rPr>
          <w:rFonts w:ascii="Times New Roman" w:eastAsia="Calibri" w:hAnsi="Times New Roman" w:cs="Times New Roman"/>
          <w:noProof/>
          <w:sz w:val="24"/>
          <w:szCs w:val="24"/>
        </w:rPr>
        <w:t>. However, an inc</w:t>
      </w:r>
      <w:r>
        <w:rPr>
          <w:rFonts w:ascii="Times New Roman" w:eastAsia="Calibri" w:hAnsi="Times New Roman" w:cs="Times New Roman"/>
          <w:noProof/>
          <w:sz w:val="24"/>
          <w:szCs w:val="24"/>
        </w:rPr>
        <w:t>remental approach, whereby scrutiny takes place at the request of either rightholders or prospective users, calibrating the depth of scrutiny and limiting checks to one patent within a family and to samples, could ensure the right cost-benefit balance of t</w:t>
      </w:r>
      <w:r>
        <w:rPr>
          <w:rFonts w:ascii="Times New Roman" w:eastAsia="Calibri" w:hAnsi="Times New Roman" w:cs="Times New Roman"/>
          <w:noProof/>
          <w:sz w:val="24"/>
          <w:szCs w:val="24"/>
        </w:rPr>
        <w:t>his measure</w:t>
      </w:r>
      <w:r>
        <w:rPr>
          <w:rStyle w:val="FootnoteReference"/>
          <w:rFonts w:ascii="Times New Roman" w:eastAsia="Calibri" w:hAnsi="Times New Roman" w:cs="Times New Roman"/>
          <w:noProof/>
          <w:sz w:val="24"/>
          <w:szCs w:val="24"/>
        </w:rPr>
        <w:footnoteReference w:id="22"/>
      </w:r>
      <w:r>
        <w:rPr>
          <w:rFonts w:ascii="Times New Roman" w:eastAsia="Calibri" w:hAnsi="Times New Roman" w:cs="Times New Roman"/>
          <w:noProof/>
          <w:sz w:val="24"/>
          <w:szCs w:val="24"/>
        </w:rPr>
        <w:t>.</w:t>
      </w:r>
    </w:p>
    <w:p w:rsidR="00747FBC" w:rsidRDefault="00682113">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eastAsia="Calibri" w:hAnsi="Times New Roman" w:cs="Times New Roman"/>
          <w:b/>
          <w:noProof/>
          <w:sz w:val="24"/>
          <w:szCs w:val="24"/>
        </w:rPr>
        <w:t>Means of implementation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While there are clear benefits to such increased transparency, the related burden needs to remain proportionate. Measures could therefore be extended gradually, and apply to new and key standards only, e.g. 5G.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a f</w:t>
      </w:r>
      <w:r>
        <w:rPr>
          <w:rFonts w:ascii="Times New Roman" w:eastAsia="Calibri" w:hAnsi="Times New Roman" w:cs="Times New Roman"/>
          <w:noProof/>
          <w:sz w:val="24"/>
          <w:szCs w:val="24"/>
        </w:rPr>
        <w:t>irst step, stakeholders could be incentivised to value increased transparency, e.g. by way of certification that their declared SEP portfolios comply with transparency criteria. This certification could later be used in licensing negotiations and litigatio</w:t>
      </w:r>
      <w:r>
        <w:rPr>
          <w:rFonts w:ascii="Times New Roman" w:eastAsia="Calibri" w:hAnsi="Times New Roman" w:cs="Times New Roman"/>
          <w:noProof/>
          <w:sz w:val="24"/>
          <w:szCs w:val="24"/>
        </w:rPr>
        <w:t>n. In addition, a recent study undertaken for the Commission suggests that SDOs may consider introducing (modest) fees for confirming SEP declarations after standard release and patent grants, to incentive SEP holders to revise and maintain only relevant d</w:t>
      </w:r>
      <w:r>
        <w:rPr>
          <w:rFonts w:ascii="Times New Roman" w:eastAsia="Calibri" w:hAnsi="Times New Roman" w:cs="Times New Roman"/>
          <w:noProof/>
          <w:sz w:val="24"/>
          <w:szCs w:val="24"/>
        </w:rPr>
        <w:t>eclarations</w:t>
      </w:r>
      <w:r>
        <w:rPr>
          <w:rStyle w:val="FootnoteReference"/>
          <w:rFonts w:ascii="Times New Roman" w:eastAsia="Calibri" w:hAnsi="Times New Roman" w:cs="Times New Roman"/>
          <w:noProof/>
          <w:sz w:val="24"/>
          <w:szCs w:val="24"/>
        </w:rPr>
        <w:footnoteReference w:id="23"/>
      </w:r>
      <w:r>
        <w:rPr>
          <w:rFonts w:ascii="Times New Roman" w:eastAsia="Calibri" w:hAnsi="Times New Roman" w:cs="Times New Roman"/>
          <w:noProof/>
          <w:sz w:val="24"/>
          <w:szCs w:val="24"/>
        </w:rPr>
        <w:t>.</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When considering essentiality checks, patent offices may well be natural candidates for exploiting synergies and reducing costs</w:t>
      </w:r>
      <w:r>
        <w:rPr>
          <w:rStyle w:val="FootnoteReference"/>
          <w:rFonts w:ascii="Times New Roman" w:eastAsia="Calibri" w:hAnsi="Times New Roman" w:cs="Times New Roman"/>
          <w:noProof/>
          <w:sz w:val="24"/>
          <w:szCs w:val="24"/>
        </w:rPr>
        <w:footnoteReference w:id="24"/>
      </w:r>
      <w:r>
        <w:rPr>
          <w:rFonts w:ascii="Times New Roman" w:eastAsia="Calibri" w:hAnsi="Times New Roman" w:cs="Times New Roman"/>
          <w:noProof/>
          <w:sz w:val="24"/>
          <w:szCs w:val="24"/>
        </w:rPr>
        <w:t>. The Commission will support further analysis of their feasibility to ensure effective and proportionate solution</w:t>
      </w:r>
      <w:r>
        <w:rPr>
          <w:rFonts w:ascii="Times New Roman" w:eastAsia="Calibri" w:hAnsi="Times New Roman" w:cs="Times New Roman"/>
          <w:noProof/>
          <w:sz w:val="24"/>
          <w:szCs w:val="24"/>
        </w:rPr>
        <w:t>s.</w:t>
      </w:r>
      <w:r>
        <w:rPr>
          <w:noProof/>
        </w:rPr>
        <w:t xml:space="preserve"> </w:t>
      </w:r>
      <w:r>
        <w:rPr>
          <w:rFonts w:ascii="Times New Roman" w:eastAsia="Calibri" w:hAnsi="Times New Roman" w:cs="Times New Roman"/>
          <w:noProof/>
          <w:sz w:val="24"/>
          <w:szCs w:val="24"/>
        </w:rPr>
        <w:t>Depending on the outcome of this project, an independent European body could be tasked to proceed with SEP essentiality assessment.</w:t>
      </w:r>
    </w:p>
    <w:p w:rsidR="00747FBC" w:rsidRDefault="00682113">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Commission:</w:t>
      </w:r>
    </w:p>
    <w:p w:rsidR="00747FBC" w:rsidRDefault="00682113">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calls on SDOs to urgently ensure that their databases comply with the main quality features described a</w:t>
      </w:r>
      <w:r>
        <w:rPr>
          <w:rFonts w:ascii="Times New Roman" w:eastAsia="Calibri" w:hAnsi="Times New Roman" w:cs="Times New Roman"/>
          <w:i/>
          <w:noProof/>
          <w:sz w:val="24"/>
          <w:szCs w:val="24"/>
        </w:rPr>
        <w:t>bove and will co-operate with SDOs to facilitate this process;</w:t>
      </w:r>
    </w:p>
    <w:p w:rsidR="00747FBC" w:rsidRDefault="00682113">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calls on SDOs to transform the current declaration system into a tool providing more up-to-date and precise information on SEPs and will co-operate with SDOs in order to facilitate that proce</w:t>
      </w:r>
      <w:r>
        <w:rPr>
          <w:rFonts w:ascii="Times New Roman" w:eastAsia="Calibri" w:hAnsi="Times New Roman" w:cs="Times New Roman"/>
          <w:i/>
          <w:noProof/>
          <w:sz w:val="24"/>
          <w:szCs w:val="24"/>
        </w:rPr>
        <w:t>ss;</w:t>
      </w:r>
    </w:p>
    <w:p w:rsidR="00747FBC" w:rsidRDefault="00682113">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considers that declared SEPs should be subject to reliable scrutiny of their essentiality for a standard, and will launch a pilot project for SEPs in selected technologies with a view to facilitating the introduction of an appropriate scrutiny mechan</w:t>
      </w:r>
      <w:r>
        <w:rPr>
          <w:rFonts w:ascii="Times New Roman" w:eastAsia="Calibri" w:hAnsi="Times New Roman" w:cs="Times New Roman"/>
          <w:i/>
          <w:noProof/>
          <w:sz w:val="24"/>
          <w:szCs w:val="24"/>
        </w:rPr>
        <w:t xml:space="preserve">ism. </w:t>
      </w:r>
    </w:p>
    <w:p w:rsidR="00747FBC" w:rsidRDefault="00682113">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General principles for FRAND licensing terms for SEPs</w:t>
      </w:r>
      <w:r>
        <w:rPr>
          <w:rFonts w:ascii="Times New Roman" w:eastAsia="Calibri" w:hAnsi="Times New Roman" w:cs="Times New Roman"/>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considers that the parties are best placed to arrive at a common understanding of what are fair licensing conditions and fair rates, through good faith negotiations. Currently, </w:t>
      </w:r>
      <w:r>
        <w:rPr>
          <w:rFonts w:ascii="Times New Roman" w:eastAsia="Calibri" w:hAnsi="Times New Roman" w:cs="Times New Roman"/>
          <w:noProof/>
          <w:sz w:val="24"/>
          <w:szCs w:val="24"/>
        </w:rPr>
        <w:t>licensing is hampered by unclear and diverging interpretations of the meaning of FRAND. The debate is particularly heated when it comes to valuation principles. Divergent views and litigation over FRAND licensing risk delaying the uptake of new technologie</w:t>
      </w:r>
      <w:r>
        <w:rPr>
          <w:rFonts w:ascii="Times New Roman" w:eastAsia="Calibri" w:hAnsi="Times New Roman" w:cs="Times New Roman"/>
          <w:noProof/>
          <w:sz w:val="24"/>
          <w:szCs w:val="24"/>
        </w:rPr>
        <w:t>s, standardisation processes and the roll-out of IoT in Europe. The Commission considers therefore that it is both necessary and beneficial to establish a first set of key signposts on the FRAND concept, so as to provide for a more stable licensing environ</w:t>
      </w:r>
      <w:r>
        <w:rPr>
          <w:rFonts w:ascii="Times New Roman" w:eastAsia="Calibri" w:hAnsi="Times New Roman" w:cs="Times New Roman"/>
          <w:noProof/>
          <w:sz w:val="24"/>
          <w:szCs w:val="24"/>
        </w:rPr>
        <w:t>ment, guide parties in their negotiations and reduce litigation.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guiding elements set out below are based on the results of a public consultation</w:t>
      </w:r>
      <w:r>
        <w:rPr>
          <w:rStyle w:val="FootnoteReference"/>
          <w:rFonts w:ascii="Times New Roman" w:eastAsia="Calibri" w:hAnsi="Times New Roman" w:cs="Times New Roman"/>
          <w:noProof/>
          <w:sz w:val="24"/>
          <w:szCs w:val="24"/>
        </w:rPr>
        <w:footnoteReference w:id="25"/>
      </w:r>
      <w:r>
        <w:rPr>
          <w:rFonts w:ascii="Times New Roman" w:eastAsia="Calibri" w:hAnsi="Times New Roman" w:cs="Times New Roman"/>
          <w:noProof/>
          <w:sz w:val="24"/>
          <w:szCs w:val="24"/>
        </w:rPr>
        <w:t>, analysis of best practices</w:t>
      </w:r>
      <w:r>
        <w:rPr>
          <w:rStyle w:val="FootnoteReference"/>
          <w:rFonts w:ascii="Times New Roman" w:eastAsia="Calibri" w:hAnsi="Times New Roman" w:cs="Times New Roman"/>
          <w:noProof/>
          <w:sz w:val="24"/>
          <w:szCs w:val="24"/>
        </w:rPr>
        <w:footnoteReference w:id="26"/>
      </w:r>
      <w:r>
        <w:rPr>
          <w:rFonts w:ascii="Times New Roman" w:eastAsia="Calibri" w:hAnsi="Times New Roman" w:cs="Times New Roman"/>
          <w:noProof/>
          <w:sz w:val="24"/>
          <w:szCs w:val="24"/>
        </w:rPr>
        <w:t>, studies</w:t>
      </w:r>
      <w:r>
        <w:rPr>
          <w:rStyle w:val="FootnoteReference"/>
          <w:rFonts w:ascii="Times New Roman" w:eastAsia="Calibri" w:hAnsi="Times New Roman" w:cs="Times New Roman"/>
          <w:noProof/>
          <w:sz w:val="24"/>
          <w:szCs w:val="24"/>
        </w:rPr>
        <w:footnoteReference w:id="27"/>
      </w:r>
      <w:r>
        <w:rPr>
          <w:rFonts w:ascii="Times New Roman" w:eastAsia="Calibri" w:hAnsi="Times New Roman" w:cs="Times New Roman"/>
          <w:noProof/>
          <w:sz w:val="24"/>
          <w:szCs w:val="24"/>
        </w:rPr>
        <w:t>, as well as national case law</w:t>
      </w:r>
      <w:r>
        <w:rPr>
          <w:rStyle w:val="FootnoteReference"/>
          <w:rFonts w:ascii="Times New Roman" w:eastAsia="Calibri" w:hAnsi="Times New Roman" w:cs="Times New Roman"/>
          <w:noProof/>
          <w:sz w:val="24"/>
          <w:szCs w:val="24"/>
        </w:rPr>
        <w:footnoteReference w:id="28"/>
      </w:r>
      <w:r>
        <w:rPr>
          <w:rFonts w:ascii="Times New Roman" w:eastAsia="Calibri" w:hAnsi="Times New Roman" w:cs="Times New Roman"/>
          <w:noProof/>
          <w:sz w:val="24"/>
          <w:szCs w:val="24"/>
        </w:rPr>
        <w:t>. The Commission encourages stakeholders to engage in dialogue with each other and with the Commission, with the view to achieving further clarification and developing best practices. The Commission will monitor progress achieved and take complementary act</w:t>
      </w:r>
      <w:r>
        <w:rPr>
          <w:rFonts w:ascii="Times New Roman" w:eastAsia="Calibri" w:hAnsi="Times New Roman" w:cs="Times New Roman"/>
          <w:noProof/>
          <w:sz w:val="24"/>
          <w:szCs w:val="24"/>
        </w:rPr>
        <w:t xml:space="preserve">ion on FRAND licensing, as needed. </w:t>
      </w:r>
    </w:p>
    <w:p w:rsidR="00747FBC" w:rsidRDefault="00682113">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Licensing principles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the CJEU has confirmed, an 'undertaking to grant licences on FRAND terms creates legitimate expectations on the part of third parties that the proprietor of the SEP will in fact grant licences on </w:t>
      </w:r>
      <w:r>
        <w:rPr>
          <w:rFonts w:ascii="Times New Roman" w:eastAsia="Calibri" w:hAnsi="Times New Roman" w:cs="Times New Roman"/>
          <w:noProof/>
          <w:sz w:val="24"/>
          <w:szCs w:val="24"/>
        </w:rPr>
        <w:t>such terms'</w:t>
      </w:r>
      <w:r>
        <w:rPr>
          <w:rStyle w:val="FootnoteReference"/>
          <w:rFonts w:ascii="Times New Roman" w:eastAsia="Calibri" w:hAnsi="Times New Roman" w:cs="Times New Roman"/>
          <w:noProof/>
          <w:sz w:val="24"/>
          <w:szCs w:val="24"/>
        </w:rPr>
        <w:footnoteReference w:id="29"/>
      </w:r>
      <w:r>
        <w:rPr>
          <w:rFonts w:ascii="Times New Roman" w:eastAsia="Calibri" w:hAnsi="Times New Roman" w:cs="Times New Roman"/>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Both parties must be willing to engage in good faith negotiations, with the view to establishing licensing conditions that are fair, reasonable and non-discriminatory. Parties to a SEP licensing agreement, negotiating in good faith, are in t</w:t>
      </w:r>
      <w:r>
        <w:rPr>
          <w:rFonts w:ascii="Times New Roman" w:eastAsia="Calibri" w:hAnsi="Times New Roman" w:cs="Times New Roman"/>
          <w:noProof/>
          <w:sz w:val="24"/>
          <w:szCs w:val="24"/>
        </w:rPr>
        <w:t xml:space="preserve">he best position to determine the FRAND terms most appropriate to their specific situation.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Efficiency considerations, reasonable licence fee expectations on both sides, the facilitation of the uptake by implementers to promote wide diffusion of the stand</w:t>
      </w:r>
      <w:r>
        <w:rPr>
          <w:rFonts w:ascii="Times New Roman" w:eastAsia="Calibri" w:hAnsi="Times New Roman" w:cs="Times New Roman"/>
          <w:noProof/>
          <w:sz w:val="24"/>
          <w:szCs w:val="24"/>
        </w:rPr>
        <w:t>ard should be taken into account. It should be stressed in this respect that there is no one-size-fit-all solution to what FRAND is: what can be considered fair and reasonable differs from sector to sector and over time. For this reason, the Commission enc</w:t>
      </w:r>
      <w:r>
        <w:rPr>
          <w:rFonts w:ascii="Times New Roman" w:eastAsia="Calibri" w:hAnsi="Times New Roman" w:cs="Times New Roman"/>
          <w:noProof/>
          <w:sz w:val="24"/>
          <w:szCs w:val="24"/>
        </w:rPr>
        <w:t>ourages stakeholders to pursue sectoral discussions with a view to establishing common licensing practices, based on the principles reflected in this Communication.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considers that the following IP valuation principles should be taken into ac</w:t>
      </w:r>
      <w:r>
        <w:rPr>
          <w:rFonts w:ascii="Times New Roman" w:eastAsia="Calibri" w:hAnsi="Times New Roman" w:cs="Times New Roman"/>
          <w:noProof/>
          <w:sz w:val="24"/>
          <w:szCs w:val="24"/>
        </w:rPr>
        <w:t>count:</w:t>
      </w:r>
    </w:p>
    <w:p w:rsidR="00747FBC" w:rsidRDefault="00682113">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Licensing terms have to </w:t>
      </w:r>
      <w:r>
        <w:rPr>
          <w:rFonts w:ascii="Times New Roman" w:hAnsi="Times New Roman" w:cs="Times New Roman"/>
          <w:noProof/>
          <w:sz w:val="24"/>
          <w:szCs w:val="24"/>
        </w:rPr>
        <w:t xml:space="preserve">bear a clear relationship to the economic value of </w:t>
      </w:r>
      <w:r>
        <w:rPr>
          <w:rFonts w:ascii="Times New Roman" w:eastAsia="Calibri" w:hAnsi="Times New Roman" w:cs="Times New Roman"/>
          <w:noProof/>
          <w:sz w:val="24"/>
          <w:szCs w:val="24"/>
        </w:rPr>
        <w:t>the patented technology. That value primarily needs to focus on the technology itself and in principle should not include any element resulting from the decision to include t</w:t>
      </w:r>
      <w:r>
        <w:rPr>
          <w:rFonts w:ascii="Times New Roman" w:eastAsia="Calibri" w:hAnsi="Times New Roman" w:cs="Times New Roman"/>
          <w:noProof/>
          <w:sz w:val="24"/>
          <w:szCs w:val="24"/>
        </w:rPr>
        <w:t>he technology in the standard.</w:t>
      </w:r>
      <w:r>
        <w:rPr>
          <w:rFonts w:ascii="Times New Roman" w:hAnsi="Times New Roman" w:cs="Times New Roman"/>
          <w:noProof/>
        </w:rPr>
        <w:t xml:space="preserve"> </w:t>
      </w:r>
      <w:r>
        <w:rPr>
          <w:rFonts w:ascii="Times New Roman" w:eastAsia="Calibri" w:hAnsi="Times New Roman" w:cs="Times New Roman"/>
          <w:noProof/>
          <w:sz w:val="24"/>
          <w:szCs w:val="24"/>
        </w:rPr>
        <w:t>In cases where the technology is developed mainly for the standard and has little market value outside the standard, alternative evaluation methods, such as the relative importance of the technology in the standard compared t</w:t>
      </w:r>
      <w:r>
        <w:rPr>
          <w:rFonts w:ascii="Times New Roman" w:eastAsia="Calibri" w:hAnsi="Times New Roman" w:cs="Times New Roman"/>
          <w:noProof/>
          <w:sz w:val="24"/>
          <w:szCs w:val="24"/>
        </w:rPr>
        <w:t>o other contributions in the standard, should be considered.</w:t>
      </w:r>
      <w:r>
        <w:rPr>
          <w:noProof/>
        </w:rPr>
        <w:t xml:space="preserve"> </w:t>
      </w:r>
    </w:p>
    <w:p w:rsidR="00747FBC" w:rsidRDefault="00682113">
      <w:pPr>
        <w:pStyle w:val="ListParagraph"/>
        <w:numPr>
          <w:ilvl w:val="0"/>
          <w:numId w:val="31"/>
        </w:numPr>
        <w:spacing w:after="0" w:line="240" w:lineRule="auto"/>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rPr>
        <w:t>Determining a FRAND value should require taking into account the present value added</w:t>
      </w:r>
      <w:r>
        <w:rPr>
          <w:rStyle w:val="FootnoteReference"/>
          <w:rFonts w:ascii="Times New Roman" w:eastAsia="Calibri" w:hAnsi="Times New Roman" w:cs="Times New Roman"/>
          <w:noProof/>
          <w:sz w:val="24"/>
          <w:szCs w:val="24"/>
        </w:rPr>
        <w:footnoteReference w:id="30"/>
      </w:r>
      <w:r>
        <w:rPr>
          <w:rFonts w:ascii="Times New Roman" w:eastAsia="Calibri" w:hAnsi="Times New Roman" w:cs="Times New Roman"/>
          <w:noProof/>
          <w:sz w:val="24"/>
          <w:szCs w:val="24"/>
        </w:rPr>
        <w:t xml:space="preserve"> of the patented technology. That value should be irrespective of the market success of the product which is </w:t>
      </w:r>
      <w:r>
        <w:rPr>
          <w:rFonts w:ascii="Times New Roman" w:eastAsia="Calibri" w:hAnsi="Times New Roman" w:cs="Times New Roman"/>
          <w:noProof/>
          <w:sz w:val="24"/>
          <w:szCs w:val="24"/>
        </w:rPr>
        <w:t xml:space="preserve">unrelated to the patented technology. </w:t>
      </w:r>
    </w:p>
    <w:p w:rsidR="00747FBC" w:rsidRDefault="00682113">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FRAND valuation should ensure continued incentives for SEP holders to contribute their best available technology to standards.</w:t>
      </w:r>
    </w:p>
    <w:p w:rsidR="00747FBC" w:rsidRDefault="00682113">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Finally, to avoid royalty stacking, in defining a FRAND value, an individual SEP cannot be</w:t>
      </w:r>
      <w:r>
        <w:rPr>
          <w:rFonts w:ascii="Times New Roman" w:eastAsia="Calibri" w:hAnsi="Times New Roman" w:cs="Times New Roman"/>
          <w:noProof/>
          <w:sz w:val="24"/>
          <w:szCs w:val="24"/>
        </w:rPr>
        <w:t xml:space="preserve"> considered in isolation. Parties need to take into account a reasonable aggregate rate for the standard, assessing the overall added value of the technology</w:t>
      </w:r>
      <w:r>
        <w:rPr>
          <w:rStyle w:val="FootnoteReference"/>
          <w:rFonts w:ascii="Times New Roman" w:eastAsia="Calibri" w:hAnsi="Times New Roman" w:cs="Times New Roman"/>
          <w:noProof/>
          <w:sz w:val="24"/>
          <w:szCs w:val="24"/>
        </w:rPr>
        <w:footnoteReference w:id="31"/>
      </w:r>
      <w:r>
        <w:rPr>
          <w:rFonts w:ascii="Times New Roman" w:eastAsia="Calibri" w:hAnsi="Times New Roman" w:cs="Times New Roman"/>
          <w:noProof/>
          <w:sz w:val="24"/>
          <w:szCs w:val="24"/>
        </w:rPr>
        <w:t>.</w:t>
      </w:r>
      <w:r>
        <w:rPr>
          <w:noProof/>
        </w:rPr>
        <w:t xml:space="preserve"> </w:t>
      </w:r>
      <w:r>
        <w:rPr>
          <w:rFonts w:ascii="Times New Roman" w:eastAsia="Calibri" w:hAnsi="Times New Roman" w:cs="Times New Roman"/>
          <w:noProof/>
          <w:sz w:val="24"/>
          <w:szCs w:val="24"/>
        </w:rPr>
        <w:t>The implementation of measures on SEP transparency can already support this objective. It can be</w:t>
      </w:r>
      <w:r>
        <w:rPr>
          <w:rFonts w:ascii="Times New Roman" w:eastAsia="Calibri" w:hAnsi="Times New Roman" w:cs="Times New Roman"/>
          <w:noProof/>
          <w:sz w:val="24"/>
          <w:szCs w:val="24"/>
        </w:rPr>
        <w:t xml:space="preserve"> addressed further, within the scope of EU competition law, by the creation of industry licensing platforms and patent pools, or based on indications by standardisation participants on the maximum cumulative rate that could be reasonably envisaged or expec</w:t>
      </w:r>
      <w:r>
        <w:rPr>
          <w:rFonts w:ascii="Times New Roman" w:eastAsia="Calibri" w:hAnsi="Times New Roman" w:cs="Times New Roman"/>
          <w:noProof/>
          <w:sz w:val="24"/>
          <w:szCs w:val="24"/>
        </w:rPr>
        <w:t>ted.</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Efficiency and non-discrimination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non-discrimination element of FRAND indicates that rightholders cannot discriminate between implementers that are 'similarly situated'</w:t>
      </w:r>
      <w:r>
        <w:rPr>
          <w:rStyle w:val="FootnoteReference"/>
          <w:rFonts w:ascii="Times New Roman" w:eastAsia="Calibri" w:hAnsi="Times New Roman" w:cs="Times New Roman"/>
          <w:noProof/>
          <w:sz w:val="24"/>
          <w:szCs w:val="24"/>
        </w:rPr>
        <w:footnoteReference w:id="32"/>
      </w:r>
      <w:r>
        <w:rPr>
          <w:rFonts w:ascii="Times New Roman" w:eastAsia="Calibri" w:hAnsi="Times New Roman" w:cs="Times New Roman"/>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Given that FRAND is not one-size-fits-all, solutions can differ from sector to sector and depending on the business models in question.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above, FRAND negotiations imply good faith negotiations from both parties. Efficiency considerations can c</w:t>
      </w:r>
      <w:r>
        <w:rPr>
          <w:rFonts w:ascii="Times New Roman" w:eastAsia="Calibri" w:hAnsi="Times New Roman" w:cs="Times New Roman"/>
          <w:noProof/>
          <w:sz w:val="24"/>
          <w:szCs w:val="24"/>
        </w:rPr>
        <w:t>ome into play as well. Transaction costs relating to the negotiation of a licence should be kept to the minimum necessary. Furthermore, in sectors where cross-licencing practices are widespread, efficiency gains related to such practices should be taken in</w:t>
      </w:r>
      <w:r>
        <w:rPr>
          <w:rFonts w:ascii="Times New Roman" w:eastAsia="Calibri" w:hAnsi="Times New Roman" w:cs="Times New Roman"/>
          <w:noProof/>
          <w:sz w:val="24"/>
          <w:szCs w:val="24"/>
        </w:rPr>
        <w:t>to account</w:t>
      </w:r>
      <w:r>
        <w:rPr>
          <w:rFonts w:ascii="Times New Roman" w:hAnsi="Times New Roman"/>
          <w:noProof/>
          <w:sz w:val="24"/>
        </w:rPr>
        <w:t>.</w:t>
      </w:r>
      <w:r>
        <w:rPr>
          <w:rFonts w:ascii="Times New Roman" w:eastAsia="Calibri" w:hAnsi="Times New Roman" w:cs="Times New Roman"/>
          <w:noProof/>
          <w:sz w:val="24"/>
          <w:szCs w:val="24"/>
        </w:rPr>
        <w:t xml:space="preserve"> These points need to be taken into account when assessing on a case by case basis whether a licensing offer is compatible with FRAND.</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line with the approach presented above, the Commission considers that the same principles of efficiency sup</w:t>
      </w:r>
      <w:r>
        <w:rPr>
          <w:rFonts w:ascii="Times New Roman" w:eastAsia="Calibri" w:hAnsi="Times New Roman" w:cs="Times New Roman"/>
          <w:noProof/>
          <w:sz w:val="24"/>
          <w:szCs w:val="24"/>
        </w:rPr>
        <w:t>port the practice of SEP portfolio licensing for products with global circulation</w:t>
      </w:r>
      <w:r>
        <w:rPr>
          <w:rStyle w:val="FootnoteReference"/>
          <w:rFonts w:ascii="Times New Roman" w:eastAsia="Calibri" w:hAnsi="Times New Roman" w:cs="Times New Roman"/>
          <w:noProof/>
          <w:sz w:val="24"/>
          <w:szCs w:val="24"/>
        </w:rPr>
        <w:footnoteReference w:id="33"/>
      </w:r>
      <w:r>
        <w:rPr>
          <w:rFonts w:ascii="Times New Roman" w:eastAsia="Calibri" w:hAnsi="Times New Roman" w:cs="Times New Roman"/>
          <w:noProof/>
          <w:sz w:val="24"/>
          <w:szCs w:val="24"/>
        </w:rPr>
        <w:t>. As noted in a recent ruling</w:t>
      </w:r>
      <w:r>
        <w:rPr>
          <w:rStyle w:val="FootnoteReference"/>
          <w:rFonts w:ascii="Times New Roman" w:eastAsia="Calibri" w:hAnsi="Times New Roman" w:cs="Times New Roman"/>
          <w:noProof/>
          <w:sz w:val="24"/>
          <w:szCs w:val="24"/>
        </w:rPr>
        <w:footnoteReference w:id="34"/>
      </w:r>
      <w:r>
        <w:rPr>
          <w:rFonts w:ascii="Times New Roman" w:eastAsia="Calibri" w:hAnsi="Times New Roman" w:cs="Times New Roman"/>
          <w:noProof/>
          <w:sz w:val="24"/>
          <w:szCs w:val="24"/>
        </w:rPr>
        <w:t>, a country-by-country licensing approach may not be efficient and may not be in line with</w:t>
      </w:r>
      <w:r>
        <w:rPr>
          <w:rFonts w:ascii="Times New Roman" w:hAnsi="Times New Roman" w:cs="Times New Roman"/>
          <w:noProof/>
        </w:rPr>
        <w:t xml:space="preserve"> </w:t>
      </w:r>
      <w:r>
        <w:rPr>
          <w:rFonts w:ascii="Times New Roman" w:eastAsia="Calibri" w:hAnsi="Times New Roman" w:cs="Times New Roman"/>
          <w:noProof/>
          <w:sz w:val="24"/>
          <w:szCs w:val="24"/>
        </w:rPr>
        <w:t xml:space="preserve">a recognised commercial practice in the sector. </w:t>
      </w:r>
    </w:p>
    <w:p w:rsidR="00747FBC" w:rsidRDefault="00682113">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Pate</w:t>
      </w:r>
      <w:r>
        <w:rPr>
          <w:rFonts w:ascii="Times New Roman" w:eastAsia="Times New Roman" w:hAnsi="Times New Roman" w:cs="Times New Roman"/>
          <w:b/>
          <w:bCs/>
          <w:smallCaps/>
          <w:noProof/>
          <w:sz w:val="24"/>
          <w:szCs w:val="24"/>
        </w:rPr>
        <w:t>nt pools and licensing platforms to facilitate SEP licensing</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creation of patent pools or other licensing platforms, within the scope of EU competition law, should be encouraged. They can address many of the SEP licensing challenges by offering better s</w:t>
      </w:r>
      <w:r>
        <w:rPr>
          <w:rFonts w:ascii="Times New Roman" w:eastAsia="Calibri" w:hAnsi="Times New Roman" w:cs="Times New Roman"/>
          <w:noProof/>
          <w:sz w:val="24"/>
          <w:szCs w:val="24"/>
        </w:rPr>
        <w:t>crutiny on essentiality, more clarity on aggregate licensing fees and one-stop- shop solutions.</w:t>
      </w:r>
      <w:r>
        <w:rPr>
          <w:rFonts w:ascii="Times New Roman" w:hAnsi="Times New Roman" w:cs="Times New Roman"/>
          <w:noProof/>
          <w:sz w:val="24"/>
          <w:szCs w:val="24"/>
        </w:rPr>
        <w:t xml:space="preserve"> For </w:t>
      </w:r>
      <w:r>
        <w:rPr>
          <w:rFonts w:ascii="Times New Roman" w:eastAsia="Calibri" w:hAnsi="Times New Roman" w:cs="Times New Roman"/>
          <w:noProof/>
          <w:sz w:val="24"/>
          <w:szCs w:val="24"/>
        </w:rPr>
        <w:t>IoT industries, and particularly SMEs, newly exposed to SEP licensing disputes</w:t>
      </w:r>
      <w:r>
        <w:rPr>
          <w:rFonts w:ascii="Times New Roman" w:hAnsi="Times New Roman" w:cs="Times New Roman"/>
          <w:noProof/>
          <w:sz w:val="24"/>
          <w:szCs w:val="24"/>
        </w:rPr>
        <w:t xml:space="preserve">, this will bring </w:t>
      </w:r>
      <w:r>
        <w:rPr>
          <w:rFonts w:ascii="Times New Roman" w:eastAsia="Calibri" w:hAnsi="Times New Roman" w:cs="Times New Roman"/>
          <w:noProof/>
          <w:sz w:val="24"/>
          <w:szCs w:val="24"/>
        </w:rPr>
        <w:t>more clarity to licensing conditions of SEP holders in a spe</w:t>
      </w:r>
      <w:r>
        <w:rPr>
          <w:rFonts w:ascii="Times New Roman" w:eastAsia="Calibri" w:hAnsi="Times New Roman" w:cs="Times New Roman"/>
          <w:noProof/>
          <w:sz w:val="24"/>
          <w:szCs w:val="24"/>
        </w:rPr>
        <w:t>cific sector.</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Measures to encourage the setting up of pools for key standardised technologies should be encouraged, e.g. facilitating access to pool management offers and technical assistance by SDO</w:t>
      </w:r>
      <w:r>
        <w:rPr>
          <w:rStyle w:val="FootnoteReference"/>
          <w:rFonts w:ascii="Times New Roman" w:eastAsia="Calibri" w:hAnsi="Times New Roman" w:cs="Times New Roman"/>
          <w:noProof/>
          <w:sz w:val="24"/>
          <w:szCs w:val="24"/>
        </w:rPr>
        <w:footnoteReference w:id="35"/>
      </w:r>
      <w:r>
        <w:rPr>
          <w:rFonts w:ascii="Times New Roman" w:eastAsia="Calibri" w:hAnsi="Times New Roman" w:cs="Times New Roman"/>
          <w:noProof/>
          <w:sz w:val="24"/>
          <w:szCs w:val="24"/>
        </w:rPr>
        <w:t xml:space="preserve">. The Commission will consider further measures if these </w:t>
      </w:r>
      <w:r>
        <w:rPr>
          <w:rFonts w:ascii="Times New Roman" w:eastAsia="Calibri" w:hAnsi="Times New Roman" w:cs="Times New Roman"/>
          <w:noProof/>
          <w:sz w:val="24"/>
          <w:szCs w:val="24"/>
        </w:rPr>
        <w:t>efforts are ineffective in IoT sectors.</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 xml:space="preserve">Exploiting and deepening FRAND expertise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need to increase accessibility of experience, expertise and know-how around FRAND determination. Valuable insight has been gained and approaches developed from </w:t>
      </w:r>
      <w:r>
        <w:rPr>
          <w:rFonts w:ascii="Times New Roman" w:eastAsia="Calibri" w:hAnsi="Times New Roman" w:cs="Times New Roman"/>
          <w:noProof/>
          <w:sz w:val="24"/>
          <w:szCs w:val="24"/>
        </w:rPr>
        <w:t>licensing agreements, mediations, arbitrations and court decisions over many years. Significant resources and efforts have been devoted to clarifying, analysing and valuing patents and technology. As there is no common repository for such expertise, work a</w:t>
      </w:r>
      <w:r>
        <w:rPr>
          <w:rFonts w:ascii="Times New Roman" w:eastAsia="Calibri" w:hAnsi="Times New Roman" w:cs="Times New Roman"/>
          <w:noProof/>
          <w:sz w:val="24"/>
          <w:szCs w:val="24"/>
        </w:rPr>
        <w:t>nd research may be unnecessarily duplicated at serious cost to the parties involved. More accessible FRAND-related information could increase predictability for businesses such as IoT players, facilitate the licensing process in general and provide support</w:t>
      </w:r>
      <w:r>
        <w:rPr>
          <w:rFonts w:ascii="Times New Roman" w:eastAsia="Calibri" w:hAnsi="Times New Roman" w:cs="Times New Roman"/>
          <w:noProof/>
          <w:sz w:val="24"/>
          <w:szCs w:val="24"/>
        </w:rPr>
        <w:t xml:space="preserve"> and benchmarks in dispute settlement.</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 therefore set up an expert group with the view to gathering industry practice and additional expertise on FRAND licencing. In addition, the Commission will use all appropriate tools available to ob</w:t>
      </w:r>
      <w:r>
        <w:rPr>
          <w:rFonts w:ascii="Times New Roman" w:eastAsia="Calibri" w:hAnsi="Times New Roman" w:cs="Times New Roman"/>
          <w:noProof/>
          <w:sz w:val="24"/>
          <w:szCs w:val="24"/>
        </w:rPr>
        <w:t>tain further information to support its policy making with sufficient evidence.</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In view of current developments, the Commission considers that SEP licencing should be based on the basis of the following principles:</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There is no one-size-fit-all solution on what FRAND is: what can be considered fair and reasonable can differ from sector to sector and over time. Efficiency considerations, reasonable licence fee expectations on both sides, the facilitation of the uptak</w:t>
      </w:r>
      <w:r>
        <w:rPr>
          <w:i/>
          <w:noProof/>
          <w:color w:val="000000"/>
          <w:lang w:val="en-GB"/>
        </w:rPr>
        <w:t xml:space="preserve">e by implementers to promote wide diffusion of the standard should be taken into account. </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Determining a FRAND value should require taking into account the present value added of the patented technology. That value should be irrespective of the market su</w:t>
      </w:r>
      <w:r>
        <w:rPr>
          <w:i/>
          <w:noProof/>
          <w:color w:val="000000"/>
          <w:lang w:val="en-GB"/>
        </w:rPr>
        <w:t xml:space="preserve">ccess of the product which is unrelated to the value of the patented technology. </w:t>
      </w:r>
      <w:r>
        <w:rPr>
          <w:rFonts w:eastAsia="Calibri"/>
          <w:noProof/>
          <w:lang w:val="en-GB"/>
        </w:rPr>
        <w:t xml:space="preserve"> </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In defining a FRAND value, parties need to take account of a reasonable aggregate rate for the standard.</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rFonts w:eastAsia="Calibri"/>
          <w:noProof/>
          <w:lang w:val="en-GB"/>
        </w:rPr>
        <w:t xml:space="preserve">- </w:t>
      </w:r>
      <w:r>
        <w:rPr>
          <w:i/>
          <w:noProof/>
          <w:color w:val="000000"/>
          <w:lang w:val="en-GB"/>
        </w:rPr>
        <w:t>The non-discrimination element of FRAND indicates that righthold</w:t>
      </w:r>
      <w:r>
        <w:rPr>
          <w:i/>
          <w:noProof/>
          <w:color w:val="000000"/>
          <w:lang w:val="en-GB"/>
        </w:rPr>
        <w:t xml:space="preserve">ers cannot discriminate between implementers that are 'similarly situated'. </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For products with a global circulation, SEP licences granted on a worldwide basis may contribute to a more efficient approach and therefore can be compatible with FRAND.</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The Com</w:t>
      </w:r>
      <w:r>
        <w:rPr>
          <w:i/>
          <w:noProof/>
          <w:color w:val="000000"/>
          <w:lang w:val="en-GB"/>
        </w:rPr>
        <w:t>mission calls on SDOs and SEP holders to develop effective solutions to facilitate the licensing of a large number of implementers in the IoT environment (especially SMEs), via patent pools or other licensing platforms, while offering sufficient transparen</w:t>
      </w:r>
      <w:r>
        <w:rPr>
          <w:i/>
          <w:noProof/>
          <w:color w:val="000000"/>
          <w:lang w:val="en-GB"/>
        </w:rPr>
        <w:t>cy and predictability.</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The Commission will monitor licencing practices, in particular in the IoT sector. It will also set up an expert group with the view to deepening expertise on industry licensing practices, sound IP valuation and FRAND determination.</w:t>
      </w:r>
    </w:p>
    <w:p w:rsidR="00747FBC" w:rsidRDefault="00682113">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lang w:val="fr-BE"/>
        </w:rPr>
      </w:pPr>
      <w:r>
        <w:rPr>
          <w:rFonts w:ascii="Times New Roman" w:eastAsia="Times New Roman" w:hAnsi="Times New Roman" w:cs="Times New Roman"/>
          <w:b/>
          <w:bCs/>
          <w:smallCaps/>
          <w:noProof/>
          <w:sz w:val="24"/>
          <w:szCs w:val="24"/>
          <w:lang w:val="fr-BE"/>
        </w:rPr>
        <w:t>A</w:t>
      </w:r>
      <w:r>
        <w:rPr>
          <w:rFonts w:ascii="Times New Roman" w:eastAsia="Times New Roman" w:hAnsi="Times New Roman" w:cs="Times New Roman"/>
          <w:b/>
          <w:bCs/>
          <w:smallCaps/>
          <w:noProof/>
          <w:sz w:val="24"/>
          <w:szCs w:val="24"/>
          <w:lang w:val="fr-BE"/>
        </w:rPr>
        <w:t xml:space="preserve"> predictable enforcement environment for SEPs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Disputes on SEPs are an important factor in the licensing system when negotiations fail. A balanced and predictable enforcement environment has particularly positive effects on parties’ behaviour during negotia</w:t>
      </w:r>
      <w:r>
        <w:rPr>
          <w:rFonts w:ascii="Times New Roman" w:eastAsia="Calibri" w:hAnsi="Times New Roman" w:cs="Times New Roman"/>
          <w:noProof/>
          <w:sz w:val="24"/>
          <w:szCs w:val="24"/>
        </w:rPr>
        <w:t xml:space="preserve">tions, which in turn can speed up the spread of standardised technologies. IoT stakeholders report however that uncertainties and imbalances in the enforcement system have serious implications for market entry. SEPs show a higher degree of litigation than </w:t>
      </w:r>
      <w:r>
        <w:rPr>
          <w:rFonts w:ascii="Times New Roman" w:eastAsia="Calibri" w:hAnsi="Times New Roman" w:cs="Times New Roman"/>
          <w:noProof/>
          <w:sz w:val="24"/>
          <w:szCs w:val="24"/>
        </w:rPr>
        <w:t>other patents</w:t>
      </w:r>
      <w:r>
        <w:rPr>
          <w:rStyle w:val="FootnoteReference"/>
          <w:rFonts w:ascii="Times New Roman" w:eastAsia="Calibri" w:hAnsi="Times New Roman" w:cs="Times New Roman"/>
          <w:noProof/>
          <w:sz w:val="24"/>
          <w:szCs w:val="24"/>
        </w:rPr>
        <w:footnoteReference w:id="36"/>
      </w:r>
      <w:r>
        <w:rPr>
          <w:rFonts w:ascii="Times New Roman" w:eastAsia="Calibri" w:hAnsi="Times New Roman" w:cs="Times New Roman"/>
          <w:noProof/>
          <w:sz w:val="24"/>
          <w:szCs w:val="24"/>
        </w:rPr>
        <w:t xml:space="preserve">, which reinforces the need for a clear dispute framework in this area. While this Communication focuses on specific guidance on Standard Essential Patents, the </w:t>
      </w:r>
      <w:r>
        <w:rPr>
          <w:rFonts w:ascii="Times New Roman" w:eastAsia="Calibri" w:hAnsi="Times New Roman" w:cs="Times New Roman"/>
          <w:i/>
          <w:noProof/>
          <w:sz w:val="24"/>
          <w:szCs w:val="24"/>
        </w:rPr>
        <w:t>Guidance on certain aspects of Directive 2004/48/EC of the European Parliament an</w:t>
      </w:r>
      <w:r>
        <w:rPr>
          <w:rFonts w:ascii="Times New Roman" w:eastAsia="Calibri" w:hAnsi="Times New Roman" w:cs="Times New Roman"/>
          <w:i/>
          <w:noProof/>
          <w:sz w:val="24"/>
          <w:szCs w:val="24"/>
        </w:rPr>
        <w:t xml:space="preserve">d of the Council on the </w:t>
      </w:r>
      <w:r>
        <w:rPr>
          <w:rFonts w:ascii="Times New Roman" w:hAnsi="Times New Roman"/>
          <w:i/>
          <w:noProof/>
          <w:sz w:val="24"/>
        </w:rPr>
        <w:t xml:space="preserve">enforcement of </w:t>
      </w:r>
      <w:r>
        <w:rPr>
          <w:rFonts w:ascii="Times New Roman" w:eastAsia="Calibri" w:hAnsi="Times New Roman" w:cs="Times New Roman"/>
          <w:i/>
          <w:noProof/>
          <w:sz w:val="24"/>
          <w:szCs w:val="24"/>
        </w:rPr>
        <w:t>intellectual property rights</w:t>
      </w:r>
      <w:r>
        <w:rPr>
          <w:rStyle w:val="FootnoteReference"/>
          <w:rFonts w:ascii="Times New Roman" w:eastAsia="Calibri" w:hAnsi="Times New Roman" w:cs="Times New Roman"/>
          <w:i/>
          <w:noProof/>
          <w:sz w:val="24"/>
          <w:szCs w:val="24"/>
        </w:rPr>
        <w:footnoteReference w:id="37"/>
      </w:r>
      <w:r>
        <w:rPr>
          <w:rFonts w:ascii="Times New Roman" w:eastAsia="Calibri" w:hAnsi="Times New Roman" w:cs="Times New Roman"/>
          <w:noProof/>
          <w:sz w:val="24"/>
          <w:szCs w:val="24"/>
        </w:rPr>
        <w:t xml:space="preserve"> clarifies the IPRED regime more generally.</w:t>
      </w:r>
      <w:r>
        <w:rPr>
          <w:rStyle w:val="FootnoteReference"/>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The possibility to enforce is one of the key aspects of intellectual property rights</w:t>
      </w:r>
      <w:r>
        <w:rPr>
          <w:rStyle w:val="FootnoteReference"/>
          <w:rFonts w:ascii="Times New Roman" w:eastAsia="Calibri" w:hAnsi="Times New Roman" w:cs="Times New Roman"/>
          <w:noProof/>
          <w:sz w:val="24"/>
          <w:szCs w:val="24"/>
        </w:rPr>
        <w:footnoteReference w:id="38"/>
      </w:r>
      <w:r>
        <w:rPr>
          <w:rFonts w:ascii="Times New Roman" w:eastAsia="Calibri" w:hAnsi="Times New Roman" w:cs="Times New Roman"/>
          <w:noProof/>
          <w:sz w:val="24"/>
          <w:szCs w:val="24"/>
        </w:rPr>
        <w:t xml:space="preserve">. The debate in the SEPs area has mainly focused on the </w:t>
      </w:r>
      <w:r>
        <w:rPr>
          <w:rFonts w:ascii="Times New Roman" w:eastAsia="Calibri" w:hAnsi="Times New Roman" w:cs="Times New Roman"/>
          <w:noProof/>
          <w:sz w:val="24"/>
          <w:szCs w:val="24"/>
        </w:rPr>
        <w:t>availability of injunctive relief. Such relief aims to protect SEP holders against infringers unwilling to conclude a licence on FRAND terms. At the same time, safeguards are needed against the risk that good-faith technology users threatened with an injun</w:t>
      </w:r>
      <w:r>
        <w:rPr>
          <w:rFonts w:ascii="Times New Roman" w:eastAsia="Calibri" w:hAnsi="Times New Roman" w:cs="Times New Roman"/>
          <w:noProof/>
          <w:sz w:val="24"/>
          <w:szCs w:val="24"/>
        </w:rPr>
        <w:t>ction accept licensing terms that are not FRAND, or in the worst case, are unable to market their products (hold-ups).</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availability of injunctive relief under the Huawei vs ZTE jurisprudence</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its Huawei judgment</w:t>
      </w:r>
      <w:r>
        <w:rPr>
          <w:rStyle w:val="FootnoteReference"/>
          <w:rFonts w:ascii="Times New Roman" w:eastAsia="Calibri" w:hAnsi="Times New Roman" w:cs="Times New Roman"/>
          <w:noProof/>
          <w:sz w:val="24"/>
          <w:szCs w:val="24"/>
        </w:rPr>
        <w:footnoteReference w:id="39"/>
      </w:r>
      <w:r>
        <w:rPr>
          <w:rFonts w:ascii="Times New Roman" w:eastAsia="Calibri" w:hAnsi="Times New Roman" w:cs="Times New Roman"/>
          <w:noProof/>
          <w:sz w:val="24"/>
          <w:szCs w:val="24"/>
        </w:rPr>
        <w:t>, the CJEU established obligations applyin</w:t>
      </w:r>
      <w:r>
        <w:rPr>
          <w:rFonts w:ascii="Times New Roman" w:eastAsia="Calibri" w:hAnsi="Times New Roman" w:cs="Times New Roman"/>
          <w:noProof/>
          <w:sz w:val="24"/>
          <w:szCs w:val="24"/>
        </w:rPr>
        <w:t>g to both sides of a SEP-licensing agreement, when assessing whether the holder of a SEP can seek an injunction against a potential licensee without being in breach of Article 102 TFEU. SEP holders may not seek injunctions against users willing to enter in</w:t>
      </w:r>
      <w:r>
        <w:rPr>
          <w:rFonts w:ascii="Times New Roman" w:eastAsia="Calibri" w:hAnsi="Times New Roman" w:cs="Times New Roman"/>
          <w:noProof/>
          <w:sz w:val="24"/>
          <w:szCs w:val="24"/>
        </w:rPr>
        <w:t>to a licence on FRAND terms, and the CJEU established behavioural criteria to assess when a potential licensee can be considered willing to enter into such a licence.</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considers that the elements below – which arise from national case-law in </w:t>
      </w:r>
      <w:r>
        <w:rPr>
          <w:rFonts w:ascii="Times New Roman" w:eastAsia="Calibri" w:hAnsi="Times New Roman" w:cs="Times New Roman"/>
          <w:noProof/>
          <w:sz w:val="24"/>
          <w:szCs w:val="24"/>
        </w:rPr>
        <w:t xml:space="preserve">applying the </w:t>
      </w:r>
      <w:r>
        <w:rPr>
          <w:rFonts w:ascii="Times New Roman" w:eastAsia="Calibri" w:hAnsi="Times New Roman" w:cs="Times New Roman"/>
          <w:i/>
          <w:noProof/>
          <w:sz w:val="24"/>
          <w:szCs w:val="24"/>
        </w:rPr>
        <w:t>Huawei</w:t>
      </w:r>
      <w:r>
        <w:rPr>
          <w:rFonts w:ascii="Times New Roman" w:eastAsia="Calibri" w:hAnsi="Times New Roman" w:cs="Times New Roman"/>
          <w:noProof/>
          <w:sz w:val="24"/>
          <w:szCs w:val="24"/>
        </w:rPr>
        <w:t xml:space="preserve"> judgment</w:t>
      </w:r>
      <w:r>
        <w:rPr>
          <w:rStyle w:val="FootnoteReference"/>
          <w:rFonts w:ascii="Times New Roman" w:eastAsia="Calibri" w:hAnsi="Times New Roman" w:cs="Times New Roman"/>
          <w:noProof/>
          <w:sz w:val="24"/>
          <w:szCs w:val="24"/>
        </w:rPr>
        <w:footnoteReference w:id="40"/>
      </w:r>
      <w:r>
        <w:rPr>
          <w:rFonts w:ascii="Times New Roman" w:eastAsia="Calibri" w:hAnsi="Times New Roman" w:cs="Times New Roman"/>
          <w:noProof/>
          <w:sz w:val="24"/>
          <w:szCs w:val="24"/>
        </w:rPr>
        <w:t>, provide useful additional guidance for stakeholders.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number of courts have stressed that a </w:t>
      </w:r>
      <w:r>
        <w:rPr>
          <w:rFonts w:ascii="Times New Roman" w:hAnsi="Times New Roman"/>
          <w:noProof/>
          <w:sz w:val="24"/>
        </w:rPr>
        <w:t>prospective SEP licensee has to receive sufficiently detailed and relevant information</w:t>
      </w:r>
      <w:r>
        <w:rPr>
          <w:rFonts w:ascii="Times New Roman" w:eastAsia="Calibri" w:hAnsi="Times New Roman" w:cs="Times New Roman"/>
          <w:noProof/>
          <w:sz w:val="24"/>
          <w:szCs w:val="24"/>
        </w:rPr>
        <w:t xml:space="preserve"> to determine the relevance of the SEP portfol</w:t>
      </w:r>
      <w:r>
        <w:rPr>
          <w:rFonts w:ascii="Times New Roman" w:eastAsia="Calibri" w:hAnsi="Times New Roman" w:cs="Times New Roman"/>
          <w:noProof/>
          <w:sz w:val="24"/>
          <w:szCs w:val="24"/>
        </w:rPr>
        <w:t>io and compliance with FRAND</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 xml:space="preserve">. The concrete requirements may vary according to the individual case, but the Commission believes that to assess a FRAND offer and make an appropriate counter-offer, clear explanations are necessary on: the essentiality for a </w:t>
      </w:r>
      <w:r>
        <w:rPr>
          <w:rFonts w:ascii="Times New Roman" w:eastAsia="Calibri" w:hAnsi="Times New Roman" w:cs="Times New Roman"/>
          <w:noProof/>
          <w:sz w:val="24"/>
          <w:szCs w:val="24"/>
        </w:rPr>
        <w:t>standard, the allegedly infringing products of the SEP user, the proposed royalty calculation and the non-discrimination element of FRAND.</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the </w:t>
      </w:r>
      <w:r>
        <w:rPr>
          <w:rFonts w:ascii="Times New Roman" w:hAnsi="Times New Roman"/>
          <w:noProof/>
          <w:sz w:val="24"/>
        </w:rPr>
        <w:t>counter-offer</w:t>
      </w:r>
      <w:r>
        <w:rPr>
          <w:rFonts w:ascii="Times New Roman" w:eastAsia="Calibri" w:hAnsi="Times New Roman" w:cs="Times New Roman"/>
          <w:noProof/>
          <w:sz w:val="24"/>
          <w:szCs w:val="24"/>
        </w:rPr>
        <w:t xml:space="preserve">, it follows from </w:t>
      </w:r>
      <w:r>
        <w:rPr>
          <w:rFonts w:ascii="Times New Roman" w:eastAsia="Calibri" w:hAnsi="Times New Roman" w:cs="Times New Roman"/>
          <w:i/>
          <w:noProof/>
          <w:sz w:val="24"/>
          <w:szCs w:val="24"/>
        </w:rPr>
        <w:t>Huawei</w:t>
      </w:r>
      <w:r>
        <w:rPr>
          <w:rFonts w:ascii="Times New Roman" w:eastAsia="Calibri" w:hAnsi="Times New Roman" w:cs="Times New Roman"/>
          <w:noProof/>
          <w:sz w:val="24"/>
          <w:szCs w:val="24"/>
        </w:rPr>
        <w:t xml:space="preserve"> that it should be </w:t>
      </w:r>
      <w:r>
        <w:rPr>
          <w:rFonts w:ascii="Times New Roman" w:hAnsi="Times New Roman"/>
          <w:noProof/>
          <w:sz w:val="24"/>
        </w:rPr>
        <w:t>concrete and specific</w:t>
      </w:r>
      <w:r>
        <w:rPr>
          <w:rFonts w:ascii="Times New Roman" w:eastAsia="Calibri" w:hAnsi="Times New Roman" w:cs="Times New Roman"/>
          <w:noProof/>
          <w:sz w:val="24"/>
          <w:szCs w:val="24"/>
        </w:rPr>
        <w:t xml:space="preserve">, i.e. it cannot be </w:t>
      </w:r>
      <w:r>
        <w:rPr>
          <w:rFonts w:ascii="Times New Roman" w:eastAsia="Calibri" w:hAnsi="Times New Roman" w:cs="Times New Roman"/>
          <w:noProof/>
          <w:sz w:val="24"/>
          <w:szCs w:val="24"/>
        </w:rPr>
        <w:t>limited to contesting the SEP holder’s offer and a general reference to third-party determination of the royalty. It should also contain information on the exact use of the standard in the specific product. The willingness of the parties to submit to bindi</w:t>
      </w:r>
      <w:r>
        <w:rPr>
          <w:rFonts w:ascii="Times New Roman" w:eastAsia="Calibri" w:hAnsi="Times New Roman" w:cs="Times New Roman"/>
          <w:noProof/>
          <w:sz w:val="24"/>
          <w:szCs w:val="24"/>
        </w:rPr>
        <w:t>ng third-party FRAND determination - should the (counter-)offer be found not to be FRAND - is however an indication of a FRAND behaviour.</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terms of timeliness of the counter-offer of the potential licensee, no general benchmark can be established, as cas</w:t>
      </w:r>
      <w:r>
        <w:rPr>
          <w:rFonts w:ascii="Times New Roman" w:eastAsia="Calibri" w:hAnsi="Times New Roman" w:cs="Times New Roman"/>
          <w:noProof/>
          <w:sz w:val="24"/>
          <w:szCs w:val="24"/>
        </w:rPr>
        <w:t xml:space="preserve">e-specific elements play a role. These include the number of asserted SEPs and the details contained in the infringement claim. However, there is a probable trade-off between the time considered as reasonable for responding to the offer and the detail and </w:t>
      </w:r>
      <w:r>
        <w:rPr>
          <w:rFonts w:ascii="Times New Roman" w:eastAsia="Calibri" w:hAnsi="Times New Roman" w:cs="Times New Roman"/>
          <w:noProof/>
          <w:sz w:val="24"/>
          <w:szCs w:val="24"/>
        </w:rPr>
        <w:t>quality of the information provided in the SEP holder’s initial offer. In this respect, measures that improve the upstream transparency on SEP exposure</w:t>
      </w:r>
      <w:r>
        <w:rPr>
          <w:rStyle w:val="FootnoteReference"/>
          <w:rFonts w:ascii="Times New Roman" w:eastAsia="Calibri" w:hAnsi="Times New Roman" w:cs="Times New Roman"/>
          <w:noProof/>
          <w:sz w:val="24"/>
          <w:szCs w:val="24"/>
        </w:rPr>
        <w:footnoteReference w:id="42"/>
      </w:r>
      <w:r>
        <w:rPr>
          <w:rFonts w:ascii="Times New Roman" w:eastAsia="Calibri" w:hAnsi="Times New Roman" w:cs="Times New Roman"/>
          <w:noProof/>
          <w:sz w:val="24"/>
          <w:szCs w:val="24"/>
        </w:rPr>
        <w:t xml:space="preserve"> will have a very positive impact on the enforcement system.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If more reliable information on SEPs is av</w:t>
      </w:r>
      <w:r>
        <w:rPr>
          <w:rFonts w:ascii="Times New Roman" w:eastAsia="Calibri" w:hAnsi="Times New Roman" w:cs="Times New Roman"/>
          <w:noProof/>
          <w:sz w:val="24"/>
          <w:szCs w:val="24"/>
        </w:rPr>
        <w:t>ailable upfront via the declaration system, as highlighted in section 1 above, the number of declared SEPs would be considerably reduced. This should be taken into account when assessing acceptable response times for SEP users to react to a FRAND offer.</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w:t>
      </w:r>
      <w:r>
        <w:rPr>
          <w:rFonts w:ascii="Times New Roman" w:eastAsia="Calibri" w:hAnsi="Times New Roman" w:cs="Times New Roman"/>
          <w:noProof/>
          <w:sz w:val="24"/>
          <w:szCs w:val="24"/>
        </w:rPr>
        <w:t>th respect to the security to be provided by the SEP user as protection against an injunction, the amount should be fixed at a level that discourages patent hold-out strategies. Similar considerations could apply when assessing the magnitude of damages. Th</w:t>
      </w:r>
      <w:r>
        <w:rPr>
          <w:rFonts w:ascii="Times New Roman" w:eastAsia="Calibri" w:hAnsi="Times New Roman" w:cs="Times New Roman"/>
          <w:noProof/>
          <w:sz w:val="24"/>
          <w:szCs w:val="24"/>
        </w:rPr>
        <w:t>e Commission will support an exchange of best practice by experts and stakeholders on the calculation method of damages in SEP cases.</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Proportionality considerations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When assessing the availability of injunctive relief, courts are bound by Article 3(2) of t</w:t>
      </w:r>
      <w:r>
        <w:rPr>
          <w:rFonts w:ascii="Times New Roman" w:eastAsia="Calibri" w:hAnsi="Times New Roman" w:cs="Times New Roman"/>
          <w:noProof/>
          <w:sz w:val="24"/>
          <w:szCs w:val="24"/>
        </w:rPr>
        <w:t>he IPR Enforcement Directive</w:t>
      </w:r>
      <w:r>
        <w:rPr>
          <w:rStyle w:val="FootnoteReference"/>
          <w:rFonts w:ascii="Times New Roman" w:eastAsia="Calibri" w:hAnsi="Times New Roman" w:cs="Times New Roman"/>
          <w:noProof/>
          <w:sz w:val="24"/>
          <w:szCs w:val="24"/>
        </w:rPr>
        <w:footnoteReference w:id="43"/>
      </w:r>
      <w:r>
        <w:rPr>
          <w:rFonts w:ascii="Times New Roman" w:eastAsia="Calibri" w:hAnsi="Times New Roman" w:cs="Times New Roman"/>
          <w:noProof/>
          <w:sz w:val="24"/>
          <w:szCs w:val="24"/>
        </w:rPr>
        <w:t>, and notably the requirement to ensure that injunctive relief is effective, proportionate and dissuasive. Given the broad impact an injunction may have on businesses, consumers and on the public interest, particularly in the c</w:t>
      </w:r>
      <w:r>
        <w:rPr>
          <w:rFonts w:ascii="Times New Roman" w:eastAsia="Calibri" w:hAnsi="Times New Roman" w:cs="Times New Roman"/>
          <w:noProof/>
          <w:sz w:val="24"/>
          <w:szCs w:val="24"/>
        </w:rPr>
        <w:t>ontext of the digitalised economy, the proportionality assessment needs to be done carefully on a case-by-case basis. The Commission feels that considerations need to be given to the relative relevance of the disputed technology for the application in ques</w:t>
      </w:r>
      <w:r>
        <w:rPr>
          <w:rFonts w:ascii="Times New Roman" w:eastAsia="Calibri" w:hAnsi="Times New Roman" w:cs="Times New Roman"/>
          <w:noProof/>
          <w:sz w:val="24"/>
          <w:szCs w:val="24"/>
        </w:rPr>
        <w:t>tion and the potential spill-over effects of an injunction on third parties.</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Litigation on the basis of patent portfolios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line with the Huawei judgment, which refers to </w:t>
      </w:r>
      <w:r>
        <w:rPr>
          <w:rFonts w:ascii="Times New Roman" w:hAnsi="Times New Roman" w:cs="Times New Roman"/>
          <w:bCs/>
          <w:i/>
          <w:noProof/>
          <w:sz w:val="24"/>
          <w:szCs w:val="24"/>
        </w:rPr>
        <w:t>recognised commercial practices in the field</w:t>
      </w:r>
      <w:r>
        <w:rPr>
          <w:rStyle w:val="FootnoteReference"/>
          <w:rFonts w:ascii="Times New Roman" w:hAnsi="Times New Roman" w:cs="Times New Roman"/>
          <w:bCs/>
          <w:noProof/>
          <w:sz w:val="24"/>
          <w:szCs w:val="24"/>
        </w:rPr>
        <w:footnoteReference w:id="44"/>
      </w:r>
      <w:r>
        <w:rPr>
          <w:rFonts w:ascii="Times New Roman" w:hAnsi="Times New Roman" w:cs="Times New Roman"/>
          <w:bCs/>
          <w:noProof/>
          <w:sz w:val="24"/>
          <w:szCs w:val="24"/>
        </w:rPr>
        <w:t xml:space="preserve">, </w:t>
      </w:r>
      <w:r>
        <w:rPr>
          <w:rFonts w:ascii="Times New Roman" w:eastAsia="Calibri" w:hAnsi="Times New Roman" w:cs="Times New Roman"/>
          <w:noProof/>
          <w:sz w:val="24"/>
          <w:szCs w:val="24"/>
        </w:rPr>
        <w:t xml:space="preserve">national courts have also considered </w:t>
      </w:r>
      <w:r>
        <w:rPr>
          <w:rFonts w:ascii="Times New Roman" w:eastAsia="Calibri" w:hAnsi="Times New Roman" w:cs="Times New Roman"/>
          <w:noProof/>
          <w:sz w:val="24"/>
          <w:szCs w:val="24"/>
        </w:rPr>
        <w:t>portfolio licences granted outside national territories to be compliant with FRAND, provided that the portfolio is limited to all the SEPs that a licensee needs to produce/market its product (see section 2.2 above). In this context, SEP holders may offer m</w:t>
      </w:r>
      <w:r>
        <w:rPr>
          <w:rFonts w:ascii="Times New Roman" w:eastAsia="Calibri" w:hAnsi="Times New Roman" w:cs="Times New Roman"/>
          <w:noProof/>
          <w:sz w:val="24"/>
          <w:szCs w:val="24"/>
        </w:rPr>
        <w:t xml:space="preserve">ore patents, including non-SEPs, but cannot require a licensee to accept a licence for these other patents as well. The general non-willingness or non-acceptance to offer or accept all SEPs that a licensee needs may be an indication of bad faith. In order </w:t>
      </w:r>
      <w:r>
        <w:rPr>
          <w:rFonts w:ascii="Times New Roman" w:eastAsia="Calibri" w:hAnsi="Times New Roman" w:cs="Times New Roman"/>
          <w:noProof/>
          <w:sz w:val="24"/>
          <w:szCs w:val="24"/>
        </w:rPr>
        <w:t>to be FRAND, the counteroffer needs to be related to all SEPs that a licensee needs and cannot be based on individual patent(s) only. Portfolios should however not include competing technologies, but only complementary technologies if necessary</w:t>
      </w:r>
      <w:r>
        <w:rPr>
          <w:rStyle w:val="FootnoteReference"/>
          <w:rFonts w:ascii="Times New Roman" w:eastAsia="Calibri" w:hAnsi="Times New Roman" w:cs="Times New Roman"/>
          <w:noProof/>
          <w:sz w:val="24"/>
          <w:szCs w:val="24"/>
        </w:rPr>
        <w:footnoteReference w:id="45"/>
      </w:r>
      <w:r>
        <w:rPr>
          <w:rFonts w:ascii="Times New Roman" w:eastAsia="Calibri" w:hAnsi="Times New Roman" w:cs="Times New Roman"/>
          <w:noProof/>
          <w:sz w:val="24"/>
          <w:szCs w:val="24"/>
        </w:rPr>
        <w:t>. While put</w:t>
      </w:r>
      <w:r>
        <w:rPr>
          <w:rFonts w:ascii="Times New Roman" w:eastAsia="Calibri" w:hAnsi="Times New Roman" w:cs="Times New Roman"/>
          <w:noProof/>
          <w:sz w:val="24"/>
          <w:szCs w:val="24"/>
        </w:rPr>
        <w:t>ative licensees may always question the validity/essentiality of individual patents, the licensing of all SEPs that a licensee needs can be particularly efficient. The Commission will therefore work with stakeholders (including where appropriate courts, ar</w:t>
      </w:r>
      <w:r>
        <w:rPr>
          <w:rFonts w:ascii="Times New Roman" w:eastAsia="Calibri" w:hAnsi="Times New Roman" w:cs="Times New Roman"/>
          <w:noProof/>
          <w:sz w:val="24"/>
          <w:szCs w:val="24"/>
        </w:rPr>
        <w:t>bitrators and mediators) to develop and use consistent methodologies, such as sampling, which allow for efficient and effective SEP dispute resolution, in compliance with the industry practice of portfolio licensing.</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Alternative Dispute Resolution</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w:t>
      </w:r>
      <w:r>
        <w:rPr>
          <w:rFonts w:ascii="Times New Roman" w:eastAsia="Calibri" w:hAnsi="Times New Roman" w:cs="Times New Roman"/>
          <w:noProof/>
          <w:sz w:val="24"/>
          <w:szCs w:val="24"/>
        </w:rPr>
        <w:t>ission takes the view that alternative dispute resolution (ADR) mechanisms such as mediation and arbitration can offer swifter and less costly dispute resolution</w:t>
      </w:r>
      <w:r>
        <w:rPr>
          <w:rStyle w:val="FootnoteReference"/>
          <w:rFonts w:ascii="Times New Roman" w:eastAsia="Calibri" w:hAnsi="Times New Roman" w:cs="Times New Roman"/>
          <w:noProof/>
          <w:sz w:val="24"/>
          <w:szCs w:val="24"/>
        </w:rPr>
        <w:footnoteReference w:id="46"/>
      </w:r>
      <w:r>
        <w:rPr>
          <w:rFonts w:ascii="Times New Roman" w:eastAsia="Calibri" w:hAnsi="Times New Roman" w:cs="Times New Roman"/>
          <w:noProof/>
          <w:sz w:val="24"/>
          <w:szCs w:val="24"/>
        </w:rPr>
        <w:t>. While there can be no obligation for parties to use ADR, the Commission believes that the po</w:t>
      </w:r>
      <w:r>
        <w:rPr>
          <w:rFonts w:ascii="Times New Roman" w:eastAsia="Calibri" w:hAnsi="Times New Roman" w:cs="Times New Roman"/>
          <w:noProof/>
          <w:sz w:val="24"/>
          <w:szCs w:val="24"/>
        </w:rPr>
        <w:t>tential benefits of this tool are currently underexploited.</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Recourse to ADR is often hampered by unpredictability and criticised for lack of transparency of previous decisions. The success of such mechanisms depends not only on appropriate procedures, but </w:t>
      </w:r>
      <w:r>
        <w:rPr>
          <w:rFonts w:ascii="Times New Roman" w:eastAsia="Calibri" w:hAnsi="Times New Roman" w:cs="Times New Roman"/>
          <w:noProof/>
          <w:sz w:val="24"/>
          <w:szCs w:val="24"/>
        </w:rPr>
        <w:t>also on the quality of experts. When it enters into operation, the Unified Patent Court should provide a dedicated arbitration and mediation centre benefitting from a pool of specialised judges, thus ensuring high quality and efficient proceedings, coheren</w:t>
      </w:r>
      <w:r>
        <w:rPr>
          <w:rFonts w:ascii="Times New Roman" w:eastAsia="Calibri" w:hAnsi="Times New Roman" w:cs="Times New Roman"/>
          <w:noProof/>
          <w:sz w:val="24"/>
          <w:szCs w:val="24"/>
        </w:rPr>
        <w:t>t practice and limited scope for forum shopping. As announced in its November 2016 strategy on IP for SMEs, the Commission is, together with the EUIPO, mapping IP mediation and arbitration tools with the view to facilitating the further roll-out of IP medi</w:t>
      </w:r>
      <w:r>
        <w:rPr>
          <w:rFonts w:ascii="Times New Roman" w:eastAsia="Calibri" w:hAnsi="Times New Roman" w:cs="Times New Roman"/>
          <w:noProof/>
          <w:sz w:val="24"/>
          <w:szCs w:val="24"/>
        </w:rPr>
        <w:t>ation and arbitration services, for SMEs in particular</w:t>
      </w:r>
      <w:r>
        <w:rPr>
          <w:rStyle w:val="FootnoteReference"/>
          <w:rFonts w:ascii="Times New Roman" w:eastAsia="Calibri" w:hAnsi="Times New Roman" w:cs="Times New Roman"/>
          <w:noProof/>
          <w:sz w:val="24"/>
          <w:szCs w:val="24"/>
        </w:rPr>
        <w:footnoteReference w:id="47"/>
      </w:r>
      <w:r>
        <w:rPr>
          <w:rFonts w:ascii="Times New Roman" w:eastAsia="Calibri" w:hAnsi="Times New Roman" w:cs="Times New Roman"/>
          <w:noProof/>
          <w:sz w:val="24"/>
          <w:szCs w:val="24"/>
        </w:rPr>
        <w:t xml:space="preserve">. </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considers that the outcomes of disputes should also be included in SDOs' databases as mentioned in the chapter on transparency</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Patent assertion entities And SEPs</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Patent Assertion En</w:t>
      </w:r>
      <w:r>
        <w:rPr>
          <w:rFonts w:ascii="Times New Roman" w:eastAsia="Calibri" w:hAnsi="Times New Roman" w:cs="Times New Roman"/>
          <w:noProof/>
          <w:sz w:val="24"/>
          <w:szCs w:val="24"/>
        </w:rPr>
        <w:t>tities</w:t>
      </w:r>
      <w:r>
        <w:rPr>
          <w:rStyle w:val="FootnoteReference"/>
          <w:rFonts w:ascii="Times New Roman" w:eastAsia="Calibri" w:hAnsi="Times New Roman" w:cs="Times New Roman"/>
          <w:noProof/>
          <w:sz w:val="24"/>
          <w:szCs w:val="24"/>
        </w:rPr>
        <w:footnoteReference w:id="49"/>
      </w:r>
      <w:r>
        <w:rPr>
          <w:rFonts w:ascii="Times New Roman" w:eastAsia="Calibri" w:hAnsi="Times New Roman" w:cs="Times New Roman"/>
          <w:noProof/>
          <w:sz w:val="24"/>
          <w:szCs w:val="24"/>
        </w:rPr>
        <w:t xml:space="preserve"> (PAEs) are becoming increasingly involved in the SEP licensing market. Studies</w:t>
      </w:r>
      <w:r>
        <w:rPr>
          <w:rStyle w:val="FootnoteReference"/>
          <w:rFonts w:ascii="Times New Roman" w:eastAsia="Calibri" w:hAnsi="Times New Roman" w:cs="Times New Roman"/>
          <w:noProof/>
          <w:sz w:val="24"/>
          <w:szCs w:val="24"/>
        </w:rPr>
        <w:footnoteReference w:id="50"/>
      </w:r>
      <w:r>
        <w:rPr>
          <w:rFonts w:ascii="Times New Roman" w:eastAsia="Calibri" w:hAnsi="Times New Roman" w:cs="Times New Roman"/>
          <w:noProof/>
          <w:sz w:val="24"/>
          <w:szCs w:val="24"/>
        </w:rPr>
        <w:t xml:space="preserve"> suggest that the European litigation system - including the one that is due to be established under the Unified Patent Court - has sufficient safeguards to protect agai</w:t>
      </w:r>
      <w:r>
        <w:rPr>
          <w:rFonts w:ascii="Times New Roman" w:eastAsia="Calibri" w:hAnsi="Times New Roman" w:cs="Times New Roman"/>
          <w:noProof/>
          <w:sz w:val="24"/>
          <w:szCs w:val="24"/>
        </w:rPr>
        <w:t>nst the potentially harmful effects of certain PAEs in the EU</w:t>
      </w:r>
      <w:r>
        <w:rPr>
          <w:rStyle w:val="FootnoteReference"/>
          <w:rFonts w:ascii="Times New Roman" w:eastAsia="Calibri" w:hAnsi="Times New Roman" w:cs="Times New Roman"/>
          <w:noProof/>
          <w:sz w:val="24"/>
          <w:szCs w:val="24"/>
        </w:rPr>
        <w:footnoteReference w:id="51"/>
      </w:r>
      <w:r>
        <w:rPr>
          <w:rFonts w:ascii="Times New Roman" w:eastAsia="Calibri" w:hAnsi="Times New Roman" w:cs="Times New Roman"/>
          <w:noProof/>
          <w:sz w:val="24"/>
          <w:szCs w:val="24"/>
        </w:rPr>
        <w:t>. PAEs should be subject to the same rules as any other SEP holder, including after the transfer of SEPs from patent holders to PAEs. Increased transparency and predictability should further red</w:t>
      </w:r>
      <w:r>
        <w:rPr>
          <w:rFonts w:ascii="Times New Roman" w:eastAsia="Calibri" w:hAnsi="Times New Roman" w:cs="Times New Roman"/>
          <w:noProof/>
          <w:sz w:val="24"/>
          <w:szCs w:val="24"/>
        </w:rPr>
        <w:t>uce the margin for abuse. The application of the proportionality principle by courts provides yet another safeguard. The Commission will closely monitor the ongoing impact of these market players on the SEP licensing market in Europe, in particular once th</w:t>
      </w:r>
      <w:r>
        <w:rPr>
          <w:rFonts w:ascii="Times New Roman" w:eastAsia="Calibri" w:hAnsi="Times New Roman" w:cs="Times New Roman"/>
          <w:noProof/>
          <w:sz w:val="24"/>
          <w:szCs w:val="24"/>
        </w:rPr>
        <w:t>e EU unitary patent is operational.</w:t>
      </w:r>
    </w:p>
    <w:p w:rsidR="00747FBC" w:rsidRDefault="00682113">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Awareness raising</w:t>
      </w:r>
    </w:p>
    <w:p w:rsidR="00747FBC" w:rsidRDefault="00682113">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is a need for relevant stakeholders, in particular SDOs and SEP holders, to proactively raise awareness of the FRAND licensing process and its implications, particularly for SMEs (both patent hold</w:t>
      </w:r>
      <w:r>
        <w:rPr>
          <w:rFonts w:ascii="Times New Roman" w:eastAsia="Calibri" w:hAnsi="Times New Roman" w:cs="Times New Roman"/>
          <w:noProof/>
          <w:sz w:val="24"/>
          <w:szCs w:val="24"/>
        </w:rPr>
        <w:t>ers and implementers of the standards). The Commission will support awareness actions on this issue.</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xml:space="preserve">The Commission considers that the FRAND process requires both parties to negotiate in good faith, including responding in a timely manner. Injunctive </w:t>
      </w:r>
      <w:r>
        <w:rPr>
          <w:i/>
          <w:noProof/>
          <w:color w:val="000000"/>
          <w:lang w:val="en-GB"/>
        </w:rPr>
        <w:t>relief can, however, be sought against parties acting in bad faith (i.e. parties unwilling to take up a licence on FRAND terms), but it must be used proportionally.</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The Commission will:</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work with stakeholders to develop and use methodologies, such as sam</w:t>
      </w:r>
      <w:r>
        <w:rPr>
          <w:i/>
          <w:noProof/>
          <w:color w:val="000000"/>
          <w:lang w:val="en-GB"/>
        </w:rPr>
        <w:t>pling, which allow for efficient and effective SEP litigation, in compliance with the industry practice of portfolio licensing;</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further facilitate the roll-out of mediation and alternative dispute resolution tools; and</w:t>
      </w:r>
    </w:p>
    <w:p w:rsidR="00747FBC" w:rsidRDefault="00682113">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lang w:val="en-GB"/>
        </w:rPr>
      </w:pPr>
      <w:r>
        <w:rPr>
          <w:i/>
          <w:noProof/>
          <w:color w:val="000000"/>
          <w:lang w:val="en-GB"/>
        </w:rPr>
        <w:t xml:space="preserve">- monitor the impact of PAEs in </w:t>
      </w:r>
      <w:r>
        <w:rPr>
          <w:i/>
          <w:noProof/>
          <w:color w:val="000000"/>
          <w:lang w:val="en-GB"/>
        </w:rPr>
        <w:t>Europe.</w:t>
      </w:r>
    </w:p>
    <w:p w:rsidR="00747FBC" w:rsidRDefault="00682113">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4. Open source and standards</w:t>
      </w:r>
    </w:p>
    <w:p w:rsidR="00747FBC" w:rsidRDefault="00682113">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context of current advances in technology, open source software (OSS) implementation is, in addition to standards, also driving innovation, and is becoming increasingly widespread, including in the area of ICT st</w:t>
      </w:r>
      <w:r>
        <w:rPr>
          <w:rFonts w:ascii="Times New Roman" w:eastAsia="Calibri" w:hAnsi="Times New Roman" w:cs="Times New Roman"/>
          <w:noProof/>
          <w:sz w:val="24"/>
          <w:szCs w:val="24"/>
        </w:rPr>
        <w:t>andards. Integration between open source projects and standards development processes is a win-win situation: on one side the alignment of open source and standardisation can speed-up the standards development process and the take-up of ICT standards (espe</w:t>
      </w:r>
      <w:r>
        <w:rPr>
          <w:rFonts w:ascii="Times New Roman" w:eastAsia="Calibri" w:hAnsi="Times New Roman" w:cs="Times New Roman"/>
          <w:noProof/>
          <w:sz w:val="24"/>
          <w:szCs w:val="24"/>
        </w:rPr>
        <w:t>cially for SMEs) and on the other side standards can provide for interoperability of open source software implementations</w:t>
      </w:r>
      <w:r>
        <w:rPr>
          <w:rStyle w:val="FootnoteReference"/>
          <w:rFonts w:ascii="Times New Roman" w:eastAsia="Calibri" w:hAnsi="Times New Roman" w:cs="Times New Roman"/>
          <w:noProof/>
          <w:sz w:val="24"/>
          <w:szCs w:val="24"/>
        </w:rPr>
        <w:footnoteReference w:id="52"/>
      </w:r>
      <w:r>
        <w:rPr>
          <w:rFonts w:ascii="Times New Roman" w:eastAsia="Calibri" w:hAnsi="Times New Roman" w:cs="Times New Roman"/>
          <w:noProof/>
          <w:sz w:val="24"/>
          <w:szCs w:val="24"/>
        </w:rPr>
        <w:t>. Activities in this direction are taking place within different SDOs</w:t>
      </w:r>
      <w:r>
        <w:rPr>
          <w:rStyle w:val="FootnoteReference"/>
          <w:rFonts w:ascii="Times New Roman" w:eastAsia="Calibri" w:hAnsi="Times New Roman" w:cs="Times New Roman"/>
          <w:noProof/>
          <w:sz w:val="24"/>
          <w:szCs w:val="24"/>
        </w:rPr>
        <w:footnoteReference w:id="53"/>
      </w:r>
      <w:r>
        <w:rPr>
          <w:rFonts w:ascii="Times New Roman" w:eastAsia="Calibri" w:hAnsi="Times New Roman" w:cs="Times New Roman"/>
          <w:noProof/>
          <w:sz w:val="24"/>
          <w:szCs w:val="24"/>
        </w:rPr>
        <w:t>.</w:t>
      </w:r>
    </w:p>
    <w:p w:rsidR="00747FBC" w:rsidRDefault="00682113">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Open source and standardisation processes both have similariti</w:t>
      </w:r>
      <w:r>
        <w:rPr>
          <w:rFonts w:ascii="Times New Roman" w:eastAsia="Calibri" w:hAnsi="Times New Roman" w:cs="Times New Roman"/>
          <w:noProof/>
          <w:sz w:val="24"/>
          <w:szCs w:val="24"/>
        </w:rPr>
        <w:t>es in common (e.g. collaborative open processes, contribution to innovation) and differences (IPR policies, agility, maintenance, transparency, balance of the processes etc.). There is therefore a need to pay attention to the interaction between open sourc</w:t>
      </w:r>
      <w:r>
        <w:rPr>
          <w:rFonts w:ascii="Times New Roman" w:eastAsia="Calibri" w:hAnsi="Times New Roman" w:cs="Times New Roman"/>
          <w:noProof/>
          <w:sz w:val="24"/>
          <w:szCs w:val="24"/>
        </w:rPr>
        <w:t>e community projects and SDOs processes.</w:t>
      </w:r>
    </w:p>
    <w:p w:rsidR="00747FBC" w:rsidRDefault="00682113">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supports open source solutions, i.e. through R&amp;I projects funded under Horizon 2020. Flexible and effective interactions between standardisation and open source communities will promote and accelerate</w:t>
      </w:r>
      <w:r>
        <w:rPr>
          <w:rFonts w:ascii="Times New Roman" w:eastAsia="Calibri" w:hAnsi="Times New Roman" w:cs="Times New Roman"/>
          <w:noProof/>
          <w:sz w:val="24"/>
          <w:szCs w:val="24"/>
        </w:rPr>
        <w:t xml:space="preserve"> the uptake of advanced technology developments.</w:t>
      </w:r>
    </w:p>
    <w:p w:rsidR="00747FBC" w:rsidRDefault="00682113">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 continue to collaborate with stakeholders, open source communities and SDOs to promote an effective relationship between standardisation and open source. It will also fund studies to anal</w:t>
      </w:r>
      <w:r>
        <w:rPr>
          <w:rFonts w:ascii="Times New Roman" w:eastAsia="Calibri" w:hAnsi="Times New Roman" w:cs="Times New Roman"/>
          <w:noProof/>
          <w:sz w:val="24"/>
          <w:szCs w:val="24"/>
        </w:rPr>
        <w:t>yse complementarities, ways of interacting and differences between the two processes, and recommend solutions for smooth collaboration between the two communities.</w:t>
      </w:r>
    </w:p>
    <w:p w:rsidR="00747FBC" w:rsidRDefault="00682113">
      <w:pPr>
        <w:pStyle w:val="ListParagraph"/>
        <w:pBdr>
          <w:top w:val="single" w:sz="4" w:space="1" w:color="auto"/>
          <w:left w:val="single" w:sz="4" w:space="4" w:color="auto"/>
          <w:bottom w:val="single" w:sz="4" w:space="1" w:color="auto"/>
          <w:right w:val="single" w:sz="4" w:space="4" w:color="auto"/>
        </w:pBdr>
        <w:shd w:val="pct10" w:color="auto" w:fill="auto"/>
        <w:spacing w:before="120" w:after="120" w:line="240" w:lineRule="auto"/>
        <w:ind w:left="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Commission will work with stakeholders, open source communities and SDOs for successful </w:t>
      </w:r>
      <w:r>
        <w:rPr>
          <w:rFonts w:ascii="Times New Roman" w:hAnsi="Times New Roman" w:cs="Times New Roman"/>
          <w:i/>
          <w:noProof/>
          <w:sz w:val="24"/>
          <w:szCs w:val="24"/>
        </w:rPr>
        <w:t>interaction between open source and standardisation, by means of studies and analyses.</w:t>
      </w:r>
    </w:p>
    <w:p w:rsidR="00747FBC" w:rsidRDefault="00682113">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5. Conclusion</w:t>
      </w:r>
    </w:p>
    <w:p w:rsidR="00747FBC" w:rsidRDefault="00682113">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Europe to reap the full benefit of the Single Market and the Digital Single Market, a balanced IPR framework is needed that supports a sustainable and </w:t>
      </w:r>
      <w:r>
        <w:rPr>
          <w:rFonts w:ascii="Times New Roman" w:hAnsi="Times New Roman" w:cs="Times New Roman"/>
          <w:noProof/>
          <w:sz w:val="24"/>
          <w:szCs w:val="24"/>
        </w:rPr>
        <w:t>efficient standardisation ecosystem and SEP licensing environment.</w:t>
      </w:r>
    </w:p>
    <w:p w:rsidR="00747FBC" w:rsidRDefault="00682113">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proposes a holistic approach and sets out key principles for SEP licensing taking into account how industrial sectors are organised as well as efficiency considerations. </w:t>
      </w:r>
      <w:r>
        <w:rPr>
          <w:rFonts w:ascii="Times New Roman" w:hAnsi="Times New Roman" w:cs="Times New Roman"/>
          <w:noProof/>
          <w:sz w:val="24"/>
          <w:szCs w:val="24"/>
        </w:rPr>
        <w:t>Working together with all stakeholders will be necessary for a successful implementation of the principles and to ensure concrete results of the actions announced, notably by fostering the participation of start-ups in the roll-out of the Internet of Thing</w:t>
      </w:r>
      <w:r>
        <w:rPr>
          <w:rFonts w:ascii="Times New Roman" w:hAnsi="Times New Roman" w:cs="Times New Roman"/>
          <w:noProof/>
          <w:sz w:val="24"/>
          <w:szCs w:val="24"/>
        </w:rPr>
        <w:t>s. The Commission therefore invites all stakeholders to actively engage in their implementation.</w:t>
      </w:r>
    </w:p>
    <w:p w:rsidR="00747FBC" w:rsidRDefault="00682113">
      <w:pPr>
        <w:spacing w:before="120" w:after="120" w:line="240" w:lineRule="auto"/>
        <w:jc w:val="both"/>
        <w:rPr>
          <w:rFonts w:ascii="Times New Roman" w:hAnsi="Times New Roman"/>
          <w:noProof/>
          <w:sz w:val="24"/>
        </w:rPr>
      </w:pPr>
      <w:r>
        <w:rPr>
          <w:rFonts w:ascii="Times New Roman" w:hAnsi="Times New Roman" w:cs="Times New Roman"/>
          <w:noProof/>
          <w:sz w:val="24"/>
          <w:szCs w:val="24"/>
        </w:rPr>
        <w:t>The Commission will closely monitor the SEP licensing markets with a particular focus on IoT technologies, by making use of the expert group that will be creat</w:t>
      </w:r>
      <w:r>
        <w:rPr>
          <w:rFonts w:ascii="Times New Roman" w:hAnsi="Times New Roman" w:cs="Times New Roman"/>
          <w:noProof/>
          <w:sz w:val="24"/>
          <w:szCs w:val="24"/>
        </w:rPr>
        <w:t>ed and launching further studies if necessary. It will take stock of progress achieved and assess the need for further measures to ensure a balanced framework for smooth, efficient and effective licensing of SEPs on that basis.</w:t>
      </w:r>
    </w:p>
    <w:sectPr w:rsidR="00747FB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BC" w:rsidRDefault="00682113">
      <w:pPr>
        <w:spacing w:after="0" w:line="240" w:lineRule="auto"/>
      </w:pPr>
      <w:r>
        <w:separator/>
      </w:r>
    </w:p>
  </w:endnote>
  <w:endnote w:type="continuationSeparator" w:id="0">
    <w:p w:rsidR="00747FBC" w:rsidRDefault="00682113">
      <w:pPr>
        <w:spacing w:after="0" w:line="240" w:lineRule="auto"/>
      </w:pPr>
      <w:r>
        <w:continuationSeparator/>
      </w:r>
    </w:p>
  </w:endnote>
  <w:endnote w:type="continuationNotice" w:id="1">
    <w:p w:rsidR="00747FBC" w:rsidRDefault="00747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QVHQCS+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FooterCoverPage"/>
      <w:rPr>
        <w:rFonts w:ascii="Arial" w:hAnsi="Arial" w:cs="Arial"/>
        <w:b/>
        <w:sz w:val="48"/>
      </w:rPr>
    </w:pPr>
    <w:r w:rsidRPr="00682113">
      <w:rPr>
        <w:rFonts w:ascii="Arial" w:hAnsi="Arial" w:cs="Arial"/>
        <w:b/>
        <w:sz w:val="48"/>
      </w:rPr>
      <w:t>EN</w:t>
    </w:r>
    <w:r w:rsidRPr="00682113">
      <w:rPr>
        <w:rFonts w:ascii="Arial" w:hAnsi="Arial" w:cs="Arial"/>
        <w:b/>
        <w:sz w:val="48"/>
      </w:rPr>
      <w:tab/>
    </w:r>
    <w:r w:rsidRPr="00682113">
      <w:rPr>
        <w:rFonts w:ascii="Arial" w:hAnsi="Arial" w:cs="Arial"/>
        <w:b/>
        <w:sz w:val="48"/>
      </w:rPr>
      <w:tab/>
    </w:r>
    <w:r w:rsidRPr="00682113">
      <w:tab/>
    </w:r>
    <w:r w:rsidRPr="0068211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747F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68211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747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BC" w:rsidRDefault="00682113">
      <w:pPr>
        <w:spacing w:after="0" w:line="240" w:lineRule="auto"/>
      </w:pPr>
      <w:r>
        <w:separator/>
      </w:r>
    </w:p>
  </w:footnote>
  <w:footnote w:type="continuationSeparator" w:id="0">
    <w:p w:rsidR="00747FBC" w:rsidRDefault="00682113">
      <w:pPr>
        <w:spacing w:after="0" w:line="240" w:lineRule="auto"/>
      </w:pPr>
      <w:r>
        <w:continuationSeparator/>
      </w:r>
    </w:p>
  </w:footnote>
  <w:footnote w:type="continuationNotice" w:id="1">
    <w:p w:rsidR="00747FBC" w:rsidRDefault="00747FBC">
      <w:pPr>
        <w:spacing w:after="0" w:line="240" w:lineRule="auto"/>
      </w:pPr>
    </w:p>
  </w:footnote>
  <w:footnote w:id="2">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Regulation (EU) 1025/2012 on European standardisation defines the meaning of the terms “standard” and “technical specification”. In this document the term “standard” is used with both meanings for the sake of brevity.</w:t>
      </w:r>
    </w:p>
  </w:footnote>
  <w:footnote w:id="3">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company X</w:t>
      </w:r>
      <w:r>
        <w:rPr>
          <w:rFonts w:ascii="Times New Roman" w:hAnsi="Times New Roman"/>
        </w:rPr>
        <w:t xml:space="preserve"> marketing residential alarm systems connected to the internet both via WiFi and LTE to provide consumers with enhanced security in case of power cut, would need a licence for these standardised technologies.</w:t>
      </w:r>
    </w:p>
  </w:footnote>
  <w:footnote w:id="4">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McKinsey, 2015. See also the objective set by</w:t>
      </w:r>
      <w:r>
        <w:rPr>
          <w:rFonts w:ascii="Times New Roman" w:hAnsi="Times New Roman"/>
        </w:rPr>
        <w:t xml:space="preserve"> President Juncker for 5G and the IoT in the State of the Union speech, 14.9.2016.</w:t>
      </w:r>
    </w:p>
  </w:footnote>
  <w:footnote w:id="5">
    <w:p w:rsidR="00747FBC" w:rsidRDefault="00682113">
      <w:pPr>
        <w:pStyle w:val="FootnoteText"/>
        <w:spacing w:after="0" w:line="240" w:lineRule="auto"/>
        <w:jc w:val="both"/>
        <w:rPr>
          <w:rFonts w:ascii="Times New Roman" w:hAnsi="Times New Roman"/>
        </w:rPr>
      </w:pPr>
      <w:r>
        <w:rPr>
          <w:rStyle w:val="FootnoteReference"/>
        </w:rPr>
        <w:footnoteRef/>
      </w:r>
      <w:r>
        <w:rPr>
          <w:rFonts w:ascii="Times New Roman" w:hAnsi="Times New Roman"/>
        </w:rPr>
        <w:t xml:space="preserve"> PricewaterhouseCoopers, 2015 and Boston Consulting Group, 2015. See also: https://ec.europa.eu/digital-single-market/en/digitising-european-industry#usefullinks</w:t>
      </w:r>
    </w:p>
  </w:footnote>
  <w:footnote w:id="6">
    <w:p w:rsidR="00747FBC" w:rsidRDefault="00682113">
      <w:pPr>
        <w:pStyle w:val="FootnoteText"/>
        <w:spacing w:after="0" w:line="240" w:lineRule="auto"/>
        <w:jc w:val="both"/>
        <w:rPr>
          <w:rFonts w:ascii="Times New Roman" w:hAnsi="Times New Roman"/>
        </w:rPr>
      </w:pPr>
      <w:r>
        <w:rPr>
          <w:rStyle w:val="FootnoteReference"/>
        </w:rPr>
        <w:footnoteRef/>
      </w:r>
      <w:r>
        <w:rPr>
          <w:rStyle w:val="FootnoteReference"/>
        </w:rPr>
        <w:t xml:space="preserve"> </w:t>
      </w:r>
      <w:r>
        <w:rPr>
          <w:rFonts w:ascii="Times New Roman" w:hAnsi="Times New Roman"/>
        </w:rPr>
        <w:t>See McKi</w:t>
      </w:r>
      <w:r>
        <w:rPr>
          <w:rFonts w:ascii="Times New Roman" w:hAnsi="Times New Roman"/>
        </w:rPr>
        <w:t>nsey (2015).</w:t>
      </w:r>
    </w:p>
  </w:footnote>
  <w:footnote w:id="7">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economic stakes are very high: for example, the royalty income for 2G, 3G and 4G standards is approximately EUR 18 billion per year (CRA 2016).</w:t>
      </w:r>
    </w:p>
  </w:footnote>
  <w:footnote w:id="8">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The public consultation organised by the Commission in 2014 clearly shows divergent opinion</w:t>
      </w:r>
      <w:r>
        <w:rPr>
          <w:rFonts w:ascii="Times New Roman" w:hAnsi="Times New Roman"/>
        </w:rPr>
        <w:t xml:space="preserve">s on the challenges and solutions concerning the SEP environment. See </w:t>
      </w:r>
      <w:hyperlink r:id="rId1" w:history="1">
        <w:r>
          <w:rPr>
            <w:rStyle w:val="Hyperlink"/>
            <w:rFonts w:ascii="Times New Roman" w:hAnsi="Times New Roman"/>
          </w:rPr>
          <w:t>http://ec.europa.eu/growth/tools-databases/newsroom/cf/itemdetail.cfm?item_id=7833</w:t>
        </w:r>
      </w:hyperlink>
      <w:r>
        <w:rPr>
          <w:rFonts w:ascii="Times New Roman" w:hAnsi="Times New Roman"/>
        </w:rPr>
        <w:t xml:space="preserve">. </w:t>
      </w:r>
    </w:p>
  </w:footnote>
  <w:footnote w:id="9">
    <w:p w:rsidR="00747FBC" w:rsidRDefault="00682113">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Patents declared to the ETSI represent 70% of worldwide SEPs (IPlytics, 2017). </w:t>
      </w:r>
    </w:p>
  </w:footnote>
  <w:footnote w:id="10">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more than 23 500 patents have been declared essential to the Global System for Mobile Communication standard and the 3G or Universal Mobile Telecommunication Sy</w:t>
      </w:r>
      <w:r>
        <w:rPr>
          <w:rFonts w:ascii="Times New Roman" w:hAnsi="Times New Roman"/>
        </w:rPr>
        <w:t>stem standards developed at the European Telecommunications Standards Institute (ETSI). Such standard apply to all smartphones and devices having a mobile connection. For more figures, see 'Landscaping study on SEPs' IPlytics (2017) and 'Patents and Standa</w:t>
      </w:r>
      <w:r>
        <w:rPr>
          <w:rFonts w:ascii="Times New Roman" w:hAnsi="Times New Roman"/>
        </w:rPr>
        <w:t>rds - A modern framework for IPR-based standardization' ECSIP (2014).</w:t>
      </w:r>
    </w:p>
  </w:footnote>
  <w:footnote w:id="11">
    <w:p w:rsidR="00747FBC" w:rsidRDefault="00682113">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Some SDOs require specific patent disclosures as they recognise their benefits, while others permit blanket declarations. This section of the Communication refers to SDOs with specific</w:t>
      </w:r>
      <w:r>
        <w:rPr>
          <w:rFonts w:ascii="Times New Roman" w:hAnsi="Times New Roman"/>
        </w:rPr>
        <w:t xml:space="preserve"> patent disclosure. </w:t>
      </w:r>
    </w:p>
  </w:footnote>
  <w:footnote w:id="12">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for example the long running 'DARE' project to improve the ETSI’s database.</w:t>
      </w:r>
    </w:p>
  </w:footnote>
  <w:footnote w:id="13">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details, please see the summary report of the public consultation organised by DG GROW in 2015. http://ec.europa.eu/DocsRoom/documents/1448</w:t>
      </w:r>
      <w:r>
        <w:rPr>
          <w:rFonts w:ascii="Times New Roman" w:hAnsi="Times New Roman"/>
        </w:rPr>
        <w:t>2/attachments/1/translations/en/renditions/native.</w:t>
      </w:r>
    </w:p>
  </w:footnote>
  <w:footnote w:id="14">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CRA (2016).</w:t>
      </w:r>
    </w:p>
  </w:footnote>
  <w:footnote w:id="15">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See section 3 below in relation to effective enforcement.</w:t>
      </w:r>
    </w:p>
  </w:footnote>
  <w:footnote w:id="16">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a potential patent or patent application initially declared for a candidate technology may not be retained in the released standard, or the declared patent application may be revised during the granting process.</w:t>
      </w:r>
    </w:p>
  </w:footnote>
  <w:footnote w:id="17">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71% of SEPs declared at major SDOs (73% at the ETSI) are only granted after the standard has been released (IPlytics, 2017).</w:t>
      </w:r>
    </w:p>
  </w:footnote>
  <w:footnote w:id="18">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ECSIP (2014).</w:t>
      </w:r>
    </w:p>
  </w:footnote>
  <w:footnote w:id="19">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IPlytics (2017) and CRA (2016) and the summary of DG GROW public consultation on SEPs (201</w:t>
      </w:r>
      <w:r>
        <w:rPr>
          <w:rFonts w:ascii="Times New Roman" w:hAnsi="Times New Roman"/>
        </w:rPr>
        <w:t>5).</w:t>
      </w:r>
    </w:p>
  </w:footnote>
  <w:footnote w:id="20">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 number of studies on various key technologies suggests that when rigorously tested, only between 10% and 50% of declared patents are essential (CRA, 2016 and IPlytics, 2017).</w:t>
      </w:r>
    </w:p>
  </w:footnote>
  <w:footnote w:id="21">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cost of essentiality checks may be negligible compared to licensing</w:t>
      </w:r>
      <w:r>
        <w:rPr>
          <w:rFonts w:ascii="Times New Roman" w:hAnsi="Times New Roman"/>
        </w:rPr>
        <w:t xml:space="preserve"> revenues for key technologies (see CRA, 2016).</w:t>
      </w:r>
    </w:p>
  </w:footnote>
  <w:footnote w:id="22">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an analysis of cost and benefits, please see IPlytics (2017).</w:t>
      </w:r>
    </w:p>
  </w:footnote>
  <w:footnote w:id="23">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CRA (2016).</w:t>
      </w:r>
    </w:p>
  </w:footnote>
  <w:footnote w:id="24">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IPlytics (2017).</w:t>
      </w:r>
    </w:p>
  </w:footnote>
  <w:footnote w:id="25">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Public consultation on patents and standards: A modern framework for standardisation involving in</w:t>
      </w:r>
      <w:r>
        <w:rPr>
          <w:rFonts w:ascii="Times New Roman" w:hAnsi="Times New Roman"/>
        </w:rPr>
        <w:t>tellectual property rights.</w:t>
      </w:r>
    </w:p>
  </w:footnote>
  <w:footnote w:id="26">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Licensing Terms of Standard Essential Patents: A Comprehensive Analysis of Cases, JRC 2017</w:t>
      </w:r>
    </w:p>
  </w:footnote>
  <w:footnote w:id="27">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Study on Transparency, Predictability and Efficiency of SDO-based Standardization and SEP Licensing, Published on: 12/12/2016, (CRA s</w:t>
      </w:r>
      <w:r>
        <w:rPr>
          <w:rFonts w:ascii="Times New Roman" w:hAnsi="Times New Roman"/>
        </w:rPr>
        <w:t>tudy).</w:t>
      </w:r>
    </w:p>
  </w:footnote>
  <w:footnote w:id="28">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in particular, Unwired Planet v. Huaweï [2017] EWHC 711 (Pat).</w:t>
      </w:r>
    </w:p>
  </w:footnote>
  <w:footnote w:id="29">
    <w:p w:rsidR="00747FBC" w:rsidRDefault="00682113">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C-170/13 Huawei Technologies, EU:C:2015:477, paragraph 53</w:t>
      </w:r>
    </w:p>
  </w:footnote>
  <w:footnote w:id="30">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 xml:space="preserve">The </w:t>
      </w:r>
      <w:r>
        <w:rPr>
          <w:rFonts w:ascii="Times New Roman" w:hAnsi="Times New Roman"/>
          <w:i/>
        </w:rPr>
        <w:t>present value</w:t>
      </w:r>
      <w:r>
        <w:rPr>
          <w:rFonts w:ascii="Times New Roman" w:hAnsi="Times New Roman"/>
        </w:rPr>
        <w:t xml:space="preserve"> is the value discounted to the time of the conclusion of the licence agreement. Allowing for t</w:t>
      </w:r>
      <w:r>
        <w:rPr>
          <w:rFonts w:ascii="Times New Roman" w:hAnsi="Times New Roman"/>
        </w:rPr>
        <w:t>he discounting over time is important against the backdrop of licence agreement running over several years in sometimes technologically fast moving business environments.</w:t>
      </w:r>
    </w:p>
  </w:footnote>
  <w:footnote w:id="31">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On royalty stacking see CRA study.</w:t>
      </w:r>
    </w:p>
  </w:footnote>
  <w:footnote w:id="32">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Unwired Planet v. Huaweï [2017] EWHC 711 (Pat)</w:t>
      </w:r>
      <w:r>
        <w:rPr>
          <w:rFonts w:ascii="Times New Roman" w:hAnsi="Times New Roman"/>
        </w:rPr>
        <w:t>.</w:t>
      </w:r>
    </w:p>
  </w:footnote>
  <w:footnote w:id="33">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 xml:space="preserve">However, FRAND licensing requires remuneration to be calculated in a manner that implementers wishing to develop a product for a specific, geographically limited area are not placed at a disadvantage. </w:t>
      </w:r>
    </w:p>
  </w:footnote>
  <w:footnote w:id="34">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Unwired Planet v. Huaweï [2017] EWHC 711 (Pat).</w:t>
      </w:r>
    </w:p>
  </w:footnote>
  <w:footnote w:id="35">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the creation of pools may be encouraged by means of measures such as strengthening the relationship between SDOs and pools, providing incentives to participation and making universities and SMEs more aware of the advantages of becoming a li</w:t>
      </w:r>
      <w:r>
        <w:rPr>
          <w:rFonts w:ascii="Times New Roman" w:hAnsi="Times New Roman"/>
        </w:rPr>
        <w:t>censor in a pool (ECSIP, 2015).</w:t>
      </w:r>
    </w:p>
  </w:footnote>
  <w:footnote w:id="36">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ECSIP (2014).</w:t>
      </w:r>
    </w:p>
  </w:footnote>
  <w:footnote w:id="37">
    <w:p w:rsidR="00747FBC" w:rsidRDefault="00682113">
      <w:pPr>
        <w:pStyle w:val="FootnoteText"/>
        <w:spacing w:after="0"/>
        <w:rPr>
          <w:rFonts w:ascii="Times New Roman" w:hAnsi="Times New Roman"/>
        </w:rPr>
      </w:pPr>
      <w:r>
        <w:rPr>
          <w:rStyle w:val="FootnoteReference"/>
        </w:rPr>
        <w:footnoteRef/>
      </w:r>
      <w:r>
        <w:t xml:space="preserve"> </w:t>
      </w:r>
      <w:r>
        <w:rPr>
          <w:rFonts w:ascii="Times New Roman" w:hAnsi="Times New Roman"/>
        </w:rPr>
        <w:t>COM(2017)708</w:t>
      </w:r>
    </w:p>
  </w:footnote>
  <w:footnote w:id="38">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2004/48/EC of 29.4.2004 on the enforcement of intellectual property rights, pub. OJ L 195 of 2.6.2004, recital 3</w:t>
      </w:r>
    </w:p>
  </w:footnote>
  <w:footnote w:id="39">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C-170/13 </w:t>
      </w:r>
      <w:r>
        <w:rPr>
          <w:rFonts w:ascii="Times New Roman" w:hAnsi="Times New Roman"/>
          <w:i/>
        </w:rPr>
        <w:t>Huawei Technologies</w:t>
      </w:r>
      <w:r>
        <w:rPr>
          <w:rFonts w:ascii="Times New Roman" w:hAnsi="Times New Roman"/>
        </w:rPr>
        <w:t>, EU:C:2015:477.</w:t>
      </w:r>
    </w:p>
  </w:footnote>
  <w:footnote w:id="40">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CJEU held that Article 102 TFEU must be interpreted as meaning that the proprietor of a patent essential to a standard established by a standardisation body, which has given an irrevocable undertaking to that body to grant a licence to third parties o</w:t>
      </w:r>
      <w:r>
        <w:rPr>
          <w:rFonts w:ascii="Times New Roman" w:hAnsi="Times New Roman"/>
        </w:rPr>
        <w:t>n fair, reasonable and non-discriminatory (‘FRAND’) terms, does not abuse its dominant position, within the meaning of that article, by bringing an action for infringement seeking an injunction prohibiting the infringement of its patent or seeking the reca</w:t>
      </w:r>
      <w:r>
        <w:rPr>
          <w:rFonts w:ascii="Times New Roman" w:hAnsi="Times New Roman"/>
        </w:rPr>
        <w:t xml:space="preserve">ll of products for the manufacture of which that patent has been used, as long as: </w:t>
      </w:r>
    </w:p>
    <w:p w:rsidR="00747FBC" w:rsidRDefault="00682113">
      <w:pPr>
        <w:pStyle w:val="FootnoteText"/>
        <w:spacing w:after="0" w:line="240" w:lineRule="auto"/>
        <w:jc w:val="both"/>
        <w:rPr>
          <w:rFonts w:ascii="Times New Roman" w:hAnsi="Times New Roman"/>
        </w:rPr>
      </w:pPr>
      <w:r>
        <w:rPr>
          <w:rFonts w:ascii="Times New Roman" w:hAnsi="Times New Roman"/>
        </w:rPr>
        <w:t>(1) prior to bringing that action, the proprietor has, first, alerted the alleged infringer of the infringement complained about by designating that patent and specifying t</w:t>
      </w:r>
      <w:r>
        <w:rPr>
          <w:rFonts w:ascii="Times New Roman" w:hAnsi="Times New Roman"/>
        </w:rPr>
        <w:t>he way in which it has been infringed, and, secondly, after the alleged infringer has expressed its willingness to conclude a licensing agreement on FRAND terms, presented to that infringer a specific, written offer for a licence on such terms, specifying,</w:t>
      </w:r>
      <w:r>
        <w:rPr>
          <w:rFonts w:ascii="Times New Roman" w:hAnsi="Times New Roman"/>
        </w:rPr>
        <w:t xml:space="preserve"> in particular, the royalty and the way in which it is to be calculated, and </w:t>
      </w:r>
    </w:p>
    <w:p w:rsidR="00747FBC" w:rsidRDefault="00682113">
      <w:pPr>
        <w:pStyle w:val="FootnoteText"/>
        <w:spacing w:after="0" w:line="240" w:lineRule="auto"/>
        <w:jc w:val="both"/>
        <w:rPr>
          <w:rFonts w:ascii="Times New Roman" w:hAnsi="Times New Roman"/>
        </w:rPr>
      </w:pPr>
      <w:r>
        <w:rPr>
          <w:rFonts w:ascii="Times New Roman" w:hAnsi="Times New Roman"/>
        </w:rPr>
        <w:t>(2) where the alleged infringer continues to use the patent in question, the alleged infringer has not diligently responded to that offer, in accordance with recognised commercia</w:t>
      </w:r>
      <w:r>
        <w:rPr>
          <w:rFonts w:ascii="Times New Roman" w:hAnsi="Times New Roman"/>
        </w:rPr>
        <w:t>l practices in the field and in good faith, this being a matter which must be established on the basis of objective factors and which implies, in particular, that there are no delaying tactics.</w:t>
      </w:r>
    </w:p>
  </w:footnote>
  <w:footnote w:id="41">
    <w:p w:rsidR="00747FBC" w:rsidRDefault="00682113">
      <w:pPr>
        <w:spacing w:after="0"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Calibri" w:hAnsi="Times New Roman" w:cs="Times New Roman"/>
          <w:sz w:val="20"/>
          <w:szCs w:val="20"/>
        </w:rPr>
        <w:t>OLG Düsseldorf, Case I-15 U 66/15, Order of 17 November 2016</w:t>
      </w:r>
      <w:r>
        <w:rPr>
          <w:rFonts w:ascii="Times New Roman" w:eastAsia="Calibri" w:hAnsi="Times New Roman" w:cs="Times New Roman"/>
          <w:sz w:val="20"/>
          <w:szCs w:val="20"/>
        </w:rPr>
        <w:t xml:space="preserve"> and OLG Karlsruhe, Case 6 U 58/16, Order of 8 September 2016.</w:t>
      </w:r>
    </w:p>
  </w:footnote>
  <w:footnote w:id="42">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section 1 above.</w:t>
      </w:r>
    </w:p>
  </w:footnote>
  <w:footnote w:id="43">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2004/48/EC of 29.4.2004 on the enforcement of intellectual property rights, OJ L 195 of 2.6.2004, p. 16.</w:t>
      </w:r>
    </w:p>
  </w:footnote>
  <w:footnote w:id="44">
    <w:p w:rsidR="00747FBC" w:rsidRDefault="00682113">
      <w:pPr>
        <w:pStyle w:val="FootnoteText"/>
        <w:spacing w:after="0" w:line="240" w:lineRule="auto"/>
        <w:rPr>
          <w:rFonts w:ascii="Times New Roman" w:hAnsi="Times New Roman"/>
          <w:highlight w:val="yellow"/>
          <w:lang w:val="fr-BE"/>
        </w:rPr>
      </w:pPr>
      <w:r>
        <w:rPr>
          <w:rStyle w:val="FootnoteReference"/>
          <w:rFonts w:ascii="Times New Roman" w:hAnsi="Times New Roman"/>
        </w:rPr>
        <w:footnoteRef/>
      </w:r>
      <w:r>
        <w:rPr>
          <w:rFonts w:ascii="Times New Roman" w:hAnsi="Times New Roman"/>
          <w:lang w:val="fr-BE"/>
        </w:rPr>
        <w:t xml:space="preserve"> Case C-170/13 </w:t>
      </w:r>
      <w:r>
        <w:rPr>
          <w:rFonts w:ascii="Times New Roman" w:hAnsi="Times New Roman"/>
          <w:i/>
          <w:lang w:val="fr-BE"/>
        </w:rPr>
        <w:t>Huawei Technologies</w:t>
      </w:r>
      <w:r>
        <w:rPr>
          <w:rFonts w:ascii="Times New Roman" w:hAnsi="Times New Roman"/>
          <w:lang w:val="fr-BE"/>
        </w:rPr>
        <w:t xml:space="preserve">, EU:C:2015:477 </w:t>
      </w:r>
      <w:r>
        <w:rPr>
          <w:rFonts w:ascii="Times New Roman" w:hAnsi="Times New Roman"/>
          <w:lang w:val="fr-BE"/>
        </w:rPr>
        <w:t>(para 65)</w:t>
      </w:r>
    </w:p>
  </w:footnote>
  <w:footnote w:id="45">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r>
        <w:rPr>
          <w:rFonts w:ascii="Times New Roman" w:hAnsi="Times New Roman"/>
          <w:i/>
        </w:rPr>
        <w:t>mutatis mutandis</w:t>
      </w:r>
      <w:r>
        <w:rPr>
          <w:rFonts w:ascii="Times New Roman" w:hAnsi="Times New Roman"/>
        </w:rPr>
        <w:t xml:space="preserve"> Guidelines on the application of Article 101 of the Treaty on the Functioning of the European Union to technology transfer agreements, OJ C 89, 28.3.2014, p. 3, paragraph 250-55.</w:t>
      </w:r>
    </w:p>
  </w:footnote>
  <w:footnote w:id="46">
    <w:p w:rsidR="00747FBC" w:rsidRDefault="00682113">
      <w:pPr>
        <w:pStyle w:val="FootnoteText"/>
        <w:spacing w:after="0" w:line="240" w:lineRule="auto"/>
        <w:jc w:val="both"/>
      </w:pPr>
      <w:r>
        <w:rPr>
          <w:rStyle w:val="FootnoteReference"/>
        </w:rPr>
        <w:footnoteRef/>
      </w:r>
      <w:r>
        <w:t xml:space="preserve"> </w:t>
      </w:r>
      <w:r>
        <w:rPr>
          <w:rFonts w:ascii="Times New Roman" w:hAnsi="Times New Roman"/>
        </w:rPr>
        <w:t>Different ADR mechanisms already exist, su</w:t>
      </w:r>
      <w:r>
        <w:rPr>
          <w:rFonts w:ascii="Times New Roman" w:hAnsi="Times New Roman"/>
        </w:rPr>
        <w:t>ch as the WIPO's Arbitration and Mediation Centre.</w:t>
      </w:r>
    </w:p>
  </w:footnote>
  <w:footnote w:id="47">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Staff Working Document, 'Putting intellectual property at the service of SMEs to foster innovation and growth', SWD(2016)373 of 22.11.2016.</w:t>
      </w:r>
    </w:p>
  </w:footnote>
  <w:footnote w:id="48">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section 1.2.1 above.</w:t>
      </w:r>
    </w:p>
  </w:footnote>
  <w:footnote w:id="49">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the attempt of a de</w:t>
      </w:r>
      <w:r>
        <w:rPr>
          <w:rFonts w:ascii="Times New Roman" w:hAnsi="Times New Roman"/>
        </w:rPr>
        <w:t xml:space="preserve">finition see the JRC study 'Patent Assertion Entities in Europe', chapter 3. </w:t>
      </w:r>
      <w:hyperlink r:id="rId2" w:history="1">
        <w:r>
          <w:rPr>
            <w:rStyle w:val="Hyperlink"/>
            <w:rFonts w:ascii="Times New Roman" w:hAnsi="Times New Roman"/>
          </w:rPr>
          <w:t>http://publications.jrc.ec.europa.eu/repository/bitstream/JRC103321/lfna28145e</w:t>
        </w:r>
        <w:r>
          <w:rPr>
            <w:rStyle w:val="Hyperlink"/>
            <w:rFonts w:ascii="Times New Roman" w:hAnsi="Times New Roman"/>
          </w:rPr>
          <w:t>nn.pdf</w:t>
        </w:r>
      </w:hyperlink>
      <w:r>
        <w:rPr>
          <w:rFonts w:ascii="Times New Roman" w:hAnsi="Times New Roman"/>
        </w:rPr>
        <w:t xml:space="preserve"> </w:t>
      </w:r>
    </w:p>
  </w:footnote>
  <w:footnote w:id="50">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http://publications.jrc.ec.europa.eu/repository/bitstream/JRC103321/lfna28145enn.pdf</w:t>
        </w:r>
      </w:hyperlink>
      <w:r>
        <w:rPr>
          <w:rFonts w:ascii="Times New Roman" w:hAnsi="Times New Roman"/>
        </w:rPr>
        <w:t xml:space="preserve"> </w:t>
      </w:r>
    </w:p>
  </w:footnote>
  <w:footnote w:id="51">
    <w:p w:rsidR="00747FBC" w:rsidRDefault="00682113">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JRC study above.</w:t>
      </w:r>
    </w:p>
  </w:footnote>
  <w:footnote w:id="52">
    <w:p w:rsidR="00747FBC" w:rsidRDefault="00682113">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In relation to Cloud computing, see the report on standards and open source: bridging the gap.</w:t>
      </w:r>
    </w:p>
  </w:footnote>
  <w:footnote w:id="53">
    <w:p w:rsidR="00747FBC" w:rsidRDefault="00682113">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OASIS, ECMA, ITU-T, ETSI,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13" w:rsidRPr="00682113" w:rsidRDefault="00682113" w:rsidP="0068211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747F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747F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C" w:rsidRDefault="00747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04"/>
    <w:multiLevelType w:val="hybridMultilevel"/>
    <w:tmpl w:val="FF8E9A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A82BAB"/>
    <w:multiLevelType w:val="hybridMultilevel"/>
    <w:tmpl w:val="EB4C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839D3"/>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E411F"/>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35E3"/>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C35984"/>
    <w:multiLevelType w:val="hybridMultilevel"/>
    <w:tmpl w:val="BCD82516"/>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E3E4E"/>
    <w:multiLevelType w:val="hybridMultilevel"/>
    <w:tmpl w:val="1BD2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8513B"/>
    <w:multiLevelType w:val="multilevel"/>
    <w:tmpl w:val="358A588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66A13"/>
    <w:multiLevelType w:val="hybridMultilevel"/>
    <w:tmpl w:val="346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C0BDD"/>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E2FC7"/>
    <w:multiLevelType w:val="hybridMultilevel"/>
    <w:tmpl w:val="239EC042"/>
    <w:lvl w:ilvl="0" w:tplc="AE904630">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A6B7484"/>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C925FA"/>
    <w:multiLevelType w:val="hybridMultilevel"/>
    <w:tmpl w:val="351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E1634D6"/>
    <w:multiLevelType w:val="hybridMultilevel"/>
    <w:tmpl w:val="5C7C6720"/>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41626"/>
    <w:multiLevelType w:val="hybridMultilevel"/>
    <w:tmpl w:val="F6C68C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EED4F89"/>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1D7A8B"/>
    <w:multiLevelType w:val="hybridMultilevel"/>
    <w:tmpl w:val="098203EE"/>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F1EA0"/>
    <w:multiLevelType w:val="hybridMultilevel"/>
    <w:tmpl w:val="43627D1C"/>
    <w:lvl w:ilvl="0" w:tplc="07E8B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08225B"/>
    <w:multiLevelType w:val="hybridMultilevel"/>
    <w:tmpl w:val="110C5F5E"/>
    <w:lvl w:ilvl="0" w:tplc="256C164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4A40D04"/>
    <w:multiLevelType w:val="hybridMultilevel"/>
    <w:tmpl w:val="CDF6FA74"/>
    <w:lvl w:ilvl="0" w:tplc="A69055A8">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ADD344E"/>
    <w:multiLevelType w:val="hybridMultilevel"/>
    <w:tmpl w:val="8B92F954"/>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6168B"/>
    <w:multiLevelType w:val="hybridMultilevel"/>
    <w:tmpl w:val="104C8DAA"/>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0033F0"/>
    <w:multiLevelType w:val="multilevel"/>
    <w:tmpl w:val="0A6E74B2"/>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5F8B1D0C"/>
    <w:multiLevelType w:val="multilevel"/>
    <w:tmpl w:val="5B82F8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D95023"/>
    <w:multiLevelType w:val="hybridMultilevel"/>
    <w:tmpl w:val="1790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9B1612"/>
    <w:multiLevelType w:val="hybridMultilevel"/>
    <w:tmpl w:val="57386032"/>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8230C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62257B"/>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47D27CA"/>
    <w:multiLevelType w:val="hybridMultilevel"/>
    <w:tmpl w:val="49F49A88"/>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D35A64"/>
    <w:multiLevelType w:val="hybridMultilevel"/>
    <w:tmpl w:val="F56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D13B9"/>
    <w:multiLevelType w:val="hybridMultilevel"/>
    <w:tmpl w:val="CBE8220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6"/>
  </w:num>
  <w:num w:numId="4">
    <w:abstractNumId w:val="4"/>
  </w:num>
  <w:num w:numId="5">
    <w:abstractNumId w:val="23"/>
  </w:num>
  <w:num w:numId="6">
    <w:abstractNumId w:val="22"/>
  </w:num>
  <w:num w:numId="7">
    <w:abstractNumId w:val="7"/>
  </w:num>
  <w:num w:numId="8">
    <w:abstractNumId w:val="11"/>
  </w:num>
  <w:num w:numId="9">
    <w:abstractNumId w:val="9"/>
  </w:num>
  <w:num w:numId="10">
    <w:abstractNumId w:val="21"/>
  </w:num>
  <w:num w:numId="11">
    <w:abstractNumId w:val="30"/>
  </w:num>
  <w:num w:numId="12">
    <w:abstractNumId w:val="20"/>
  </w:num>
  <w:num w:numId="13">
    <w:abstractNumId w:val="13"/>
  </w:num>
  <w:num w:numId="14">
    <w:abstractNumId w:val="2"/>
  </w:num>
  <w:num w:numId="15">
    <w:abstractNumId w:val="0"/>
  </w:num>
  <w:num w:numId="16">
    <w:abstractNumId w:val="8"/>
  </w:num>
  <w:num w:numId="17">
    <w:abstractNumId w:val="5"/>
  </w:num>
  <w:num w:numId="18">
    <w:abstractNumId w:val="16"/>
  </w:num>
  <w:num w:numId="19">
    <w:abstractNumId w:val="14"/>
  </w:num>
  <w:num w:numId="20">
    <w:abstractNumId w:val="19"/>
  </w:num>
  <w:num w:numId="21">
    <w:abstractNumId w:val="18"/>
  </w:num>
  <w:num w:numId="22">
    <w:abstractNumId w:val="1"/>
  </w:num>
  <w:num w:numId="23">
    <w:abstractNumId w:val="10"/>
  </w:num>
  <w:num w:numId="24">
    <w:abstractNumId w:val="12"/>
  </w:num>
  <w:num w:numId="25">
    <w:abstractNumId w:val="24"/>
  </w:num>
  <w:num w:numId="26">
    <w:abstractNumId w:val="15"/>
  </w:num>
  <w:num w:numId="27">
    <w:abstractNumId w:val="27"/>
  </w:num>
  <w:num w:numId="28">
    <w:abstractNumId w:val="28"/>
  </w:num>
  <w:num w:numId="29">
    <w:abstractNumId w:val="25"/>
  </w:num>
  <w:num w:numId="30">
    <w:abstractNumId w:val="17"/>
  </w:num>
  <w:num w:numId="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5BA1DC-B7DB-41D4-8E87-F92DC7E0EF61"/>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Brussels,"/>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How the European patent with unitary effect will work together with national patents and national supplementary protection certificates"/>
    <w:docVar w:name="LW_SOUS.TITRE.OBJ.CP" w:val="&lt;UNUSED&gt;"/>
    <w:docVar w:name="LW_SUPERTITRE" w:val="&lt;UNUSED&gt;"/>
    <w:docVar w:name="LW_TITRE.OBJ.CP" w:val="Setting out the EU approach to Standard Essential Patents"/>
    <w:docVar w:name="LW_TYPE.DOC.CP" w:val="COMMUNICATION FROM THE COMMISSION TO THE EUROPEAN PARLIAMENT, THE COUNCIL AND THE EUROPEAN ECONOMIC AND SOCIAL COMMITTEE"/>
    <w:docVar w:name="LW_TYPE.DOC.CP.USERTEXT" w:val="&lt;EMPTY&gt;"/>
  </w:docVars>
  <w:rsids>
    <w:rsidRoot w:val="00747FBC"/>
    <w:rsid w:val="00682113"/>
    <w:rsid w:val="00747F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paragraph" w:customStyle="1" w:styleId="CM54">
    <w:name w:val="CM54"/>
    <w:basedOn w:val="Default"/>
    <w:next w:val="Default"/>
    <w:uiPriority w:val="99"/>
    <w:rPr>
      <w:rFonts w:ascii="QVHQCS+TimesNewRoman" w:eastAsiaTheme="minorHAnsi" w:hAnsi="QVHQCS+TimesNewRoman" w:cstheme="minorBidi"/>
      <w:color w:val="auto"/>
      <w:lang w:eastAsia="en-US"/>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lang w:val="fr-BE" w:eastAsia="fr-BE"/>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paragraph" w:customStyle="1" w:styleId="CM54">
    <w:name w:val="CM54"/>
    <w:basedOn w:val="Default"/>
    <w:next w:val="Default"/>
    <w:uiPriority w:val="99"/>
    <w:rPr>
      <w:rFonts w:ascii="QVHQCS+TimesNewRoman" w:eastAsiaTheme="minorHAnsi" w:hAnsi="QVHQCS+TimesNewRoman" w:cstheme="minorBidi"/>
      <w:color w:val="auto"/>
      <w:lang w:eastAsia="en-US"/>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lang w:val="fr-BE" w:eastAsia="fr-BE"/>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90">
      <w:bodyDiv w:val="1"/>
      <w:marLeft w:val="0"/>
      <w:marRight w:val="0"/>
      <w:marTop w:val="0"/>
      <w:marBottom w:val="0"/>
      <w:divBdr>
        <w:top w:val="none" w:sz="0" w:space="0" w:color="auto"/>
        <w:left w:val="none" w:sz="0" w:space="0" w:color="auto"/>
        <w:bottom w:val="none" w:sz="0" w:space="0" w:color="auto"/>
        <w:right w:val="none" w:sz="0" w:space="0" w:color="auto"/>
      </w:divBdr>
    </w:div>
    <w:div w:id="184372464">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8">
          <w:marLeft w:val="0"/>
          <w:marRight w:val="0"/>
          <w:marTop w:val="0"/>
          <w:marBottom w:val="0"/>
          <w:divBdr>
            <w:top w:val="none" w:sz="0" w:space="0" w:color="auto"/>
            <w:left w:val="none" w:sz="0" w:space="0" w:color="auto"/>
            <w:bottom w:val="none" w:sz="0" w:space="0" w:color="auto"/>
            <w:right w:val="none" w:sz="0" w:space="0" w:color="auto"/>
          </w:divBdr>
          <w:divsChild>
            <w:div w:id="1132360968">
              <w:marLeft w:val="0"/>
              <w:marRight w:val="0"/>
              <w:marTop w:val="0"/>
              <w:marBottom w:val="0"/>
              <w:divBdr>
                <w:top w:val="none" w:sz="0" w:space="0" w:color="auto"/>
                <w:left w:val="none" w:sz="0" w:space="0" w:color="auto"/>
                <w:bottom w:val="none" w:sz="0" w:space="0" w:color="auto"/>
                <w:right w:val="none" w:sz="0" w:space="0" w:color="auto"/>
              </w:divBdr>
              <w:divsChild>
                <w:div w:id="1876844402">
                  <w:marLeft w:val="0"/>
                  <w:marRight w:val="0"/>
                  <w:marTop w:val="0"/>
                  <w:marBottom w:val="0"/>
                  <w:divBdr>
                    <w:top w:val="none" w:sz="0" w:space="0" w:color="auto"/>
                    <w:left w:val="none" w:sz="0" w:space="0" w:color="auto"/>
                    <w:bottom w:val="none" w:sz="0" w:space="0" w:color="auto"/>
                    <w:right w:val="none" w:sz="0" w:space="0" w:color="auto"/>
                  </w:divBdr>
                  <w:divsChild>
                    <w:div w:id="986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9785">
      <w:bodyDiv w:val="1"/>
      <w:marLeft w:val="0"/>
      <w:marRight w:val="0"/>
      <w:marTop w:val="0"/>
      <w:marBottom w:val="0"/>
      <w:divBdr>
        <w:top w:val="none" w:sz="0" w:space="0" w:color="auto"/>
        <w:left w:val="none" w:sz="0" w:space="0" w:color="auto"/>
        <w:bottom w:val="none" w:sz="0" w:space="0" w:color="auto"/>
        <w:right w:val="none" w:sz="0" w:space="0" w:color="auto"/>
      </w:divBdr>
    </w:div>
    <w:div w:id="1251964175">
      <w:bodyDiv w:val="1"/>
      <w:marLeft w:val="0"/>
      <w:marRight w:val="0"/>
      <w:marTop w:val="0"/>
      <w:marBottom w:val="0"/>
      <w:divBdr>
        <w:top w:val="none" w:sz="0" w:space="0" w:color="auto"/>
        <w:left w:val="none" w:sz="0" w:space="0" w:color="auto"/>
        <w:bottom w:val="none" w:sz="0" w:space="0" w:color="auto"/>
        <w:right w:val="none" w:sz="0" w:space="0" w:color="auto"/>
      </w:divBdr>
    </w:div>
    <w:div w:id="1276522179">
      <w:bodyDiv w:val="1"/>
      <w:marLeft w:val="0"/>
      <w:marRight w:val="0"/>
      <w:marTop w:val="0"/>
      <w:marBottom w:val="0"/>
      <w:divBdr>
        <w:top w:val="none" w:sz="0" w:space="0" w:color="auto"/>
        <w:left w:val="none" w:sz="0" w:space="0" w:color="auto"/>
        <w:bottom w:val="none" w:sz="0" w:space="0" w:color="auto"/>
        <w:right w:val="none" w:sz="0" w:space="0" w:color="auto"/>
      </w:divBdr>
    </w:div>
    <w:div w:id="1781874342">
      <w:bodyDiv w:val="1"/>
      <w:marLeft w:val="0"/>
      <w:marRight w:val="0"/>
      <w:marTop w:val="0"/>
      <w:marBottom w:val="0"/>
      <w:divBdr>
        <w:top w:val="none" w:sz="0" w:space="0" w:color="auto"/>
        <w:left w:val="none" w:sz="0" w:space="0" w:color="auto"/>
        <w:bottom w:val="none" w:sz="0" w:space="0" w:color="auto"/>
        <w:right w:val="none" w:sz="0" w:space="0" w:color="auto"/>
      </w:divBdr>
      <w:divsChild>
        <w:div w:id="1481774675">
          <w:marLeft w:val="0"/>
          <w:marRight w:val="0"/>
          <w:marTop w:val="0"/>
          <w:marBottom w:val="0"/>
          <w:divBdr>
            <w:top w:val="none" w:sz="0" w:space="0" w:color="auto"/>
            <w:left w:val="none" w:sz="0" w:space="0" w:color="auto"/>
            <w:bottom w:val="none" w:sz="0" w:space="0" w:color="auto"/>
            <w:right w:val="none" w:sz="0" w:space="0" w:color="auto"/>
          </w:divBdr>
        </w:div>
      </w:divsChild>
    </w:div>
    <w:div w:id="2025011159">
      <w:bodyDiv w:val="1"/>
      <w:marLeft w:val="0"/>
      <w:marRight w:val="0"/>
      <w:marTop w:val="0"/>
      <w:marBottom w:val="0"/>
      <w:divBdr>
        <w:top w:val="none" w:sz="0" w:space="0" w:color="auto"/>
        <w:left w:val="none" w:sz="0" w:space="0" w:color="auto"/>
        <w:bottom w:val="none" w:sz="0" w:space="0" w:color="auto"/>
        <w:right w:val="none" w:sz="0" w:space="0" w:color="auto"/>
      </w:divBdr>
    </w:div>
    <w:div w:id="211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03321/lfna28145enn.pdf" TargetMode="External"/><Relationship Id="rId2" Type="http://schemas.openxmlformats.org/officeDocument/2006/relationships/hyperlink" Target="http://publications.jrc.ec.europa.eu/repository/bitstream/JRC103321/lfna28145enn.pdf" TargetMode="External"/><Relationship Id="rId1" Type="http://schemas.openxmlformats.org/officeDocument/2006/relationships/hyperlink" Target="http://ec.europa.eu/growth/tools-databases/newsroom/cf/itemdetail.cfm?item_id=7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1E95-15EF-46FD-ACD3-7038F077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5516</Words>
  <Characters>31225</Characters>
  <Application>Microsoft Office Word</Application>
  <DocSecurity>0</DocSecurity>
  <Lines>466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2017-11-24T14:23:00Z</dcterms:created>
  <dcterms:modified xsi:type="dcterms:W3CDTF">2017-11-28T14:27:00Z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