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A7B" w:rsidRDefault="001E7ACC">
      <w:pPr>
        <w:pStyle w:val="Pagedecouverture"/>
        <w:rPr>
          <w:rFonts w:eastAsiaTheme="minorHAnsi"/>
          <w:noProof/>
        </w:rPr>
      </w:pPr>
      <w:bookmarkStart w:id="0" w:name="LW_BM_COVERPAGE"/>
      <w:r>
        <w:rPr>
          <w:rFonts w:eastAsiaTheme="minorHAns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15BF032-5820-42E9-8D73-3BFFF1434E9E" style="width:450.25pt;height:430.95pt">
            <v:imagedata r:id="rId12" o:title=""/>
          </v:shape>
        </w:pict>
      </w:r>
    </w:p>
    <w:bookmarkEnd w:id="0"/>
    <w:p w:rsidR="00EB6A7B" w:rsidRDefault="00EB6A7B">
      <w:pPr>
        <w:rPr>
          <w:rFonts w:ascii="Times New Roman" w:hAnsi="Times New Roman" w:cs="Times New Roman"/>
          <w:noProof/>
          <w:lang w:val="fr-BE"/>
        </w:rPr>
        <w:sectPr w:rsidR="00EB6A7B">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2"/>
          <w:cols w:space="720"/>
          <w:docGrid w:linePitch="360"/>
        </w:sectPr>
      </w:pPr>
    </w:p>
    <w:sdt>
      <w:sdtPr>
        <w:rPr>
          <w:rFonts w:ascii="Times New Roman" w:eastAsiaTheme="minorHAnsi" w:hAnsi="Times New Roman" w:cs="Times New Roman"/>
          <w:b w:val="0"/>
          <w:bCs w:val="0"/>
          <w:caps/>
          <w:smallCaps/>
          <w:noProof/>
          <w:color w:val="auto"/>
          <w:sz w:val="24"/>
          <w:szCs w:val="24"/>
          <w:lang w:val="fr-BE"/>
        </w:rPr>
        <w:id w:val="639242701"/>
        <w:docPartObj>
          <w:docPartGallery w:val="Table of Contents"/>
          <w:docPartUnique/>
        </w:docPartObj>
      </w:sdtPr>
      <w:sdtEndPr>
        <w:rPr>
          <w:rFonts w:eastAsia="Times New Roman"/>
          <w:smallCaps w:val="0"/>
          <w:sz w:val="20"/>
          <w:szCs w:val="20"/>
          <w:lang w:val="en-GB"/>
        </w:rPr>
      </w:sdtEndPr>
      <w:sdtContent>
        <w:p w:rsidR="00EB6A7B" w:rsidRDefault="001E7ACC">
          <w:pPr>
            <w:pStyle w:val="TOCHeading"/>
            <w:jc w:val="center"/>
            <w:rPr>
              <w:rFonts w:ascii="Times New Roman" w:hAnsi="Times New Roman" w:cs="Times New Roman"/>
              <w:noProof/>
              <w:szCs w:val="24"/>
            </w:rPr>
          </w:pPr>
          <w:r>
            <w:rPr>
              <w:rFonts w:ascii="Times New Roman" w:hAnsi="Times New Roman" w:cs="Times New Roman"/>
              <w:noProof/>
              <w:color w:val="auto"/>
              <w:szCs w:val="24"/>
            </w:rPr>
            <w:t>Table of contents</w:t>
          </w:r>
        </w:p>
        <w:p w:rsidR="00EB6A7B" w:rsidRDefault="001E7ACC">
          <w:pPr>
            <w:pStyle w:val="TOC1"/>
            <w:rPr>
              <w:rFonts w:ascii="Times New Roman" w:eastAsiaTheme="minorEastAsia" w:hAnsi="Times New Roman"/>
              <w:caps w:val="0"/>
              <w:noProof/>
              <w:sz w:val="20"/>
              <w:szCs w:val="20"/>
              <w:lang w:eastAsia="en-GB"/>
            </w:rPr>
          </w:pPr>
          <w:r>
            <w:rPr>
              <w:rFonts w:ascii="Times New Roman" w:hAnsi="Times New Roman"/>
              <w:noProof/>
              <w:sz w:val="20"/>
              <w:szCs w:val="20"/>
            </w:rPr>
            <w:fldChar w:fldCharType="begin"/>
          </w:r>
          <w:r>
            <w:rPr>
              <w:rFonts w:ascii="Times New Roman" w:hAnsi="Times New Roman"/>
              <w:noProof/>
              <w:sz w:val="20"/>
              <w:szCs w:val="20"/>
            </w:rPr>
            <w:instrText xml:space="preserve"> TOC \o "1-3" \h \z \u </w:instrText>
          </w:r>
          <w:r>
            <w:rPr>
              <w:rFonts w:ascii="Times New Roman" w:hAnsi="Times New Roman"/>
              <w:noProof/>
              <w:sz w:val="20"/>
              <w:szCs w:val="20"/>
            </w:rPr>
            <w:fldChar w:fldCharType="separate"/>
          </w:r>
          <w:hyperlink w:anchor="_Toc498521039" w:history="1">
            <w:r>
              <w:rPr>
                <w:rStyle w:val="Hyperlink"/>
                <w:rFonts w:ascii="Times New Roman" w:hAnsi="Times New Roman"/>
                <w:noProof/>
                <w:sz w:val="20"/>
                <w:szCs w:val="20"/>
              </w:rPr>
              <w:t>1. Introduction</w:t>
            </w:r>
            <w:r>
              <w:rPr>
                <w:rFonts w:ascii="Times New Roman" w:hAnsi="Times New Roman"/>
                <w:noProof/>
                <w:webHidden/>
                <w:sz w:val="20"/>
                <w:szCs w:val="20"/>
              </w:rPr>
              <w:tab/>
            </w:r>
            <w:r>
              <w:rPr>
                <w:rFonts w:ascii="Times New Roman" w:hAnsi="Times New Roman"/>
                <w:noProof/>
                <w:webHidden/>
                <w:sz w:val="20"/>
                <w:szCs w:val="20"/>
              </w:rPr>
              <w:fldChar w:fldCharType="begin"/>
            </w:r>
            <w:r>
              <w:rPr>
                <w:rFonts w:ascii="Times New Roman" w:hAnsi="Times New Roman"/>
                <w:noProof/>
                <w:webHidden/>
                <w:sz w:val="20"/>
                <w:szCs w:val="20"/>
              </w:rPr>
              <w:instrText xml:space="preserve"> PAGEREF _Toc498521039 \h </w:instrText>
            </w:r>
            <w:r>
              <w:rPr>
                <w:rFonts w:ascii="Times New Roman" w:hAnsi="Times New Roman"/>
                <w:noProof/>
                <w:webHidden/>
                <w:sz w:val="20"/>
                <w:szCs w:val="20"/>
              </w:rPr>
            </w:r>
            <w:r>
              <w:rPr>
                <w:rFonts w:ascii="Times New Roman" w:hAnsi="Times New Roman"/>
                <w:noProof/>
                <w:webHidden/>
                <w:sz w:val="20"/>
                <w:szCs w:val="20"/>
              </w:rPr>
              <w:fldChar w:fldCharType="separate"/>
            </w:r>
            <w:r>
              <w:rPr>
                <w:rFonts w:ascii="Times New Roman" w:hAnsi="Times New Roman"/>
                <w:noProof/>
                <w:webHidden/>
                <w:sz w:val="20"/>
                <w:szCs w:val="20"/>
              </w:rPr>
              <w:t>2</w:t>
            </w:r>
            <w:r>
              <w:rPr>
                <w:rFonts w:ascii="Times New Roman" w:hAnsi="Times New Roman"/>
                <w:noProof/>
                <w:webHidden/>
                <w:sz w:val="20"/>
                <w:szCs w:val="20"/>
              </w:rPr>
              <w:fldChar w:fldCharType="end"/>
            </w:r>
          </w:hyperlink>
        </w:p>
        <w:p w:rsidR="00EB6A7B" w:rsidRDefault="001E7ACC">
          <w:pPr>
            <w:pStyle w:val="TOC1"/>
            <w:rPr>
              <w:rFonts w:ascii="Times New Roman" w:eastAsiaTheme="minorEastAsia" w:hAnsi="Times New Roman"/>
              <w:caps w:val="0"/>
              <w:noProof/>
              <w:sz w:val="20"/>
              <w:szCs w:val="20"/>
              <w:lang w:eastAsia="en-GB"/>
            </w:rPr>
          </w:pPr>
          <w:hyperlink w:anchor="_Toc498521040" w:history="1">
            <w:r>
              <w:rPr>
                <w:rStyle w:val="Hyperlink"/>
                <w:rFonts w:ascii="Times New Roman" w:hAnsi="Times New Roman"/>
                <w:noProof/>
                <w:sz w:val="20"/>
                <w:szCs w:val="20"/>
              </w:rPr>
              <w:t>2. Background to the initiative</w:t>
            </w:r>
            <w:r>
              <w:rPr>
                <w:rFonts w:ascii="Times New Roman" w:hAnsi="Times New Roman"/>
                <w:noProof/>
                <w:webHidden/>
                <w:sz w:val="20"/>
                <w:szCs w:val="20"/>
              </w:rPr>
              <w:tab/>
            </w:r>
            <w:r>
              <w:rPr>
                <w:rFonts w:ascii="Times New Roman" w:hAnsi="Times New Roman"/>
                <w:noProof/>
                <w:webHidden/>
                <w:sz w:val="20"/>
                <w:szCs w:val="20"/>
              </w:rPr>
              <w:fldChar w:fldCharType="begin"/>
            </w:r>
            <w:r>
              <w:rPr>
                <w:rFonts w:ascii="Times New Roman" w:hAnsi="Times New Roman"/>
                <w:noProof/>
                <w:webHidden/>
                <w:sz w:val="20"/>
                <w:szCs w:val="20"/>
              </w:rPr>
              <w:instrText xml:space="preserve"> PAGEREF _Toc498521040 \h </w:instrText>
            </w:r>
            <w:r>
              <w:rPr>
                <w:rFonts w:ascii="Times New Roman" w:hAnsi="Times New Roman"/>
                <w:noProof/>
                <w:webHidden/>
                <w:sz w:val="20"/>
                <w:szCs w:val="20"/>
              </w:rPr>
            </w:r>
            <w:r>
              <w:rPr>
                <w:rFonts w:ascii="Times New Roman" w:hAnsi="Times New Roman"/>
                <w:noProof/>
                <w:webHidden/>
                <w:sz w:val="20"/>
                <w:szCs w:val="20"/>
              </w:rPr>
              <w:fldChar w:fldCharType="separate"/>
            </w:r>
            <w:r>
              <w:rPr>
                <w:rFonts w:ascii="Times New Roman" w:hAnsi="Times New Roman"/>
                <w:noProof/>
                <w:webHidden/>
                <w:sz w:val="20"/>
                <w:szCs w:val="20"/>
              </w:rPr>
              <w:t>2</w:t>
            </w:r>
            <w:r>
              <w:rPr>
                <w:rFonts w:ascii="Times New Roman" w:hAnsi="Times New Roman"/>
                <w:noProof/>
                <w:webHidden/>
                <w:sz w:val="20"/>
                <w:szCs w:val="20"/>
              </w:rPr>
              <w:fldChar w:fldCharType="end"/>
            </w:r>
          </w:hyperlink>
        </w:p>
        <w:p w:rsidR="00EB6A7B" w:rsidRDefault="001E7ACC">
          <w:pPr>
            <w:pStyle w:val="TOC2"/>
            <w:rPr>
              <w:rFonts w:ascii="Times New Roman" w:eastAsiaTheme="minorEastAsia" w:hAnsi="Times New Roman"/>
              <w:noProof/>
              <w:sz w:val="20"/>
              <w:szCs w:val="20"/>
              <w:lang w:eastAsia="en-GB"/>
            </w:rPr>
          </w:pPr>
          <w:hyperlink w:anchor="_Toc498521041" w:history="1">
            <w:r>
              <w:rPr>
                <w:rStyle w:val="Hyperlink"/>
                <w:rFonts w:ascii="Times New Roman" w:hAnsi="Times New Roman"/>
                <w:noProof/>
                <w:sz w:val="20"/>
                <w:szCs w:val="20"/>
              </w:rPr>
              <w:t>2.1. the objective of the Directive</w:t>
            </w:r>
            <w:r>
              <w:rPr>
                <w:rFonts w:ascii="Times New Roman" w:hAnsi="Times New Roman"/>
                <w:noProof/>
                <w:webHidden/>
                <w:sz w:val="20"/>
                <w:szCs w:val="20"/>
              </w:rPr>
              <w:tab/>
            </w:r>
            <w:r>
              <w:rPr>
                <w:rFonts w:ascii="Times New Roman" w:hAnsi="Times New Roman"/>
                <w:noProof/>
                <w:webHidden/>
                <w:sz w:val="20"/>
                <w:szCs w:val="20"/>
              </w:rPr>
              <w:fldChar w:fldCharType="begin"/>
            </w:r>
            <w:r>
              <w:rPr>
                <w:rFonts w:ascii="Times New Roman" w:hAnsi="Times New Roman"/>
                <w:noProof/>
                <w:webHidden/>
                <w:sz w:val="20"/>
                <w:szCs w:val="20"/>
              </w:rPr>
              <w:instrText xml:space="preserve"> PAGEREF _Toc498521041 \h </w:instrText>
            </w:r>
            <w:r>
              <w:rPr>
                <w:rFonts w:ascii="Times New Roman" w:hAnsi="Times New Roman"/>
                <w:noProof/>
                <w:webHidden/>
                <w:sz w:val="20"/>
                <w:szCs w:val="20"/>
              </w:rPr>
            </w:r>
            <w:r>
              <w:rPr>
                <w:rFonts w:ascii="Times New Roman" w:hAnsi="Times New Roman"/>
                <w:noProof/>
                <w:webHidden/>
                <w:sz w:val="20"/>
                <w:szCs w:val="20"/>
              </w:rPr>
              <w:fldChar w:fldCharType="separate"/>
            </w:r>
            <w:r>
              <w:rPr>
                <w:rFonts w:ascii="Times New Roman" w:hAnsi="Times New Roman"/>
                <w:noProof/>
                <w:webHidden/>
                <w:sz w:val="20"/>
                <w:szCs w:val="20"/>
              </w:rPr>
              <w:t>2</w:t>
            </w:r>
            <w:r>
              <w:rPr>
                <w:rFonts w:ascii="Times New Roman" w:hAnsi="Times New Roman"/>
                <w:noProof/>
                <w:webHidden/>
                <w:sz w:val="20"/>
                <w:szCs w:val="20"/>
              </w:rPr>
              <w:fldChar w:fldCharType="end"/>
            </w:r>
          </w:hyperlink>
        </w:p>
        <w:p w:rsidR="00EB6A7B" w:rsidRDefault="001E7ACC">
          <w:pPr>
            <w:pStyle w:val="TOC2"/>
            <w:rPr>
              <w:rFonts w:ascii="Times New Roman" w:eastAsiaTheme="minorEastAsia" w:hAnsi="Times New Roman"/>
              <w:noProof/>
              <w:sz w:val="20"/>
              <w:szCs w:val="20"/>
              <w:lang w:eastAsia="en-GB"/>
            </w:rPr>
          </w:pPr>
          <w:hyperlink w:anchor="_Toc498521042" w:history="1">
            <w:r>
              <w:rPr>
                <w:rStyle w:val="Hyperlink"/>
                <w:rFonts w:ascii="Times New Roman" w:hAnsi="Times New Roman"/>
                <w:noProof/>
                <w:sz w:val="20"/>
                <w:szCs w:val="20"/>
              </w:rPr>
              <w:t>2.2. the Directive and national civil redress procedures</w:t>
            </w:r>
            <w:r>
              <w:rPr>
                <w:rFonts w:ascii="Times New Roman" w:hAnsi="Times New Roman"/>
                <w:noProof/>
                <w:webHidden/>
                <w:sz w:val="20"/>
                <w:szCs w:val="20"/>
              </w:rPr>
              <w:tab/>
            </w:r>
            <w:r>
              <w:rPr>
                <w:rFonts w:ascii="Times New Roman" w:hAnsi="Times New Roman"/>
                <w:noProof/>
                <w:webHidden/>
                <w:sz w:val="20"/>
                <w:szCs w:val="20"/>
              </w:rPr>
              <w:fldChar w:fldCharType="begin"/>
            </w:r>
            <w:r>
              <w:rPr>
                <w:rFonts w:ascii="Times New Roman" w:hAnsi="Times New Roman"/>
                <w:noProof/>
                <w:webHidden/>
                <w:sz w:val="20"/>
                <w:szCs w:val="20"/>
              </w:rPr>
              <w:instrText xml:space="preserve"> PAGEREF _Toc498521042 \h </w:instrText>
            </w:r>
            <w:r>
              <w:rPr>
                <w:rFonts w:ascii="Times New Roman" w:hAnsi="Times New Roman"/>
                <w:noProof/>
                <w:webHidden/>
                <w:sz w:val="20"/>
                <w:szCs w:val="20"/>
              </w:rPr>
            </w:r>
            <w:r>
              <w:rPr>
                <w:rFonts w:ascii="Times New Roman" w:hAnsi="Times New Roman"/>
                <w:noProof/>
                <w:webHidden/>
                <w:sz w:val="20"/>
                <w:szCs w:val="20"/>
              </w:rPr>
              <w:fldChar w:fldCharType="separate"/>
            </w:r>
            <w:r>
              <w:rPr>
                <w:rFonts w:ascii="Times New Roman" w:hAnsi="Times New Roman"/>
                <w:noProof/>
                <w:webHidden/>
                <w:sz w:val="20"/>
                <w:szCs w:val="20"/>
              </w:rPr>
              <w:t>3</w:t>
            </w:r>
            <w:r>
              <w:rPr>
                <w:rFonts w:ascii="Times New Roman" w:hAnsi="Times New Roman"/>
                <w:noProof/>
                <w:webHidden/>
                <w:sz w:val="20"/>
                <w:szCs w:val="20"/>
              </w:rPr>
              <w:fldChar w:fldCharType="end"/>
            </w:r>
          </w:hyperlink>
        </w:p>
        <w:p w:rsidR="00EB6A7B" w:rsidRDefault="001E7ACC">
          <w:pPr>
            <w:pStyle w:val="TOC2"/>
            <w:rPr>
              <w:rFonts w:ascii="Times New Roman" w:eastAsiaTheme="minorEastAsia" w:hAnsi="Times New Roman"/>
              <w:noProof/>
              <w:sz w:val="20"/>
              <w:szCs w:val="20"/>
              <w:lang w:eastAsia="en-GB"/>
            </w:rPr>
          </w:pPr>
          <w:hyperlink w:anchor="_Toc498521043" w:history="1">
            <w:r>
              <w:rPr>
                <w:rStyle w:val="Hyperlink"/>
                <w:rFonts w:ascii="Times New Roman" w:hAnsi="Times New Roman"/>
                <w:noProof/>
                <w:sz w:val="20"/>
                <w:szCs w:val="20"/>
              </w:rPr>
              <w:t>2.3. Context of this Evaluation</w:t>
            </w:r>
            <w:r>
              <w:rPr>
                <w:rFonts w:ascii="Times New Roman" w:hAnsi="Times New Roman"/>
                <w:noProof/>
                <w:webHidden/>
                <w:sz w:val="20"/>
                <w:szCs w:val="20"/>
              </w:rPr>
              <w:tab/>
            </w:r>
            <w:r>
              <w:rPr>
                <w:rFonts w:ascii="Times New Roman" w:hAnsi="Times New Roman"/>
                <w:noProof/>
                <w:webHidden/>
                <w:sz w:val="20"/>
                <w:szCs w:val="20"/>
              </w:rPr>
              <w:fldChar w:fldCharType="begin"/>
            </w:r>
            <w:r>
              <w:rPr>
                <w:rFonts w:ascii="Times New Roman" w:hAnsi="Times New Roman"/>
                <w:noProof/>
                <w:webHidden/>
                <w:sz w:val="20"/>
                <w:szCs w:val="20"/>
              </w:rPr>
              <w:instrText xml:space="preserve"> PAGEREF _Toc498521043 \h </w:instrText>
            </w:r>
            <w:r>
              <w:rPr>
                <w:rFonts w:ascii="Times New Roman" w:hAnsi="Times New Roman"/>
                <w:noProof/>
                <w:webHidden/>
                <w:sz w:val="20"/>
                <w:szCs w:val="20"/>
              </w:rPr>
            </w:r>
            <w:r>
              <w:rPr>
                <w:rFonts w:ascii="Times New Roman" w:hAnsi="Times New Roman"/>
                <w:noProof/>
                <w:webHidden/>
                <w:sz w:val="20"/>
                <w:szCs w:val="20"/>
              </w:rPr>
              <w:fldChar w:fldCharType="separate"/>
            </w:r>
            <w:r>
              <w:rPr>
                <w:rFonts w:ascii="Times New Roman" w:hAnsi="Times New Roman"/>
                <w:noProof/>
                <w:webHidden/>
                <w:sz w:val="20"/>
                <w:szCs w:val="20"/>
              </w:rPr>
              <w:t>4</w:t>
            </w:r>
            <w:r>
              <w:rPr>
                <w:rFonts w:ascii="Times New Roman" w:hAnsi="Times New Roman"/>
                <w:noProof/>
                <w:webHidden/>
                <w:sz w:val="20"/>
                <w:szCs w:val="20"/>
              </w:rPr>
              <w:fldChar w:fldCharType="end"/>
            </w:r>
          </w:hyperlink>
        </w:p>
        <w:p w:rsidR="00EB6A7B" w:rsidRDefault="001E7ACC">
          <w:pPr>
            <w:pStyle w:val="TOC1"/>
            <w:rPr>
              <w:rFonts w:ascii="Times New Roman" w:eastAsiaTheme="minorEastAsia" w:hAnsi="Times New Roman"/>
              <w:caps w:val="0"/>
              <w:noProof/>
              <w:sz w:val="20"/>
              <w:szCs w:val="20"/>
              <w:lang w:eastAsia="en-GB"/>
            </w:rPr>
          </w:pPr>
          <w:hyperlink w:anchor="_Toc498521044" w:history="1">
            <w:r>
              <w:rPr>
                <w:rStyle w:val="Hyperlink"/>
                <w:rFonts w:ascii="Times New Roman" w:hAnsi="Times New Roman"/>
                <w:noProof/>
                <w:sz w:val="20"/>
                <w:szCs w:val="20"/>
              </w:rPr>
              <w:t>3. Implementation: state of play</w:t>
            </w:r>
            <w:r>
              <w:rPr>
                <w:rFonts w:ascii="Times New Roman" w:hAnsi="Times New Roman"/>
                <w:noProof/>
                <w:webHidden/>
                <w:sz w:val="20"/>
                <w:szCs w:val="20"/>
              </w:rPr>
              <w:tab/>
            </w:r>
            <w:r>
              <w:rPr>
                <w:rFonts w:ascii="Times New Roman" w:hAnsi="Times New Roman"/>
                <w:noProof/>
                <w:webHidden/>
                <w:sz w:val="20"/>
                <w:szCs w:val="20"/>
              </w:rPr>
              <w:fldChar w:fldCharType="begin"/>
            </w:r>
            <w:r>
              <w:rPr>
                <w:rFonts w:ascii="Times New Roman" w:hAnsi="Times New Roman"/>
                <w:noProof/>
                <w:webHidden/>
                <w:sz w:val="20"/>
                <w:szCs w:val="20"/>
              </w:rPr>
              <w:instrText xml:space="preserve"> PAGEREF _Toc498521044 \h </w:instrText>
            </w:r>
            <w:r>
              <w:rPr>
                <w:rFonts w:ascii="Times New Roman" w:hAnsi="Times New Roman"/>
                <w:noProof/>
                <w:webHidden/>
                <w:sz w:val="20"/>
                <w:szCs w:val="20"/>
              </w:rPr>
            </w:r>
            <w:r>
              <w:rPr>
                <w:rFonts w:ascii="Times New Roman" w:hAnsi="Times New Roman"/>
                <w:noProof/>
                <w:webHidden/>
                <w:sz w:val="20"/>
                <w:szCs w:val="20"/>
              </w:rPr>
              <w:fldChar w:fldCharType="separate"/>
            </w:r>
            <w:r>
              <w:rPr>
                <w:rFonts w:ascii="Times New Roman" w:hAnsi="Times New Roman"/>
                <w:noProof/>
                <w:webHidden/>
                <w:sz w:val="20"/>
                <w:szCs w:val="20"/>
              </w:rPr>
              <w:t>6</w:t>
            </w:r>
            <w:r>
              <w:rPr>
                <w:rFonts w:ascii="Times New Roman" w:hAnsi="Times New Roman"/>
                <w:noProof/>
                <w:webHidden/>
                <w:sz w:val="20"/>
                <w:szCs w:val="20"/>
              </w:rPr>
              <w:fldChar w:fldCharType="end"/>
            </w:r>
          </w:hyperlink>
        </w:p>
        <w:p w:rsidR="00EB6A7B" w:rsidRDefault="001E7ACC">
          <w:pPr>
            <w:pStyle w:val="TOC1"/>
            <w:rPr>
              <w:rFonts w:ascii="Times New Roman" w:eastAsiaTheme="minorEastAsia" w:hAnsi="Times New Roman"/>
              <w:caps w:val="0"/>
              <w:noProof/>
              <w:sz w:val="20"/>
              <w:szCs w:val="20"/>
              <w:lang w:eastAsia="en-GB"/>
            </w:rPr>
          </w:pPr>
          <w:hyperlink w:anchor="_Toc498521045" w:history="1">
            <w:r>
              <w:rPr>
                <w:rStyle w:val="Hyperlink"/>
                <w:rFonts w:ascii="Times New Roman" w:hAnsi="Times New Roman"/>
                <w:noProof/>
                <w:sz w:val="20"/>
                <w:szCs w:val="20"/>
              </w:rPr>
              <w:t>4. Method</w:t>
            </w:r>
            <w:r>
              <w:rPr>
                <w:rFonts w:ascii="Times New Roman" w:hAnsi="Times New Roman"/>
                <w:noProof/>
                <w:webHidden/>
                <w:sz w:val="20"/>
                <w:szCs w:val="20"/>
              </w:rPr>
              <w:tab/>
            </w:r>
            <w:r>
              <w:rPr>
                <w:rFonts w:ascii="Times New Roman" w:hAnsi="Times New Roman"/>
                <w:noProof/>
                <w:webHidden/>
                <w:sz w:val="20"/>
                <w:szCs w:val="20"/>
              </w:rPr>
              <w:fldChar w:fldCharType="begin"/>
            </w:r>
            <w:r>
              <w:rPr>
                <w:rFonts w:ascii="Times New Roman" w:hAnsi="Times New Roman"/>
                <w:noProof/>
                <w:webHidden/>
                <w:sz w:val="20"/>
                <w:szCs w:val="20"/>
              </w:rPr>
              <w:instrText xml:space="preserve"> PAGEREF _Toc498521045 \h </w:instrText>
            </w:r>
            <w:r>
              <w:rPr>
                <w:rFonts w:ascii="Times New Roman" w:hAnsi="Times New Roman"/>
                <w:noProof/>
                <w:webHidden/>
                <w:sz w:val="20"/>
                <w:szCs w:val="20"/>
              </w:rPr>
            </w:r>
            <w:r>
              <w:rPr>
                <w:rFonts w:ascii="Times New Roman" w:hAnsi="Times New Roman"/>
                <w:noProof/>
                <w:webHidden/>
                <w:sz w:val="20"/>
                <w:szCs w:val="20"/>
              </w:rPr>
              <w:fldChar w:fldCharType="separate"/>
            </w:r>
            <w:r>
              <w:rPr>
                <w:rFonts w:ascii="Times New Roman" w:hAnsi="Times New Roman"/>
                <w:noProof/>
                <w:webHidden/>
                <w:sz w:val="20"/>
                <w:szCs w:val="20"/>
              </w:rPr>
              <w:t>6</w:t>
            </w:r>
            <w:r>
              <w:rPr>
                <w:rFonts w:ascii="Times New Roman" w:hAnsi="Times New Roman"/>
                <w:noProof/>
                <w:webHidden/>
                <w:sz w:val="20"/>
                <w:szCs w:val="20"/>
              </w:rPr>
              <w:fldChar w:fldCharType="end"/>
            </w:r>
          </w:hyperlink>
        </w:p>
        <w:p w:rsidR="00EB6A7B" w:rsidRDefault="001E7ACC">
          <w:pPr>
            <w:pStyle w:val="TOC2"/>
            <w:rPr>
              <w:rFonts w:ascii="Times New Roman" w:eastAsiaTheme="minorEastAsia" w:hAnsi="Times New Roman"/>
              <w:noProof/>
              <w:sz w:val="20"/>
              <w:szCs w:val="20"/>
              <w:lang w:eastAsia="en-GB"/>
            </w:rPr>
          </w:pPr>
          <w:hyperlink w:anchor="_Toc498521046" w:history="1">
            <w:r>
              <w:rPr>
                <w:rStyle w:val="Hyperlink"/>
                <w:rFonts w:ascii="Times New Roman" w:hAnsi="Times New Roman"/>
                <w:noProof/>
                <w:sz w:val="20"/>
                <w:szCs w:val="20"/>
              </w:rPr>
              <w:t>5. Analysis and answers to the evaluation questions</w:t>
            </w:r>
            <w:r>
              <w:rPr>
                <w:rFonts w:ascii="Times New Roman" w:hAnsi="Times New Roman"/>
                <w:noProof/>
                <w:webHidden/>
                <w:sz w:val="20"/>
                <w:szCs w:val="20"/>
              </w:rPr>
              <w:tab/>
            </w:r>
            <w:r>
              <w:rPr>
                <w:rFonts w:ascii="Times New Roman" w:hAnsi="Times New Roman"/>
                <w:noProof/>
                <w:webHidden/>
                <w:sz w:val="20"/>
                <w:szCs w:val="20"/>
              </w:rPr>
              <w:fldChar w:fldCharType="begin"/>
            </w:r>
            <w:r>
              <w:rPr>
                <w:rFonts w:ascii="Times New Roman" w:hAnsi="Times New Roman"/>
                <w:noProof/>
                <w:webHidden/>
                <w:sz w:val="20"/>
                <w:szCs w:val="20"/>
              </w:rPr>
              <w:instrText xml:space="preserve"> PAGEREF _Toc498521046 \h </w:instrText>
            </w:r>
            <w:r>
              <w:rPr>
                <w:rFonts w:ascii="Times New Roman" w:hAnsi="Times New Roman"/>
                <w:noProof/>
                <w:webHidden/>
                <w:sz w:val="20"/>
                <w:szCs w:val="20"/>
              </w:rPr>
            </w:r>
            <w:r>
              <w:rPr>
                <w:rFonts w:ascii="Times New Roman" w:hAnsi="Times New Roman"/>
                <w:noProof/>
                <w:webHidden/>
                <w:sz w:val="20"/>
                <w:szCs w:val="20"/>
              </w:rPr>
              <w:fldChar w:fldCharType="separate"/>
            </w:r>
            <w:r>
              <w:rPr>
                <w:rFonts w:ascii="Times New Roman" w:hAnsi="Times New Roman"/>
                <w:noProof/>
                <w:webHidden/>
                <w:sz w:val="20"/>
                <w:szCs w:val="20"/>
              </w:rPr>
              <w:t>8</w:t>
            </w:r>
            <w:r>
              <w:rPr>
                <w:rFonts w:ascii="Times New Roman" w:hAnsi="Times New Roman"/>
                <w:noProof/>
                <w:webHidden/>
                <w:sz w:val="20"/>
                <w:szCs w:val="20"/>
              </w:rPr>
              <w:fldChar w:fldCharType="end"/>
            </w:r>
          </w:hyperlink>
        </w:p>
        <w:p w:rsidR="00EB6A7B" w:rsidRDefault="001E7ACC">
          <w:pPr>
            <w:pStyle w:val="TOC2"/>
            <w:rPr>
              <w:rFonts w:ascii="Times New Roman" w:eastAsiaTheme="minorEastAsia" w:hAnsi="Times New Roman"/>
              <w:noProof/>
              <w:sz w:val="20"/>
              <w:szCs w:val="20"/>
              <w:lang w:eastAsia="en-GB"/>
            </w:rPr>
          </w:pPr>
          <w:hyperlink w:anchor="_Toc498521047" w:history="1">
            <w:r>
              <w:rPr>
                <w:rStyle w:val="Hyperlink"/>
                <w:rFonts w:ascii="Times New Roman" w:hAnsi="Times New Roman"/>
                <w:noProof/>
                <w:sz w:val="20"/>
                <w:szCs w:val="20"/>
              </w:rPr>
              <w:t>5.1. Effectiveness</w:t>
            </w:r>
            <w:r>
              <w:rPr>
                <w:rFonts w:ascii="Times New Roman" w:hAnsi="Times New Roman"/>
                <w:noProof/>
                <w:webHidden/>
                <w:sz w:val="20"/>
                <w:szCs w:val="20"/>
              </w:rPr>
              <w:tab/>
            </w:r>
            <w:r>
              <w:rPr>
                <w:rFonts w:ascii="Times New Roman" w:hAnsi="Times New Roman"/>
                <w:noProof/>
                <w:webHidden/>
                <w:sz w:val="20"/>
                <w:szCs w:val="20"/>
              </w:rPr>
              <w:fldChar w:fldCharType="begin"/>
            </w:r>
            <w:r>
              <w:rPr>
                <w:rFonts w:ascii="Times New Roman" w:hAnsi="Times New Roman"/>
                <w:noProof/>
                <w:webHidden/>
                <w:sz w:val="20"/>
                <w:szCs w:val="20"/>
              </w:rPr>
              <w:instrText xml:space="preserve"> PAGEREF _Toc498521047 \h </w:instrText>
            </w:r>
            <w:r>
              <w:rPr>
                <w:rFonts w:ascii="Times New Roman" w:hAnsi="Times New Roman"/>
                <w:noProof/>
                <w:webHidden/>
                <w:sz w:val="20"/>
                <w:szCs w:val="20"/>
              </w:rPr>
            </w:r>
            <w:r>
              <w:rPr>
                <w:rFonts w:ascii="Times New Roman" w:hAnsi="Times New Roman"/>
                <w:noProof/>
                <w:webHidden/>
                <w:sz w:val="20"/>
                <w:szCs w:val="20"/>
              </w:rPr>
              <w:fldChar w:fldCharType="separate"/>
            </w:r>
            <w:r>
              <w:rPr>
                <w:rFonts w:ascii="Times New Roman" w:hAnsi="Times New Roman"/>
                <w:noProof/>
                <w:webHidden/>
                <w:sz w:val="20"/>
                <w:szCs w:val="20"/>
              </w:rPr>
              <w:t>8</w:t>
            </w:r>
            <w:r>
              <w:rPr>
                <w:rFonts w:ascii="Times New Roman" w:hAnsi="Times New Roman"/>
                <w:noProof/>
                <w:webHidden/>
                <w:sz w:val="20"/>
                <w:szCs w:val="20"/>
              </w:rPr>
              <w:fldChar w:fldCharType="end"/>
            </w:r>
          </w:hyperlink>
        </w:p>
        <w:p w:rsidR="00EB6A7B" w:rsidRDefault="001E7ACC">
          <w:pPr>
            <w:pStyle w:val="TOC3"/>
            <w:rPr>
              <w:rFonts w:eastAsiaTheme="minorEastAsia"/>
              <w:noProof/>
              <w:sz w:val="20"/>
              <w:szCs w:val="20"/>
              <w:lang w:eastAsia="en-GB"/>
            </w:rPr>
          </w:pPr>
          <w:hyperlink w:anchor="_Toc498521048" w:history="1">
            <w:r>
              <w:rPr>
                <w:rStyle w:val="Hyperlink"/>
                <w:noProof/>
                <w:sz w:val="20"/>
                <w:szCs w:val="20"/>
              </w:rPr>
              <w:t>5.1.1. Achievement of the main objective</w:t>
            </w:r>
            <w:r>
              <w:rPr>
                <w:noProof/>
                <w:webHidden/>
                <w:sz w:val="20"/>
                <w:szCs w:val="20"/>
              </w:rPr>
              <w:tab/>
            </w:r>
            <w:r>
              <w:rPr>
                <w:noProof/>
                <w:webHidden/>
                <w:sz w:val="20"/>
                <w:szCs w:val="20"/>
              </w:rPr>
              <w:fldChar w:fldCharType="begin"/>
            </w:r>
            <w:r>
              <w:rPr>
                <w:noProof/>
                <w:webHidden/>
                <w:sz w:val="20"/>
                <w:szCs w:val="20"/>
              </w:rPr>
              <w:instrText xml:space="preserve"> PAGEREF _Toc498521048 \h </w:instrText>
            </w:r>
            <w:r>
              <w:rPr>
                <w:noProof/>
                <w:webHidden/>
                <w:sz w:val="20"/>
                <w:szCs w:val="20"/>
              </w:rPr>
            </w:r>
            <w:r>
              <w:rPr>
                <w:noProof/>
                <w:webHidden/>
                <w:sz w:val="20"/>
                <w:szCs w:val="20"/>
              </w:rPr>
              <w:fldChar w:fldCharType="separate"/>
            </w:r>
            <w:r>
              <w:rPr>
                <w:noProof/>
                <w:webHidden/>
                <w:sz w:val="20"/>
                <w:szCs w:val="20"/>
              </w:rPr>
              <w:t>8</w:t>
            </w:r>
            <w:r>
              <w:rPr>
                <w:noProof/>
                <w:webHidden/>
                <w:sz w:val="20"/>
                <w:szCs w:val="20"/>
              </w:rPr>
              <w:fldChar w:fldCharType="end"/>
            </w:r>
          </w:hyperlink>
        </w:p>
        <w:p w:rsidR="00EB6A7B" w:rsidRDefault="001E7ACC">
          <w:pPr>
            <w:pStyle w:val="TOC3"/>
            <w:tabs>
              <w:tab w:val="left" w:pos="1916"/>
            </w:tabs>
            <w:rPr>
              <w:rFonts w:eastAsiaTheme="minorEastAsia"/>
              <w:noProof/>
              <w:sz w:val="20"/>
              <w:szCs w:val="20"/>
              <w:lang w:eastAsia="en-GB"/>
            </w:rPr>
          </w:pPr>
          <w:hyperlink w:anchor="_Toc498521056" w:history="1">
            <w:r>
              <w:rPr>
                <w:rStyle w:val="Hyperlink"/>
                <w:noProof/>
                <w:sz w:val="20"/>
                <w:szCs w:val="20"/>
              </w:rPr>
              <w:t>5.1.2.</w:t>
            </w:r>
            <w:r>
              <w:rPr>
                <w:rFonts w:eastAsiaTheme="minorEastAsia"/>
                <w:noProof/>
                <w:sz w:val="20"/>
                <w:szCs w:val="20"/>
                <w:lang w:eastAsia="en-GB"/>
              </w:rPr>
              <w:tab/>
            </w:r>
            <w:r>
              <w:rPr>
                <w:rStyle w:val="Hyperlink"/>
                <w:noProof/>
                <w:sz w:val="20"/>
                <w:szCs w:val="20"/>
              </w:rPr>
              <w:t>Effects of the Directive</w:t>
            </w:r>
            <w:r>
              <w:rPr>
                <w:noProof/>
                <w:webHidden/>
                <w:sz w:val="20"/>
                <w:szCs w:val="20"/>
              </w:rPr>
              <w:tab/>
            </w:r>
            <w:r>
              <w:rPr>
                <w:noProof/>
                <w:webHidden/>
                <w:sz w:val="20"/>
                <w:szCs w:val="20"/>
              </w:rPr>
              <w:fldChar w:fldCharType="begin"/>
            </w:r>
            <w:r>
              <w:rPr>
                <w:noProof/>
                <w:webHidden/>
                <w:sz w:val="20"/>
                <w:szCs w:val="20"/>
              </w:rPr>
              <w:instrText xml:space="preserve"> PAGEREF _Toc498521056 \h </w:instrText>
            </w:r>
            <w:r>
              <w:rPr>
                <w:noProof/>
                <w:webHidden/>
                <w:sz w:val="20"/>
                <w:szCs w:val="20"/>
              </w:rPr>
            </w:r>
            <w:r>
              <w:rPr>
                <w:noProof/>
                <w:webHidden/>
                <w:sz w:val="20"/>
                <w:szCs w:val="20"/>
              </w:rPr>
              <w:fldChar w:fldCharType="separate"/>
            </w:r>
            <w:r>
              <w:rPr>
                <w:noProof/>
                <w:webHidden/>
                <w:sz w:val="20"/>
                <w:szCs w:val="20"/>
              </w:rPr>
              <w:t>18</w:t>
            </w:r>
            <w:r>
              <w:rPr>
                <w:noProof/>
                <w:webHidden/>
                <w:sz w:val="20"/>
                <w:szCs w:val="20"/>
              </w:rPr>
              <w:fldChar w:fldCharType="end"/>
            </w:r>
          </w:hyperlink>
        </w:p>
        <w:p w:rsidR="00EB6A7B" w:rsidRDefault="001E7ACC">
          <w:pPr>
            <w:pStyle w:val="TOC3"/>
            <w:tabs>
              <w:tab w:val="left" w:pos="1916"/>
            </w:tabs>
            <w:rPr>
              <w:rFonts w:eastAsiaTheme="minorEastAsia"/>
              <w:noProof/>
              <w:sz w:val="20"/>
              <w:szCs w:val="20"/>
              <w:lang w:eastAsia="en-GB"/>
            </w:rPr>
          </w:pPr>
          <w:hyperlink w:anchor="_Toc498521057" w:history="1">
            <w:r>
              <w:rPr>
                <w:rStyle w:val="Hyperlink"/>
                <w:rFonts w:eastAsia="MS PGothic"/>
                <w:noProof/>
                <w:sz w:val="20"/>
                <w:szCs w:val="20"/>
              </w:rPr>
              <w:t>5.1.3.</w:t>
            </w:r>
            <w:r>
              <w:rPr>
                <w:rFonts w:eastAsiaTheme="minorEastAsia"/>
                <w:noProof/>
                <w:sz w:val="20"/>
                <w:szCs w:val="20"/>
                <w:lang w:eastAsia="en-GB"/>
              </w:rPr>
              <w:tab/>
            </w:r>
            <w:r>
              <w:rPr>
                <w:rStyle w:val="Hyperlink"/>
                <w:noProof/>
                <w:sz w:val="20"/>
                <w:szCs w:val="20"/>
              </w:rPr>
              <w:t>Main factors that support or hamper achieving the objectives</w:t>
            </w:r>
            <w:r>
              <w:rPr>
                <w:noProof/>
                <w:webHidden/>
                <w:sz w:val="20"/>
                <w:szCs w:val="20"/>
              </w:rPr>
              <w:tab/>
            </w:r>
            <w:r>
              <w:rPr>
                <w:noProof/>
                <w:webHidden/>
                <w:sz w:val="20"/>
                <w:szCs w:val="20"/>
              </w:rPr>
              <w:fldChar w:fldCharType="begin"/>
            </w:r>
            <w:r>
              <w:rPr>
                <w:noProof/>
                <w:webHidden/>
                <w:sz w:val="20"/>
                <w:szCs w:val="20"/>
              </w:rPr>
              <w:instrText xml:space="preserve"> PAGEREF _Toc498521057 \h </w:instrText>
            </w:r>
            <w:r>
              <w:rPr>
                <w:noProof/>
                <w:webHidden/>
                <w:sz w:val="20"/>
                <w:szCs w:val="20"/>
              </w:rPr>
            </w:r>
            <w:r>
              <w:rPr>
                <w:noProof/>
                <w:webHidden/>
                <w:sz w:val="20"/>
                <w:szCs w:val="20"/>
              </w:rPr>
              <w:fldChar w:fldCharType="separate"/>
            </w:r>
            <w:r>
              <w:rPr>
                <w:noProof/>
                <w:webHidden/>
                <w:sz w:val="20"/>
                <w:szCs w:val="20"/>
              </w:rPr>
              <w:t>21</w:t>
            </w:r>
            <w:r>
              <w:rPr>
                <w:noProof/>
                <w:webHidden/>
                <w:sz w:val="20"/>
                <w:szCs w:val="20"/>
              </w:rPr>
              <w:fldChar w:fldCharType="end"/>
            </w:r>
          </w:hyperlink>
        </w:p>
        <w:p w:rsidR="00EB6A7B" w:rsidRDefault="001E7ACC">
          <w:pPr>
            <w:pStyle w:val="TOC3"/>
            <w:tabs>
              <w:tab w:val="left" w:pos="1916"/>
            </w:tabs>
            <w:rPr>
              <w:rFonts w:eastAsiaTheme="minorEastAsia"/>
              <w:noProof/>
              <w:sz w:val="20"/>
              <w:szCs w:val="20"/>
              <w:lang w:eastAsia="en-GB"/>
            </w:rPr>
          </w:pPr>
          <w:hyperlink w:anchor="_Toc498521058" w:history="1">
            <w:r>
              <w:rPr>
                <w:rStyle w:val="Hyperlink"/>
                <w:noProof/>
                <w:sz w:val="20"/>
                <w:szCs w:val="20"/>
                <w:lang w:val="en-US"/>
              </w:rPr>
              <w:t>5.1.4.</w:t>
            </w:r>
            <w:r>
              <w:rPr>
                <w:rFonts w:eastAsiaTheme="minorEastAsia"/>
                <w:noProof/>
                <w:sz w:val="20"/>
                <w:szCs w:val="20"/>
                <w:lang w:eastAsia="en-GB"/>
              </w:rPr>
              <w:tab/>
            </w:r>
            <w:r>
              <w:rPr>
                <w:rStyle w:val="Hyperlink"/>
                <w:noProof/>
                <w:sz w:val="20"/>
                <w:szCs w:val="20"/>
                <w:lang w:val="en-US"/>
              </w:rPr>
              <w:t>Consequences or effects not originally planned</w:t>
            </w:r>
            <w:r>
              <w:rPr>
                <w:noProof/>
                <w:webHidden/>
                <w:sz w:val="20"/>
                <w:szCs w:val="20"/>
              </w:rPr>
              <w:tab/>
            </w:r>
            <w:r>
              <w:rPr>
                <w:noProof/>
                <w:webHidden/>
                <w:sz w:val="20"/>
                <w:szCs w:val="20"/>
              </w:rPr>
              <w:fldChar w:fldCharType="begin"/>
            </w:r>
            <w:r>
              <w:rPr>
                <w:noProof/>
                <w:webHidden/>
                <w:sz w:val="20"/>
                <w:szCs w:val="20"/>
              </w:rPr>
              <w:instrText xml:space="preserve"> PAGEREF _Toc498521058 \h </w:instrText>
            </w:r>
            <w:r>
              <w:rPr>
                <w:noProof/>
                <w:webHidden/>
                <w:sz w:val="20"/>
                <w:szCs w:val="20"/>
              </w:rPr>
            </w:r>
            <w:r>
              <w:rPr>
                <w:noProof/>
                <w:webHidden/>
                <w:sz w:val="20"/>
                <w:szCs w:val="20"/>
              </w:rPr>
              <w:fldChar w:fldCharType="separate"/>
            </w:r>
            <w:r>
              <w:rPr>
                <w:noProof/>
                <w:webHidden/>
                <w:sz w:val="20"/>
                <w:szCs w:val="20"/>
              </w:rPr>
              <w:t>24</w:t>
            </w:r>
            <w:r>
              <w:rPr>
                <w:noProof/>
                <w:webHidden/>
                <w:sz w:val="20"/>
                <w:szCs w:val="20"/>
              </w:rPr>
              <w:fldChar w:fldCharType="end"/>
            </w:r>
          </w:hyperlink>
        </w:p>
        <w:p w:rsidR="00EB6A7B" w:rsidRDefault="001E7ACC">
          <w:pPr>
            <w:pStyle w:val="TOC2"/>
            <w:rPr>
              <w:rFonts w:ascii="Times New Roman" w:eastAsiaTheme="minorEastAsia" w:hAnsi="Times New Roman"/>
              <w:noProof/>
              <w:sz w:val="20"/>
              <w:szCs w:val="20"/>
              <w:lang w:eastAsia="en-GB"/>
            </w:rPr>
          </w:pPr>
          <w:hyperlink w:anchor="_Toc498521059" w:history="1">
            <w:r>
              <w:rPr>
                <w:rStyle w:val="Hyperlink"/>
                <w:rFonts w:ascii="Times New Roman" w:hAnsi="Times New Roman"/>
                <w:noProof/>
                <w:sz w:val="20"/>
                <w:szCs w:val="20"/>
              </w:rPr>
              <w:t>5.2. Efficiency</w:t>
            </w:r>
            <w:r>
              <w:rPr>
                <w:rFonts w:ascii="Times New Roman" w:hAnsi="Times New Roman"/>
                <w:noProof/>
                <w:webHidden/>
                <w:sz w:val="20"/>
                <w:szCs w:val="20"/>
              </w:rPr>
              <w:tab/>
            </w:r>
            <w:r>
              <w:rPr>
                <w:rFonts w:ascii="Times New Roman" w:hAnsi="Times New Roman"/>
                <w:noProof/>
                <w:webHidden/>
                <w:sz w:val="20"/>
                <w:szCs w:val="20"/>
              </w:rPr>
              <w:fldChar w:fldCharType="begin"/>
            </w:r>
            <w:r>
              <w:rPr>
                <w:rFonts w:ascii="Times New Roman" w:hAnsi="Times New Roman"/>
                <w:noProof/>
                <w:webHidden/>
                <w:sz w:val="20"/>
                <w:szCs w:val="20"/>
              </w:rPr>
              <w:instrText xml:space="preserve"> PAGEREF _Toc498</w:instrText>
            </w:r>
            <w:r>
              <w:rPr>
                <w:rFonts w:ascii="Times New Roman" w:hAnsi="Times New Roman"/>
                <w:noProof/>
                <w:webHidden/>
                <w:sz w:val="20"/>
                <w:szCs w:val="20"/>
              </w:rPr>
              <w:instrText xml:space="preserve">521059 \h </w:instrText>
            </w:r>
            <w:r>
              <w:rPr>
                <w:rFonts w:ascii="Times New Roman" w:hAnsi="Times New Roman"/>
                <w:noProof/>
                <w:webHidden/>
                <w:sz w:val="20"/>
                <w:szCs w:val="20"/>
              </w:rPr>
            </w:r>
            <w:r>
              <w:rPr>
                <w:rFonts w:ascii="Times New Roman" w:hAnsi="Times New Roman"/>
                <w:noProof/>
                <w:webHidden/>
                <w:sz w:val="20"/>
                <w:szCs w:val="20"/>
              </w:rPr>
              <w:fldChar w:fldCharType="separate"/>
            </w:r>
            <w:r>
              <w:rPr>
                <w:rFonts w:ascii="Times New Roman" w:hAnsi="Times New Roman"/>
                <w:noProof/>
                <w:webHidden/>
                <w:sz w:val="20"/>
                <w:szCs w:val="20"/>
              </w:rPr>
              <w:t>26</w:t>
            </w:r>
            <w:r>
              <w:rPr>
                <w:rFonts w:ascii="Times New Roman" w:hAnsi="Times New Roman"/>
                <w:noProof/>
                <w:webHidden/>
                <w:sz w:val="20"/>
                <w:szCs w:val="20"/>
              </w:rPr>
              <w:fldChar w:fldCharType="end"/>
            </w:r>
          </w:hyperlink>
        </w:p>
        <w:p w:rsidR="00EB6A7B" w:rsidRDefault="001E7ACC">
          <w:pPr>
            <w:pStyle w:val="TOC3"/>
            <w:rPr>
              <w:rFonts w:eastAsiaTheme="minorEastAsia"/>
              <w:noProof/>
              <w:sz w:val="20"/>
              <w:szCs w:val="20"/>
              <w:lang w:eastAsia="en-GB"/>
            </w:rPr>
          </w:pPr>
          <w:hyperlink w:anchor="_Toc498521060" w:history="1">
            <w:r>
              <w:rPr>
                <w:rStyle w:val="Hyperlink"/>
                <w:rFonts w:eastAsia="MS PGothic"/>
                <w:noProof/>
                <w:sz w:val="20"/>
                <w:szCs w:val="20"/>
              </w:rPr>
              <w:t>5.2.1. Costs and benefits</w:t>
            </w:r>
            <w:r>
              <w:rPr>
                <w:noProof/>
                <w:webHidden/>
                <w:sz w:val="20"/>
                <w:szCs w:val="20"/>
              </w:rPr>
              <w:tab/>
            </w:r>
            <w:r>
              <w:rPr>
                <w:noProof/>
                <w:webHidden/>
                <w:sz w:val="20"/>
                <w:szCs w:val="20"/>
              </w:rPr>
              <w:fldChar w:fldCharType="begin"/>
            </w:r>
            <w:r>
              <w:rPr>
                <w:noProof/>
                <w:webHidden/>
                <w:sz w:val="20"/>
                <w:szCs w:val="20"/>
              </w:rPr>
              <w:instrText xml:space="preserve"> PAGEREF _Toc498521060 \h </w:instrText>
            </w:r>
            <w:r>
              <w:rPr>
                <w:noProof/>
                <w:webHidden/>
                <w:sz w:val="20"/>
                <w:szCs w:val="20"/>
              </w:rPr>
            </w:r>
            <w:r>
              <w:rPr>
                <w:noProof/>
                <w:webHidden/>
                <w:sz w:val="20"/>
                <w:szCs w:val="20"/>
              </w:rPr>
              <w:fldChar w:fldCharType="separate"/>
            </w:r>
            <w:r>
              <w:rPr>
                <w:noProof/>
                <w:webHidden/>
                <w:sz w:val="20"/>
                <w:szCs w:val="20"/>
              </w:rPr>
              <w:t>26</w:t>
            </w:r>
            <w:r>
              <w:rPr>
                <w:noProof/>
                <w:webHidden/>
                <w:sz w:val="20"/>
                <w:szCs w:val="20"/>
              </w:rPr>
              <w:fldChar w:fldCharType="end"/>
            </w:r>
          </w:hyperlink>
        </w:p>
        <w:p w:rsidR="00EB6A7B" w:rsidRDefault="001E7ACC">
          <w:pPr>
            <w:pStyle w:val="TOC3"/>
            <w:rPr>
              <w:rFonts w:eastAsiaTheme="minorEastAsia"/>
              <w:noProof/>
              <w:sz w:val="20"/>
              <w:szCs w:val="20"/>
              <w:lang w:eastAsia="en-GB"/>
            </w:rPr>
          </w:pPr>
          <w:hyperlink w:anchor="_Toc498521061" w:history="1">
            <w:r>
              <w:rPr>
                <w:rStyle w:val="Hyperlink"/>
                <w:rFonts w:eastAsia="MS PGothic"/>
                <w:noProof/>
                <w:sz w:val="20"/>
                <w:szCs w:val="20"/>
              </w:rPr>
              <w:t>5.</w:t>
            </w:r>
            <w:r>
              <w:rPr>
                <w:rStyle w:val="Hyperlink"/>
                <w:rFonts w:eastAsia="MS PGothic"/>
                <w:noProof/>
                <w:sz w:val="20"/>
                <w:szCs w:val="20"/>
              </w:rPr>
              <w:t>2.2. Efficiency of the different measures</w:t>
            </w:r>
            <w:r>
              <w:rPr>
                <w:noProof/>
                <w:webHidden/>
                <w:sz w:val="20"/>
                <w:szCs w:val="20"/>
              </w:rPr>
              <w:tab/>
            </w:r>
            <w:r>
              <w:rPr>
                <w:noProof/>
                <w:webHidden/>
                <w:sz w:val="20"/>
                <w:szCs w:val="20"/>
              </w:rPr>
              <w:fldChar w:fldCharType="begin"/>
            </w:r>
            <w:r>
              <w:rPr>
                <w:noProof/>
                <w:webHidden/>
                <w:sz w:val="20"/>
                <w:szCs w:val="20"/>
              </w:rPr>
              <w:instrText xml:space="preserve"> PAGEREF _Toc498521061 \h </w:instrText>
            </w:r>
            <w:r>
              <w:rPr>
                <w:noProof/>
                <w:webHidden/>
                <w:sz w:val="20"/>
                <w:szCs w:val="20"/>
              </w:rPr>
            </w:r>
            <w:r>
              <w:rPr>
                <w:noProof/>
                <w:webHidden/>
                <w:sz w:val="20"/>
                <w:szCs w:val="20"/>
              </w:rPr>
              <w:fldChar w:fldCharType="separate"/>
            </w:r>
            <w:r>
              <w:rPr>
                <w:noProof/>
                <w:webHidden/>
                <w:sz w:val="20"/>
                <w:szCs w:val="20"/>
              </w:rPr>
              <w:t>30</w:t>
            </w:r>
            <w:r>
              <w:rPr>
                <w:noProof/>
                <w:webHidden/>
                <w:sz w:val="20"/>
                <w:szCs w:val="20"/>
              </w:rPr>
              <w:fldChar w:fldCharType="end"/>
            </w:r>
          </w:hyperlink>
        </w:p>
        <w:p w:rsidR="00EB6A7B" w:rsidRDefault="001E7ACC">
          <w:pPr>
            <w:pStyle w:val="TOC3"/>
            <w:rPr>
              <w:rFonts w:eastAsiaTheme="minorEastAsia"/>
              <w:noProof/>
              <w:sz w:val="20"/>
              <w:szCs w:val="20"/>
              <w:lang w:eastAsia="en-GB"/>
            </w:rPr>
          </w:pPr>
          <w:hyperlink w:anchor="_Toc498521062" w:history="1">
            <w:r>
              <w:rPr>
                <w:rStyle w:val="Hyperlink"/>
                <w:rFonts w:eastAsia="MS PGothic"/>
                <w:noProof/>
                <w:sz w:val="20"/>
                <w:szCs w:val="20"/>
              </w:rPr>
              <w:t>5.2.3.  Affordability and proportionality</w:t>
            </w:r>
            <w:r>
              <w:rPr>
                <w:noProof/>
                <w:webHidden/>
                <w:sz w:val="20"/>
                <w:szCs w:val="20"/>
              </w:rPr>
              <w:tab/>
            </w:r>
            <w:r>
              <w:rPr>
                <w:noProof/>
                <w:webHidden/>
                <w:sz w:val="20"/>
                <w:szCs w:val="20"/>
              </w:rPr>
              <w:fldChar w:fldCharType="begin"/>
            </w:r>
            <w:r>
              <w:rPr>
                <w:noProof/>
                <w:webHidden/>
                <w:sz w:val="20"/>
                <w:szCs w:val="20"/>
              </w:rPr>
              <w:instrText xml:space="preserve"> PAGEREF _Toc498521062 \h </w:instrText>
            </w:r>
            <w:r>
              <w:rPr>
                <w:noProof/>
                <w:webHidden/>
                <w:sz w:val="20"/>
                <w:szCs w:val="20"/>
              </w:rPr>
            </w:r>
            <w:r>
              <w:rPr>
                <w:noProof/>
                <w:webHidden/>
                <w:sz w:val="20"/>
                <w:szCs w:val="20"/>
              </w:rPr>
              <w:fldChar w:fldCharType="separate"/>
            </w:r>
            <w:r>
              <w:rPr>
                <w:noProof/>
                <w:webHidden/>
                <w:sz w:val="20"/>
                <w:szCs w:val="20"/>
              </w:rPr>
              <w:t>30</w:t>
            </w:r>
            <w:r>
              <w:rPr>
                <w:noProof/>
                <w:webHidden/>
                <w:sz w:val="20"/>
                <w:szCs w:val="20"/>
              </w:rPr>
              <w:fldChar w:fldCharType="end"/>
            </w:r>
          </w:hyperlink>
        </w:p>
        <w:p w:rsidR="00EB6A7B" w:rsidRDefault="001E7ACC">
          <w:pPr>
            <w:pStyle w:val="TOC3"/>
            <w:rPr>
              <w:rFonts w:eastAsiaTheme="minorEastAsia"/>
              <w:noProof/>
              <w:sz w:val="20"/>
              <w:szCs w:val="20"/>
              <w:lang w:eastAsia="en-GB"/>
            </w:rPr>
          </w:pPr>
          <w:hyperlink w:anchor="_Toc498521063" w:history="1">
            <w:r>
              <w:rPr>
                <w:rStyle w:val="Hyperlink"/>
                <w:rFonts w:eastAsia="MS PGothic"/>
                <w:noProof/>
                <w:sz w:val="20"/>
                <w:szCs w:val="20"/>
              </w:rPr>
              <w:t>5.2.4. National differences</w:t>
            </w:r>
            <w:r>
              <w:rPr>
                <w:noProof/>
                <w:webHidden/>
                <w:sz w:val="20"/>
                <w:szCs w:val="20"/>
              </w:rPr>
              <w:tab/>
            </w:r>
            <w:r>
              <w:rPr>
                <w:noProof/>
                <w:webHidden/>
                <w:sz w:val="20"/>
                <w:szCs w:val="20"/>
              </w:rPr>
              <w:fldChar w:fldCharType="begin"/>
            </w:r>
            <w:r>
              <w:rPr>
                <w:noProof/>
                <w:webHidden/>
                <w:sz w:val="20"/>
                <w:szCs w:val="20"/>
              </w:rPr>
              <w:instrText xml:space="preserve"> PAGEREF _Toc498521063 \h </w:instrText>
            </w:r>
            <w:r>
              <w:rPr>
                <w:noProof/>
                <w:webHidden/>
                <w:sz w:val="20"/>
                <w:szCs w:val="20"/>
              </w:rPr>
            </w:r>
            <w:r>
              <w:rPr>
                <w:noProof/>
                <w:webHidden/>
                <w:sz w:val="20"/>
                <w:szCs w:val="20"/>
              </w:rPr>
              <w:fldChar w:fldCharType="separate"/>
            </w:r>
            <w:r>
              <w:rPr>
                <w:noProof/>
                <w:webHidden/>
                <w:sz w:val="20"/>
                <w:szCs w:val="20"/>
              </w:rPr>
              <w:t>32</w:t>
            </w:r>
            <w:r>
              <w:rPr>
                <w:noProof/>
                <w:webHidden/>
                <w:sz w:val="20"/>
                <w:szCs w:val="20"/>
              </w:rPr>
              <w:fldChar w:fldCharType="end"/>
            </w:r>
          </w:hyperlink>
        </w:p>
        <w:p w:rsidR="00EB6A7B" w:rsidRDefault="001E7ACC">
          <w:pPr>
            <w:pStyle w:val="TOC2"/>
            <w:rPr>
              <w:rFonts w:ascii="Times New Roman" w:eastAsiaTheme="minorEastAsia" w:hAnsi="Times New Roman"/>
              <w:noProof/>
              <w:sz w:val="20"/>
              <w:szCs w:val="20"/>
              <w:lang w:eastAsia="en-GB"/>
            </w:rPr>
          </w:pPr>
          <w:hyperlink w:anchor="_Toc498521064" w:history="1">
            <w:r>
              <w:rPr>
                <w:rStyle w:val="Hyperlink"/>
                <w:rFonts w:ascii="Times New Roman" w:hAnsi="Times New Roman"/>
                <w:noProof/>
                <w:sz w:val="20"/>
                <w:szCs w:val="20"/>
              </w:rPr>
              <w:t xml:space="preserve">5.3. </w:t>
            </w:r>
            <w:r>
              <w:rPr>
                <w:rStyle w:val="Hyperlink"/>
                <w:rFonts w:ascii="Times New Roman" w:hAnsi="Times New Roman"/>
                <w:noProof/>
                <w:sz w:val="20"/>
                <w:szCs w:val="20"/>
              </w:rPr>
              <w:t>Relevance</w:t>
            </w:r>
            <w:r>
              <w:rPr>
                <w:rFonts w:ascii="Times New Roman" w:hAnsi="Times New Roman"/>
                <w:noProof/>
                <w:webHidden/>
                <w:sz w:val="20"/>
                <w:szCs w:val="20"/>
              </w:rPr>
              <w:tab/>
            </w:r>
            <w:r>
              <w:rPr>
                <w:rFonts w:ascii="Times New Roman" w:hAnsi="Times New Roman"/>
                <w:noProof/>
                <w:webHidden/>
                <w:sz w:val="20"/>
                <w:szCs w:val="20"/>
              </w:rPr>
              <w:fldChar w:fldCharType="begin"/>
            </w:r>
            <w:r>
              <w:rPr>
                <w:rFonts w:ascii="Times New Roman" w:hAnsi="Times New Roman"/>
                <w:noProof/>
                <w:webHidden/>
                <w:sz w:val="20"/>
                <w:szCs w:val="20"/>
              </w:rPr>
              <w:instrText xml:space="preserve"> PAGEREF _Toc498521064 \h </w:instrText>
            </w:r>
            <w:r>
              <w:rPr>
                <w:rFonts w:ascii="Times New Roman" w:hAnsi="Times New Roman"/>
                <w:noProof/>
                <w:webHidden/>
                <w:sz w:val="20"/>
                <w:szCs w:val="20"/>
              </w:rPr>
            </w:r>
            <w:r>
              <w:rPr>
                <w:rFonts w:ascii="Times New Roman" w:hAnsi="Times New Roman"/>
                <w:noProof/>
                <w:webHidden/>
                <w:sz w:val="20"/>
                <w:szCs w:val="20"/>
              </w:rPr>
              <w:fldChar w:fldCharType="separate"/>
            </w:r>
            <w:r>
              <w:rPr>
                <w:rFonts w:ascii="Times New Roman" w:hAnsi="Times New Roman"/>
                <w:noProof/>
                <w:webHidden/>
                <w:sz w:val="20"/>
                <w:szCs w:val="20"/>
              </w:rPr>
              <w:t>33</w:t>
            </w:r>
            <w:r>
              <w:rPr>
                <w:rFonts w:ascii="Times New Roman" w:hAnsi="Times New Roman"/>
                <w:noProof/>
                <w:webHidden/>
                <w:sz w:val="20"/>
                <w:szCs w:val="20"/>
              </w:rPr>
              <w:fldChar w:fldCharType="end"/>
            </w:r>
          </w:hyperlink>
        </w:p>
        <w:p w:rsidR="00EB6A7B" w:rsidRDefault="001E7ACC">
          <w:pPr>
            <w:pStyle w:val="TOC3"/>
            <w:rPr>
              <w:rFonts w:eastAsiaTheme="minorEastAsia"/>
              <w:noProof/>
              <w:sz w:val="20"/>
              <w:szCs w:val="20"/>
              <w:lang w:eastAsia="en-GB"/>
            </w:rPr>
          </w:pPr>
          <w:hyperlink w:anchor="_Toc498521065" w:history="1">
            <w:r>
              <w:rPr>
                <w:rStyle w:val="Hyperlink"/>
                <w:noProof/>
                <w:sz w:val="20"/>
                <w:szCs w:val="20"/>
              </w:rPr>
              <w:t>5.3.1. Objectives and stakeholder needs</w:t>
            </w:r>
            <w:r>
              <w:rPr>
                <w:noProof/>
                <w:webHidden/>
                <w:sz w:val="20"/>
                <w:szCs w:val="20"/>
              </w:rPr>
              <w:tab/>
            </w:r>
            <w:r>
              <w:rPr>
                <w:noProof/>
                <w:webHidden/>
                <w:sz w:val="20"/>
                <w:szCs w:val="20"/>
              </w:rPr>
              <w:fldChar w:fldCharType="begin"/>
            </w:r>
            <w:r>
              <w:rPr>
                <w:noProof/>
                <w:webHidden/>
                <w:sz w:val="20"/>
                <w:szCs w:val="20"/>
              </w:rPr>
              <w:instrText xml:space="preserve"> PAGEREF _Toc498521065 \h </w:instrText>
            </w:r>
            <w:r>
              <w:rPr>
                <w:noProof/>
                <w:webHidden/>
                <w:sz w:val="20"/>
                <w:szCs w:val="20"/>
              </w:rPr>
            </w:r>
            <w:r>
              <w:rPr>
                <w:noProof/>
                <w:webHidden/>
                <w:sz w:val="20"/>
                <w:szCs w:val="20"/>
              </w:rPr>
              <w:fldChar w:fldCharType="separate"/>
            </w:r>
            <w:r>
              <w:rPr>
                <w:noProof/>
                <w:webHidden/>
                <w:sz w:val="20"/>
                <w:szCs w:val="20"/>
              </w:rPr>
              <w:t>33</w:t>
            </w:r>
            <w:r>
              <w:rPr>
                <w:noProof/>
                <w:webHidden/>
                <w:sz w:val="20"/>
                <w:szCs w:val="20"/>
              </w:rPr>
              <w:fldChar w:fldCharType="end"/>
            </w:r>
          </w:hyperlink>
        </w:p>
        <w:p w:rsidR="00EB6A7B" w:rsidRDefault="001E7ACC">
          <w:pPr>
            <w:pStyle w:val="TOC3"/>
            <w:rPr>
              <w:rFonts w:eastAsiaTheme="minorEastAsia"/>
              <w:noProof/>
              <w:sz w:val="20"/>
              <w:szCs w:val="20"/>
              <w:lang w:eastAsia="en-GB"/>
            </w:rPr>
          </w:pPr>
          <w:hyperlink w:anchor="_Toc498521066" w:history="1">
            <w:r>
              <w:rPr>
                <w:rStyle w:val="Hyperlink"/>
                <w:noProof/>
                <w:sz w:val="20"/>
                <w:szCs w:val="20"/>
              </w:rPr>
              <w:t>5.3.2. Relevance of the different measures</w:t>
            </w:r>
            <w:r>
              <w:rPr>
                <w:noProof/>
                <w:webHidden/>
                <w:sz w:val="20"/>
                <w:szCs w:val="20"/>
              </w:rPr>
              <w:tab/>
            </w:r>
            <w:r>
              <w:rPr>
                <w:noProof/>
                <w:webHidden/>
                <w:sz w:val="20"/>
                <w:szCs w:val="20"/>
              </w:rPr>
              <w:fldChar w:fldCharType="begin"/>
            </w:r>
            <w:r>
              <w:rPr>
                <w:noProof/>
                <w:webHidden/>
                <w:sz w:val="20"/>
                <w:szCs w:val="20"/>
              </w:rPr>
              <w:instrText xml:space="preserve"> PAGEREF _Toc498521066 \h </w:instrText>
            </w:r>
            <w:r>
              <w:rPr>
                <w:noProof/>
                <w:webHidden/>
                <w:sz w:val="20"/>
                <w:szCs w:val="20"/>
              </w:rPr>
            </w:r>
            <w:r>
              <w:rPr>
                <w:noProof/>
                <w:webHidden/>
                <w:sz w:val="20"/>
                <w:szCs w:val="20"/>
              </w:rPr>
              <w:fldChar w:fldCharType="separate"/>
            </w:r>
            <w:r>
              <w:rPr>
                <w:noProof/>
                <w:webHidden/>
                <w:sz w:val="20"/>
                <w:szCs w:val="20"/>
              </w:rPr>
              <w:t>34</w:t>
            </w:r>
            <w:r>
              <w:rPr>
                <w:noProof/>
                <w:webHidden/>
                <w:sz w:val="20"/>
                <w:szCs w:val="20"/>
              </w:rPr>
              <w:fldChar w:fldCharType="end"/>
            </w:r>
          </w:hyperlink>
        </w:p>
        <w:p w:rsidR="00EB6A7B" w:rsidRDefault="001E7ACC">
          <w:pPr>
            <w:pStyle w:val="TOC3"/>
            <w:rPr>
              <w:rFonts w:eastAsiaTheme="minorEastAsia"/>
              <w:noProof/>
              <w:sz w:val="20"/>
              <w:szCs w:val="20"/>
              <w:lang w:eastAsia="en-GB"/>
            </w:rPr>
          </w:pPr>
          <w:hyperlink w:anchor="_Toc498521067" w:history="1">
            <w:r>
              <w:rPr>
                <w:rStyle w:val="Hyperlink"/>
                <w:noProof/>
                <w:sz w:val="20"/>
                <w:szCs w:val="20"/>
              </w:rPr>
              <w:t xml:space="preserve">5.3.3. Contribution of other </w:t>
            </w:r>
            <w:r>
              <w:rPr>
                <w:rStyle w:val="Hyperlink"/>
                <w:noProof/>
                <w:sz w:val="20"/>
                <w:szCs w:val="20"/>
              </w:rPr>
              <w:t>developments</w:t>
            </w:r>
            <w:r>
              <w:rPr>
                <w:noProof/>
                <w:webHidden/>
                <w:sz w:val="20"/>
                <w:szCs w:val="20"/>
              </w:rPr>
              <w:tab/>
            </w:r>
            <w:r>
              <w:rPr>
                <w:noProof/>
                <w:webHidden/>
                <w:sz w:val="20"/>
                <w:szCs w:val="20"/>
              </w:rPr>
              <w:fldChar w:fldCharType="begin"/>
            </w:r>
            <w:r>
              <w:rPr>
                <w:noProof/>
                <w:webHidden/>
                <w:sz w:val="20"/>
                <w:szCs w:val="20"/>
              </w:rPr>
              <w:instrText xml:space="preserve"> PAGEREF _Toc498521067 \h </w:instrText>
            </w:r>
            <w:r>
              <w:rPr>
                <w:noProof/>
                <w:webHidden/>
                <w:sz w:val="20"/>
                <w:szCs w:val="20"/>
              </w:rPr>
            </w:r>
            <w:r>
              <w:rPr>
                <w:noProof/>
                <w:webHidden/>
                <w:sz w:val="20"/>
                <w:szCs w:val="20"/>
              </w:rPr>
              <w:fldChar w:fldCharType="separate"/>
            </w:r>
            <w:r>
              <w:rPr>
                <w:noProof/>
                <w:webHidden/>
                <w:sz w:val="20"/>
                <w:szCs w:val="20"/>
              </w:rPr>
              <w:t>36</w:t>
            </w:r>
            <w:r>
              <w:rPr>
                <w:noProof/>
                <w:webHidden/>
                <w:sz w:val="20"/>
                <w:szCs w:val="20"/>
              </w:rPr>
              <w:fldChar w:fldCharType="end"/>
            </w:r>
          </w:hyperlink>
        </w:p>
        <w:p w:rsidR="00EB6A7B" w:rsidRDefault="001E7ACC">
          <w:pPr>
            <w:pStyle w:val="TOC2"/>
            <w:tabs>
              <w:tab w:val="left" w:pos="1077"/>
            </w:tabs>
            <w:rPr>
              <w:rFonts w:ascii="Times New Roman" w:eastAsiaTheme="minorEastAsia" w:hAnsi="Times New Roman"/>
              <w:noProof/>
              <w:sz w:val="20"/>
              <w:szCs w:val="20"/>
              <w:lang w:eastAsia="en-GB"/>
            </w:rPr>
          </w:pPr>
          <w:hyperlink w:anchor="_Toc498521068" w:history="1">
            <w:r>
              <w:rPr>
                <w:rStyle w:val="Hyperlink"/>
                <w:rFonts w:ascii="Times New Roman" w:hAnsi="Times New Roman"/>
                <w:noProof/>
                <w:sz w:val="20"/>
                <w:szCs w:val="20"/>
              </w:rPr>
              <w:t>5.2.</w:t>
            </w:r>
            <w:r>
              <w:rPr>
                <w:rFonts w:ascii="Times New Roman" w:eastAsiaTheme="minorEastAsia" w:hAnsi="Times New Roman"/>
                <w:noProof/>
                <w:sz w:val="20"/>
                <w:szCs w:val="20"/>
                <w:lang w:eastAsia="en-GB"/>
              </w:rPr>
              <w:tab/>
            </w:r>
            <w:r>
              <w:rPr>
                <w:rStyle w:val="Hyperlink"/>
                <w:rFonts w:ascii="Times New Roman" w:hAnsi="Times New Roman"/>
                <w:noProof/>
                <w:sz w:val="20"/>
                <w:szCs w:val="20"/>
              </w:rPr>
              <w:t>Coherence</w:t>
            </w:r>
            <w:r>
              <w:rPr>
                <w:rFonts w:ascii="Times New Roman" w:hAnsi="Times New Roman"/>
                <w:noProof/>
                <w:webHidden/>
                <w:sz w:val="20"/>
                <w:szCs w:val="20"/>
              </w:rPr>
              <w:tab/>
            </w:r>
            <w:r>
              <w:rPr>
                <w:rFonts w:ascii="Times New Roman" w:hAnsi="Times New Roman"/>
                <w:noProof/>
                <w:webHidden/>
                <w:sz w:val="20"/>
                <w:szCs w:val="20"/>
              </w:rPr>
              <w:fldChar w:fldCharType="begin"/>
            </w:r>
            <w:r>
              <w:rPr>
                <w:rFonts w:ascii="Times New Roman" w:hAnsi="Times New Roman"/>
                <w:noProof/>
                <w:webHidden/>
                <w:sz w:val="20"/>
                <w:szCs w:val="20"/>
              </w:rPr>
              <w:instrText xml:space="preserve"> PAGEREF _Toc498521068 \h </w:instrText>
            </w:r>
            <w:r>
              <w:rPr>
                <w:rFonts w:ascii="Times New Roman" w:hAnsi="Times New Roman"/>
                <w:noProof/>
                <w:webHidden/>
                <w:sz w:val="20"/>
                <w:szCs w:val="20"/>
              </w:rPr>
            </w:r>
            <w:r>
              <w:rPr>
                <w:rFonts w:ascii="Times New Roman" w:hAnsi="Times New Roman"/>
                <w:noProof/>
                <w:webHidden/>
                <w:sz w:val="20"/>
                <w:szCs w:val="20"/>
              </w:rPr>
              <w:fldChar w:fldCharType="separate"/>
            </w:r>
            <w:r>
              <w:rPr>
                <w:rFonts w:ascii="Times New Roman" w:hAnsi="Times New Roman"/>
                <w:noProof/>
                <w:webHidden/>
                <w:sz w:val="20"/>
                <w:szCs w:val="20"/>
              </w:rPr>
              <w:t>38</w:t>
            </w:r>
            <w:r>
              <w:rPr>
                <w:rFonts w:ascii="Times New Roman" w:hAnsi="Times New Roman"/>
                <w:noProof/>
                <w:webHidden/>
                <w:sz w:val="20"/>
                <w:szCs w:val="20"/>
              </w:rPr>
              <w:fldChar w:fldCharType="end"/>
            </w:r>
          </w:hyperlink>
        </w:p>
        <w:p w:rsidR="00EB6A7B" w:rsidRDefault="001E7ACC">
          <w:pPr>
            <w:pStyle w:val="TOC3"/>
            <w:tabs>
              <w:tab w:val="left" w:pos="1916"/>
            </w:tabs>
            <w:rPr>
              <w:rFonts w:eastAsiaTheme="minorEastAsia"/>
              <w:noProof/>
              <w:sz w:val="20"/>
              <w:szCs w:val="20"/>
              <w:lang w:eastAsia="en-GB"/>
            </w:rPr>
          </w:pPr>
          <w:hyperlink w:anchor="_Toc498521069" w:history="1">
            <w:r>
              <w:rPr>
                <w:rStyle w:val="Hyperlink"/>
                <w:noProof/>
                <w:sz w:val="20"/>
                <w:szCs w:val="20"/>
              </w:rPr>
              <w:t>5.2.1.</w:t>
            </w:r>
            <w:r>
              <w:rPr>
                <w:rFonts w:eastAsiaTheme="minorEastAsia"/>
                <w:noProof/>
                <w:sz w:val="20"/>
                <w:szCs w:val="20"/>
                <w:lang w:eastAsia="en-GB"/>
              </w:rPr>
              <w:tab/>
            </w:r>
            <w:r>
              <w:rPr>
                <w:rStyle w:val="Hyperlink"/>
                <w:noProof/>
                <w:sz w:val="20"/>
                <w:szCs w:val="20"/>
              </w:rPr>
              <w:t>Coherence of the different measures</w:t>
            </w:r>
            <w:r>
              <w:rPr>
                <w:noProof/>
                <w:webHidden/>
                <w:sz w:val="20"/>
                <w:szCs w:val="20"/>
              </w:rPr>
              <w:tab/>
            </w:r>
            <w:r>
              <w:rPr>
                <w:noProof/>
                <w:webHidden/>
                <w:sz w:val="20"/>
                <w:szCs w:val="20"/>
              </w:rPr>
              <w:fldChar w:fldCharType="begin"/>
            </w:r>
            <w:r>
              <w:rPr>
                <w:noProof/>
                <w:webHidden/>
                <w:sz w:val="20"/>
                <w:szCs w:val="20"/>
              </w:rPr>
              <w:instrText xml:space="preserve"> PAGEREF _Toc498521069 \h </w:instrText>
            </w:r>
            <w:r>
              <w:rPr>
                <w:noProof/>
                <w:webHidden/>
                <w:sz w:val="20"/>
                <w:szCs w:val="20"/>
              </w:rPr>
            </w:r>
            <w:r>
              <w:rPr>
                <w:noProof/>
                <w:webHidden/>
                <w:sz w:val="20"/>
                <w:szCs w:val="20"/>
              </w:rPr>
              <w:fldChar w:fldCharType="separate"/>
            </w:r>
            <w:r>
              <w:rPr>
                <w:noProof/>
                <w:webHidden/>
                <w:sz w:val="20"/>
                <w:szCs w:val="20"/>
              </w:rPr>
              <w:t>38</w:t>
            </w:r>
            <w:r>
              <w:rPr>
                <w:noProof/>
                <w:webHidden/>
                <w:sz w:val="20"/>
                <w:szCs w:val="20"/>
              </w:rPr>
              <w:fldChar w:fldCharType="end"/>
            </w:r>
          </w:hyperlink>
        </w:p>
        <w:p w:rsidR="00EB6A7B" w:rsidRDefault="001E7ACC">
          <w:pPr>
            <w:pStyle w:val="TOC3"/>
            <w:tabs>
              <w:tab w:val="left" w:pos="1916"/>
            </w:tabs>
            <w:rPr>
              <w:rFonts w:eastAsiaTheme="minorEastAsia"/>
              <w:noProof/>
              <w:sz w:val="20"/>
              <w:szCs w:val="20"/>
              <w:lang w:eastAsia="en-GB"/>
            </w:rPr>
          </w:pPr>
          <w:hyperlink w:anchor="_Toc498521070" w:history="1">
            <w:r>
              <w:rPr>
                <w:rStyle w:val="Hyperlink"/>
                <w:noProof/>
                <w:sz w:val="20"/>
                <w:szCs w:val="20"/>
                <w:lang w:val="en-US"/>
              </w:rPr>
              <w:t>5.2.2.</w:t>
            </w:r>
            <w:r>
              <w:rPr>
                <w:rFonts w:eastAsiaTheme="minorEastAsia"/>
                <w:noProof/>
                <w:sz w:val="20"/>
                <w:szCs w:val="20"/>
                <w:lang w:eastAsia="en-GB"/>
              </w:rPr>
              <w:tab/>
            </w:r>
            <w:r>
              <w:rPr>
                <w:rStyle w:val="Hyperlink"/>
                <w:noProof/>
                <w:sz w:val="20"/>
                <w:szCs w:val="20"/>
                <w:lang w:val="en-US"/>
              </w:rPr>
              <w:t>Complementarity of non-legislative interventions</w:t>
            </w:r>
            <w:r>
              <w:rPr>
                <w:noProof/>
                <w:webHidden/>
                <w:sz w:val="20"/>
                <w:szCs w:val="20"/>
              </w:rPr>
              <w:tab/>
            </w:r>
            <w:r>
              <w:rPr>
                <w:noProof/>
                <w:webHidden/>
                <w:sz w:val="20"/>
                <w:szCs w:val="20"/>
              </w:rPr>
              <w:fldChar w:fldCharType="begin"/>
            </w:r>
            <w:r>
              <w:rPr>
                <w:noProof/>
                <w:webHidden/>
                <w:sz w:val="20"/>
                <w:szCs w:val="20"/>
              </w:rPr>
              <w:instrText xml:space="preserve"> PAGEREF _Toc498521070 \h </w:instrText>
            </w:r>
            <w:r>
              <w:rPr>
                <w:noProof/>
                <w:webHidden/>
                <w:sz w:val="20"/>
                <w:szCs w:val="20"/>
              </w:rPr>
            </w:r>
            <w:r>
              <w:rPr>
                <w:noProof/>
                <w:webHidden/>
                <w:sz w:val="20"/>
                <w:szCs w:val="20"/>
              </w:rPr>
              <w:fldChar w:fldCharType="separate"/>
            </w:r>
            <w:r>
              <w:rPr>
                <w:noProof/>
                <w:webHidden/>
                <w:sz w:val="20"/>
                <w:szCs w:val="20"/>
              </w:rPr>
              <w:t>39</w:t>
            </w:r>
            <w:r>
              <w:rPr>
                <w:noProof/>
                <w:webHidden/>
                <w:sz w:val="20"/>
                <w:szCs w:val="20"/>
              </w:rPr>
              <w:fldChar w:fldCharType="end"/>
            </w:r>
          </w:hyperlink>
        </w:p>
        <w:p w:rsidR="00EB6A7B" w:rsidRDefault="001E7ACC">
          <w:pPr>
            <w:pStyle w:val="TOC3"/>
            <w:tabs>
              <w:tab w:val="left" w:pos="1916"/>
            </w:tabs>
            <w:rPr>
              <w:rFonts w:eastAsiaTheme="minorEastAsia"/>
              <w:noProof/>
              <w:sz w:val="20"/>
              <w:szCs w:val="20"/>
              <w:lang w:eastAsia="en-GB"/>
            </w:rPr>
          </w:pPr>
          <w:hyperlink w:anchor="_Toc498521071" w:history="1">
            <w:r>
              <w:rPr>
                <w:rStyle w:val="Hyperlink"/>
                <w:noProof/>
                <w:sz w:val="20"/>
                <w:szCs w:val="20"/>
              </w:rPr>
              <w:t>5.2.3.</w:t>
            </w:r>
            <w:r>
              <w:rPr>
                <w:rFonts w:eastAsiaTheme="minorEastAsia"/>
                <w:noProof/>
                <w:sz w:val="20"/>
                <w:szCs w:val="20"/>
                <w:lang w:eastAsia="en-GB"/>
              </w:rPr>
              <w:tab/>
            </w:r>
            <w:r>
              <w:rPr>
                <w:rStyle w:val="Hyperlink"/>
                <w:noProof/>
                <w:sz w:val="20"/>
                <w:szCs w:val="20"/>
              </w:rPr>
              <w:t>Coherence with other EU instruments and policies</w:t>
            </w:r>
            <w:r>
              <w:rPr>
                <w:noProof/>
                <w:webHidden/>
                <w:sz w:val="20"/>
                <w:szCs w:val="20"/>
              </w:rPr>
              <w:tab/>
            </w:r>
            <w:r>
              <w:rPr>
                <w:noProof/>
                <w:webHidden/>
                <w:sz w:val="20"/>
                <w:szCs w:val="20"/>
              </w:rPr>
              <w:fldChar w:fldCharType="begin"/>
            </w:r>
            <w:r>
              <w:rPr>
                <w:noProof/>
                <w:webHidden/>
                <w:sz w:val="20"/>
                <w:szCs w:val="20"/>
              </w:rPr>
              <w:instrText xml:space="preserve"> PAGEREF _Toc498521071 \h </w:instrText>
            </w:r>
            <w:r>
              <w:rPr>
                <w:noProof/>
                <w:webHidden/>
                <w:sz w:val="20"/>
                <w:szCs w:val="20"/>
              </w:rPr>
            </w:r>
            <w:r>
              <w:rPr>
                <w:noProof/>
                <w:webHidden/>
                <w:sz w:val="20"/>
                <w:szCs w:val="20"/>
              </w:rPr>
              <w:fldChar w:fldCharType="separate"/>
            </w:r>
            <w:r>
              <w:rPr>
                <w:noProof/>
                <w:webHidden/>
                <w:sz w:val="20"/>
                <w:szCs w:val="20"/>
              </w:rPr>
              <w:t>41</w:t>
            </w:r>
            <w:r>
              <w:rPr>
                <w:noProof/>
                <w:webHidden/>
                <w:sz w:val="20"/>
                <w:szCs w:val="20"/>
              </w:rPr>
              <w:fldChar w:fldCharType="end"/>
            </w:r>
          </w:hyperlink>
        </w:p>
        <w:p w:rsidR="00EB6A7B" w:rsidRDefault="001E7ACC">
          <w:pPr>
            <w:pStyle w:val="TOC2"/>
            <w:tabs>
              <w:tab w:val="left" w:pos="1077"/>
            </w:tabs>
            <w:rPr>
              <w:rFonts w:ascii="Times New Roman" w:eastAsiaTheme="minorEastAsia" w:hAnsi="Times New Roman"/>
              <w:noProof/>
              <w:sz w:val="20"/>
              <w:szCs w:val="20"/>
              <w:lang w:eastAsia="en-GB"/>
            </w:rPr>
          </w:pPr>
          <w:hyperlink w:anchor="_Toc498521072" w:history="1">
            <w:r>
              <w:rPr>
                <w:rStyle w:val="Hyperlink"/>
                <w:rFonts w:ascii="Times New Roman" w:hAnsi="Times New Roman"/>
                <w:noProof/>
                <w:sz w:val="20"/>
                <w:szCs w:val="20"/>
              </w:rPr>
              <w:t>5.3.</w:t>
            </w:r>
            <w:r>
              <w:rPr>
                <w:rFonts w:ascii="Times New Roman" w:eastAsiaTheme="minorEastAsia" w:hAnsi="Times New Roman"/>
                <w:noProof/>
                <w:sz w:val="20"/>
                <w:szCs w:val="20"/>
                <w:lang w:eastAsia="en-GB"/>
              </w:rPr>
              <w:tab/>
            </w:r>
            <w:r>
              <w:rPr>
                <w:rStyle w:val="Hyperlink"/>
                <w:rFonts w:ascii="Times New Roman" w:hAnsi="Times New Roman"/>
                <w:noProof/>
                <w:sz w:val="20"/>
                <w:szCs w:val="20"/>
              </w:rPr>
              <w:t>EU added value</w:t>
            </w:r>
            <w:r>
              <w:rPr>
                <w:rFonts w:ascii="Times New Roman" w:hAnsi="Times New Roman"/>
                <w:noProof/>
                <w:webHidden/>
                <w:sz w:val="20"/>
                <w:szCs w:val="20"/>
              </w:rPr>
              <w:tab/>
            </w:r>
            <w:r>
              <w:rPr>
                <w:rFonts w:ascii="Times New Roman" w:hAnsi="Times New Roman"/>
                <w:noProof/>
                <w:webHidden/>
                <w:sz w:val="20"/>
                <w:szCs w:val="20"/>
              </w:rPr>
              <w:fldChar w:fldCharType="begin"/>
            </w:r>
            <w:r>
              <w:rPr>
                <w:rFonts w:ascii="Times New Roman" w:hAnsi="Times New Roman"/>
                <w:noProof/>
                <w:webHidden/>
                <w:sz w:val="20"/>
                <w:szCs w:val="20"/>
              </w:rPr>
              <w:instrText xml:space="preserve"> PAGEREF _Toc498521072 \h </w:instrText>
            </w:r>
            <w:r>
              <w:rPr>
                <w:rFonts w:ascii="Times New Roman" w:hAnsi="Times New Roman"/>
                <w:noProof/>
                <w:webHidden/>
                <w:sz w:val="20"/>
                <w:szCs w:val="20"/>
              </w:rPr>
            </w:r>
            <w:r>
              <w:rPr>
                <w:rFonts w:ascii="Times New Roman" w:hAnsi="Times New Roman"/>
                <w:noProof/>
                <w:webHidden/>
                <w:sz w:val="20"/>
                <w:szCs w:val="20"/>
              </w:rPr>
              <w:fldChar w:fldCharType="separate"/>
            </w:r>
            <w:r>
              <w:rPr>
                <w:rFonts w:ascii="Times New Roman" w:hAnsi="Times New Roman"/>
                <w:noProof/>
                <w:webHidden/>
                <w:sz w:val="20"/>
                <w:szCs w:val="20"/>
              </w:rPr>
              <w:t>44</w:t>
            </w:r>
            <w:r>
              <w:rPr>
                <w:rFonts w:ascii="Times New Roman" w:hAnsi="Times New Roman"/>
                <w:noProof/>
                <w:webHidden/>
                <w:sz w:val="20"/>
                <w:szCs w:val="20"/>
              </w:rPr>
              <w:fldChar w:fldCharType="end"/>
            </w:r>
          </w:hyperlink>
        </w:p>
        <w:p w:rsidR="00EB6A7B" w:rsidRDefault="001E7ACC">
          <w:pPr>
            <w:pStyle w:val="TOC3"/>
            <w:tabs>
              <w:tab w:val="left" w:pos="1916"/>
            </w:tabs>
            <w:rPr>
              <w:rFonts w:eastAsiaTheme="minorEastAsia"/>
              <w:noProof/>
              <w:sz w:val="20"/>
              <w:szCs w:val="20"/>
              <w:lang w:eastAsia="en-GB"/>
            </w:rPr>
          </w:pPr>
          <w:hyperlink w:anchor="_Toc498521073" w:history="1">
            <w:r>
              <w:rPr>
                <w:rStyle w:val="Hyperlink"/>
                <w:noProof/>
                <w:sz w:val="20"/>
                <w:szCs w:val="20"/>
                <w:lang w:val="en"/>
              </w:rPr>
              <w:t>5.3.1.</w:t>
            </w:r>
            <w:r>
              <w:rPr>
                <w:rFonts w:eastAsiaTheme="minorEastAsia"/>
                <w:noProof/>
                <w:sz w:val="20"/>
                <w:szCs w:val="20"/>
                <w:lang w:eastAsia="en-GB"/>
              </w:rPr>
              <w:tab/>
            </w:r>
            <w:r>
              <w:rPr>
                <w:rStyle w:val="Hyperlink"/>
                <w:noProof/>
                <w:sz w:val="20"/>
                <w:szCs w:val="20"/>
                <w:lang w:val="en"/>
              </w:rPr>
              <w:t>EU added value of the directive</w:t>
            </w:r>
            <w:r>
              <w:rPr>
                <w:noProof/>
                <w:webHidden/>
                <w:sz w:val="20"/>
                <w:szCs w:val="20"/>
              </w:rPr>
              <w:tab/>
            </w:r>
            <w:r>
              <w:rPr>
                <w:noProof/>
                <w:webHidden/>
                <w:sz w:val="20"/>
                <w:szCs w:val="20"/>
              </w:rPr>
              <w:fldChar w:fldCharType="begin"/>
            </w:r>
            <w:r>
              <w:rPr>
                <w:noProof/>
                <w:webHidden/>
                <w:sz w:val="20"/>
                <w:szCs w:val="20"/>
              </w:rPr>
              <w:instrText xml:space="preserve"> PAGEREF _Toc498521073 \h </w:instrText>
            </w:r>
            <w:r>
              <w:rPr>
                <w:noProof/>
                <w:webHidden/>
                <w:sz w:val="20"/>
                <w:szCs w:val="20"/>
              </w:rPr>
            </w:r>
            <w:r>
              <w:rPr>
                <w:noProof/>
                <w:webHidden/>
                <w:sz w:val="20"/>
                <w:szCs w:val="20"/>
              </w:rPr>
              <w:fldChar w:fldCharType="separate"/>
            </w:r>
            <w:r>
              <w:rPr>
                <w:noProof/>
                <w:webHidden/>
                <w:sz w:val="20"/>
                <w:szCs w:val="20"/>
              </w:rPr>
              <w:t>44</w:t>
            </w:r>
            <w:r>
              <w:rPr>
                <w:noProof/>
                <w:webHidden/>
                <w:sz w:val="20"/>
                <w:szCs w:val="20"/>
              </w:rPr>
              <w:fldChar w:fldCharType="end"/>
            </w:r>
          </w:hyperlink>
        </w:p>
        <w:p w:rsidR="00EB6A7B" w:rsidRDefault="001E7ACC">
          <w:pPr>
            <w:pStyle w:val="TOC3"/>
            <w:tabs>
              <w:tab w:val="left" w:pos="1916"/>
            </w:tabs>
            <w:rPr>
              <w:rFonts w:eastAsiaTheme="minorEastAsia"/>
              <w:noProof/>
              <w:sz w:val="20"/>
              <w:szCs w:val="20"/>
              <w:lang w:eastAsia="en-GB"/>
            </w:rPr>
          </w:pPr>
          <w:hyperlink w:anchor="_Toc498521074" w:history="1">
            <w:r>
              <w:rPr>
                <w:rStyle w:val="Hyperlink"/>
                <w:noProof/>
                <w:sz w:val="20"/>
                <w:szCs w:val="20"/>
                <w:lang w:val="en"/>
              </w:rPr>
              <w:t>5.3.2.</w:t>
            </w:r>
            <w:r>
              <w:rPr>
                <w:rFonts w:eastAsiaTheme="minorEastAsia"/>
                <w:noProof/>
                <w:sz w:val="20"/>
                <w:szCs w:val="20"/>
                <w:lang w:eastAsia="en-GB"/>
              </w:rPr>
              <w:tab/>
            </w:r>
            <w:r>
              <w:rPr>
                <w:rStyle w:val="Hyperlink"/>
                <w:noProof/>
                <w:sz w:val="20"/>
                <w:szCs w:val="20"/>
                <w:lang w:val="en"/>
              </w:rPr>
              <w:t>Need for continuous EU action</w:t>
            </w:r>
            <w:r>
              <w:rPr>
                <w:noProof/>
                <w:webHidden/>
                <w:sz w:val="20"/>
                <w:szCs w:val="20"/>
              </w:rPr>
              <w:tab/>
            </w:r>
            <w:r>
              <w:rPr>
                <w:noProof/>
                <w:webHidden/>
                <w:sz w:val="20"/>
                <w:szCs w:val="20"/>
              </w:rPr>
              <w:fldChar w:fldCharType="begin"/>
            </w:r>
            <w:r>
              <w:rPr>
                <w:noProof/>
                <w:webHidden/>
                <w:sz w:val="20"/>
                <w:szCs w:val="20"/>
              </w:rPr>
              <w:instrText xml:space="preserve"> PAGEREF _Toc498521074 \h </w:instrText>
            </w:r>
            <w:r>
              <w:rPr>
                <w:noProof/>
                <w:webHidden/>
                <w:sz w:val="20"/>
                <w:szCs w:val="20"/>
              </w:rPr>
            </w:r>
            <w:r>
              <w:rPr>
                <w:noProof/>
                <w:webHidden/>
                <w:sz w:val="20"/>
                <w:szCs w:val="20"/>
              </w:rPr>
              <w:fldChar w:fldCharType="separate"/>
            </w:r>
            <w:r>
              <w:rPr>
                <w:noProof/>
                <w:webHidden/>
                <w:sz w:val="20"/>
                <w:szCs w:val="20"/>
              </w:rPr>
              <w:t>45</w:t>
            </w:r>
            <w:r>
              <w:rPr>
                <w:noProof/>
                <w:webHidden/>
                <w:sz w:val="20"/>
                <w:szCs w:val="20"/>
              </w:rPr>
              <w:fldChar w:fldCharType="end"/>
            </w:r>
          </w:hyperlink>
        </w:p>
        <w:p w:rsidR="00EB6A7B" w:rsidRDefault="001E7ACC">
          <w:pPr>
            <w:pStyle w:val="TOC1"/>
            <w:rPr>
              <w:rFonts w:ascii="Times New Roman" w:eastAsiaTheme="minorEastAsia" w:hAnsi="Times New Roman"/>
              <w:caps w:val="0"/>
              <w:noProof/>
              <w:sz w:val="20"/>
              <w:szCs w:val="20"/>
              <w:lang w:eastAsia="en-GB"/>
            </w:rPr>
          </w:pPr>
          <w:hyperlink w:anchor="_Toc498521075" w:history="1">
            <w:r>
              <w:rPr>
                <w:rStyle w:val="Hyperlink"/>
                <w:rFonts w:ascii="Times New Roman" w:hAnsi="Times New Roman"/>
                <w:noProof/>
                <w:sz w:val="20"/>
                <w:szCs w:val="20"/>
              </w:rPr>
              <w:t>6.</w:t>
            </w:r>
            <w:r>
              <w:rPr>
                <w:rFonts w:ascii="Times New Roman" w:eastAsiaTheme="minorEastAsia" w:hAnsi="Times New Roman"/>
                <w:caps w:val="0"/>
                <w:noProof/>
                <w:sz w:val="20"/>
                <w:szCs w:val="20"/>
                <w:lang w:eastAsia="en-GB"/>
              </w:rPr>
              <w:tab/>
            </w:r>
            <w:r>
              <w:rPr>
                <w:rStyle w:val="Hyperlink"/>
                <w:rFonts w:ascii="Times New Roman" w:hAnsi="Times New Roman"/>
                <w:noProof/>
                <w:sz w:val="20"/>
                <w:szCs w:val="20"/>
              </w:rPr>
              <w:t>Conclusions</w:t>
            </w:r>
            <w:r>
              <w:rPr>
                <w:rFonts w:ascii="Times New Roman" w:hAnsi="Times New Roman"/>
                <w:noProof/>
                <w:webHidden/>
                <w:sz w:val="20"/>
                <w:szCs w:val="20"/>
              </w:rPr>
              <w:tab/>
            </w:r>
            <w:r>
              <w:rPr>
                <w:rFonts w:ascii="Times New Roman" w:hAnsi="Times New Roman"/>
                <w:noProof/>
                <w:webHidden/>
                <w:sz w:val="20"/>
                <w:szCs w:val="20"/>
              </w:rPr>
              <w:fldChar w:fldCharType="begin"/>
            </w:r>
            <w:r>
              <w:rPr>
                <w:rFonts w:ascii="Times New Roman" w:hAnsi="Times New Roman"/>
                <w:noProof/>
                <w:webHidden/>
                <w:sz w:val="20"/>
                <w:szCs w:val="20"/>
              </w:rPr>
              <w:instrText xml:space="preserve"> PAGEREF _Toc498521075 \h </w:instrText>
            </w:r>
            <w:r>
              <w:rPr>
                <w:rFonts w:ascii="Times New Roman" w:hAnsi="Times New Roman"/>
                <w:noProof/>
                <w:webHidden/>
                <w:sz w:val="20"/>
                <w:szCs w:val="20"/>
              </w:rPr>
            </w:r>
            <w:r>
              <w:rPr>
                <w:rFonts w:ascii="Times New Roman" w:hAnsi="Times New Roman"/>
                <w:noProof/>
                <w:webHidden/>
                <w:sz w:val="20"/>
                <w:szCs w:val="20"/>
              </w:rPr>
              <w:fldChar w:fldCharType="separate"/>
            </w:r>
            <w:r>
              <w:rPr>
                <w:rFonts w:ascii="Times New Roman" w:hAnsi="Times New Roman"/>
                <w:noProof/>
                <w:webHidden/>
                <w:sz w:val="20"/>
                <w:szCs w:val="20"/>
              </w:rPr>
              <w:t>46</w:t>
            </w:r>
            <w:r>
              <w:rPr>
                <w:rFonts w:ascii="Times New Roman" w:hAnsi="Times New Roman"/>
                <w:noProof/>
                <w:webHidden/>
                <w:sz w:val="20"/>
                <w:szCs w:val="20"/>
              </w:rPr>
              <w:fldChar w:fldCharType="end"/>
            </w:r>
          </w:hyperlink>
        </w:p>
        <w:p w:rsidR="00EB6A7B" w:rsidRDefault="001E7ACC">
          <w:pPr>
            <w:pStyle w:val="TOC1"/>
            <w:rPr>
              <w:rFonts w:ascii="Times New Roman" w:eastAsiaTheme="minorEastAsia" w:hAnsi="Times New Roman"/>
              <w:caps w:val="0"/>
              <w:noProof/>
              <w:sz w:val="20"/>
              <w:szCs w:val="20"/>
              <w:lang w:eastAsia="en-GB"/>
            </w:rPr>
          </w:pPr>
          <w:hyperlink w:anchor="_Toc498521076" w:history="1">
            <w:r>
              <w:rPr>
                <w:rStyle w:val="Hyperlink"/>
                <w:rFonts w:ascii="Times New Roman" w:hAnsi="Times New Roman"/>
                <w:noProof/>
                <w:sz w:val="20"/>
                <w:szCs w:val="20"/>
              </w:rPr>
              <w:t>Annex I: Procedural information</w:t>
            </w:r>
            <w:r>
              <w:rPr>
                <w:rFonts w:ascii="Times New Roman" w:hAnsi="Times New Roman"/>
                <w:noProof/>
                <w:webHidden/>
                <w:sz w:val="20"/>
                <w:szCs w:val="20"/>
              </w:rPr>
              <w:tab/>
            </w:r>
            <w:r>
              <w:rPr>
                <w:rFonts w:ascii="Times New Roman" w:hAnsi="Times New Roman"/>
                <w:noProof/>
                <w:webHidden/>
                <w:sz w:val="20"/>
                <w:szCs w:val="20"/>
              </w:rPr>
              <w:fldChar w:fldCharType="begin"/>
            </w:r>
            <w:r>
              <w:rPr>
                <w:rFonts w:ascii="Times New Roman" w:hAnsi="Times New Roman"/>
                <w:noProof/>
                <w:webHidden/>
                <w:sz w:val="20"/>
                <w:szCs w:val="20"/>
              </w:rPr>
              <w:instrText xml:space="preserve"> PAGEREF _Toc498521076 \h </w:instrText>
            </w:r>
            <w:r>
              <w:rPr>
                <w:rFonts w:ascii="Times New Roman" w:hAnsi="Times New Roman"/>
                <w:noProof/>
                <w:webHidden/>
                <w:sz w:val="20"/>
                <w:szCs w:val="20"/>
              </w:rPr>
            </w:r>
            <w:r>
              <w:rPr>
                <w:rFonts w:ascii="Times New Roman" w:hAnsi="Times New Roman"/>
                <w:noProof/>
                <w:webHidden/>
                <w:sz w:val="20"/>
                <w:szCs w:val="20"/>
              </w:rPr>
              <w:fldChar w:fldCharType="separate"/>
            </w:r>
            <w:r>
              <w:rPr>
                <w:rFonts w:ascii="Times New Roman" w:hAnsi="Times New Roman"/>
                <w:noProof/>
                <w:webHidden/>
                <w:sz w:val="20"/>
                <w:szCs w:val="20"/>
              </w:rPr>
              <w:t>48</w:t>
            </w:r>
            <w:r>
              <w:rPr>
                <w:rFonts w:ascii="Times New Roman" w:hAnsi="Times New Roman"/>
                <w:noProof/>
                <w:webHidden/>
                <w:sz w:val="20"/>
                <w:szCs w:val="20"/>
              </w:rPr>
              <w:fldChar w:fldCharType="end"/>
            </w:r>
          </w:hyperlink>
        </w:p>
        <w:p w:rsidR="00EB6A7B" w:rsidRDefault="001E7ACC">
          <w:pPr>
            <w:pStyle w:val="TOC1"/>
            <w:rPr>
              <w:rFonts w:ascii="Times New Roman" w:eastAsiaTheme="minorEastAsia" w:hAnsi="Times New Roman"/>
              <w:caps w:val="0"/>
              <w:noProof/>
              <w:sz w:val="20"/>
              <w:szCs w:val="20"/>
              <w:lang w:eastAsia="en-GB"/>
            </w:rPr>
          </w:pPr>
          <w:hyperlink w:anchor="_Toc498521077" w:history="1">
            <w:r>
              <w:rPr>
                <w:rStyle w:val="Hyperlink"/>
                <w:rFonts w:ascii="Times New Roman" w:hAnsi="Times New Roman"/>
                <w:noProof/>
                <w:sz w:val="20"/>
                <w:szCs w:val="20"/>
              </w:rPr>
              <w:t>Annex II: SYNOPSIS REPORT</w:t>
            </w:r>
            <w:r>
              <w:rPr>
                <w:rFonts w:ascii="Times New Roman" w:hAnsi="Times New Roman"/>
                <w:noProof/>
                <w:webHidden/>
                <w:sz w:val="20"/>
                <w:szCs w:val="20"/>
              </w:rPr>
              <w:tab/>
            </w:r>
            <w:r>
              <w:rPr>
                <w:rFonts w:ascii="Times New Roman" w:hAnsi="Times New Roman"/>
                <w:noProof/>
                <w:webHidden/>
                <w:sz w:val="20"/>
                <w:szCs w:val="20"/>
              </w:rPr>
              <w:fldChar w:fldCharType="begin"/>
            </w:r>
            <w:r>
              <w:rPr>
                <w:rFonts w:ascii="Times New Roman" w:hAnsi="Times New Roman"/>
                <w:noProof/>
                <w:webHidden/>
                <w:sz w:val="20"/>
                <w:szCs w:val="20"/>
              </w:rPr>
              <w:instrText xml:space="preserve"> PAGEREF _Toc498521077 \h </w:instrText>
            </w:r>
            <w:r>
              <w:rPr>
                <w:rFonts w:ascii="Times New Roman" w:hAnsi="Times New Roman"/>
                <w:noProof/>
                <w:webHidden/>
                <w:sz w:val="20"/>
                <w:szCs w:val="20"/>
              </w:rPr>
            </w:r>
            <w:r>
              <w:rPr>
                <w:rFonts w:ascii="Times New Roman" w:hAnsi="Times New Roman"/>
                <w:noProof/>
                <w:webHidden/>
                <w:sz w:val="20"/>
                <w:szCs w:val="20"/>
              </w:rPr>
              <w:fldChar w:fldCharType="separate"/>
            </w:r>
            <w:r>
              <w:rPr>
                <w:rFonts w:ascii="Times New Roman" w:hAnsi="Times New Roman"/>
                <w:noProof/>
                <w:webHidden/>
                <w:sz w:val="20"/>
                <w:szCs w:val="20"/>
              </w:rPr>
              <w:t>50</w:t>
            </w:r>
            <w:r>
              <w:rPr>
                <w:rFonts w:ascii="Times New Roman" w:hAnsi="Times New Roman"/>
                <w:noProof/>
                <w:webHidden/>
                <w:sz w:val="20"/>
                <w:szCs w:val="20"/>
              </w:rPr>
              <w:fldChar w:fldCharType="end"/>
            </w:r>
          </w:hyperlink>
        </w:p>
        <w:p w:rsidR="00EB6A7B" w:rsidRDefault="001E7ACC">
          <w:pPr>
            <w:pStyle w:val="TOC1"/>
            <w:rPr>
              <w:rFonts w:ascii="Times New Roman" w:eastAsiaTheme="minorEastAsia" w:hAnsi="Times New Roman"/>
              <w:caps w:val="0"/>
              <w:noProof/>
              <w:sz w:val="20"/>
              <w:szCs w:val="20"/>
              <w:lang w:eastAsia="en-GB"/>
            </w:rPr>
          </w:pPr>
          <w:hyperlink w:anchor="_Toc498521078" w:history="1">
            <w:r>
              <w:rPr>
                <w:rStyle w:val="Hyperlink"/>
                <w:rFonts w:ascii="Times New Roman" w:hAnsi="Times New Roman"/>
                <w:noProof/>
                <w:sz w:val="20"/>
                <w:szCs w:val="20"/>
              </w:rPr>
              <w:t>1)  Stakeholder consultation</w:t>
            </w:r>
            <w:r>
              <w:rPr>
                <w:rFonts w:ascii="Times New Roman" w:hAnsi="Times New Roman"/>
                <w:noProof/>
                <w:webHidden/>
                <w:sz w:val="20"/>
                <w:szCs w:val="20"/>
              </w:rPr>
              <w:tab/>
            </w:r>
            <w:r>
              <w:rPr>
                <w:rFonts w:ascii="Times New Roman" w:hAnsi="Times New Roman"/>
                <w:noProof/>
                <w:webHidden/>
                <w:sz w:val="20"/>
                <w:szCs w:val="20"/>
              </w:rPr>
              <w:fldChar w:fldCharType="begin"/>
            </w:r>
            <w:r>
              <w:rPr>
                <w:rFonts w:ascii="Times New Roman" w:hAnsi="Times New Roman"/>
                <w:noProof/>
                <w:webHidden/>
                <w:sz w:val="20"/>
                <w:szCs w:val="20"/>
              </w:rPr>
              <w:instrText xml:space="preserve"> PAGEREF _Toc498521078 \h </w:instrText>
            </w:r>
            <w:r>
              <w:rPr>
                <w:rFonts w:ascii="Times New Roman" w:hAnsi="Times New Roman"/>
                <w:noProof/>
                <w:webHidden/>
                <w:sz w:val="20"/>
                <w:szCs w:val="20"/>
              </w:rPr>
            </w:r>
            <w:r>
              <w:rPr>
                <w:rFonts w:ascii="Times New Roman" w:hAnsi="Times New Roman"/>
                <w:noProof/>
                <w:webHidden/>
                <w:sz w:val="20"/>
                <w:szCs w:val="20"/>
              </w:rPr>
              <w:fldChar w:fldCharType="separate"/>
            </w:r>
            <w:r>
              <w:rPr>
                <w:rFonts w:ascii="Times New Roman" w:hAnsi="Times New Roman"/>
                <w:noProof/>
                <w:webHidden/>
                <w:sz w:val="20"/>
                <w:szCs w:val="20"/>
              </w:rPr>
              <w:t>50</w:t>
            </w:r>
            <w:r>
              <w:rPr>
                <w:rFonts w:ascii="Times New Roman" w:hAnsi="Times New Roman"/>
                <w:noProof/>
                <w:webHidden/>
                <w:sz w:val="20"/>
                <w:szCs w:val="20"/>
              </w:rPr>
              <w:fldChar w:fldCharType="end"/>
            </w:r>
          </w:hyperlink>
        </w:p>
        <w:p w:rsidR="00EB6A7B" w:rsidRDefault="001E7ACC">
          <w:pPr>
            <w:pStyle w:val="TOC1"/>
            <w:rPr>
              <w:rFonts w:ascii="Times New Roman" w:eastAsiaTheme="minorEastAsia" w:hAnsi="Times New Roman"/>
              <w:caps w:val="0"/>
              <w:noProof/>
              <w:sz w:val="20"/>
              <w:szCs w:val="20"/>
              <w:lang w:eastAsia="en-GB"/>
            </w:rPr>
          </w:pPr>
          <w:hyperlink w:anchor="_Toc498521079" w:history="1">
            <w:r>
              <w:rPr>
                <w:rStyle w:val="Hyperlink"/>
                <w:rFonts w:ascii="Times New Roman" w:hAnsi="Times New Roman"/>
                <w:noProof/>
                <w:sz w:val="20"/>
                <w:szCs w:val="20"/>
              </w:rPr>
              <w:t>Annex III: Practical examples and illustrations</w:t>
            </w:r>
            <w:r>
              <w:rPr>
                <w:rFonts w:ascii="Times New Roman" w:hAnsi="Times New Roman"/>
                <w:noProof/>
                <w:webHidden/>
                <w:sz w:val="20"/>
                <w:szCs w:val="20"/>
              </w:rPr>
              <w:tab/>
            </w:r>
            <w:r>
              <w:rPr>
                <w:rFonts w:ascii="Times New Roman" w:hAnsi="Times New Roman"/>
                <w:noProof/>
                <w:webHidden/>
                <w:sz w:val="20"/>
                <w:szCs w:val="20"/>
              </w:rPr>
              <w:fldChar w:fldCharType="begin"/>
            </w:r>
            <w:r>
              <w:rPr>
                <w:rFonts w:ascii="Times New Roman" w:hAnsi="Times New Roman"/>
                <w:noProof/>
                <w:webHidden/>
                <w:sz w:val="20"/>
                <w:szCs w:val="20"/>
              </w:rPr>
              <w:instrText xml:space="preserve"> PAGEREF _Toc498521079 \h </w:instrText>
            </w:r>
            <w:r>
              <w:rPr>
                <w:rFonts w:ascii="Times New Roman" w:hAnsi="Times New Roman"/>
                <w:noProof/>
                <w:webHidden/>
                <w:sz w:val="20"/>
                <w:szCs w:val="20"/>
              </w:rPr>
            </w:r>
            <w:r>
              <w:rPr>
                <w:rFonts w:ascii="Times New Roman" w:hAnsi="Times New Roman"/>
                <w:noProof/>
                <w:webHidden/>
                <w:sz w:val="20"/>
                <w:szCs w:val="20"/>
              </w:rPr>
              <w:fldChar w:fldCharType="separate"/>
            </w:r>
            <w:r>
              <w:rPr>
                <w:rFonts w:ascii="Times New Roman" w:hAnsi="Times New Roman"/>
                <w:noProof/>
                <w:webHidden/>
                <w:sz w:val="20"/>
                <w:szCs w:val="20"/>
              </w:rPr>
              <w:t>59</w:t>
            </w:r>
            <w:r>
              <w:rPr>
                <w:rFonts w:ascii="Times New Roman" w:hAnsi="Times New Roman"/>
                <w:noProof/>
                <w:webHidden/>
                <w:sz w:val="20"/>
                <w:szCs w:val="20"/>
              </w:rPr>
              <w:fldChar w:fldCharType="end"/>
            </w:r>
          </w:hyperlink>
        </w:p>
        <w:p w:rsidR="00EB6A7B" w:rsidRDefault="001E7ACC">
          <w:pPr>
            <w:pStyle w:val="TOC1"/>
            <w:rPr>
              <w:rFonts w:ascii="Times New Roman" w:eastAsiaTheme="minorEastAsia" w:hAnsi="Times New Roman"/>
              <w:caps w:val="0"/>
              <w:noProof/>
              <w:sz w:val="20"/>
              <w:szCs w:val="20"/>
              <w:lang w:eastAsia="en-GB"/>
            </w:rPr>
          </w:pPr>
          <w:hyperlink w:anchor="_Toc498521080" w:history="1">
            <w:r>
              <w:rPr>
                <w:rStyle w:val="Hyperlink"/>
                <w:rFonts w:ascii="Times New Roman" w:hAnsi="Times New Roman"/>
                <w:noProof/>
                <w:sz w:val="20"/>
                <w:szCs w:val="20"/>
              </w:rPr>
              <w:t>ANNEX IV: CONTEXT</w:t>
            </w:r>
            <w:r>
              <w:rPr>
                <w:rFonts w:ascii="Times New Roman" w:hAnsi="Times New Roman"/>
                <w:noProof/>
                <w:webHidden/>
                <w:sz w:val="20"/>
                <w:szCs w:val="20"/>
              </w:rPr>
              <w:tab/>
            </w:r>
            <w:r>
              <w:rPr>
                <w:rFonts w:ascii="Times New Roman" w:hAnsi="Times New Roman"/>
                <w:noProof/>
                <w:webHidden/>
                <w:sz w:val="20"/>
                <w:szCs w:val="20"/>
              </w:rPr>
              <w:fldChar w:fldCharType="begin"/>
            </w:r>
            <w:r>
              <w:rPr>
                <w:rFonts w:ascii="Times New Roman" w:hAnsi="Times New Roman"/>
                <w:noProof/>
                <w:webHidden/>
                <w:sz w:val="20"/>
                <w:szCs w:val="20"/>
              </w:rPr>
              <w:instrText xml:space="preserve"> PAGEREF _Toc498521080 \h </w:instrText>
            </w:r>
            <w:r>
              <w:rPr>
                <w:rFonts w:ascii="Times New Roman" w:hAnsi="Times New Roman"/>
                <w:noProof/>
                <w:webHidden/>
                <w:sz w:val="20"/>
                <w:szCs w:val="20"/>
              </w:rPr>
            </w:r>
            <w:r>
              <w:rPr>
                <w:rFonts w:ascii="Times New Roman" w:hAnsi="Times New Roman"/>
                <w:noProof/>
                <w:webHidden/>
                <w:sz w:val="20"/>
                <w:szCs w:val="20"/>
              </w:rPr>
              <w:fldChar w:fldCharType="separate"/>
            </w:r>
            <w:r>
              <w:rPr>
                <w:rFonts w:ascii="Times New Roman" w:hAnsi="Times New Roman"/>
                <w:noProof/>
                <w:webHidden/>
                <w:sz w:val="20"/>
                <w:szCs w:val="20"/>
              </w:rPr>
              <w:t>65</w:t>
            </w:r>
            <w:r>
              <w:rPr>
                <w:rFonts w:ascii="Times New Roman" w:hAnsi="Times New Roman"/>
                <w:noProof/>
                <w:webHidden/>
                <w:sz w:val="20"/>
                <w:szCs w:val="20"/>
              </w:rPr>
              <w:fldChar w:fldCharType="end"/>
            </w:r>
          </w:hyperlink>
        </w:p>
        <w:p w:rsidR="00EB6A7B" w:rsidRDefault="001E7ACC">
          <w:pPr>
            <w:pStyle w:val="TOC1"/>
            <w:rPr>
              <w:rFonts w:ascii="Times New Roman" w:hAnsi="Times New Roman"/>
              <w:noProof/>
              <w:sz w:val="20"/>
              <w:szCs w:val="20"/>
            </w:rPr>
          </w:pPr>
          <w:r>
            <w:rPr>
              <w:rFonts w:ascii="Times New Roman" w:hAnsi="Times New Roman"/>
              <w:bCs/>
              <w:noProof/>
              <w:sz w:val="20"/>
              <w:szCs w:val="20"/>
            </w:rPr>
            <w:fldChar w:fldCharType="end"/>
          </w:r>
        </w:p>
      </w:sdtContent>
    </w:sdt>
    <w:p w:rsidR="00EB6A7B" w:rsidRDefault="001E7ACC">
      <w:pPr>
        <w:pStyle w:val="Heading1"/>
        <w:numPr>
          <w:ilvl w:val="0"/>
          <w:numId w:val="0"/>
        </w:numPr>
        <w:rPr>
          <w:noProof/>
        </w:rPr>
      </w:pPr>
      <w:bookmarkStart w:id="1" w:name="_Toc485715093"/>
      <w:bookmarkStart w:id="2" w:name="_Toc486261745"/>
      <w:bookmarkStart w:id="3" w:name="_Toc486261983"/>
      <w:bookmarkStart w:id="4" w:name="_Toc486262031"/>
      <w:bookmarkStart w:id="5" w:name="_Toc486262089"/>
      <w:bookmarkStart w:id="6" w:name="_Toc485715094"/>
      <w:bookmarkStart w:id="7" w:name="_Toc486261746"/>
      <w:bookmarkStart w:id="8" w:name="_Toc486261984"/>
      <w:bookmarkStart w:id="9" w:name="_Toc486262032"/>
      <w:bookmarkStart w:id="10" w:name="_Toc486262090"/>
      <w:bookmarkStart w:id="11" w:name="_Toc485715095"/>
      <w:bookmarkStart w:id="12" w:name="_Toc486261747"/>
      <w:bookmarkStart w:id="13" w:name="_Toc486261985"/>
      <w:bookmarkStart w:id="14" w:name="_Toc486262033"/>
      <w:bookmarkStart w:id="15" w:name="_Toc486262091"/>
      <w:bookmarkStart w:id="16" w:name="_Toc498521039"/>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noProof/>
        </w:rPr>
        <w:lastRenderedPageBreak/>
        <w:t>1. Introduction</w:t>
      </w:r>
      <w:bookmarkEnd w:id="16"/>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 xml:space="preserve">The purpose of this </w:t>
      </w:r>
      <w:r>
        <w:rPr>
          <w:rFonts w:ascii="Times New Roman" w:hAnsi="Times New Roman" w:cs="Times New Roman"/>
          <w:noProof/>
          <w:sz w:val="24"/>
          <w:szCs w:val="24"/>
        </w:rPr>
        <w:t>evaluation is to assess the functioning of the Directive 2004/48/EC on the enforcement of intellectual property rights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("Directive", "IPR Enforcement Directive") in terms of its effectiveness, efficiency, coherence, relevance and EU added value.</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The Direc</w:t>
      </w:r>
      <w:r>
        <w:rPr>
          <w:rFonts w:ascii="Times New Roman" w:hAnsi="Times New Roman" w:cs="Times New Roman"/>
          <w:noProof/>
          <w:sz w:val="24"/>
          <w:szCs w:val="24"/>
        </w:rPr>
        <w:t>tive was adopted on 29 April 2004 and aims to contribute to creating a level playing field for the enforcement of intellectual property rights ("IPRs") in the EU and thus requires Member States to provide for certain measures, procedures and remedies to en</w:t>
      </w:r>
      <w:r>
        <w:rPr>
          <w:rFonts w:ascii="Times New Roman" w:hAnsi="Times New Roman" w:cs="Times New Roman"/>
          <w:noProof/>
          <w:sz w:val="24"/>
          <w:szCs w:val="24"/>
        </w:rPr>
        <w:t>sure the protection of IP. For the purpose of the Directive, IPRs include industrial property rights (Article 1)</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This evaluation provides an assessme</w:t>
      </w:r>
      <w:bookmarkStart w:id="17" w:name="_GoBack"/>
      <w:bookmarkEnd w:id="17"/>
      <w:r>
        <w:rPr>
          <w:rFonts w:ascii="Times New Roman" w:hAnsi="Times New Roman" w:cs="Times New Roman"/>
          <w:noProof/>
          <w:sz w:val="24"/>
          <w:szCs w:val="24"/>
        </w:rPr>
        <w:t>nt on whether the measures, procedures and remedies established by the Directive constitute a solid IPR e</w:t>
      </w:r>
      <w:r>
        <w:rPr>
          <w:rFonts w:ascii="Times New Roman" w:hAnsi="Times New Roman" w:cs="Times New Roman"/>
          <w:noProof/>
          <w:sz w:val="24"/>
          <w:szCs w:val="24"/>
        </w:rPr>
        <w:t>nforcement toolkit, whether they are fit for purpose and achieve their objectives, inter alia in the digital environment.</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While the Member States should have complied with the provisions of the Directive by 29 April 2006, the Directive was implemented over</w:t>
      </w:r>
      <w:r>
        <w:rPr>
          <w:rFonts w:ascii="Times New Roman" w:hAnsi="Times New Roman" w:cs="Times New Roman"/>
          <w:noProof/>
          <w:sz w:val="24"/>
          <w:szCs w:val="24"/>
        </w:rPr>
        <w:t xml:space="preserve"> a range of years up to 2009. The scope of the evaluation covers 28 Member States and the impacts of the Directive on the functioning of the internal market in relation to IPR enforcement since its entry into force.</w:t>
      </w:r>
    </w:p>
    <w:p w:rsidR="00EB6A7B" w:rsidRDefault="001E7ACC">
      <w:pPr>
        <w:pStyle w:val="Text1"/>
        <w:ind w:left="0"/>
        <w:rPr>
          <w:noProof/>
        </w:rPr>
      </w:pPr>
      <w:r>
        <w:rPr>
          <w:rFonts w:eastAsia="MS PGothic"/>
          <w:noProof/>
        </w:rPr>
        <w:t xml:space="preserve">This report is based in particular </w:t>
      </w:r>
      <w:r>
        <w:rPr>
          <w:noProof/>
        </w:rPr>
        <w:t xml:space="preserve">on a </w:t>
      </w:r>
      <w:r>
        <w:rPr>
          <w:noProof/>
        </w:rPr>
        <w:t>study for an ex-post evaluation of the Directive</w:t>
      </w:r>
      <w:r>
        <w:rPr>
          <w:rStyle w:val="FootnoteReference"/>
          <w:noProof/>
        </w:rPr>
        <w:footnoteReference w:id="4"/>
      </w:r>
      <w:r>
        <w:rPr>
          <w:noProof/>
        </w:rPr>
        <w:t xml:space="preserve"> which includes an open online public consultation carried out between 5 December 2015 and 15 April 2016</w:t>
      </w:r>
      <w:r>
        <w:rPr>
          <w:rStyle w:val="FootnoteReference"/>
          <w:noProof/>
        </w:rPr>
        <w:footnoteReference w:id="5"/>
      </w:r>
      <w:r>
        <w:rPr>
          <w:noProof/>
        </w:rPr>
        <w:t xml:space="preserve"> as well as several stakeholders' consultation activities</w:t>
      </w:r>
      <w:r>
        <w:rPr>
          <w:rStyle w:val="FootnoteReference"/>
          <w:noProof/>
        </w:rPr>
        <w:footnoteReference w:id="6"/>
      </w:r>
      <w:r>
        <w:rPr>
          <w:noProof/>
        </w:rPr>
        <w:t xml:space="preserve"> and extensive desk research.</w:t>
      </w:r>
    </w:p>
    <w:p w:rsidR="00EB6A7B" w:rsidRDefault="001E7ACC">
      <w:pPr>
        <w:pStyle w:val="Heading1"/>
        <w:numPr>
          <w:ilvl w:val="0"/>
          <w:numId w:val="0"/>
        </w:numPr>
        <w:rPr>
          <w:noProof/>
        </w:rPr>
      </w:pPr>
      <w:bookmarkStart w:id="18" w:name="_Toc498521040"/>
      <w:r>
        <w:rPr>
          <w:noProof/>
        </w:rPr>
        <w:t xml:space="preserve">2. Background </w:t>
      </w:r>
      <w:r>
        <w:rPr>
          <w:noProof/>
        </w:rPr>
        <w:t>to the initiative</w:t>
      </w:r>
      <w:bookmarkEnd w:id="18"/>
    </w:p>
    <w:p w:rsidR="00EB6A7B" w:rsidRDefault="001E7ACC">
      <w:pPr>
        <w:pStyle w:val="Heading2"/>
        <w:numPr>
          <w:ilvl w:val="0"/>
          <w:numId w:val="0"/>
        </w:numPr>
        <w:ind w:left="1800" w:hanging="1800"/>
        <w:rPr>
          <w:noProof/>
        </w:rPr>
      </w:pPr>
      <w:bookmarkStart w:id="19" w:name="_Toc498521041"/>
      <w:r>
        <w:rPr>
          <w:noProof/>
        </w:rPr>
        <w:t>2.1. the objective of the Directive</w:t>
      </w:r>
      <w:bookmarkEnd w:id="19"/>
    </w:p>
    <w:p w:rsidR="00EB6A7B" w:rsidRDefault="001E7ACC">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Before the adoption of the Directive, Member States had developed diverse set of rules and procedures for addressing IPR enforcement, which was found to be detrimental to the functioning of the internal</w:t>
      </w:r>
      <w:r>
        <w:rPr>
          <w:rFonts w:ascii="Times New Roman" w:hAnsi="Times New Roman" w:cs="Times New Roman"/>
          <w:noProof/>
          <w:sz w:val="24"/>
          <w:szCs w:val="24"/>
          <w:lang w:val="en"/>
        </w:rPr>
        <w:t xml:space="preserve"> market. Therefore, the Directive was the first instrument to address IPR enforcement for IP rights with the objective to approximate legislative systems so as to ensure a high, equivalent and homogeneous level of protection of IP rights in the internal ma</w:t>
      </w:r>
      <w:r>
        <w:rPr>
          <w:rFonts w:ascii="Times New Roman" w:hAnsi="Times New Roman" w:cs="Times New Roman"/>
          <w:noProof/>
          <w:sz w:val="24"/>
          <w:szCs w:val="24"/>
          <w:lang w:val="en"/>
        </w:rPr>
        <w:t xml:space="preserve">rket (Recital 10). Within this context, the Directive sets out measures, procedures and remedies necessary to ensure the enforcement of intellectual property rights (Article 1). This </w:t>
      </w:r>
      <w:r>
        <w:rPr>
          <w:rFonts w:ascii="Times New Roman" w:hAnsi="Times New Roman" w:cs="Times New Roman"/>
          <w:noProof/>
          <w:sz w:val="24"/>
          <w:szCs w:val="24"/>
          <w:lang w:val="en"/>
        </w:rPr>
        <w:lastRenderedPageBreak/>
        <w:t>includes general obligations and specific provisions on legal standing, e</w:t>
      </w:r>
      <w:r>
        <w:rPr>
          <w:rFonts w:ascii="Times New Roman" w:hAnsi="Times New Roman" w:cs="Times New Roman"/>
          <w:noProof/>
          <w:sz w:val="24"/>
          <w:szCs w:val="24"/>
          <w:lang w:val="en"/>
        </w:rPr>
        <w:t xml:space="preserve">vidence and information, interlocutory measures, seizures and injunctions, damages and legal costs and judicial publication. </w:t>
      </w:r>
    </w:p>
    <w:p w:rsidR="00EB6A7B" w:rsidRDefault="001E7ACC">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The protection of IP is important not only for promoting innovation and creativity, but also for improving competitiveness, preser</w:t>
      </w:r>
      <w:r>
        <w:rPr>
          <w:rFonts w:ascii="Times New Roman" w:hAnsi="Times New Roman" w:cs="Times New Roman"/>
          <w:noProof/>
          <w:sz w:val="24"/>
          <w:szCs w:val="24"/>
          <w:lang w:val="en"/>
        </w:rPr>
        <w:t>ving employment, ensuring fair and equal competition, and preventing tax losses and market destabilisation. All these aspects are reflected in the intervention logic of the Directive, presented in Figure 1 below.</w:t>
      </w:r>
    </w:p>
    <w:p w:rsidR="00EB6A7B" w:rsidRDefault="00EB6A7B">
      <w:pPr>
        <w:jc w:val="both"/>
        <w:rPr>
          <w:rFonts w:ascii="Times New Roman" w:hAnsi="Times New Roman" w:cs="Times New Roman"/>
          <w:i/>
          <w:noProof/>
          <w:sz w:val="20"/>
          <w:szCs w:val="20"/>
          <w:lang w:val="en"/>
        </w:rPr>
      </w:pPr>
    </w:p>
    <w:p w:rsidR="00EB6A7B" w:rsidRDefault="001E7ACC">
      <w:pPr>
        <w:jc w:val="center"/>
        <w:rPr>
          <w:rFonts w:ascii="Times New Roman" w:hAnsi="Times New Roman" w:cs="Times New Roman"/>
          <w:noProof/>
          <w:sz w:val="24"/>
          <w:szCs w:val="24"/>
          <w:lang w:val="en"/>
        </w:rPr>
      </w:pPr>
      <w:r>
        <w:rPr>
          <w:rFonts w:ascii="Times New Roman" w:hAnsi="Times New Roman" w:cs="Times New Roman"/>
          <w:i/>
          <w:noProof/>
          <w:sz w:val="20"/>
          <w:szCs w:val="20"/>
          <w:lang w:val="en"/>
        </w:rPr>
        <w:t>Figure 1 – Brief description of the differ</w:t>
      </w:r>
      <w:r>
        <w:rPr>
          <w:rFonts w:ascii="Times New Roman" w:hAnsi="Times New Roman" w:cs="Times New Roman"/>
          <w:i/>
          <w:noProof/>
          <w:sz w:val="20"/>
          <w:szCs w:val="20"/>
          <w:lang w:val="en"/>
        </w:rPr>
        <w:t xml:space="preserve">ent components of the Directive, its objectives and its expected outcomes </w:t>
      </w:r>
      <w:r>
        <w:rPr>
          <w:rFonts w:ascii="Times New Roman" w:hAnsi="Times New Roman" w:cs="Times New Roman"/>
          <w:noProof/>
          <w:sz w:val="20"/>
          <w:szCs w:val="20"/>
          <w:lang w:eastAsia="en-GB"/>
        </w:rPr>
        <w:drawing>
          <wp:inline distT="0" distB="0" distL="0" distR="0">
            <wp:extent cx="5755640" cy="4732200"/>
            <wp:effectExtent l="0" t="0" r="0" b="0"/>
            <wp:docPr id="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5640" cy="4732200"/>
                    </a:xfrm>
                    <a:prstGeom prst="rect">
                      <a:avLst/>
                    </a:prstGeom>
                  </pic:spPr>
                </pic:pic>
              </a:graphicData>
            </a:graphic>
          </wp:inline>
        </w:drawing>
      </w:r>
    </w:p>
    <w:p w:rsidR="00EB6A7B" w:rsidRDefault="001E7ACC">
      <w:pPr>
        <w:pStyle w:val="Heading2"/>
        <w:numPr>
          <w:ilvl w:val="0"/>
          <w:numId w:val="0"/>
        </w:numPr>
        <w:ind w:left="1800" w:hanging="1800"/>
        <w:rPr>
          <w:noProof/>
        </w:rPr>
      </w:pPr>
      <w:bookmarkStart w:id="20" w:name="_Toc486261752"/>
      <w:bookmarkStart w:id="21" w:name="_Toc486261990"/>
      <w:bookmarkStart w:id="22" w:name="_Toc486262038"/>
      <w:bookmarkStart w:id="23" w:name="_Toc486262096"/>
      <w:bookmarkStart w:id="24" w:name="_Toc486261753"/>
      <w:bookmarkStart w:id="25" w:name="_Toc486261991"/>
      <w:bookmarkStart w:id="26" w:name="_Toc486262039"/>
      <w:bookmarkStart w:id="27" w:name="_Toc486262097"/>
      <w:bookmarkStart w:id="28" w:name="_Toc486261754"/>
      <w:bookmarkStart w:id="29" w:name="_Toc486261992"/>
      <w:bookmarkStart w:id="30" w:name="_Toc486262040"/>
      <w:bookmarkStart w:id="31" w:name="_Toc486262098"/>
      <w:bookmarkStart w:id="32" w:name="_Toc486261755"/>
      <w:bookmarkStart w:id="33" w:name="_Toc486261993"/>
      <w:bookmarkStart w:id="34" w:name="_Toc486262041"/>
      <w:bookmarkStart w:id="35" w:name="_Toc486262099"/>
      <w:bookmarkStart w:id="36" w:name="_Toc498521042"/>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noProof/>
        </w:rPr>
        <w:t>2.2. the Directive and national civil redress procedures</w:t>
      </w:r>
      <w:bookmarkEnd w:id="36"/>
    </w:p>
    <w:p w:rsidR="00EB6A7B" w:rsidRDefault="001E7ACC">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The Directive seeks to provide harmonisation of national civil redress rules and procedures to ensure that all Member States have a similar minimum set of measures available primarily for rightholders to defend their IPRs. </w:t>
      </w:r>
    </w:p>
    <w:p w:rsidR="00EB6A7B" w:rsidRDefault="001E7ACC">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However, the Directive does not </w:t>
      </w:r>
      <w:r>
        <w:rPr>
          <w:rFonts w:ascii="Times New Roman" w:hAnsi="Times New Roman" w:cs="Times New Roman"/>
          <w:noProof/>
          <w:sz w:val="24"/>
          <w:szCs w:val="24"/>
          <w:lang w:val="en"/>
        </w:rPr>
        <w:t>intend to provide for a full harmonisation of these measures, procedures and remedies, but does apply without prejudice to the means which are or may be provided for in EU or national legislation, in so far as those means may be more</w:t>
      </w:r>
      <w:r>
        <w:rPr>
          <w:rFonts w:ascii="Times New Roman" w:hAnsi="Times New Roman" w:cs="Times New Roman"/>
          <w:noProof/>
          <w:sz w:val="24"/>
          <w:szCs w:val="24"/>
        </w:rPr>
        <w:t xml:space="preserve"> favourable</w:t>
      </w:r>
      <w:r>
        <w:rPr>
          <w:rFonts w:ascii="Times New Roman" w:hAnsi="Times New Roman" w:cs="Times New Roman"/>
          <w:noProof/>
          <w:sz w:val="24"/>
          <w:szCs w:val="24"/>
          <w:lang w:val="en"/>
        </w:rPr>
        <w:t xml:space="preserve"> for rightho</w:t>
      </w:r>
      <w:r>
        <w:rPr>
          <w:rFonts w:ascii="Times New Roman" w:hAnsi="Times New Roman" w:cs="Times New Roman"/>
          <w:noProof/>
          <w:sz w:val="24"/>
          <w:szCs w:val="24"/>
          <w:lang w:val="en"/>
        </w:rPr>
        <w:t>lders, and thus contains only minimum harmonisation rules (Article 2(1)).</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lang w:val="en"/>
        </w:rPr>
        <w:lastRenderedPageBreak/>
        <w:t>Therefore, enforcement of IPRs is not limited to a single Directive, but it encompasses an enforcement system with complementing parts going beyond the Directive's scope. This nation</w:t>
      </w:r>
      <w:r>
        <w:rPr>
          <w:rFonts w:ascii="Times New Roman" w:hAnsi="Times New Roman" w:cs="Times New Roman"/>
          <w:noProof/>
          <w:sz w:val="24"/>
          <w:szCs w:val="24"/>
          <w:lang w:val="en"/>
        </w:rPr>
        <w:t xml:space="preserve">al civil enforcement pillar, composed first and foremost of the national procedural civil law, is critical for the success of the Directive, since </w:t>
      </w:r>
      <w:r>
        <w:rPr>
          <w:rFonts w:ascii="Times New Roman" w:hAnsi="Times New Roman" w:cs="Times New Roman"/>
          <w:noProof/>
          <w:sz w:val="24"/>
          <w:szCs w:val="24"/>
        </w:rPr>
        <w:t>the effectiveness of the instruments provided for by the Directive depends on the effectiveness of the overal</w:t>
      </w:r>
      <w:r>
        <w:rPr>
          <w:rFonts w:ascii="Times New Roman" w:hAnsi="Times New Roman" w:cs="Times New Roman"/>
          <w:noProof/>
          <w:sz w:val="24"/>
          <w:szCs w:val="24"/>
        </w:rPr>
        <w:t xml:space="preserve">l justice system. </w:t>
      </w:r>
    </w:p>
    <w:p w:rsidR="00EB6A7B" w:rsidRDefault="001E7ACC">
      <w:pPr>
        <w:jc w:val="both"/>
        <w:rPr>
          <w:rFonts w:ascii="Times New Roman" w:hAnsi="Times New Roman" w:cs="Times New Roman"/>
          <w:i/>
          <w:noProof/>
          <w:sz w:val="24"/>
          <w:szCs w:val="24"/>
          <w:lang w:val="en"/>
        </w:rPr>
      </w:pPr>
      <w:r>
        <w:rPr>
          <w:rFonts w:ascii="Times New Roman" w:hAnsi="Times New Roman" w:cs="Times New Roman"/>
          <w:noProof/>
          <w:sz w:val="24"/>
          <w:szCs w:val="24"/>
          <w:lang w:val="en"/>
        </w:rPr>
        <w:t>Finally, as provided in its Article 3, the means that the Directive sets out to be transposed by the Member States must be "fair and equitable" and must not be “unnecessarily complicated or costly, or entail unreasonable time-limits or u</w:t>
      </w:r>
      <w:r>
        <w:rPr>
          <w:rFonts w:ascii="Times New Roman" w:hAnsi="Times New Roman" w:cs="Times New Roman"/>
          <w:noProof/>
          <w:sz w:val="24"/>
          <w:szCs w:val="24"/>
          <w:lang w:val="en"/>
        </w:rPr>
        <w:t>nwarranted delays”. They must furthermore be effective, proportionate and dissuasive and must not act as barriers to legitimate trade and provide safeguards against abuse.</w:t>
      </w:r>
    </w:p>
    <w:p w:rsidR="00EB6A7B" w:rsidRDefault="001E7ACC">
      <w:pPr>
        <w:pStyle w:val="Heading2"/>
        <w:numPr>
          <w:ilvl w:val="0"/>
          <w:numId w:val="0"/>
        </w:numPr>
        <w:ind w:left="1800" w:hanging="1800"/>
        <w:rPr>
          <w:noProof/>
        </w:rPr>
      </w:pPr>
      <w:bookmarkStart w:id="37" w:name="_Toc498521043"/>
      <w:r>
        <w:rPr>
          <w:noProof/>
        </w:rPr>
        <w:t>2.3. Context of this Evaluation</w:t>
      </w:r>
      <w:bookmarkEnd w:id="37"/>
    </w:p>
    <w:p w:rsidR="00EB6A7B" w:rsidRDefault="001E7ACC">
      <w:pPr>
        <w:pStyle w:val="NormalWeb"/>
        <w:spacing w:after="200" w:afterAutospacing="0" w:line="276" w:lineRule="auto"/>
        <w:jc w:val="both"/>
        <w:rPr>
          <w:noProof/>
        </w:rPr>
      </w:pPr>
      <w:r>
        <w:rPr>
          <w:noProof/>
        </w:rPr>
        <w:t>Prior to the adoption of the Directive, a diverse se</w:t>
      </w:r>
      <w:r>
        <w:rPr>
          <w:noProof/>
        </w:rPr>
        <w:t>t of rules, procedures and practices relating to the enforcement of IPRs developed among Member States which was found to be detrimental to the good functioning of the internal market. Therefore, the Directive was the first horizontal tool to address IPR e</w:t>
      </w:r>
      <w:r>
        <w:rPr>
          <w:noProof/>
        </w:rPr>
        <w:t>nforcement with the aim to 'approximate legislative systems so as to ensure a high, equivalent and homogeneous level of protection in the internal market' (Recital 10).</w:t>
      </w:r>
    </w:p>
    <w:p w:rsidR="00EB6A7B" w:rsidRDefault="001E7ACC">
      <w:pPr>
        <w:pStyle w:val="NormalWeb"/>
        <w:spacing w:after="200" w:afterAutospacing="0" w:line="276" w:lineRule="auto"/>
        <w:jc w:val="both"/>
        <w:rPr>
          <w:noProof/>
        </w:rPr>
      </w:pPr>
      <w:r>
        <w:rPr>
          <w:noProof/>
        </w:rPr>
        <w:t>This evaluation started in December 2015 and is based, in particular, on a study for an</w:t>
      </w:r>
      <w:r>
        <w:rPr>
          <w:noProof/>
        </w:rPr>
        <w:t xml:space="preserve"> ex-post evaluation of the Directive</w:t>
      </w:r>
      <w:r>
        <w:rPr>
          <w:rStyle w:val="FootnoteReference"/>
          <w:noProof/>
        </w:rPr>
        <w:footnoteReference w:id="7"/>
      </w:r>
      <w:r>
        <w:rPr>
          <w:noProof/>
        </w:rPr>
        <w:t xml:space="preserve"> which includes an open online public consultation carried out between 5 December 2015 and 15 April 2016</w:t>
      </w:r>
      <w:r>
        <w:rPr>
          <w:rStyle w:val="FootnoteReference"/>
          <w:noProof/>
        </w:rPr>
        <w:footnoteReference w:id="8"/>
      </w:r>
      <w:r>
        <w:rPr>
          <w:noProof/>
        </w:rPr>
        <w:t xml:space="preserve"> as well as several stakeholders consultation activities</w:t>
      </w:r>
      <w:r>
        <w:rPr>
          <w:rStyle w:val="FootnoteReference"/>
          <w:noProof/>
        </w:rPr>
        <w:footnoteReference w:id="9"/>
      </w:r>
      <w:r>
        <w:rPr>
          <w:noProof/>
        </w:rPr>
        <w:t xml:space="preserve"> and extensive desk research..</w:t>
      </w:r>
    </w:p>
    <w:p w:rsidR="00EB6A7B" w:rsidRDefault="001E7ACC">
      <w:pPr>
        <w:spacing w:after="0"/>
        <w:jc w:val="both"/>
        <w:rPr>
          <w:rFonts w:ascii="Times New Roman" w:hAnsi="Times New Roman" w:cs="Times New Roman"/>
          <w:noProof/>
          <w:sz w:val="24"/>
          <w:szCs w:val="24"/>
          <w:lang w:val="en"/>
        </w:rPr>
      </w:pPr>
      <w:r>
        <w:rPr>
          <w:rFonts w:ascii="Times New Roman" w:hAnsi="Times New Roman" w:cs="Times New Roman"/>
          <w:noProof/>
          <w:sz w:val="24"/>
          <w:szCs w:val="24"/>
          <w:lang w:val="en"/>
        </w:rPr>
        <w:t>As prescribed in its Artic</w:t>
      </w:r>
      <w:r>
        <w:rPr>
          <w:rFonts w:ascii="Times New Roman" w:hAnsi="Times New Roman" w:cs="Times New Roman"/>
          <w:noProof/>
          <w:sz w:val="24"/>
          <w:szCs w:val="24"/>
          <w:lang w:val="en"/>
        </w:rPr>
        <w:t>le 18, an analysis of the Directive's application was conducted three years after the Directive's transposition deadline.</w:t>
      </w:r>
      <w:r>
        <w:rPr>
          <w:rFonts w:ascii="Times New Roman" w:eastAsia="MS PGothic" w:hAnsi="Times New Roman" w:cs="Times New Roman"/>
          <w:noProof/>
          <w:sz w:val="24"/>
          <w:szCs w:val="24"/>
        </w:rPr>
        <w:t xml:space="preserve"> This analysis provided for a first although incomplete review, mostly because in some of the Member States the implementation process </w:t>
      </w:r>
      <w:r>
        <w:rPr>
          <w:rFonts w:ascii="Times New Roman" w:eastAsia="MS PGothic" w:hAnsi="Times New Roman" w:cs="Times New Roman"/>
          <w:noProof/>
          <w:sz w:val="24"/>
          <w:szCs w:val="24"/>
        </w:rPr>
        <w:t xml:space="preserve">was only finalised in 2009. </w:t>
      </w:r>
      <w:r>
        <w:rPr>
          <w:rFonts w:ascii="Times New Roman" w:hAnsi="Times New Roman" w:cs="Times New Roman"/>
          <w:noProof/>
          <w:sz w:val="24"/>
          <w:szCs w:val="24"/>
          <w:lang w:val="en"/>
        </w:rPr>
        <w:t>In its result the Commission concluded that the Directive had a substantial and positive effect on the civil enforcement of IPRs in the EU</w:t>
      </w:r>
      <w:r>
        <w:rPr>
          <w:rFonts w:ascii="Times New Roman" w:hAnsi="Times New Roman" w:cs="Times New Roman"/>
          <w:noProof/>
          <w:sz w:val="24"/>
          <w:szCs w:val="24"/>
          <w:vertAlign w:val="superscript"/>
          <w:lang w:val="en"/>
        </w:rPr>
        <w:footnoteReference w:id="10"/>
      </w:r>
      <w:r>
        <w:rPr>
          <w:rFonts w:ascii="Times New Roman" w:hAnsi="Times New Roman" w:cs="Times New Roman"/>
          <w:noProof/>
          <w:sz w:val="24"/>
          <w:szCs w:val="24"/>
          <w:lang w:val="en"/>
        </w:rPr>
        <w:t xml:space="preserve">. Nonetheless, the report underlined that several issues could deserve further attention, namely: </w:t>
      </w:r>
    </w:p>
    <w:p w:rsidR="00EB6A7B" w:rsidRDefault="001E7ACC">
      <w:pPr>
        <w:numPr>
          <w:ilvl w:val="0"/>
          <w:numId w:val="2"/>
        </w:numPr>
        <w:contextualSpacing/>
        <w:jc w:val="both"/>
        <w:rPr>
          <w:rFonts w:ascii="Times New Roman" w:hAnsi="Times New Roman" w:cs="Times New Roman"/>
          <w:noProof/>
          <w:sz w:val="24"/>
          <w:szCs w:val="24"/>
          <w:lang w:val="en"/>
        </w:rPr>
      </w:pPr>
      <w:r>
        <w:rPr>
          <w:rFonts w:ascii="Times New Roman" w:hAnsi="Times New Roman" w:cs="Times New Roman"/>
          <w:noProof/>
          <w:sz w:val="24"/>
          <w:szCs w:val="24"/>
          <w:lang w:val="en"/>
        </w:rPr>
        <w:t>the challenge posed by the online infringements of IPRs,</w:t>
      </w:r>
    </w:p>
    <w:p w:rsidR="00EB6A7B" w:rsidRDefault="001E7ACC">
      <w:pPr>
        <w:numPr>
          <w:ilvl w:val="0"/>
          <w:numId w:val="2"/>
        </w:numPr>
        <w:contextualSpacing/>
        <w:jc w:val="both"/>
        <w:rPr>
          <w:rFonts w:ascii="Times New Roman" w:hAnsi="Times New Roman" w:cs="Times New Roman"/>
          <w:noProof/>
          <w:sz w:val="24"/>
          <w:szCs w:val="24"/>
          <w:lang w:val="en"/>
        </w:rPr>
      </w:pPr>
      <w:r>
        <w:rPr>
          <w:rFonts w:ascii="Times New Roman" w:hAnsi="Times New Roman" w:cs="Times New Roman"/>
          <w:noProof/>
          <w:sz w:val="24"/>
          <w:szCs w:val="24"/>
          <w:lang w:val="en"/>
        </w:rPr>
        <w:t>the use of provisional and precautionary measures such as injunctions,</w:t>
      </w:r>
    </w:p>
    <w:p w:rsidR="00EB6A7B" w:rsidRDefault="001E7ACC">
      <w:pPr>
        <w:numPr>
          <w:ilvl w:val="0"/>
          <w:numId w:val="2"/>
        </w:numPr>
        <w:contextualSpacing/>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procedures to gather and preserve evidence </w:t>
      </w:r>
    </w:p>
    <w:p w:rsidR="00EB6A7B" w:rsidRDefault="001E7ACC">
      <w:pPr>
        <w:numPr>
          <w:ilvl w:val="0"/>
          <w:numId w:val="2"/>
        </w:numPr>
        <w:contextualSpacing/>
        <w:jc w:val="both"/>
        <w:rPr>
          <w:rFonts w:ascii="Times New Roman" w:hAnsi="Times New Roman" w:cs="Times New Roman"/>
          <w:noProof/>
          <w:sz w:val="24"/>
          <w:szCs w:val="24"/>
          <w:lang w:val="en"/>
        </w:rPr>
      </w:pPr>
      <w:r>
        <w:rPr>
          <w:rFonts w:ascii="Times New Roman" w:hAnsi="Times New Roman" w:cs="Times New Roman"/>
          <w:noProof/>
          <w:sz w:val="24"/>
          <w:szCs w:val="24"/>
          <w:lang w:val="en"/>
        </w:rPr>
        <w:t>the relationship between the right of information and protection of privacy,</w:t>
      </w:r>
    </w:p>
    <w:p w:rsidR="00EB6A7B" w:rsidRDefault="001E7ACC">
      <w:pPr>
        <w:numPr>
          <w:ilvl w:val="0"/>
          <w:numId w:val="2"/>
        </w:numPr>
        <w:spacing w:after="0"/>
        <w:ind w:left="357" w:hanging="357"/>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the meaning of various corrective measures, including the costs of destruction, and </w:t>
      </w:r>
    </w:p>
    <w:p w:rsidR="00EB6A7B" w:rsidRDefault="001E7ACC">
      <w:pPr>
        <w:numPr>
          <w:ilvl w:val="0"/>
          <w:numId w:val="2"/>
        </w:numPr>
        <w:ind w:left="357" w:hanging="357"/>
        <w:jc w:val="both"/>
        <w:rPr>
          <w:rFonts w:ascii="Times New Roman" w:hAnsi="Times New Roman" w:cs="Times New Roman"/>
          <w:noProof/>
          <w:sz w:val="24"/>
          <w:szCs w:val="24"/>
          <w:lang w:val="en"/>
        </w:rPr>
      </w:pPr>
      <w:r>
        <w:rPr>
          <w:rFonts w:ascii="Times New Roman" w:hAnsi="Times New Roman" w:cs="Times New Roman"/>
          <w:noProof/>
          <w:sz w:val="24"/>
          <w:szCs w:val="24"/>
          <w:lang w:val="en"/>
        </w:rPr>
        <w:lastRenderedPageBreak/>
        <w:t xml:space="preserve">the calculation of damages. </w:t>
      </w:r>
    </w:p>
    <w:p w:rsidR="00EB6A7B" w:rsidRDefault="001E7ACC">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Due to the Directive'</w:t>
      </w:r>
      <w:r>
        <w:rPr>
          <w:rFonts w:ascii="Times New Roman" w:hAnsi="Times New Roman" w:cs="Times New Roman"/>
          <w:noProof/>
          <w:sz w:val="24"/>
          <w:szCs w:val="24"/>
          <w:lang w:val="en"/>
        </w:rPr>
        <w:t>s late implementation and unavailability of competent judicial authorities' decisions demonstrating how the measures, procedures and remedies are applied, additional analysis was necessary for a more comprehensive overview. To that aim a follow-up public c</w:t>
      </w:r>
      <w:r>
        <w:rPr>
          <w:rFonts w:ascii="Times New Roman" w:hAnsi="Times New Roman" w:cs="Times New Roman"/>
          <w:noProof/>
          <w:sz w:val="24"/>
          <w:szCs w:val="24"/>
          <w:lang w:val="en"/>
        </w:rPr>
        <w:t>onsultation was conducted in March 2011, followed by a public hearing on the application of the Directive in a digital environment in June 2011</w:t>
      </w:r>
      <w:r>
        <w:rPr>
          <w:rFonts w:ascii="Times New Roman" w:hAnsi="Times New Roman" w:cs="Times New Roman"/>
          <w:noProof/>
          <w:vertAlign w:val="superscript"/>
          <w:lang w:val="en"/>
        </w:rPr>
        <w:footnoteReference w:id="11"/>
      </w:r>
      <w:r>
        <w:rPr>
          <w:rFonts w:ascii="Times New Roman" w:hAnsi="Times New Roman" w:cs="Times New Roman"/>
          <w:noProof/>
          <w:sz w:val="24"/>
          <w:szCs w:val="24"/>
          <w:lang w:val="en"/>
        </w:rPr>
        <w:t>. Further to this, a broad public consultation on the efficiency of proceedings and accessibility of measures in</w:t>
      </w:r>
      <w:r>
        <w:rPr>
          <w:rFonts w:ascii="Times New Roman" w:hAnsi="Times New Roman" w:cs="Times New Roman"/>
          <w:noProof/>
          <w:sz w:val="24"/>
          <w:szCs w:val="24"/>
          <w:lang w:val="en"/>
        </w:rPr>
        <w:t xml:space="preserve"> the civil enforcement of IPRs was launched in November 2012</w:t>
      </w:r>
      <w:r>
        <w:rPr>
          <w:rFonts w:ascii="Times New Roman" w:hAnsi="Times New Roman" w:cs="Times New Roman"/>
          <w:noProof/>
          <w:vertAlign w:val="superscript"/>
          <w:lang w:val="en"/>
        </w:rPr>
        <w:footnoteReference w:id="12"/>
      </w:r>
      <w:r>
        <w:rPr>
          <w:rFonts w:ascii="Times New Roman" w:hAnsi="Times New Roman" w:cs="Times New Roman"/>
          <w:noProof/>
          <w:sz w:val="24"/>
          <w:szCs w:val="24"/>
          <w:lang w:val="en"/>
        </w:rPr>
        <w:t>.</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In the wake of the confirmation that the Anti-Counterfeiting Trade Agreement ("ACTA"), a multilateral Treaty on IPR enforcement that was being negotiated with key trading partners, would not be</w:t>
      </w:r>
      <w:r>
        <w:rPr>
          <w:rFonts w:ascii="Times New Roman" w:hAnsi="Times New Roman" w:cs="Times New Roman"/>
          <w:noProof/>
          <w:sz w:val="24"/>
          <w:szCs w:val="24"/>
        </w:rPr>
        <w:t xml:space="preserve"> signed by the EU, the Commission re-oriented its policy approach. </w:t>
      </w:r>
    </w:p>
    <w:p w:rsidR="00EB6A7B" w:rsidRDefault="001E7ACC">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In July 2014, the Commission outlined an Action Plan for IPR enforcement</w:t>
      </w:r>
      <w:r>
        <w:rPr>
          <w:rFonts w:ascii="Times New Roman" w:hAnsi="Times New Roman" w:cs="Times New Roman"/>
          <w:noProof/>
          <w:sz w:val="24"/>
          <w:szCs w:val="24"/>
          <w:vertAlign w:val="superscript"/>
          <w:lang w:val="en"/>
        </w:rPr>
        <w:footnoteReference w:id="13"/>
      </w:r>
      <w:r>
        <w:rPr>
          <w:rFonts w:ascii="Times New Roman" w:hAnsi="Times New Roman" w:cs="Times New Roman"/>
          <w:noProof/>
          <w:sz w:val="24"/>
          <w:szCs w:val="24"/>
          <w:lang w:val="en"/>
        </w:rPr>
        <w:t>, with which it sought to promote better compliance with IPRs by all economic actors. Rather than penalising the ci</w:t>
      </w:r>
      <w:r>
        <w:rPr>
          <w:rFonts w:ascii="Times New Roman" w:hAnsi="Times New Roman" w:cs="Times New Roman"/>
          <w:noProof/>
          <w:sz w:val="24"/>
          <w:szCs w:val="24"/>
          <w:lang w:val="en"/>
        </w:rPr>
        <w:t xml:space="preserve">tizen for infringing – often unknowingly – IPRs, the proposed actions focused on the commercial scale infringers. This so-called 'follow-the-money approach' endeavored to deprive commercial scale infringers of the revenue flows that draw them into illegal </w:t>
      </w:r>
      <w:r>
        <w:rPr>
          <w:rFonts w:ascii="Times New Roman" w:hAnsi="Times New Roman" w:cs="Times New Roman"/>
          <w:noProof/>
          <w:sz w:val="24"/>
          <w:szCs w:val="24"/>
          <w:lang w:val="en"/>
        </w:rPr>
        <w:t xml:space="preserve">activities. </w:t>
      </w:r>
    </w:p>
    <w:p w:rsidR="00EB6A7B" w:rsidRDefault="001E7ACC">
      <w:pPr>
        <w:spacing w:after="0"/>
        <w:jc w:val="both"/>
        <w:rPr>
          <w:rFonts w:ascii="Times New Roman" w:hAnsi="Times New Roman" w:cs="Times New Roman"/>
          <w:noProof/>
          <w:sz w:val="24"/>
          <w:szCs w:val="24"/>
          <w:lang w:val="en"/>
        </w:rPr>
      </w:pPr>
      <w:r>
        <w:rPr>
          <w:rFonts w:ascii="Times New Roman" w:hAnsi="Times New Roman" w:cs="Times New Roman"/>
          <w:noProof/>
          <w:sz w:val="24"/>
          <w:szCs w:val="24"/>
          <w:lang w:val="en"/>
        </w:rPr>
        <w:t>While the action plan was seen as an important way to improve the EU approach to the enforcement of IPRs, the Parliament and Council called on the Commission to examine whether the EU legislative framework in that area was still fit for purpos</w:t>
      </w:r>
      <w:r>
        <w:rPr>
          <w:rFonts w:ascii="Times New Roman" w:hAnsi="Times New Roman" w:cs="Times New Roman"/>
          <w:noProof/>
          <w:sz w:val="24"/>
          <w:szCs w:val="24"/>
          <w:lang w:val="en"/>
        </w:rPr>
        <w:t>e:</w:t>
      </w:r>
    </w:p>
    <w:p w:rsidR="00EB6A7B" w:rsidRDefault="00EB6A7B">
      <w:pPr>
        <w:spacing w:after="0"/>
        <w:jc w:val="both"/>
        <w:rPr>
          <w:rFonts w:ascii="Times New Roman" w:hAnsi="Times New Roman" w:cs="Times New Roman"/>
          <w:noProof/>
          <w:sz w:val="24"/>
          <w:szCs w:val="24"/>
          <w:lang w:val="en"/>
        </w:rPr>
      </w:pPr>
    </w:p>
    <w:p w:rsidR="00EB6A7B" w:rsidRDefault="001E7ACC">
      <w:pPr>
        <w:pStyle w:val="ListParagraph"/>
        <w:numPr>
          <w:ilvl w:val="0"/>
          <w:numId w:val="58"/>
        </w:numPr>
        <w:jc w:val="both"/>
        <w:rPr>
          <w:rFonts w:ascii="Times New Roman" w:hAnsi="Times New Roman" w:cs="Times New Roman"/>
          <w:noProof/>
          <w:sz w:val="24"/>
          <w:szCs w:val="24"/>
        </w:rPr>
      </w:pPr>
      <w:r>
        <w:rPr>
          <w:rFonts w:ascii="Times New Roman" w:hAnsi="Times New Roman" w:cs="Times New Roman"/>
          <w:noProof/>
          <w:sz w:val="24"/>
          <w:szCs w:val="24"/>
        </w:rPr>
        <w:t>The Council</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recalled that several other aspects of IPR enforcement not contained in the Action Plan were raising questions, including: the use of tools available to identify IPR infringers; the role of intermediaries in assisting the fight against IPR</w:t>
      </w:r>
      <w:r>
        <w:rPr>
          <w:rFonts w:ascii="Times New Roman" w:hAnsi="Times New Roman" w:cs="Times New Roman"/>
          <w:noProof/>
          <w:sz w:val="24"/>
          <w:szCs w:val="24"/>
        </w:rPr>
        <w:t xml:space="preserve"> infringement; and the allocation of damages in IPR disputes. The Council encouraged the Commission to consider all possible options to address these matters.</w:t>
      </w:r>
    </w:p>
    <w:p w:rsidR="00EB6A7B" w:rsidRDefault="001E7ACC">
      <w:pPr>
        <w:pStyle w:val="ListParagraph"/>
        <w:numPr>
          <w:ilvl w:val="0"/>
          <w:numId w:val="58"/>
        </w:numPr>
        <w:jc w:val="both"/>
        <w:rPr>
          <w:rFonts w:ascii="Times New Roman" w:hAnsi="Times New Roman" w:cs="Times New Roman"/>
          <w:noProof/>
          <w:sz w:val="24"/>
          <w:szCs w:val="24"/>
        </w:rPr>
      </w:pPr>
      <w:r>
        <w:rPr>
          <w:rFonts w:ascii="Times New Roman" w:hAnsi="Times New Roman" w:cs="Times New Roman"/>
          <w:noProof/>
          <w:sz w:val="24"/>
          <w:szCs w:val="24"/>
        </w:rPr>
        <w:t>The European Parliament</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called on the Commission to come up with a detailed assessment of possib</w:t>
      </w:r>
      <w:r>
        <w:rPr>
          <w:rFonts w:ascii="Times New Roman" w:hAnsi="Times New Roman" w:cs="Times New Roman"/>
          <w:noProof/>
          <w:sz w:val="24"/>
          <w:szCs w:val="24"/>
        </w:rPr>
        <w:t>le limitations of the current legal framework as regards online activities and, if appropriate, with proposals for adapting the EU legislative framework to the internet environment.</w:t>
      </w:r>
    </w:p>
    <w:p w:rsidR="00EB6A7B" w:rsidRDefault="001E7ACC">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In 2015, first in the Digital Single Market Communication</w:t>
      </w:r>
      <w:r>
        <w:rPr>
          <w:rFonts w:ascii="Times New Roman" w:hAnsi="Times New Roman" w:cs="Times New Roman"/>
          <w:noProof/>
          <w:sz w:val="24"/>
          <w:szCs w:val="24"/>
          <w:vertAlign w:val="superscript"/>
          <w:lang w:val="en"/>
        </w:rPr>
        <w:footnoteReference w:id="16"/>
      </w:r>
      <w:r>
        <w:rPr>
          <w:rFonts w:ascii="Times New Roman" w:hAnsi="Times New Roman" w:cs="Times New Roman"/>
          <w:noProof/>
          <w:sz w:val="24"/>
          <w:szCs w:val="24"/>
          <w:lang w:val="en"/>
        </w:rPr>
        <w:t xml:space="preserve"> and then in the</w:t>
      </w:r>
      <w:r>
        <w:rPr>
          <w:rFonts w:ascii="Times New Roman" w:hAnsi="Times New Roman" w:cs="Times New Roman"/>
          <w:noProof/>
          <w:sz w:val="24"/>
          <w:szCs w:val="24"/>
          <w:lang w:val="en"/>
        </w:rPr>
        <w:t xml:space="preserve"> Single Market Strategy</w:t>
      </w:r>
      <w:r>
        <w:rPr>
          <w:rFonts w:ascii="Times New Roman" w:hAnsi="Times New Roman" w:cs="Times New Roman"/>
          <w:noProof/>
          <w:sz w:val="24"/>
          <w:szCs w:val="24"/>
          <w:vertAlign w:val="superscript"/>
          <w:lang w:val="en"/>
        </w:rPr>
        <w:footnoteReference w:id="17"/>
      </w:r>
      <w:r>
        <w:rPr>
          <w:rFonts w:ascii="Times New Roman" w:hAnsi="Times New Roman" w:cs="Times New Roman"/>
          <w:noProof/>
          <w:sz w:val="24"/>
          <w:szCs w:val="24"/>
          <w:lang w:val="en"/>
        </w:rPr>
        <w:t xml:space="preserve">, the Commission announced that it would conduct a review of the IPR enforcement </w:t>
      </w:r>
      <w:r>
        <w:rPr>
          <w:rFonts w:ascii="Times New Roman" w:hAnsi="Times New Roman" w:cs="Times New Roman"/>
          <w:noProof/>
          <w:sz w:val="24"/>
          <w:szCs w:val="24"/>
          <w:lang w:val="en"/>
        </w:rPr>
        <w:lastRenderedPageBreak/>
        <w:t xml:space="preserve">framework to respond to the rise of IPR infringements, with a specific focus on commercial-scale infringements. </w:t>
      </w:r>
    </w:p>
    <w:p w:rsidR="00EB6A7B" w:rsidRDefault="001E7ACC">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More information on the policy, legal </w:t>
      </w:r>
      <w:r>
        <w:rPr>
          <w:rFonts w:ascii="Times New Roman" w:hAnsi="Times New Roman" w:cs="Times New Roman"/>
          <w:noProof/>
          <w:sz w:val="24"/>
          <w:szCs w:val="24"/>
          <w:lang w:val="en"/>
        </w:rPr>
        <w:t>and economic context of the evaluation is provided in Annex IV.</w:t>
      </w:r>
    </w:p>
    <w:p w:rsidR="00EB6A7B" w:rsidRDefault="001E7ACC">
      <w:pPr>
        <w:pStyle w:val="Heading1"/>
        <w:numPr>
          <w:ilvl w:val="0"/>
          <w:numId w:val="0"/>
        </w:numPr>
        <w:ind w:left="1440"/>
        <w:rPr>
          <w:noProof/>
        </w:rPr>
      </w:pPr>
      <w:bookmarkStart w:id="38" w:name="_Toc498521044"/>
      <w:r>
        <w:rPr>
          <w:noProof/>
        </w:rPr>
        <w:t>3. Implementation: state of play</w:t>
      </w:r>
      <w:bookmarkEnd w:id="38"/>
    </w:p>
    <w:p w:rsidR="00EB6A7B" w:rsidRDefault="001E7ACC">
      <w:pPr>
        <w:spacing w:after="160" w:line="259"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In 2012 an external study</w:t>
      </w:r>
      <w:r>
        <w:rPr>
          <w:rStyle w:val="FootnoteReference"/>
          <w:rFonts w:ascii="Times New Roman" w:eastAsia="MS PGothic" w:hAnsi="Times New Roman" w:cs="Times New Roman"/>
          <w:noProof/>
          <w:sz w:val="24"/>
          <w:szCs w:val="24"/>
        </w:rPr>
        <w:footnoteReference w:id="18"/>
      </w:r>
      <w:r>
        <w:rPr>
          <w:rFonts w:ascii="Times New Roman" w:eastAsia="MS PGothic" w:hAnsi="Times New Roman" w:cs="Times New Roman"/>
          <w:noProof/>
          <w:sz w:val="24"/>
          <w:szCs w:val="24"/>
        </w:rPr>
        <w:t xml:space="preserve"> examined the transposition of the Directive by Member States. According to this study most Member States succeeded in meeting the Directive's requirements, and complied with the minimum harmonisation introduced. In the other Member States the most importa</w:t>
      </w:r>
      <w:r>
        <w:rPr>
          <w:rFonts w:ascii="Times New Roman" w:eastAsia="MS PGothic" w:hAnsi="Times New Roman" w:cs="Times New Roman"/>
          <w:noProof/>
          <w:sz w:val="24"/>
          <w:szCs w:val="24"/>
        </w:rPr>
        <w:t>nt discrepancy was the lack of provisions against intermediaries whose services are used by a third party to infringe IPRs.</w:t>
      </w:r>
    </w:p>
    <w:p w:rsidR="00EB6A7B" w:rsidRDefault="001E7ACC">
      <w:pPr>
        <w:spacing w:after="160" w:line="259"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While not all of the Member States needed to change their existing legal provisions on enforcement extensively to transpose the Dire</w:t>
      </w:r>
      <w:r>
        <w:rPr>
          <w:rFonts w:ascii="Times New Roman" w:eastAsia="MS PGothic" w:hAnsi="Times New Roman" w:cs="Times New Roman"/>
          <w:noProof/>
          <w:sz w:val="24"/>
          <w:szCs w:val="24"/>
        </w:rPr>
        <w:t>ctive, the most important amendments in national legislation concerned generally speaking rules on obtaining and securing evidence (Article 6 and 7), right of information (Article 8) and injunctions (Articles 9 and 11).  It was also reported that in some M</w:t>
      </w:r>
      <w:r>
        <w:rPr>
          <w:rFonts w:ascii="Times New Roman" w:eastAsia="MS PGothic" w:hAnsi="Times New Roman" w:cs="Times New Roman"/>
          <w:noProof/>
          <w:sz w:val="24"/>
          <w:szCs w:val="24"/>
        </w:rPr>
        <w:t>ember States there were discrepancies as to enforcement of different types of IPRs, in particular regarding plant variety rights, trade names, utility models, and topographies of semiconductor products.</w:t>
      </w:r>
    </w:p>
    <w:p w:rsidR="00EB6A7B" w:rsidRDefault="001E7ACC">
      <w:pPr>
        <w:pStyle w:val="Heading1"/>
        <w:numPr>
          <w:ilvl w:val="0"/>
          <w:numId w:val="0"/>
        </w:numPr>
        <w:ind w:left="1440"/>
        <w:rPr>
          <w:noProof/>
        </w:rPr>
      </w:pPr>
      <w:bookmarkStart w:id="39" w:name="_Toc498521045"/>
      <w:r>
        <w:rPr>
          <w:noProof/>
        </w:rPr>
        <w:t>4. Method</w:t>
      </w:r>
      <w:bookmarkEnd w:id="39"/>
    </w:p>
    <w:p w:rsidR="00EB6A7B" w:rsidRDefault="001E7ACC">
      <w:pPr>
        <w:jc w:val="both"/>
        <w:rPr>
          <w:rFonts w:ascii="Times New Roman" w:eastAsia="MS PGothic" w:hAnsi="Times New Roman" w:cs="Times New Roman"/>
          <w:b/>
          <w:i/>
          <w:noProof/>
        </w:rPr>
      </w:pPr>
      <w:r>
        <w:rPr>
          <w:rFonts w:ascii="Times New Roman" w:hAnsi="Times New Roman" w:cs="Times New Roman"/>
          <w:b/>
          <w:i/>
          <w:noProof/>
          <w:sz w:val="24"/>
          <w:szCs w:val="24"/>
        </w:rPr>
        <w:t>Methodology</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This report is based on various</w:t>
      </w:r>
      <w:r>
        <w:rPr>
          <w:rFonts w:ascii="Times New Roman" w:hAnsi="Times New Roman" w:cs="Times New Roman"/>
          <w:noProof/>
          <w:sz w:val="24"/>
          <w:szCs w:val="24"/>
        </w:rPr>
        <w:t xml:space="preserve"> sources of information: an external study providing support for an ex-post evaluation of the Directive ("Evaluation Study")</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which included open online public consultation</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(results presented in Annex II), statistics on collected court decisions from all</w:t>
      </w:r>
      <w:r>
        <w:rPr>
          <w:rFonts w:ascii="Times New Roman" w:hAnsi="Times New Roman" w:cs="Times New Roman"/>
          <w:noProof/>
          <w:sz w:val="24"/>
          <w:szCs w:val="24"/>
        </w:rPr>
        <w:t xml:space="preserve"> EU Member-States concerning intellectual property law, studies prepared by the European Observatory on Infringements of Intellectual Property Rights and other available studies and data collections prepared by national or international public authorities,</w:t>
      </w:r>
      <w:r>
        <w:rPr>
          <w:rFonts w:ascii="Times New Roman" w:hAnsi="Times New Roman" w:cs="Times New Roman"/>
          <w:noProof/>
          <w:sz w:val="24"/>
          <w:szCs w:val="24"/>
        </w:rPr>
        <w:t xml:space="preserve"> academics or other stakeholders. Several discussions have also taken place with Member States in the Expert Group on IPR enforcement</w:t>
      </w:r>
      <w:r>
        <w:rPr>
          <w:rFonts w:ascii="Times New Roman" w:hAnsi="Times New Roman" w:cs="Times New Roman"/>
          <w:noProof/>
          <w:sz w:val="24"/>
          <w:szCs w:val="24"/>
          <w:vertAlign w:val="superscript"/>
        </w:rPr>
        <w:footnoteReference w:id="21"/>
      </w:r>
      <w:r>
        <w:rPr>
          <w:rFonts w:ascii="Times New Roman" w:hAnsi="Times New Roman" w:cs="Times New Roman"/>
          <w:noProof/>
          <w:sz w:val="24"/>
          <w:szCs w:val="24"/>
        </w:rPr>
        <w:t>, providing information on the way in which key measures are being applied at national level. Finally, on 21 June 2016, th</w:t>
      </w:r>
      <w:r>
        <w:rPr>
          <w:rFonts w:ascii="Times New Roman" w:hAnsi="Times New Roman" w:cs="Times New Roman"/>
          <w:noProof/>
          <w:sz w:val="24"/>
          <w:szCs w:val="24"/>
        </w:rPr>
        <w:t>e Commission held a conference on IPR enforcement</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where key European and international policy- makers, public representatives, enforcement agencies, rights-holders and representatives of civil society gathered to review the progress made in disrupting IP</w:t>
      </w:r>
      <w:r>
        <w:rPr>
          <w:rFonts w:ascii="Times New Roman" w:hAnsi="Times New Roman" w:cs="Times New Roman"/>
          <w:noProof/>
          <w:sz w:val="24"/>
          <w:szCs w:val="24"/>
        </w:rPr>
        <w:t xml:space="preserve"> infringing activities.</w:t>
      </w:r>
    </w:p>
    <w:p w:rsidR="00EB6A7B" w:rsidRDefault="001E7ACC">
      <w:pPr>
        <w:jc w:val="both"/>
        <w:rPr>
          <w:noProof/>
        </w:rPr>
      </w:pPr>
      <w:r>
        <w:rPr>
          <w:rFonts w:ascii="Times New Roman" w:hAnsi="Times New Roman" w:cs="Times New Roman"/>
          <w:noProof/>
          <w:sz w:val="24"/>
          <w:szCs w:val="24"/>
        </w:rPr>
        <w:lastRenderedPageBreak/>
        <w:t>The lack of quantitative data was compensated through increased inputs from interviews with stakeholders and the network of legal experts in the different Member States, who contributed to the analysis.</w:t>
      </w:r>
    </w:p>
    <w:p w:rsidR="00EB6A7B" w:rsidRDefault="001E7ACC">
      <w:pPr>
        <w:pStyle w:val="Text1"/>
        <w:ind w:left="0"/>
        <w:rPr>
          <w:rFonts w:eastAsia="MS PGothic"/>
          <w:noProof/>
        </w:rPr>
      </w:pPr>
      <w:r>
        <w:rPr>
          <w:b/>
          <w:i/>
          <w:noProof/>
        </w:rPr>
        <w:t xml:space="preserve">Limitations of findings and </w:t>
      </w:r>
      <w:r>
        <w:rPr>
          <w:b/>
          <w:i/>
          <w:noProof/>
        </w:rPr>
        <w:t>mitigating measures</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 intervention in the area of IPR enforcement has a particular nature, given that it approximates legislative systems of the Member States so that the tools provided in the Directive build on and/or continue to live alongside with </w:t>
      </w:r>
      <w:r>
        <w:rPr>
          <w:rFonts w:ascii="Times New Roman" w:hAnsi="Times New Roman" w:cs="Times New Roman"/>
          <w:noProof/>
          <w:sz w:val="24"/>
          <w:szCs w:val="24"/>
        </w:rPr>
        <w:t xml:space="preserve">the national civil procedural law practices pre-dating the Directive. </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This character, combined with important technological and market developments that have taken place since the adoption of the Directive, as well as the lack of monitoring arrangements i</w:t>
      </w:r>
      <w:r>
        <w:rPr>
          <w:rFonts w:ascii="Times New Roman" w:hAnsi="Times New Roman" w:cs="Times New Roman"/>
          <w:noProof/>
          <w:sz w:val="24"/>
          <w:szCs w:val="24"/>
        </w:rPr>
        <w:t xml:space="preserve">n the Directive itself, make it difficult to detect clear causal links between the intervention's impact and the evolving reality of IPR infringements. </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Significant differences between the Member States' civil enforcement systems, both in legal and economi</w:t>
      </w:r>
      <w:r>
        <w:rPr>
          <w:rFonts w:ascii="Times New Roman" w:hAnsi="Times New Roman" w:cs="Times New Roman"/>
          <w:noProof/>
          <w:sz w:val="24"/>
          <w:szCs w:val="24"/>
        </w:rPr>
        <w:t>c terms, have further complicated drawing conclusions on the functioning of the Directive.</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despite best efforts, only very limited quantitative data could be gathered on the application of measures, procedures and remedies set out in the </w:t>
      </w:r>
      <w:r>
        <w:rPr>
          <w:rFonts w:ascii="Times New Roman" w:hAnsi="Times New Roman" w:cs="Times New Roman"/>
          <w:noProof/>
          <w:sz w:val="24"/>
          <w:szCs w:val="24"/>
        </w:rPr>
        <w:t>Directive.</w:t>
      </w:r>
    </w:p>
    <w:p w:rsidR="00EB6A7B" w:rsidRDefault="001E7ACC">
      <w:pPr>
        <w:jc w:val="both"/>
        <w:rPr>
          <w:rFonts w:ascii="Times New Roman" w:hAnsi="Times New Roman" w:cs="Times New Roman"/>
          <w:noProof/>
          <w:color w:val="1F497D"/>
          <w:sz w:val="24"/>
          <w:szCs w:val="24"/>
        </w:rPr>
      </w:pPr>
      <w:r>
        <w:rPr>
          <w:rFonts w:ascii="Times New Roman" w:hAnsi="Times New Roman" w:cs="Times New Roman"/>
          <w:noProof/>
          <w:sz w:val="24"/>
          <w:szCs w:val="24"/>
        </w:rPr>
        <w:t>To obtain an overview of the volume of IP court cases in the EU, data on all 28 Member States between 2005 and 2015 was sought. However, obtaining data on relevant categories of court decisions has proved problematic. The difficulties in finding</w:t>
      </w:r>
      <w:r>
        <w:rPr>
          <w:rFonts w:ascii="Times New Roman" w:hAnsi="Times New Roman" w:cs="Times New Roman"/>
          <w:noProof/>
          <w:sz w:val="24"/>
          <w:szCs w:val="24"/>
        </w:rPr>
        <w:t xml:space="preserve"> accurate and complete information are due to different administrative practices in publishing court decisions across the EU. While in some Member States most of those decisions are made publicly available, in other Member States the publication is either </w:t>
      </w:r>
      <w:r>
        <w:rPr>
          <w:rFonts w:ascii="Times New Roman" w:hAnsi="Times New Roman" w:cs="Times New Roman"/>
          <w:noProof/>
          <w:sz w:val="24"/>
          <w:szCs w:val="24"/>
        </w:rPr>
        <w:t>limited to certain types of decisions or even excluded in individual cases. Furthermore, certain decisions may also be anonymized in such a way that relevant information cannot be extracted or identified.</w:t>
      </w:r>
      <w:r>
        <w:rPr>
          <w:rStyle w:val="FootnoteReference"/>
          <w:rFonts w:ascii="Times New Roman" w:hAnsi="Times New Roman" w:cs="Times New Roman"/>
          <w:noProof/>
          <w:sz w:val="24"/>
          <w:szCs w:val="24"/>
        </w:rPr>
        <w:footnoteReference w:id="23"/>
      </w:r>
    </w:p>
    <w:p w:rsidR="00EB6A7B" w:rsidRDefault="001E7ACC">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fact that the evaluation can only rely on limi</w:t>
      </w:r>
      <w:r>
        <w:rPr>
          <w:rFonts w:ascii="Times New Roman" w:eastAsia="Times New Roman" w:hAnsi="Times New Roman" w:cs="Times New Roman"/>
          <w:noProof/>
          <w:sz w:val="24"/>
          <w:szCs w:val="24"/>
          <w:lang w:eastAsia="en-GB"/>
        </w:rPr>
        <w:t xml:space="preserve">ted empirical evidence impedes reaching definitive conclusions on the detailed performance criteria of this Directive. </w:t>
      </w:r>
      <w:r>
        <w:rPr>
          <w:rFonts w:ascii="Times New Roman" w:hAnsi="Times New Roman" w:cs="Times New Roman"/>
          <w:noProof/>
          <w:sz w:val="24"/>
          <w:szCs w:val="24"/>
        </w:rPr>
        <w:t xml:space="preserve">As a consequence, the observations </w:t>
      </w:r>
      <w:bookmarkStart w:id="40" w:name="_Toc486262048"/>
      <w:bookmarkStart w:id="41" w:name="_Toc486262106"/>
      <w:bookmarkStart w:id="42" w:name="_Toc486262049"/>
      <w:bookmarkStart w:id="43" w:name="_Toc486262107"/>
      <w:bookmarkEnd w:id="40"/>
      <w:bookmarkEnd w:id="41"/>
      <w:bookmarkEnd w:id="42"/>
      <w:bookmarkEnd w:id="43"/>
      <w:r>
        <w:rPr>
          <w:rFonts w:ascii="Times New Roman" w:hAnsi="Times New Roman" w:cs="Times New Roman"/>
          <w:noProof/>
          <w:sz w:val="24"/>
          <w:szCs w:val="24"/>
        </w:rPr>
        <w:t>– although made on the basis of the best available data - are merely descriptive and effects cannot be</w:t>
      </w:r>
      <w:r>
        <w:rPr>
          <w:rFonts w:ascii="Times New Roman" w:hAnsi="Times New Roman" w:cs="Times New Roman"/>
          <w:noProof/>
          <w:sz w:val="24"/>
          <w:szCs w:val="24"/>
        </w:rPr>
        <w:t xml:space="preserve"> attributed in full to the Directive. In particular, the results of the econometric model analysis cannot be interpreted to establish a causality link. </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Mitigating measures were taken to compensate for the lack of quantitative data through increased inputs</w:t>
      </w:r>
      <w:r>
        <w:rPr>
          <w:rFonts w:ascii="Times New Roman" w:hAnsi="Times New Roman" w:cs="Times New Roman"/>
          <w:noProof/>
          <w:sz w:val="24"/>
          <w:szCs w:val="24"/>
        </w:rPr>
        <w:t xml:space="preserve"> from interviews with stakeholders and the network of legal experts in the different Member States, who contributed to the analysis.</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Finally, since the Directive does not provide for monitoring arrangements (other than a report by the Commission), the eval</w:t>
      </w:r>
      <w:r>
        <w:rPr>
          <w:rFonts w:ascii="Times New Roman" w:hAnsi="Times New Roman" w:cs="Times New Roman"/>
          <w:noProof/>
          <w:sz w:val="24"/>
          <w:szCs w:val="24"/>
        </w:rPr>
        <w:t xml:space="preserve">uation lacked evidence covering in a systematic and comprehensive manner the whole period of its application. The work of the Observatory complemented part of the evaluation, but cannot be considered as a uniform reporting tool covering nor all IP rights, </w:t>
      </w:r>
      <w:r>
        <w:rPr>
          <w:rFonts w:ascii="Times New Roman" w:hAnsi="Times New Roman" w:cs="Times New Roman"/>
          <w:noProof/>
          <w:sz w:val="24"/>
          <w:szCs w:val="24"/>
        </w:rPr>
        <w:t>neither cross-border activity.</w:t>
      </w:r>
    </w:p>
    <w:p w:rsidR="00EB6A7B" w:rsidRDefault="001E7ACC">
      <w:pPr>
        <w:pStyle w:val="Heading2"/>
        <w:numPr>
          <w:ilvl w:val="0"/>
          <w:numId w:val="0"/>
        </w:numPr>
        <w:ind w:left="1800" w:hanging="1800"/>
        <w:rPr>
          <w:noProof/>
        </w:rPr>
      </w:pPr>
      <w:bookmarkStart w:id="44" w:name="_Toc498521046"/>
      <w:r>
        <w:rPr>
          <w:noProof/>
        </w:rPr>
        <w:t>5. Analysis and answers to the evaluation questions</w:t>
      </w:r>
      <w:bookmarkEnd w:id="44"/>
    </w:p>
    <w:p w:rsidR="00EB6A7B" w:rsidRDefault="001E7ACC">
      <w:pPr>
        <w:pStyle w:val="Heading2"/>
        <w:numPr>
          <w:ilvl w:val="0"/>
          <w:numId w:val="0"/>
        </w:numPr>
        <w:ind w:left="1800" w:hanging="1800"/>
        <w:rPr>
          <w:noProof/>
        </w:rPr>
      </w:pPr>
      <w:bookmarkStart w:id="45" w:name="_Toc498521047"/>
      <w:r>
        <w:rPr>
          <w:noProof/>
        </w:rPr>
        <w:t>5.1. Effectiveness</w:t>
      </w:r>
      <w:bookmarkEnd w:id="45"/>
    </w:p>
    <w:p w:rsidR="00EB6A7B" w:rsidRDefault="001E7ACC">
      <w:pPr>
        <w:spacing w:before="200"/>
        <w:jc w:val="both"/>
        <w:rPr>
          <w:rFonts w:ascii="Times New Roman" w:hAnsi="Times New Roman" w:cs="Times New Roman"/>
          <w:noProof/>
          <w:sz w:val="24"/>
        </w:rPr>
      </w:pPr>
      <w:r>
        <w:rPr>
          <w:rFonts w:ascii="Times New Roman" w:hAnsi="Times New Roman" w:cs="Times New Roman"/>
          <w:noProof/>
          <w:sz w:val="24"/>
        </w:rPr>
        <w:t>The functioning of the Directive in terms of effectiveness was assessed on the basis of the following evaluation questions:</w:t>
      </w:r>
      <w:r>
        <w:rPr>
          <w:rFonts w:ascii="Times New Roman" w:hAnsi="Times New Roman" w:cs="Times New Roman"/>
          <w:noProof/>
          <w:sz w:val="24"/>
        </w:rPr>
        <w:tab/>
      </w:r>
    </w:p>
    <w:p w:rsidR="00EB6A7B" w:rsidRDefault="001E7ACC">
      <w:pPr>
        <w:pStyle w:val="ListParagraph"/>
        <w:numPr>
          <w:ilvl w:val="0"/>
          <w:numId w:val="61"/>
        </w:numPr>
        <w:spacing w:before="200"/>
        <w:jc w:val="both"/>
        <w:rPr>
          <w:rFonts w:ascii="Times New Roman" w:hAnsi="Times New Roman" w:cs="Times New Roman"/>
          <w:i/>
          <w:noProof/>
          <w:sz w:val="24"/>
        </w:rPr>
      </w:pPr>
      <w:r>
        <w:rPr>
          <w:rFonts w:ascii="Times New Roman" w:hAnsi="Times New Roman" w:cs="Times New Roman"/>
          <w:i/>
          <w:noProof/>
          <w:sz w:val="24"/>
        </w:rPr>
        <w:t>To what extent has the Direct</w:t>
      </w:r>
      <w:r>
        <w:rPr>
          <w:rFonts w:ascii="Times New Roman" w:hAnsi="Times New Roman" w:cs="Times New Roman"/>
          <w:i/>
          <w:noProof/>
          <w:sz w:val="24"/>
        </w:rPr>
        <w:t>ive, with its different measures, procedures and remedies it provides for, achieved its objective, i.e. to</w:t>
      </w:r>
      <w:r>
        <w:rPr>
          <w:rFonts w:ascii="Times New Roman" w:hAnsi="Times New Roman" w:cs="Times New Roman"/>
          <w:i/>
          <w:noProof/>
          <w:sz w:val="24"/>
          <w:szCs w:val="24"/>
        </w:rPr>
        <w:t xml:space="preserve"> ensure a level playing field for the enforcement of intellectual property rights</w:t>
      </w:r>
      <w:r>
        <w:rPr>
          <w:rFonts w:ascii="Times New Roman" w:hAnsi="Times New Roman" w:cs="Times New Roman"/>
          <w:i/>
          <w:noProof/>
          <w:sz w:val="24"/>
        </w:rPr>
        <w:t>?</w:t>
      </w:r>
    </w:p>
    <w:p w:rsidR="00EB6A7B" w:rsidRDefault="001E7ACC">
      <w:pPr>
        <w:pStyle w:val="ListParagraph"/>
        <w:numPr>
          <w:ilvl w:val="0"/>
          <w:numId w:val="61"/>
        </w:numPr>
        <w:jc w:val="both"/>
        <w:rPr>
          <w:rFonts w:ascii="Times New Roman" w:hAnsi="Times New Roman" w:cs="Times New Roman"/>
          <w:i/>
          <w:noProof/>
          <w:sz w:val="24"/>
        </w:rPr>
      </w:pPr>
      <w:r>
        <w:rPr>
          <w:rFonts w:ascii="Times New Roman" w:hAnsi="Times New Roman" w:cs="Times New Roman"/>
          <w:i/>
          <w:noProof/>
          <w:sz w:val="24"/>
        </w:rPr>
        <w:t>What have been the effects of the Directive? To what extent do thos</w:t>
      </w:r>
      <w:r>
        <w:rPr>
          <w:rFonts w:ascii="Times New Roman" w:hAnsi="Times New Roman" w:cs="Times New Roman"/>
          <w:i/>
          <w:noProof/>
          <w:sz w:val="24"/>
        </w:rPr>
        <w:t>e observed effects/changes correspond to the objectives? To what extent can those effects/changes be attributed to the directive? To what extent can those effects be linked to other EU instruments?</w:t>
      </w:r>
    </w:p>
    <w:p w:rsidR="00EB6A7B" w:rsidRDefault="001E7ACC">
      <w:pPr>
        <w:pStyle w:val="ListParagraph"/>
        <w:numPr>
          <w:ilvl w:val="0"/>
          <w:numId w:val="61"/>
        </w:numPr>
        <w:autoSpaceDE w:val="0"/>
        <w:autoSpaceDN w:val="0"/>
        <w:adjustRightInd w:val="0"/>
        <w:spacing w:after="240"/>
        <w:jc w:val="both"/>
        <w:rPr>
          <w:rFonts w:ascii="Times New Roman" w:hAnsi="Times New Roman" w:cs="Times New Roman"/>
          <w:i/>
          <w:noProof/>
          <w:sz w:val="24"/>
          <w:szCs w:val="24"/>
        </w:rPr>
      </w:pPr>
      <w:r>
        <w:rPr>
          <w:rFonts w:ascii="Times New Roman" w:hAnsi="Times New Roman" w:cs="Times New Roman"/>
          <w:i/>
          <w:noProof/>
          <w:sz w:val="24"/>
          <w:szCs w:val="24"/>
        </w:rPr>
        <w:t xml:space="preserve">What are the main factors, e.g. in the formulation but also the implementation and application of the rules, that support or hamper achieving these objectives? </w:t>
      </w:r>
      <w:r>
        <w:rPr>
          <w:rFonts w:ascii="Times New Roman" w:hAnsi="Times New Roman" w:cs="Times New Roman"/>
          <w:bCs/>
          <w:i/>
          <w:noProof/>
          <w:sz w:val="24"/>
          <w:szCs w:val="24"/>
        </w:rPr>
        <w:t>To what extent have the different measures, procedures and remedies provided for by the Directiv</w:t>
      </w:r>
      <w:r>
        <w:rPr>
          <w:rFonts w:ascii="Times New Roman" w:hAnsi="Times New Roman" w:cs="Times New Roman"/>
          <w:bCs/>
          <w:i/>
          <w:noProof/>
          <w:sz w:val="24"/>
          <w:szCs w:val="24"/>
        </w:rPr>
        <w:t>e been complemented by non-legislative interventions at EU and national level, including voluntary stakeholder initiatives?</w:t>
      </w:r>
    </w:p>
    <w:p w:rsidR="00EB6A7B" w:rsidRDefault="001E7ACC">
      <w:pPr>
        <w:pStyle w:val="ListParagraph"/>
        <w:numPr>
          <w:ilvl w:val="0"/>
          <w:numId w:val="61"/>
        </w:numPr>
        <w:spacing w:before="120" w:after="120"/>
        <w:jc w:val="both"/>
        <w:rPr>
          <w:rFonts w:ascii="Times New Roman" w:eastAsia="Times New Roman" w:hAnsi="Times New Roman" w:cs="Times New Roman"/>
          <w:noProof/>
        </w:rPr>
      </w:pPr>
      <w:r>
        <w:rPr>
          <w:rFonts w:ascii="Times New Roman" w:eastAsia="Times New Roman" w:hAnsi="Times New Roman" w:cs="Times New Roman"/>
          <w:i/>
          <w:noProof/>
          <w:sz w:val="24"/>
          <w:szCs w:val="24"/>
        </w:rPr>
        <w:t>What are the consequences or effects (both positive and negative) that were not originally planned?</w:t>
      </w:r>
    </w:p>
    <w:p w:rsidR="00EB6A7B" w:rsidRDefault="00EB6A7B">
      <w:pPr>
        <w:spacing w:before="120" w:after="120"/>
        <w:jc w:val="both"/>
        <w:rPr>
          <w:rFonts w:ascii="Times New Roman" w:eastAsia="Times New Roman" w:hAnsi="Times New Roman" w:cs="Times New Roman"/>
          <w:i/>
          <w:noProof/>
          <w:sz w:val="24"/>
          <w:szCs w:val="24"/>
        </w:rPr>
      </w:pPr>
    </w:p>
    <w:p w:rsidR="00EB6A7B" w:rsidRDefault="001E7ACC">
      <w:pPr>
        <w:pStyle w:val="Heading3"/>
        <w:numPr>
          <w:ilvl w:val="0"/>
          <w:numId w:val="0"/>
        </w:numPr>
        <w:ind w:left="2160" w:hanging="2160"/>
        <w:rPr>
          <w:noProof/>
        </w:rPr>
      </w:pPr>
      <w:bookmarkStart w:id="46" w:name="_Toc491884846"/>
      <w:bookmarkStart w:id="47" w:name="_Toc491884847"/>
      <w:bookmarkStart w:id="48" w:name="_Toc491264949"/>
      <w:bookmarkStart w:id="49" w:name="_Toc498521048"/>
      <w:bookmarkEnd w:id="46"/>
      <w:bookmarkEnd w:id="47"/>
      <w:bookmarkEnd w:id="48"/>
      <w:r>
        <w:rPr>
          <w:noProof/>
        </w:rPr>
        <w:t xml:space="preserve">5.1.1. Achievement of the main </w:t>
      </w:r>
      <w:r>
        <w:rPr>
          <w:noProof/>
        </w:rPr>
        <w:t>objective</w:t>
      </w:r>
      <w:bookmarkEnd w:id="49"/>
    </w:p>
    <w:p w:rsidR="00EB6A7B" w:rsidRDefault="001E7ACC">
      <w:pPr>
        <w:rPr>
          <w:rFonts w:ascii="Times New Roman" w:hAnsi="Times New Roman" w:cs="Times New Roman"/>
          <w:noProof/>
        </w:rPr>
      </w:pPr>
      <w:r>
        <w:rPr>
          <w:rFonts w:ascii="Times New Roman" w:hAnsi="Times New Roman" w:cs="Times New Roman"/>
          <w:noProof/>
          <w:lang w:eastAsia="en-GB"/>
        </w:rPr>
        <mc:AlternateContent>
          <mc:Choice Requires="wps">
            <w:drawing>
              <wp:anchor distT="0" distB="0" distL="114300" distR="114300" simplePos="0" relativeHeight="251660288" behindDoc="0" locked="0" layoutInCell="1" allowOverlap="1">
                <wp:simplePos x="0" y="0"/>
                <wp:positionH relativeFrom="column">
                  <wp:posOffset>-75565</wp:posOffset>
                </wp:positionH>
                <wp:positionV relativeFrom="paragraph">
                  <wp:posOffset>34925</wp:posOffset>
                </wp:positionV>
                <wp:extent cx="5824220" cy="1003300"/>
                <wp:effectExtent l="0" t="0" r="24130" b="25400"/>
                <wp:wrapNone/>
                <wp:docPr id="3" name="Text Box 3"/>
                <wp:cNvGraphicFramePr/>
                <a:graphic xmlns:a="http://schemas.openxmlformats.org/drawingml/2006/main">
                  <a:graphicData uri="http://schemas.microsoft.com/office/word/2010/wordprocessingShape">
                    <wps:wsp>
                      <wps:cNvSpPr txBox="1"/>
                      <wps:spPr>
                        <a:xfrm>
                          <a:off x="0" y="0"/>
                          <a:ext cx="5824220" cy="1003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6A7B" w:rsidRDefault="001E7ACC">
                            <w:pPr>
                              <w:rPr>
                                <w:rFonts w:ascii="Times New Roman" w:hAnsi="Times New Roman" w:cs="Times New Roman"/>
                                <w:i/>
                                <w:sz w:val="24"/>
                                <w:szCs w:val="24"/>
                                <w:lang w:val="en-US"/>
                              </w:rPr>
                            </w:pPr>
                            <w:r>
                              <w:rPr>
                                <w:rFonts w:ascii="Times New Roman" w:hAnsi="Times New Roman" w:cs="Times New Roman"/>
                                <w:i/>
                                <w:sz w:val="24"/>
                                <w:szCs w:val="24"/>
                                <w:lang w:val="en-US"/>
                              </w:rPr>
                              <w:t>Evaluation question 1</w:t>
                            </w:r>
                          </w:p>
                          <w:p w:rsidR="00EB6A7B" w:rsidRDefault="001E7ACC">
                            <w:pPr>
                              <w:spacing w:before="200"/>
                              <w:jc w:val="both"/>
                              <w:rPr>
                                <w:rFonts w:ascii="Times New Roman" w:hAnsi="Times New Roman" w:cs="Times New Roman"/>
                                <w:i/>
                                <w:sz w:val="24"/>
                              </w:rPr>
                            </w:pPr>
                            <w:r>
                              <w:rPr>
                                <w:rFonts w:ascii="Times New Roman" w:hAnsi="Times New Roman" w:cs="Times New Roman"/>
                                <w:i/>
                                <w:sz w:val="24"/>
                                <w:szCs w:val="24"/>
                              </w:rPr>
                              <w:t xml:space="preserve">To what extent has the Directive, with its different measures, procedures and remedies it provides for, achieved its objective, i.e. to </w:t>
                            </w:r>
                            <w:r>
                              <w:rPr>
                                <w:rFonts w:ascii="Times New Roman" w:hAnsi="Times New Roman" w:cs="Times New Roman"/>
                                <w:sz w:val="24"/>
                                <w:szCs w:val="24"/>
                              </w:rPr>
                              <w:t>ensure a level playing field for the enforcement of intellectual property rights</w:t>
                            </w:r>
                            <w:r>
                              <w:rPr>
                                <w:rFonts w:ascii="Times New Roman" w:hAnsi="Times New Roman" w:cs="Times New Roman"/>
                                <w:i/>
                                <w:sz w:val="24"/>
                              </w:rPr>
                              <w:t>?</w:t>
                            </w:r>
                          </w:p>
                          <w:p w:rsidR="00EB6A7B" w:rsidRDefault="00EB6A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95pt;margin-top:2.75pt;width:458.6pt;height: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" fillcolor="white [3201]" strokeweight=".5pt">
                <v:textbox>
                  <w:txbxContent>
                    <w:p w:rsidR="00EB6A7B" w:rsidRDefault="001E7ACC">
                      <w:pPr>
                        <w:rPr>
                          <w:rFonts w:ascii="Times New Roman" w:hAnsi="Times New Roman" w:cs="Times New Roman"/>
                          <w:i/>
                          <w:sz w:val="24"/>
                          <w:szCs w:val="24"/>
                          <w:lang w:val="en-US"/>
                        </w:rPr>
                      </w:pPr>
                      <w:r>
                        <w:rPr>
                          <w:rFonts w:ascii="Times New Roman" w:hAnsi="Times New Roman" w:cs="Times New Roman"/>
                          <w:i/>
                          <w:sz w:val="24"/>
                          <w:szCs w:val="24"/>
                          <w:lang w:val="en-US"/>
                        </w:rPr>
                        <w:t>Evaluation question 1</w:t>
                      </w:r>
                    </w:p>
                    <w:p w:rsidR="00EB6A7B" w:rsidRDefault="001E7ACC">
                      <w:pPr>
                        <w:spacing w:before="200"/>
                        <w:jc w:val="both"/>
                        <w:rPr>
                          <w:rFonts w:ascii="Times New Roman" w:hAnsi="Times New Roman" w:cs="Times New Roman"/>
                          <w:i/>
                          <w:sz w:val="24"/>
                        </w:rPr>
                      </w:pPr>
                      <w:r>
                        <w:rPr>
                          <w:rFonts w:ascii="Times New Roman" w:hAnsi="Times New Roman" w:cs="Times New Roman"/>
                          <w:i/>
                          <w:sz w:val="24"/>
                          <w:szCs w:val="24"/>
                        </w:rPr>
                        <w:t xml:space="preserve">To what extent has the Directive, with its different measures, procedures and remedies it provides for, achieved its objective, i.e. to </w:t>
                      </w:r>
                      <w:r>
                        <w:rPr>
                          <w:rFonts w:ascii="Times New Roman" w:hAnsi="Times New Roman" w:cs="Times New Roman"/>
                          <w:sz w:val="24"/>
                          <w:szCs w:val="24"/>
                        </w:rPr>
                        <w:t>ensure a level playing field for the enforcement of intellectual property rights</w:t>
                      </w:r>
                      <w:r>
                        <w:rPr>
                          <w:rFonts w:ascii="Times New Roman" w:hAnsi="Times New Roman" w:cs="Times New Roman"/>
                          <w:i/>
                          <w:sz w:val="24"/>
                        </w:rPr>
                        <w:t>?</w:t>
                      </w:r>
                    </w:p>
                    <w:p w:rsidR="00EB6A7B" w:rsidRDefault="00EB6A7B"/>
                  </w:txbxContent>
                </v:textbox>
              </v:shape>
            </w:pict>
          </mc:Fallback>
        </mc:AlternateContent>
      </w:r>
    </w:p>
    <w:p w:rsidR="00EB6A7B" w:rsidRDefault="00EB6A7B">
      <w:pPr>
        <w:rPr>
          <w:rFonts w:ascii="Times New Roman" w:hAnsi="Times New Roman" w:cs="Times New Roman"/>
          <w:noProof/>
        </w:rPr>
      </w:pPr>
    </w:p>
    <w:p w:rsidR="00EB6A7B" w:rsidRDefault="00EB6A7B">
      <w:pPr>
        <w:rPr>
          <w:rFonts w:ascii="Times New Roman" w:hAnsi="Times New Roman" w:cs="Times New Roman"/>
          <w:noProof/>
        </w:rPr>
      </w:pPr>
    </w:p>
    <w:p w:rsidR="00EB6A7B" w:rsidRDefault="00EB6A7B">
      <w:pPr>
        <w:rPr>
          <w:rFonts w:ascii="Times New Roman" w:hAnsi="Times New Roman" w:cs="Times New Roman"/>
          <w:noProof/>
        </w:rPr>
      </w:pPr>
    </w:p>
    <w:p w:rsidR="001E7ACC" w:rsidRPr="001E7ACC" w:rsidRDefault="001E7ACC" w:rsidP="001E7ACC">
      <w:pPr>
        <w:pStyle w:val="ListParagraph"/>
        <w:keepNext/>
        <w:numPr>
          <w:ilvl w:val="0"/>
          <w:numId w:val="3"/>
        </w:numPr>
        <w:spacing w:before="360" w:after="120" w:line="240" w:lineRule="auto"/>
        <w:contextualSpacing w:val="0"/>
        <w:jc w:val="both"/>
        <w:outlineLvl w:val="0"/>
        <w:rPr>
          <w:rFonts w:ascii="Times New Roman" w:eastAsia="Times New Roman" w:hAnsi="Times New Roman" w:cs="Times New Roman"/>
          <w:b/>
          <w:bCs/>
          <w:smallCaps/>
          <w:noProof/>
          <w:vanish/>
          <w:sz w:val="24"/>
          <w:szCs w:val="24"/>
        </w:rPr>
      </w:pPr>
      <w:bookmarkStart w:id="50" w:name="_Toc498008067"/>
      <w:bookmarkStart w:id="51" w:name="_Toc498107167"/>
      <w:bookmarkStart w:id="52" w:name="_Toc498348937"/>
      <w:bookmarkStart w:id="53" w:name="_Toc498518907"/>
      <w:bookmarkStart w:id="54" w:name="_Toc498520955"/>
      <w:bookmarkStart w:id="55" w:name="_Toc498521049"/>
      <w:bookmarkStart w:id="56" w:name="_Toc498008068"/>
      <w:bookmarkStart w:id="57" w:name="_Toc498107168"/>
      <w:bookmarkStart w:id="58" w:name="_Toc498348938"/>
      <w:bookmarkStart w:id="59" w:name="_Toc498518908"/>
      <w:bookmarkStart w:id="60" w:name="_Toc498520956"/>
      <w:bookmarkStart w:id="61" w:name="_Toc498521050"/>
      <w:bookmarkStart w:id="62" w:name="_Toc498008069"/>
      <w:bookmarkStart w:id="63" w:name="_Toc498107169"/>
      <w:bookmarkStart w:id="64" w:name="_Toc498348939"/>
      <w:bookmarkStart w:id="65" w:name="_Toc498518909"/>
      <w:bookmarkStart w:id="66" w:name="_Toc498520957"/>
      <w:bookmarkStart w:id="67" w:name="_Toc498521051"/>
      <w:bookmarkStart w:id="68" w:name="_Toc498008070"/>
      <w:bookmarkStart w:id="69" w:name="_Toc498107170"/>
      <w:bookmarkStart w:id="70" w:name="_Toc498348940"/>
      <w:bookmarkStart w:id="71" w:name="_Toc498518910"/>
      <w:bookmarkStart w:id="72" w:name="_Toc498520958"/>
      <w:bookmarkStart w:id="73" w:name="_Toc498521052"/>
      <w:bookmarkStart w:id="74" w:name="_Toc498008071"/>
      <w:bookmarkStart w:id="75" w:name="_Toc498107171"/>
      <w:bookmarkStart w:id="76" w:name="_Toc498348941"/>
      <w:bookmarkStart w:id="77" w:name="_Toc498518911"/>
      <w:bookmarkStart w:id="78" w:name="_Toc498520959"/>
      <w:bookmarkStart w:id="79" w:name="_Toc498521053"/>
      <w:bookmarkStart w:id="80" w:name="_Toc498008072"/>
      <w:bookmarkStart w:id="81" w:name="_Toc498107172"/>
      <w:bookmarkStart w:id="82" w:name="_Toc498348942"/>
      <w:bookmarkStart w:id="83" w:name="_Toc498518912"/>
      <w:bookmarkStart w:id="84" w:name="_Toc498520960"/>
      <w:bookmarkStart w:id="85" w:name="_Toc498521054"/>
      <w:bookmarkStart w:id="86" w:name="_Toc498008073"/>
      <w:bookmarkStart w:id="87" w:name="_Toc498107173"/>
      <w:bookmarkStart w:id="88" w:name="_Toc498348943"/>
      <w:bookmarkStart w:id="89" w:name="_Toc498518913"/>
      <w:bookmarkStart w:id="90" w:name="_Toc498520961"/>
      <w:bookmarkStart w:id="91" w:name="_Toc498521055"/>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1E7ACC" w:rsidRPr="001E7ACC" w:rsidRDefault="001E7ACC" w:rsidP="001E7ACC">
      <w:pPr>
        <w:pStyle w:val="ListParagraph"/>
        <w:keepNext/>
        <w:numPr>
          <w:ilvl w:val="0"/>
          <w:numId w:val="3"/>
        </w:numPr>
        <w:spacing w:before="360" w:after="120" w:line="240" w:lineRule="auto"/>
        <w:contextualSpacing w:val="0"/>
        <w:jc w:val="both"/>
        <w:outlineLvl w:val="0"/>
        <w:rPr>
          <w:rFonts w:ascii="Times New Roman" w:eastAsia="Times New Roman" w:hAnsi="Times New Roman" w:cs="Times New Roman"/>
          <w:b/>
          <w:bCs/>
          <w:smallCaps/>
          <w:noProof/>
          <w:vanish/>
          <w:sz w:val="24"/>
          <w:szCs w:val="24"/>
        </w:rPr>
      </w:pPr>
    </w:p>
    <w:p w:rsidR="001E7ACC" w:rsidRPr="001E7ACC" w:rsidRDefault="001E7ACC" w:rsidP="001E7ACC">
      <w:pPr>
        <w:pStyle w:val="ListParagraph"/>
        <w:keepNext/>
        <w:numPr>
          <w:ilvl w:val="0"/>
          <w:numId w:val="3"/>
        </w:numPr>
        <w:spacing w:before="360" w:after="120" w:line="240" w:lineRule="auto"/>
        <w:contextualSpacing w:val="0"/>
        <w:jc w:val="both"/>
        <w:outlineLvl w:val="0"/>
        <w:rPr>
          <w:rFonts w:ascii="Times New Roman" w:eastAsia="Times New Roman" w:hAnsi="Times New Roman" w:cs="Times New Roman"/>
          <w:b/>
          <w:bCs/>
          <w:smallCaps/>
          <w:noProof/>
          <w:vanish/>
          <w:sz w:val="24"/>
          <w:szCs w:val="24"/>
        </w:rPr>
      </w:pPr>
    </w:p>
    <w:p w:rsidR="001E7ACC" w:rsidRPr="001E7ACC" w:rsidRDefault="001E7ACC" w:rsidP="001E7ACC">
      <w:pPr>
        <w:pStyle w:val="ListParagraph"/>
        <w:keepNext/>
        <w:numPr>
          <w:ilvl w:val="0"/>
          <w:numId w:val="3"/>
        </w:numPr>
        <w:spacing w:before="360" w:after="120" w:line="240" w:lineRule="auto"/>
        <w:contextualSpacing w:val="0"/>
        <w:jc w:val="both"/>
        <w:outlineLvl w:val="0"/>
        <w:rPr>
          <w:rFonts w:ascii="Times New Roman" w:eastAsia="Times New Roman" w:hAnsi="Times New Roman" w:cs="Times New Roman"/>
          <w:b/>
          <w:bCs/>
          <w:smallCaps/>
          <w:noProof/>
          <w:vanish/>
          <w:sz w:val="24"/>
          <w:szCs w:val="24"/>
        </w:rPr>
      </w:pPr>
    </w:p>
    <w:p w:rsidR="001E7ACC" w:rsidRPr="001E7ACC" w:rsidRDefault="001E7ACC" w:rsidP="001E7ACC">
      <w:pPr>
        <w:pStyle w:val="ListParagraph"/>
        <w:keepNext/>
        <w:numPr>
          <w:ilvl w:val="0"/>
          <w:numId w:val="3"/>
        </w:numPr>
        <w:spacing w:before="360" w:after="120" w:line="240" w:lineRule="auto"/>
        <w:contextualSpacing w:val="0"/>
        <w:jc w:val="both"/>
        <w:outlineLvl w:val="0"/>
        <w:rPr>
          <w:rFonts w:ascii="Times New Roman" w:eastAsia="Times New Roman" w:hAnsi="Times New Roman" w:cs="Times New Roman"/>
          <w:b/>
          <w:bCs/>
          <w:smallCaps/>
          <w:noProof/>
          <w:vanish/>
          <w:sz w:val="24"/>
          <w:szCs w:val="24"/>
        </w:rPr>
      </w:pPr>
    </w:p>
    <w:p w:rsidR="001E7ACC" w:rsidRPr="001E7ACC" w:rsidRDefault="001E7ACC" w:rsidP="001E7ACC">
      <w:pPr>
        <w:pStyle w:val="ListParagraph"/>
        <w:keepNext/>
        <w:numPr>
          <w:ilvl w:val="1"/>
          <w:numId w:val="3"/>
        </w:numPr>
        <w:spacing w:before="360" w:after="120" w:line="240" w:lineRule="auto"/>
        <w:ind w:left="1134" w:hanging="1134"/>
        <w:contextualSpacing w:val="0"/>
        <w:jc w:val="both"/>
        <w:outlineLvl w:val="1"/>
        <w:rPr>
          <w:rFonts w:ascii="Times New Roman" w:eastAsia="Times New Roman" w:hAnsi="Times New Roman" w:cs="Times New Roman"/>
          <w:b/>
          <w:bCs/>
          <w:smallCaps/>
          <w:noProof/>
          <w:vanish/>
          <w:sz w:val="24"/>
          <w:szCs w:val="24"/>
        </w:rPr>
      </w:pPr>
    </w:p>
    <w:p w:rsidR="001E7ACC" w:rsidRPr="001E7ACC" w:rsidRDefault="001E7ACC" w:rsidP="001E7ACC">
      <w:pPr>
        <w:pStyle w:val="ListParagraph"/>
        <w:keepNext/>
        <w:numPr>
          <w:ilvl w:val="2"/>
          <w:numId w:val="3"/>
        </w:numPr>
        <w:spacing w:before="360" w:after="120" w:line="240" w:lineRule="auto"/>
        <w:contextualSpacing w:val="0"/>
        <w:jc w:val="both"/>
        <w:outlineLvl w:val="2"/>
        <w:rPr>
          <w:rFonts w:ascii="Times New Roman" w:eastAsia="Times New Roman" w:hAnsi="Times New Roman" w:cs="Times New Roman"/>
          <w:b/>
          <w:bCs/>
          <w:smallCaps/>
          <w:noProof/>
          <w:vanish/>
          <w:sz w:val="24"/>
          <w:szCs w:val="24"/>
        </w:rPr>
      </w:pPr>
    </w:p>
    <w:p w:rsidR="00EB6A7B" w:rsidRDefault="001E7ACC" w:rsidP="001E7ACC">
      <w:pPr>
        <w:pStyle w:val="Heading4"/>
        <w:rPr>
          <w:noProof/>
        </w:rPr>
      </w:pPr>
      <w:r>
        <w:rPr>
          <w:noProof/>
        </w:rPr>
        <w:t>The Directive as a whole</w:t>
      </w:r>
    </w:p>
    <w:p w:rsidR="00EB6A7B" w:rsidRDefault="001E7ACC">
      <w:pPr>
        <w:jc w:val="both"/>
        <w:rPr>
          <w:rFonts w:ascii="Times New Roman" w:hAnsi="Times New Roman" w:cs="Times New Roman"/>
          <w:iCs/>
          <w:noProof/>
          <w:sz w:val="24"/>
        </w:rPr>
      </w:pPr>
      <w:r>
        <w:rPr>
          <w:rFonts w:ascii="Times New Roman" w:hAnsi="Times New Roman" w:cs="Times New Roman"/>
          <w:iCs/>
          <w:noProof/>
          <w:sz w:val="24"/>
        </w:rPr>
        <w:t>Evidence from the several stakeholder consultations</w:t>
      </w:r>
      <w:r>
        <w:rPr>
          <w:rStyle w:val="FootnoteReference"/>
          <w:rFonts w:ascii="Times New Roman" w:hAnsi="Times New Roman" w:cs="Times New Roman"/>
          <w:iCs/>
          <w:noProof/>
          <w:sz w:val="24"/>
        </w:rPr>
        <w:footnoteReference w:id="24"/>
      </w:r>
      <w:r>
        <w:rPr>
          <w:rFonts w:ascii="Times New Roman" w:hAnsi="Times New Roman" w:cs="Times New Roman"/>
          <w:iCs/>
          <w:noProof/>
          <w:sz w:val="24"/>
        </w:rPr>
        <w:t xml:space="preserve"> indicates that the Directive has mainly achieved its objective to improve civil enforcement of IPRs. In response to the public consultation most rightholders and representative</w:t>
      </w:r>
      <w:r>
        <w:rPr>
          <w:rFonts w:ascii="Times New Roman" w:hAnsi="Times New Roman" w:cs="Times New Roman"/>
          <w:iCs/>
          <w:noProof/>
          <w:sz w:val="24"/>
        </w:rPr>
        <w:t>s of the judiciary and legal profession felt that the implemented rules partly achieved the objective of ensuring effective civil redress against IPR infringements (63% and 55% of representatives respectively). The views of intermediaries, citizens and Mem</w:t>
      </w:r>
      <w:r>
        <w:rPr>
          <w:rFonts w:ascii="Times New Roman" w:hAnsi="Times New Roman" w:cs="Times New Roman"/>
          <w:iCs/>
          <w:noProof/>
          <w:sz w:val="24"/>
        </w:rPr>
        <w:t>ber States were more positive, with the majority of respondents reporting that the existing rules had been effective. The Evaluation Study concluded</w:t>
      </w:r>
      <w:r>
        <w:rPr>
          <w:rStyle w:val="FootnoteReference"/>
          <w:rFonts w:ascii="Times New Roman" w:hAnsi="Times New Roman" w:cs="Times New Roman"/>
          <w:iCs/>
          <w:noProof/>
          <w:sz w:val="24"/>
        </w:rPr>
        <w:footnoteReference w:id="25"/>
      </w:r>
      <w:r>
        <w:rPr>
          <w:rFonts w:ascii="Times New Roman" w:hAnsi="Times New Roman" w:cs="Times New Roman"/>
          <w:iCs/>
          <w:noProof/>
          <w:sz w:val="24"/>
        </w:rPr>
        <w:t xml:space="preserve"> that for the most part the Directive has indeed improved the enforcement of IPR. The study indicates that </w:t>
      </w:r>
      <w:r>
        <w:rPr>
          <w:rFonts w:ascii="Times New Roman" w:hAnsi="Times New Roman" w:cs="Times New Roman"/>
          <w:iCs/>
          <w:noProof/>
          <w:sz w:val="24"/>
        </w:rPr>
        <w:t>the Directive proved to be effective on very general and conceptual level, allowing for a common legal European framework, the development of pan-European enforcement strategies, and a productive exchange of intelligence among judges cross-border. It was a</w:t>
      </w:r>
      <w:r>
        <w:rPr>
          <w:rFonts w:ascii="Times New Roman" w:hAnsi="Times New Roman" w:cs="Times New Roman"/>
          <w:iCs/>
          <w:noProof/>
          <w:sz w:val="24"/>
        </w:rPr>
        <w:t>lso concluded that higher order effectiveness is hampered by the actual application of the Directive in the Member States, which is not so much due to the way it is transposed as legal text, but how civil court proceedings and traditions operate in general</w:t>
      </w:r>
      <w:r>
        <w:rPr>
          <w:rFonts w:ascii="Times New Roman" w:hAnsi="Times New Roman" w:cs="Times New Roman"/>
          <w:iCs/>
          <w:noProof/>
          <w:sz w:val="24"/>
        </w:rPr>
        <w:t xml:space="preserve"> in different Member States.</w:t>
      </w:r>
      <w:r>
        <w:rPr>
          <w:rStyle w:val="FootnoteReference"/>
          <w:rFonts w:ascii="Times New Roman" w:hAnsi="Times New Roman" w:cs="Times New Roman"/>
          <w:iCs/>
          <w:noProof/>
          <w:sz w:val="24"/>
        </w:rPr>
        <w:footnoteReference w:id="26"/>
      </w:r>
      <w:r>
        <w:rPr>
          <w:rFonts w:ascii="Times New Roman" w:hAnsi="Times New Roman" w:cs="Times New Roman"/>
          <w:iCs/>
          <w:noProof/>
          <w:sz w:val="24"/>
        </w:rPr>
        <w:t xml:space="preserve"> In response to the public consultation the majority of stakeholders did not consider that the measures, procedures and remedies provided for in the Directive are applied in a homogeneous manner across the Member States.</w:t>
      </w:r>
    </w:p>
    <w:p w:rsidR="00EB6A7B" w:rsidRDefault="001E7ACC">
      <w:pPr>
        <w:spacing w:before="200"/>
        <w:jc w:val="both"/>
        <w:rPr>
          <w:rFonts w:ascii="Times New Roman" w:hAnsi="Times New Roman" w:cs="Times New Roman"/>
          <w:iCs/>
          <w:noProof/>
          <w:sz w:val="24"/>
        </w:rPr>
      </w:pPr>
      <w:r>
        <w:rPr>
          <w:rFonts w:ascii="Times New Roman" w:hAnsi="Times New Roman" w:cs="Times New Roman"/>
          <w:iCs/>
          <w:noProof/>
          <w:sz w:val="24"/>
        </w:rPr>
        <w:t>This i</w:t>
      </w:r>
      <w:r>
        <w:rPr>
          <w:rFonts w:ascii="Times New Roman" w:hAnsi="Times New Roman" w:cs="Times New Roman"/>
          <w:iCs/>
          <w:noProof/>
          <w:sz w:val="24"/>
        </w:rPr>
        <w:t>s also confirmed by a recent study on patent litigation in Europe</w:t>
      </w:r>
      <w:r>
        <w:rPr>
          <w:rStyle w:val="FootnoteReference"/>
          <w:rFonts w:ascii="Times New Roman" w:hAnsi="Times New Roman" w:cs="Times New Roman"/>
          <w:iCs/>
          <w:noProof/>
          <w:sz w:val="24"/>
        </w:rPr>
        <w:footnoteReference w:id="27"/>
      </w:r>
      <w:r>
        <w:rPr>
          <w:rFonts w:ascii="Times New Roman" w:hAnsi="Times New Roman" w:cs="Times New Roman"/>
          <w:iCs/>
          <w:noProof/>
          <w:sz w:val="24"/>
        </w:rPr>
        <w:t>, which compares patent litigation cases in France, Germany, the Netherlands and the UK and analyses the effects of these different enforcement systems on the outcome of cases. The study poi</w:t>
      </w:r>
      <w:r>
        <w:rPr>
          <w:rFonts w:ascii="Times New Roman" w:hAnsi="Times New Roman" w:cs="Times New Roman"/>
          <w:iCs/>
          <w:noProof/>
          <w:sz w:val="24"/>
        </w:rPr>
        <w:t>nts out at the inconsistency of decision-making in the European patent litigation system.</w:t>
      </w:r>
    </w:p>
    <w:p w:rsidR="00EB6A7B" w:rsidRDefault="001E7ACC">
      <w:pPr>
        <w:pStyle w:val="Heading4"/>
        <w:rPr>
          <w:noProof/>
        </w:rPr>
      </w:pPr>
      <w:r>
        <w:rPr>
          <w:noProof/>
        </w:rPr>
        <w:t>Effectiveness of the measures set out in the Directive</w:t>
      </w:r>
    </w:p>
    <w:p w:rsidR="00EB6A7B" w:rsidRDefault="001E7ACC">
      <w:pPr>
        <w:pStyle w:val="Heading5"/>
        <w:rPr>
          <w:b w:val="0"/>
          <w:noProof/>
        </w:rPr>
      </w:pPr>
      <w:r>
        <w:rPr>
          <w:noProof/>
        </w:rPr>
        <w:t>presenting, obtaining and preserving evidence (articles 6 and 7)</w:t>
      </w:r>
    </w:p>
    <w:p w:rsidR="00EB6A7B" w:rsidRDefault="001E7ACC">
      <w:pPr>
        <w:spacing w:before="200"/>
        <w:jc w:val="both"/>
        <w:rPr>
          <w:rFonts w:ascii="Times New Roman" w:hAnsi="Times New Roman" w:cs="Times New Roman"/>
          <w:noProof/>
          <w:sz w:val="24"/>
        </w:rPr>
      </w:pPr>
      <w:r>
        <w:rPr>
          <w:rFonts w:ascii="Times New Roman" w:hAnsi="Times New Roman" w:cs="Times New Roman"/>
          <w:noProof/>
          <w:sz w:val="24"/>
        </w:rPr>
        <w:t>Article 6 of the Directive requires Member Sta</w:t>
      </w:r>
      <w:r>
        <w:rPr>
          <w:rFonts w:ascii="Times New Roman" w:hAnsi="Times New Roman" w:cs="Times New Roman"/>
          <w:noProof/>
          <w:sz w:val="24"/>
        </w:rPr>
        <w:t>tes to provide the ability to apply for a court order requiring the opposing party to produce specified evidence, such as a sample of a substantial number of allegedly infringing copies. In case of infringements on a commercial scale, the evidence may incl</w:t>
      </w:r>
      <w:r>
        <w:rPr>
          <w:rFonts w:ascii="Times New Roman" w:hAnsi="Times New Roman" w:cs="Times New Roman"/>
          <w:noProof/>
          <w:sz w:val="24"/>
        </w:rPr>
        <w:t>ude banking, financial or commercial documents under the control of the opposing party.</w:t>
      </w:r>
    </w:p>
    <w:p w:rsidR="00EB6A7B" w:rsidRDefault="001E7ACC">
      <w:pPr>
        <w:spacing w:before="200"/>
        <w:jc w:val="both"/>
        <w:rPr>
          <w:rFonts w:ascii="Times New Roman" w:hAnsi="Times New Roman" w:cs="Times New Roman"/>
          <w:noProof/>
          <w:sz w:val="24"/>
        </w:rPr>
      </w:pPr>
      <w:r>
        <w:rPr>
          <w:rFonts w:ascii="Times New Roman" w:hAnsi="Times New Roman" w:cs="Times New Roman"/>
          <w:noProof/>
          <w:sz w:val="24"/>
        </w:rPr>
        <w:t xml:space="preserve">Given that only the infringer knows the quantities of the infringed goods and the rightholder may only have a few samples, the ability to obtain banking, financial and </w:t>
      </w:r>
      <w:r>
        <w:rPr>
          <w:rFonts w:ascii="Times New Roman" w:hAnsi="Times New Roman" w:cs="Times New Roman"/>
          <w:noProof/>
          <w:sz w:val="24"/>
        </w:rPr>
        <w:t xml:space="preserve">commercial documents that provide reliable information about the quantities of products sold or distributed and revenues obtained by the alleged infringer, is key. Lack of this information hampers in particular the rightholders' claims for damages. </w:t>
      </w:r>
    </w:p>
    <w:p w:rsidR="00EB6A7B" w:rsidRDefault="001E7ACC">
      <w:pPr>
        <w:spacing w:before="200"/>
        <w:jc w:val="both"/>
        <w:rPr>
          <w:rFonts w:ascii="Times New Roman" w:hAnsi="Times New Roman" w:cs="Times New Roman"/>
          <w:noProof/>
          <w:sz w:val="24"/>
        </w:rPr>
      </w:pPr>
      <w:r>
        <w:rPr>
          <w:rFonts w:ascii="Times New Roman" w:hAnsi="Times New Roman" w:cs="Times New Roman"/>
          <w:noProof/>
          <w:sz w:val="24"/>
        </w:rPr>
        <w:t>Eviden</w:t>
      </w:r>
      <w:r>
        <w:rPr>
          <w:rFonts w:ascii="Times New Roman" w:hAnsi="Times New Roman" w:cs="Times New Roman"/>
          <w:noProof/>
          <w:sz w:val="24"/>
        </w:rPr>
        <w:t xml:space="preserve">ce – in particular in the online world – can be destroyed rather quickly and easily, thus, Article 7 provides for prompt and effective provisional measures to preserve evidence. They may be ordered by the court even before proceedings on the merits of the </w:t>
      </w:r>
      <w:r>
        <w:rPr>
          <w:rFonts w:ascii="Times New Roman" w:hAnsi="Times New Roman" w:cs="Times New Roman"/>
          <w:noProof/>
          <w:sz w:val="24"/>
        </w:rPr>
        <w:t>case have been instituted and if the rightholder has already substantiated the infringement or threat of infringement to a reasonable extent. Member States should set out measures that may include description, search orders or seizure of goods, and in cert</w:t>
      </w:r>
      <w:r>
        <w:rPr>
          <w:rFonts w:ascii="Times New Roman" w:hAnsi="Times New Roman" w:cs="Times New Roman"/>
          <w:noProof/>
          <w:sz w:val="24"/>
        </w:rPr>
        <w:t>ain cases materials used in the production and/or distribution of the goods and related documents. While search orders as such tend to be in general easily obtained, they are not available in the scope of civil proceedings in Hungary and Malta. The costs f</w:t>
      </w:r>
      <w:r>
        <w:rPr>
          <w:rFonts w:ascii="Times New Roman" w:hAnsi="Times New Roman" w:cs="Times New Roman"/>
          <w:noProof/>
          <w:sz w:val="24"/>
        </w:rPr>
        <w:t xml:space="preserve">or search orders (which are often covered by the rightholder in advance) also vary; in the UK they tend to be prohibitive, and as a result they are barely used. </w:t>
      </w:r>
    </w:p>
    <w:p w:rsidR="00EB6A7B" w:rsidRDefault="001E7ACC">
      <w:pPr>
        <w:spacing w:before="200"/>
        <w:jc w:val="both"/>
        <w:rPr>
          <w:rFonts w:ascii="Times New Roman" w:hAnsi="Times New Roman" w:cs="Times New Roman"/>
          <w:noProof/>
          <w:sz w:val="24"/>
        </w:rPr>
      </w:pPr>
      <w:r>
        <w:rPr>
          <w:rFonts w:ascii="Times New Roman" w:hAnsi="Times New Roman" w:cs="Times New Roman"/>
          <w:noProof/>
          <w:sz w:val="24"/>
        </w:rPr>
        <w:t xml:space="preserve">All Member States have incorporated these provisions for the presentation and preservation of </w:t>
      </w:r>
      <w:r>
        <w:rPr>
          <w:rFonts w:ascii="Times New Roman" w:hAnsi="Times New Roman" w:cs="Times New Roman"/>
          <w:noProof/>
          <w:sz w:val="24"/>
        </w:rPr>
        <w:t xml:space="preserve">evidence in their legal system. </w:t>
      </w:r>
    </w:p>
    <w:p w:rsidR="00EB6A7B" w:rsidRDefault="001E7ACC">
      <w:pPr>
        <w:spacing w:before="200"/>
        <w:jc w:val="both"/>
        <w:rPr>
          <w:rFonts w:ascii="Times New Roman" w:hAnsi="Times New Roman" w:cs="Times New Roman"/>
          <w:noProof/>
          <w:sz w:val="24"/>
        </w:rPr>
      </w:pPr>
      <w:r>
        <w:rPr>
          <w:rFonts w:ascii="Times New Roman" w:hAnsi="Times New Roman" w:cs="Times New Roman"/>
          <w:noProof/>
          <w:sz w:val="24"/>
        </w:rPr>
        <w:t>The majority of respondents to the public consultation considered that the measures provided by the Directive are effective for presenting, obtaining and preserving evidence. Some respondents however considered that the pro</w:t>
      </w:r>
      <w:r>
        <w:rPr>
          <w:rFonts w:ascii="Times New Roman" w:hAnsi="Times New Roman" w:cs="Times New Roman"/>
          <w:noProof/>
          <w:sz w:val="24"/>
        </w:rPr>
        <w:t xml:space="preserve">visions on evidence could benefit from clarification, in particular with regard to the preservation of evidence in the digital environment and the presentation of evidence obtained in another jurisdiction. </w:t>
      </w:r>
    </w:p>
    <w:p w:rsidR="00EB6A7B" w:rsidRDefault="001E7ACC">
      <w:pPr>
        <w:spacing w:before="200"/>
        <w:jc w:val="both"/>
        <w:rPr>
          <w:rFonts w:ascii="Times New Roman" w:hAnsi="Times New Roman" w:cs="Times New Roman"/>
          <w:noProof/>
          <w:sz w:val="24"/>
        </w:rPr>
      </w:pPr>
      <w:r>
        <w:rPr>
          <w:rFonts w:ascii="Times New Roman" w:hAnsi="Times New Roman" w:cs="Times New Roman"/>
          <w:bCs/>
          <w:noProof/>
          <w:sz w:val="24"/>
        </w:rPr>
        <w:t xml:space="preserve">The use and presentation of digital evidence and </w:t>
      </w:r>
      <w:r>
        <w:rPr>
          <w:rFonts w:ascii="Times New Roman" w:hAnsi="Times New Roman" w:cs="Times New Roman"/>
          <w:bCs/>
          <w:noProof/>
          <w:sz w:val="24"/>
        </w:rPr>
        <w:t xml:space="preserve">the access to digital information is not explicitly regulated by the Directive, and therefore largely relies on national civil procedures, what allows for the necessary amount of flexibility. Most stakeholders believe that the measures provided for by the </w:t>
      </w:r>
      <w:r>
        <w:rPr>
          <w:rFonts w:ascii="Times New Roman" w:hAnsi="Times New Roman" w:cs="Times New Roman"/>
          <w:bCs/>
          <w:noProof/>
          <w:sz w:val="24"/>
        </w:rPr>
        <w:t xml:space="preserve">Directive for presenting and preserving evidence are not adapted to the online context. </w:t>
      </w:r>
    </w:p>
    <w:p w:rsidR="00EB6A7B" w:rsidRDefault="001E7ACC">
      <w:pPr>
        <w:spacing w:before="200" w:after="0"/>
        <w:jc w:val="both"/>
        <w:rPr>
          <w:rFonts w:ascii="Times New Roman" w:hAnsi="Times New Roman" w:cs="Times New Roman"/>
          <w:noProof/>
          <w:sz w:val="24"/>
        </w:rPr>
      </w:pPr>
      <w:r>
        <w:rPr>
          <w:rFonts w:ascii="Times New Roman" w:hAnsi="Times New Roman" w:cs="Times New Roman"/>
          <w:bCs/>
          <w:noProof/>
          <w:sz w:val="24"/>
        </w:rPr>
        <w:t>Half of the rightholders responding to the public consultation indicated that they faced problems using evidence when making use of their right of information/taking l</w:t>
      </w:r>
      <w:r>
        <w:rPr>
          <w:rFonts w:ascii="Times New Roman" w:hAnsi="Times New Roman" w:cs="Times New Roman"/>
          <w:bCs/>
          <w:noProof/>
          <w:sz w:val="24"/>
        </w:rPr>
        <w:t xml:space="preserve">egal action/applying for an injunction in a cross-border situation. </w:t>
      </w:r>
      <w:r>
        <w:rPr>
          <w:rFonts w:ascii="Times New Roman" w:hAnsi="Times New Roman" w:cs="Times New Roman"/>
          <w:noProof/>
          <w:sz w:val="24"/>
        </w:rPr>
        <w:t xml:space="preserve">The Evaluation Study also reported a lack of effectiveness of the rules of evidence in a cross border context, largely revolving around four main issues: </w:t>
      </w:r>
    </w:p>
    <w:p w:rsidR="00EB6A7B" w:rsidRDefault="001E7ACC">
      <w:pPr>
        <w:pStyle w:val="ListParagraph"/>
        <w:numPr>
          <w:ilvl w:val="0"/>
          <w:numId w:val="50"/>
        </w:numPr>
        <w:spacing w:before="200"/>
        <w:jc w:val="both"/>
        <w:rPr>
          <w:rFonts w:ascii="Times New Roman" w:hAnsi="Times New Roman" w:cs="Times New Roman"/>
          <w:noProof/>
          <w:sz w:val="24"/>
        </w:rPr>
      </w:pPr>
      <w:r>
        <w:rPr>
          <w:rFonts w:ascii="Times New Roman" w:hAnsi="Times New Roman" w:cs="Times New Roman"/>
          <w:noProof/>
          <w:sz w:val="24"/>
        </w:rPr>
        <w:t>the difficulty of gathering evide</w:t>
      </w:r>
      <w:r>
        <w:rPr>
          <w:rFonts w:ascii="Times New Roman" w:hAnsi="Times New Roman" w:cs="Times New Roman"/>
          <w:noProof/>
          <w:sz w:val="24"/>
        </w:rPr>
        <w:t>nce in practice for foreign cases and of using evidence of an infringement in a country other than the country where the litigation is taking place;</w:t>
      </w:r>
    </w:p>
    <w:p w:rsidR="00EB6A7B" w:rsidRDefault="001E7ACC">
      <w:pPr>
        <w:pStyle w:val="ListParagraph"/>
        <w:numPr>
          <w:ilvl w:val="0"/>
          <w:numId w:val="50"/>
        </w:numPr>
        <w:spacing w:before="200"/>
        <w:jc w:val="both"/>
        <w:rPr>
          <w:rFonts w:ascii="Times New Roman" w:hAnsi="Times New Roman" w:cs="Times New Roman"/>
          <w:noProof/>
          <w:sz w:val="24"/>
        </w:rPr>
      </w:pPr>
      <w:r>
        <w:rPr>
          <w:rFonts w:ascii="Times New Roman" w:hAnsi="Times New Roman" w:cs="Times New Roman"/>
          <w:noProof/>
          <w:sz w:val="24"/>
        </w:rPr>
        <w:t xml:space="preserve">cost, e.g. where discrepancies among Member States on the thresholds for requiring production of evidence may increase expenses; </w:t>
      </w:r>
    </w:p>
    <w:p w:rsidR="00EB6A7B" w:rsidRDefault="001E7ACC">
      <w:pPr>
        <w:pStyle w:val="ListParagraph"/>
        <w:numPr>
          <w:ilvl w:val="0"/>
          <w:numId w:val="50"/>
        </w:numPr>
        <w:spacing w:before="200"/>
        <w:jc w:val="both"/>
        <w:rPr>
          <w:rFonts w:ascii="Times New Roman" w:hAnsi="Times New Roman" w:cs="Times New Roman"/>
          <w:noProof/>
          <w:sz w:val="24"/>
        </w:rPr>
      </w:pPr>
      <w:r>
        <w:rPr>
          <w:rFonts w:ascii="Times New Roman" w:hAnsi="Times New Roman" w:cs="Times New Roman"/>
          <w:noProof/>
          <w:sz w:val="24"/>
        </w:rPr>
        <w:t>inconsistency in availability of information in different Member States. For example, some Member States reportedly do not pro</w:t>
      </w:r>
      <w:r>
        <w:rPr>
          <w:rFonts w:ascii="Times New Roman" w:hAnsi="Times New Roman" w:cs="Times New Roman"/>
          <w:noProof/>
          <w:sz w:val="24"/>
        </w:rPr>
        <w:t xml:space="preserve">vide information about importers/exporters of goods seized by Customs. </w:t>
      </w:r>
    </w:p>
    <w:p w:rsidR="00EB6A7B" w:rsidRDefault="001E7ACC">
      <w:pPr>
        <w:pStyle w:val="ListParagraph"/>
        <w:numPr>
          <w:ilvl w:val="0"/>
          <w:numId w:val="50"/>
        </w:numPr>
        <w:spacing w:before="200"/>
        <w:jc w:val="both"/>
        <w:rPr>
          <w:rFonts w:ascii="Times New Roman" w:hAnsi="Times New Roman" w:cs="Times New Roman"/>
          <w:noProof/>
          <w:sz w:val="24"/>
        </w:rPr>
      </w:pPr>
      <w:r>
        <w:rPr>
          <w:rFonts w:ascii="Times New Roman" w:hAnsi="Times New Roman" w:cs="Times New Roman"/>
          <w:noProof/>
          <w:sz w:val="24"/>
        </w:rPr>
        <w:t xml:space="preserve">national differences as regards the production and preservation of evidence, which occasionally led to that court orders issued in one Member States not being accepted in another. </w:t>
      </w:r>
    </w:p>
    <w:p w:rsidR="00EB6A7B" w:rsidRDefault="00EB6A7B">
      <w:pPr>
        <w:pStyle w:val="ListParagraph"/>
        <w:spacing w:before="200"/>
        <w:ind w:left="360"/>
        <w:jc w:val="both"/>
        <w:rPr>
          <w:rFonts w:ascii="Times New Roman" w:hAnsi="Times New Roman" w:cs="Times New Roman"/>
          <w:noProof/>
          <w:sz w:val="24"/>
        </w:rPr>
      </w:pPr>
    </w:p>
    <w:p w:rsidR="00EB6A7B" w:rsidRDefault="001E7ACC">
      <w:pPr>
        <w:pBdr>
          <w:top w:val="single" w:sz="4" w:space="1" w:color="auto"/>
          <w:left w:val="single" w:sz="4" w:space="4" w:color="auto"/>
          <w:bottom w:val="single" w:sz="4" w:space="1" w:color="auto"/>
          <w:right w:val="single" w:sz="4" w:space="4" w:color="auto"/>
        </w:pBdr>
        <w:tabs>
          <w:tab w:val="num" w:pos="3129"/>
        </w:tabs>
        <w:spacing w:before="200"/>
        <w:jc w:val="both"/>
        <w:rPr>
          <w:rFonts w:ascii="Times New Roman" w:hAnsi="Times New Roman" w:cs="Times New Roman"/>
          <w:noProof/>
          <w:sz w:val="24"/>
          <w:lang w:val="en-US"/>
        </w:rPr>
      </w:pPr>
      <w:r>
        <w:rPr>
          <w:rFonts w:ascii="Times New Roman" w:hAnsi="Times New Roman" w:cs="Times New Roman"/>
          <w:noProof/>
          <w:sz w:val="24"/>
          <w:lang w:val="en-US"/>
        </w:rPr>
        <w:t>On</w:t>
      </w:r>
      <w:r>
        <w:rPr>
          <w:rFonts w:ascii="Times New Roman" w:hAnsi="Times New Roman" w:cs="Times New Roman"/>
          <w:noProof/>
          <w:sz w:val="24"/>
          <w:lang w:val="en-US"/>
        </w:rPr>
        <w:t xml:space="preserve"> a general level, Articles 6 and 7 of the Directive has proved to be effective to a certain extent, since they provided for tools to present and preserve evidence in all Member States. However, the application of the specific measures differs, depending on</w:t>
      </w:r>
      <w:r>
        <w:rPr>
          <w:rFonts w:ascii="Times New Roman" w:hAnsi="Times New Roman" w:cs="Times New Roman"/>
          <w:noProof/>
          <w:sz w:val="24"/>
          <w:lang w:val="en-US"/>
        </w:rPr>
        <w:t xml:space="preserve"> the civil procedure law and tradition of a specific Member State. Obtaining and securing digital evidence, as well as using evidence in the cross-border context, has proved to particularly challenge the effectiveness of the Directive.</w:t>
      </w:r>
    </w:p>
    <w:p w:rsidR="00EB6A7B" w:rsidRDefault="001E7ACC">
      <w:pPr>
        <w:pStyle w:val="Heading5"/>
        <w:rPr>
          <w:noProof/>
          <w:lang w:val="en-US"/>
        </w:rPr>
      </w:pPr>
      <w:r>
        <w:rPr>
          <w:noProof/>
          <w:lang w:val="en-US"/>
        </w:rPr>
        <w:t>Right of information</w:t>
      </w:r>
      <w:r>
        <w:rPr>
          <w:noProof/>
          <w:lang w:val="en-US"/>
        </w:rPr>
        <w:t xml:space="preserve"> (article 8)</w:t>
      </w:r>
    </w:p>
    <w:p w:rsidR="00EB6A7B" w:rsidRDefault="001E7ACC">
      <w:pPr>
        <w:spacing w:before="200"/>
        <w:jc w:val="both"/>
        <w:rPr>
          <w:rFonts w:ascii="Times New Roman" w:hAnsi="Times New Roman" w:cs="Times New Roman"/>
          <w:noProof/>
          <w:sz w:val="24"/>
        </w:rPr>
      </w:pPr>
      <w:r>
        <w:rPr>
          <w:rFonts w:ascii="Times New Roman" w:hAnsi="Times New Roman" w:cs="Times New Roman"/>
          <w:noProof/>
          <w:sz w:val="24"/>
        </w:rPr>
        <w:t xml:space="preserve">The right of information ("ROI"), established in Article 8 of the Directive, allows the competent judicial authorities to order that information on the origin and distribution networks of the goods or services which infringe an IP right shall </w:t>
      </w:r>
      <w:r>
        <w:rPr>
          <w:rFonts w:ascii="Times New Roman" w:hAnsi="Times New Roman" w:cs="Times New Roman"/>
          <w:noProof/>
          <w:sz w:val="24"/>
        </w:rPr>
        <w:t>be provided by certain persons if the infringer was found to be using the infringing services on a commercial scale.</w:t>
      </w:r>
    </w:p>
    <w:p w:rsidR="00EB6A7B" w:rsidRDefault="001E7ACC">
      <w:pPr>
        <w:spacing w:before="200"/>
        <w:jc w:val="both"/>
        <w:rPr>
          <w:rFonts w:ascii="Times New Roman" w:hAnsi="Times New Roman" w:cs="Times New Roman"/>
          <w:noProof/>
          <w:sz w:val="24"/>
          <w:lang w:val="en-US"/>
        </w:rPr>
      </w:pPr>
      <w:r>
        <w:rPr>
          <w:rFonts w:ascii="Times New Roman" w:hAnsi="Times New Roman" w:cs="Times New Roman"/>
          <w:noProof/>
          <w:sz w:val="24"/>
        </w:rPr>
        <w:t>According to the data presented in the Evaluation Study</w:t>
      </w:r>
      <w:r>
        <w:rPr>
          <w:rStyle w:val="FootnoteReference"/>
          <w:rFonts w:ascii="Times New Roman" w:hAnsi="Times New Roman" w:cs="Times New Roman"/>
          <w:noProof/>
          <w:sz w:val="24"/>
        </w:rPr>
        <w:footnoteReference w:id="28"/>
      </w:r>
      <w:r>
        <w:rPr>
          <w:rFonts w:ascii="Times New Roman" w:hAnsi="Times New Roman" w:cs="Times New Roman"/>
          <w:noProof/>
          <w:sz w:val="24"/>
        </w:rPr>
        <w:t xml:space="preserve"> the number of ROI requests substantially increased after the transposition of the </w:t>
      </w:r>
      <w:r>
        <w:rPr>
          <w:rFonts w:ascii="Times New Roman" w:hAnsi="Times New Roman" w:cs="Times New Roman"/>
          <w:noProof/>
          <w:sz w:val="24"/>
        </w:rPr>
        <w:t xml:space="preserve">Directive into national law for all types of IP and for all Member States. </w:t>
      </w:r>
    </w:p>
    <w:p w:rsidR="00EB6A7B" w:rsidRDefault="001E7ACC">
      <w:pPr>
        <w:spacing w:before="200"/>
        <w:jc w:val="both"/>
        <w:rPr>
          <w:rFonts w:ascii="Times New Roman" w:hAnsi="Times New Roman" w:cs="Times New Roman"/>
          <w:noProof/>
          <w:sz w:val="24"/>
        </w:rPr>
      </w:pPr>
      <w:r>
        <w:rPr>
          <w:rFonts w:ascii="Times New Roman" w:hAnsi="Times New Roman" w:cs="Times New Roman"/>
          <w:noProof/>
          <w:sz w:val="24"/>
        </w:rPr>
        <w:t>In the course of the public consultation the majority of respondents from Member States, intermediaries and the judiciary expressed the opinion that the existing rules on the ROI h</w:t>
      </w:r>
      <w:r>
        <w:rPr>
          <w:rFonts w:ascii="Times New Roman" w:hAnsi="Times New Roman" w:cs="Times New Roman"/>
          <w:noProof/>
          <w:sz w:val="24"/>
        </w:rPr>
        <w:t xml:space="preserve">ave helped effectively in protecting IP and preventing IPR infringements. The majority of consulted rightholders considered that there was a need to clarify the provisions on the ROI application to ensure that the right balance is struck between the right </w:t>
      </w:r>
      <w:r>
        <w:rPr>
          <w:rFonts w:ascii="Times New Roman" w:hAnsi="Times New Roman" w:cs="Times New Roman"/>
          <w:noProof/>
          <w:sz w:val="24"/>
        </w:rPr>
        <w:t xml:space="preserve">to property and the right to judicial review on the one hand and the right to respect for private life and/or the right to protection of personal data on the other.   </w:t>
      </w:r>
    </w:p>
    <w:p w:rsidR="00EB6A7B" w:rsidRDefault="001E7ACC">
      <w:pPr>
        <w:spacing w:before="200"/>
        <w:jc w:val="both"/>
        <w:rPr>
          <w:rFonts w:ascii="Times New Roman" w:hAnsi="Times New Roman" w:cs="Times New Roman"/>
          <w:noProof/>
          <w:sz w:val="24"/>
          <w:lang w:val="en-US"/>
        </w:rPr>
      </w:pPr>
      <w:r>
        <w:rPr>
          <w:rFonts w:ascii="Times New Roman" w:hAnsi="Times New Roman" w:cs="Times New Roman"/>
          <w:noProof/>
          <w:sz w:val="24"/>
        </w:rPr>
        <w:t>Rightholders also consider that the effectiveness of this measure is affected by the dif</w:t>
      </w:r>
      <w:r>
        <w:rPr>
          <w:rFonts w:ascii="Times New Roman" w:hAnsi="Times New Roman" w:cs="Times New Roman"/>
          <w:noProof/>
          <w:sz w:val="24"/>
        </w:rPr>
        <w:t xml:space="preserve">ference in </w:t>
      </w:r>
      <w:r>
        <w:rPr>
          <w:rFonts w:ascii="Times New Roman" w:hAnsi="Times New Roman" w:cs="Times New Roman"/>
          <w:noProof/>
          <w:sz w:val="24"/>
          <w:lang w:val="en-US"/>
        </w:rPr>
        <w:t xml:space="preserve">requirements at national level for a </w:t>
      </w:r>
      <w:r>
        <w:rPr>
          <w:rFonts w:ascii="Times New Roman" w:hAnsi="Times New Roman" w:cs="Times New Roman"/>
          <w:noProof/>
          <w:sz w:val="24"/>
        </w:rPr>
        <w:t>ROI</w:t>
      </w:r>
      <w:r>
        <w:rPr>
          <w:rFonts w:ascii="Times New Roman" w:hAnsi="Times New Roman" w:cs="Times New Roman"/>
          <w:noProof/>
          <w:sz w:val="24"/>
          <w:lang w:val="en-US"/>
        </w:rPr>
        <w:t xml:space="preserve"> request to be justified and granted, in particular against a third person. </w:t>
      </w:r>
    </w:p>
    <w:p w:rsidR="00EB6A7B" w:rsidRDefault="001E7ACC">
      <w:pPr>
        <w:jc w:val="both"/>
        <w:rPr>
          <w:rFonts w:ascii="Times New Roman" w:hAnsi="Times New Roman" w:cs="Times New Roman"/>
          <w:noProof/>
          <w:sz w:val="24"/>
        </w:rPr>
      </w:pPr>
      <w:r>
        <w:rPr>
          <w:rFonts w:ascii="Times New Roman" w:hAnsi="Times New Roman" w:cs="Times New Roman"/>
          <w:noProof/>
          <w:sz w:val="24"/>
        </w:rPr>
        <w:t>It has been also reported by the stakeholders that since the Directive merely refers to "the context of proceedings concerning a</w:t>
      </w:r>
      <w:r>
        <w:rPr>
          <w:rFonts w:ascii="Times New Roman" w:hAnsi="Times New Roman" w:cs="Times New Roman"/>
          <w:noProof/>
          <w:sz w:val="24"/>
        </w:rPr>
        <w:t>n infringement of an intellectual property right" it is unclear if the ROI can only be exercised when proceedings on the merits of the case, establishing the existence of an infringement, have been launched or if it can be used already before the commencem</w:t>
      </w:r>
      <w:r>
        <w:rPr>
          <w:rFonts w:ascii="Times New Roman" w:hAnsi="Times New Roman" w:cs="Times New Roman"/>
          <w:noProof/>
          <w:sz w:val="24"/>
        </w:rPr>
        <w:t>ent of proceedings on the merits of the case</w:t>
      </w:r>
      <w:r>
        <w:rPr>
          <w:rStyle w:val="FootnoteReference"/>
          <w:rFonts w:ascii="Times New Roman" w:hAnsi="Times New Roman" w:cs="Times New Roman"/>
          <w:noProof/>
          <w:sz w:val="24"/>
        </w:rPr>
        <w:footnoteReference w:id="29"/>
      </w:r>
      <w:r>
        <w:rPr>
          <w:rFonts w:ascii="Times New Roman" w:hAnsi="Times New Roman" w:cs="Times New Roman"/>
          <w:noProof/>
          <w:sz w:val="24"/>
        </w:rPr>
        <w:t xml:space="preserve">. </w:t>
      </w:r>
    </w:p>
    <w:p w:rsidR="00EB6A7B" w:rsidRDefault="001E7ACC">
      <w:pPr>
        <w:jc w:val="both"/>
        <w:rPr>
          <w:rFonts w:ascii="Times New Roman" w:hAnsi="Times New Roman" w:cs="Times New Roman"/>
          <w:noProof/>
          <w:sz w:val="24"/>
        </w:rPr>
      </w:pPr>
      <w:r>
        <w:rPr>
          <w:rFonts w:ascii="Times New Roman" w:hAnsi="Times New Roman" w:cs="Times New Roman"/>
          <w:noProof/>
          <w:sz w:val="24"/>
        </w:rPr>
        <w:t>According to the Evaluation Study, differences also exist in the application of the measure against a third party who is not an infringing party. In Poland, there are limited mechanisms ensuring proportionate</w:t>
      </w:r>
      <w:r>
        <w:rPr>
          <w:rFonts w:ascii="Times New Roman" w:hAnsi="Times New Roman" w:cs="Times New Roman"/>
          <w:noProof/>
          <w:sz w:val="24"/>
        </w:rPr>
        <w:t xml:space="preserve"> use of the right of information and the use of "access to information" for industrial property is very limited. It is because information can be requested only when infringement occurs with "high probability". In Ireland, for example, the applicant must p</w:t>
      </w:r>
      <w:r>
        <w:rPr>
          <w:rFonts w:ascii="Times New Roman" w:hAnsi="Times New Roman" w:cs="Times New Roman"/>
          <w:noProof/>
          <w:sz w:val="24"/>
        </w:rPr>
        <w:t>resent a prima facie case that an infringement of IP rights has occurred and the information sought will disclose the identity of the alleged infringers.</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It also results from the study that the use of this measure varies significantly between Member States</w:t>
      </w:r>
      <w:r>
        <w:rPr>
          <w:rFonts w:ascii="Times New Roman" w:eastAsia="Times New Roman" w:hAnsi="Times New Roman" w:cs="Times New Roman"/>
          <w:noProof/>
          <w:sz w:val="24"/>
          <w:szCs w:val="24"/>
        </w:rPr>
        <w:t>, with some jurisdictions not using the measures at all</w:t>
      </w:r>
      <w:r>
        <w:rPr>
          <w:rStyle w:val="FootnoteReference"/>
          <w:rFonts w:ascii="Times New Roman" w:eastAsia="Times New Roman" w:hAnsi="Times New Roman" w:cs="Times New Roman"/>
          <w:noProof/>
          <w:sz w:val="24"/>
          <w:szCs w:val="24"/>
        </w:rPr>
        <w:footnoteReference w:id="30"/>
      </w:r>
      <w:r>
        <w:rPr>
          <w:rFonts w:ascii="Times New Roman" w:eastAsia="Times New Roman" w:hAnsi="Times New Roman" w:cs="Times New Roman"/>
          <w:noProof/>
          <w:sz w:val="24"/>
          <w:szCs w:val="24"/>
        </w:rPr>
        <w:t>.</w:t>
      </w:r>
    </w:p>
    <w:p w:rsidR="00EB6A7B" w:rsidRDefault="001E7ACC">
      <w:pPr>
        <w:pBdr>
          <w:top w:val="single" w:sz="4" w:space="1" w:color="auto"/>
          <w:left w:val="single" w:sz="4" w:space="4" w:color="auto"/>
          <w:bottom w:val="single" w:sz="4" w:space="1" w:color="auto"/>
          <w:right w:val="single" w:sz="4" w:space="4" w:color="auto"/>
        </w:pBdr>
        <w:spacing w:before="200"/>
        <w:jc w:val="both"/>
        <w:rPr>
          <w:rFonts w:ascii="Times New Roman" w:hAnsi="Times New Roman" w:cs="Times New Roman"/>
          <w:b/>
          <w:noProof/>
          <w:sz w:val="24"/>
          <w:lang w:val="en-US"/>
        </w:rPr>
      </w:pPr>
      <w:r>
        <w:rPr>
          <w:rFonts w:ascii="Times New Roman" w:hAnsi="Times New Roman" w:cs="Times New Roman"/>
          <w:noProof/>
          <w:sz w:val="24"/>
        </w:rPr>
        <w:t>In general, the existing rules on ROI have ensured for a certain level of protection of IP by allowing national judicial authorities to order that information on the origin and distribution networks</w:t>
      </w:r>
      <w:r>
        <w:rPr>
          <w:rFonts w:ascii="Times New Roman" w:hAnsi="Times New Roman" w:cs="Times New Roman"/>
          <w:noProof/>
          <w:sz w:val="24"/>
        </w:rPr>
        <w:t xml:space="preserve"> of IP infringing goods and services is to be provided. Even though all the MS transposed this provision and agree that the ROI is necessary for an effective enforcement of IPRs, the effectiveness of this measure has been limited due to the differences in </w:t>
      </w:r>
      <w:r>
        <w:rPr>
          <w:rFonts w:ascii="Times New Roman" w:hAnsi="Times New Roman" w:cs="Times New Roman"/>
          <w:noProof/>
          <w:sz w:val="24"/>
        </w:rPr>
        <w:t xml:space="preserve">the application among Member States. </w:t>
      </w:r>
    </w:p>
    <w:p w:rsidR="00EB6A7B" w:rsidRDefault="001E7ACC">
      <w:pPr>
        <w:pStyle w:val="Heading5"/>
        <w:rPr>
          <w:noProof/>
          <w:lang w:val="en-US"/>
        </w:rPr>
      </w:pPr>
      <w:r>
        <w:rPr>
          <w:noProof/>
          <w:lang w:val="en-US"/>
        </w:rPr>
        <w:t>Provisional and precautionary measures and injunctions (Articles 9 and 11)</w:t>
      </w:r>
    </w:p>
    <w:p w:rsidR="00EB6A7B" w:rsidRDefault="001E7ACC">
      <w:pPr>
        <w:jc w:val="both"/>
        <w:rPr>
          <w:rFonts w:ascii="Times New Roman" w:hAnsi="Times New Roman" w:cs="Times New Roman"/>
          <w:noProof/>
          <w:sz w:val="24"/>
          <w:lang w:val="en-US"/>
        </w:rPr>
      </w:pPr>
      <w:r>
        <w:rPr>
          <w:rFonts w:ascii="Times New Roman" w:hAnsi="Times New Roman" w:cs="Times New Roman"/>
          <w:noProof/>
          <w:sz w:val="24"/>
        </w:rPr>
        <w:t xml:space="preserve">Article 9 of the Directive provides for the possibility to </w:t>
      </w:r>
      <w:r>
        <w:rPr>
          <w:rFonts w:ascii="Times New Roman" w:hAnsi="Times New Roman" w:cs="Times New Roman"/>
          <w:noProof/>
          <w:sz w:val="24"/>
          <w:lang w:val="en-US"/>
        </w:rPr>
        <w:t xml:space="preserve">apply for interlocutory injunctions (court orders to compel or prevent a party from </w:t>
      </w:r>
      <w:r>
        <w:rPr>
          <w:rFonts w:ascii="Times New Roman" w:hAnsi="Times New Roman" w:cs="Times New Roman"/>
          <w:noProof/>
          <w:sz w:val="24"/>
          <w:lang w:val="en-US"/>
        </w:rPr>
        <w:t>doing certain acts pending the final determination of the case) intended to prevent imminent infringements of their IPRs, or to stop the on-going infringements, on a provisional basis. Such interlocutory injunctions should also be available against interme</w:t>
      </w:r>
      <w:r>
        <w:rPr>
          <w:rFonts w:ascii="Times New Roman" w:hAnsi="Times New Roman" w:cs="Times New Roman"/>
          <w:noProof/>
          <w:sz w:val="24"/>
          <w:lang w:val="en-US"/>
        </w:rPr>
        <w:t xml:space="preserve">diaries whose services are used by third parties to infringe IPR, under the same conditions. Article 11 provides that where a judicial decision confirming an infringement of an IPR is taken through proceedings on the merits of the case national courts may </w:t>
      </w:r>
      <w:r>
        <w:rPr>
          <w:rFonts w:ascii="Times New Roman" w:hAnsi="Times New Roman" w:cs="Times New Roman"/>
          <w:noProof/>
          <w:sz w:val="24"/>
          <w:lang w:val="en-US"/>
        </w:rPr>
        <w:t>issue an injunction ('permanent' injunction) against the infringer aimed at prohibiting the continuation of the infringement</w:t>
      </w:r>
      <w:r>
        <w:rPr>
          <w:rStyle w:val="FootnoteReference"/>
          <w:rFonts w:ascii="Times New Roman" w:hAnsi="Times New Roman" w:cs="Times New Roman"/>
          <w:noProof/>
          <w:sz w:val="24"/>
          <w:lang w:val="en-US"/>
        </w:rPr>
        <w:footnoteReference w:id="31"/>
      </w:r>
      <w:r>
        <w:rPr>
          <w:rFonts w:ascii="Times New Roman" w:hAnsi="Times New Roman" w:cs="Times New Roman"/>
          <w:noProof/>
          <w:sz w:val="24"/>
          <w:lang w:val="en-US"/>
        </w:rPr>
        <w:t xml:space="preserve">. Such permanent injunctions can also be issued against intermediaries. </w:t>
      </w:r>
    </w:p>
    <w:p w:rsidR="00EB6A7B" w:rsidRDefault="001E7ACC">
      <w:pPr>
        <w:tabs>
          <w:tab w:val="num" w:pos="3129"/>
        </w:tabs>
        <w:spacing w:before="200"/>
        <w:jc w:val="both"/>
        <w:rPr>
          <w:rFonts w:ascii="Times New Roman" w:hAnsi="Times New Roman" w:cs="Times New Roman"/>
          <w:noProof/>
          <w:sz w:val="24"/>
          <w:lang w:val="en-US"/>
        </w:rPr>
      </w:pPr>
      <w:r>
        <w:rPr>
          <w:rFonts w:ascii="Times New Roman" w:hAnsi="Times New Roman" w:cs="Times New Roman"/>
          <w:noProof/>
          <w:sz w:val="24"/>
        </w:rPr>
        <w:t xml:space="preserve">The Evaluation Study concluded that preliminary </w:t>
      </w:r>
      <w:r>
        <w:rPr>
          <w:rFonts w:ascii="Times New Roman" w:hAnsi="Times New Roman" w:cs="Times New Roman"/>
          <w:noProof/>
          <w:sz w:val="24"/>
        </w:rPr>
        <w:t>injunctions (and other provisional measures) are the most effective measures against alleged IP infringers. The possibility of obtaining a provisional measure – to be in the position to order an alleged infringer to stop selling, importing or manufacturing</w:t>
      </w:r>
      <w:r>
        <w:rPr>
          <w:rFonts w:ascii="Times New Roman" w:hAnsi="Times New Roman" w:cs="Times New Roman"/>
          <w:noProof/>
          <w:sz w:val="24"/>
        </w:rPr>
        <w:t xml:space="preserve"> products or providing services until a final verdict is reached and the different arguments are assessed – has proven the most powerful feature of this instrument. The econometric analysis performed in the Evaluation Study</w:t>
      </w:r>
      <w:r>
        <w:rPr>
          <w:rStyle w:val="FootnoteReference"/>
          <w:rFonts w:ascii="Times New Roman" w:hAnsi="Times New Roman" w:cs="Times New Roman"/>
          <w:noProof/>
          <w:sz w:val="24"/>
        </w:rPr>
        <w:footnoteReference w:id="32"/>
      </w:r>
      <w:r>
        <w:rPr>
          <w:rFonts w:ascii="Times New Roman" w:hAnsi="Times New Roman" w:cs="Times New Roman"/>
          <w:noProof/>
          <w:sz w:val="24"/>
        </w:rPr>
        <w:t xml:space="preserve"> however did not provide any fur</w:t>
      </w:r>
      <w:r>
        <w:rPr>
          <w:rFonts w:ascii="Times New Roman" w:hAnsi="Times New Roman" w:cs="Times New Roman"/>
          <w:noProof/>
          <w:sz w:val="24"/>
        </w:rPr>
        <w:t xml:space="preserve">ther solid conclusions. </w:t>
      </w:r>
      <w:r>
        <w:rPr>
          <w:rFonts w:ascii="Times New Roman" w:hAnsi="Times New Roman" w:cs="Times New Roman"/>
          <w:noProof/>
          <w:sz w:val="24"/>
          <w:lang w:val="en-US"/>
        </w:rPr>
        <w:t>The legal analysis indicated that the effectiveness of the measure is again impacted by the application of the remedy at national level.</w:t>
      </w:r>
    </w:p>
    <w:p w:rsidR="00EB6A7B" w:rsidRDefault="001E7ACC">
      <w:pPr>
        <w:tabs>
          <w:tab w:val="num" w:pos="3129"/>
        </w:tabs>
        <w:spacing w:before="200"/>
        <w:jc w:val="both"/>
        <w:rPr>
          <w:rFonts w:ascii="Times New Roman" w:hAnsi="Times New Roman" w:cs="Times New Roman"/>
          <w:noProof/>
          <w:sz w:val="24"/>
        </w:rPr>
      </w:pPr>
      <w:r>
        <w:rPr>
          <w:rFonts w:ascii="Times New Roman" w:hAnsi="Times New Roman" w:cs="Times New Roman"/>
          <w:noProof/>
          <w:sz w:val="24"/>
        </w:rPr>
        <w:t>While under Article 9 interlocutory injunctions must also be available against any intermediary</w:t>
      </w:r>
      <w:r>
        <w:rPr>
          <w:rFonts w:ascii="Times New Roman" w:hAnsi="Times New Roman" w:cs="Times New Roman"/>
          <w:noProof/>
          <w:sz w:val="24"/>
        </w:rPr>
        <w:t xml:space="preserve"> whose services are used by third parties to infringe IP rights, different notions of 'intermediary' are used at national level</w:t>
      </w:r>
      <w:r>
        <w:rPr>
          <w:rStyle w:val="FootnoteReference"/>
          <w:rFonts w:ascii="Times New Roman" w:hAnsi="Times New Roman" w:cs="Times New Roman"/>
          <w:noProof/>
          <w:sz w:val="24"/>
        </w:rPr>
        <w:footnoteReference w:id="33"/>
      </w:r>
      <w:r>
        <w:rPr>
          <w:rFonts w:ascii="Times New Roman" w:hAnsi="Times New Roman" w:cs="Times New Roman"/>
          <w:noProof/>
          <w:sz w:val="24"/>
        </w:rPr>
        <w:t>. Also, the procedure for and scope of interlocutory injunctions is still fragmented across the EU, establishing different condi</w:t>
      </w:r>
      <w:r>
        <w:rPr>
          <w:rFonts w:ascii="Times New Roman" w:hAnsi="Times New Roman" w:cs="Times New Roman"/>
          <w:noProof/>
          <w:sz w:val="24"/>
        </w:rPr>
        <w:t>tions for the existence of urgency (different time limits for the request, demonstration of a likely irreparable harm required or not)</w:t>
      </w:r>
      <w:r>
        <w:rPr>
          <w:rFonts w:ascii="Times New Roman" w:hAnsi="Times New Roman" w:cs="Times New Roman"/>
          <w:noProof/>
          <w:sz w:val="24"/>
          <w:vertAlign w:val="superscript"/>
        </w:rPr>
        <w:footnoteReference w:id="34"/>
      </w:r>
      <w:r>
        <w:rPr>
          <w:rFonts w:ascii="Times New Roman" w:hAnsi="Times New Roman" w:cs="Times New Roman"/>
          <w:noProof/>
          <w:sz w:val="24"/>
        </w:rPr>
        <w:t>, the level of evidence required</w:t>
      </w:r>
      <w:r>
        <w:rPr>
          <w:rStyle w:val="FootnoteReference"/>
          <w:rFonts w:ascii="Times New Roman" w:hAnsi="Times New Roman" w:cs="Times New Roman"/>
          <w:noProof/>
          <w:sz w:val="24"/>
        </w:rPr>
        <w:footnoteReference w:id="35"/>
      </w:r>
      <w:r>
        <w:rPr>
          <w:rFonts w:ascii="Times New Roman" w:hAnsi="Times New Roman" w:cs="Times New Roman"/>
          <w:noProof/>
          <w:sz w:val="24"/>
        </w:rPr>
        <w:t xml:space="preserve"> and the type of evidence admissible</w:t>
      </w:r>
      <w:r>
        <w:rPr>
          <w:rFonts w:ascii="Times New Roman" w:hAnsi="Times New Roman" w:cs="Times New Roman"/>
          <w:noProof/>
          <w:sz w:val="24"/>
          <w:vertAlign w:val="superscript"/>
        </w:rPr>
        <w:footnoteReference w:id="36"/>
      </w:r>
      <w:r>
        <w:rPr>
          <w:rFonts w:ascii="Times New Roman" w:hAnsi="Times New Roman" w:cs="Times New Roman"/>
          <w:noProof/>
          <w:sz w:val="24"/>
        </w:rPr>
        <w:t>.</w:t>
      </w:r>
    </w:p>
    <w:p w:rsidR="00EB6A7B" w:rsidRDefault="001E7ACC">
      <w:pPr>
        <w:tabs>
          <w:tab w:val="num" w:pos="3129"/>
        </w:tabs>
        <w:spacing w:before="200"/>
        <w:jc w:val="both"/>
        <w:rPr>
          <w:rFonts w:ascii="Times New Roman" w:hAnsi="Times New Roman" w:cs="Times New Roman"/>
          <w:bCs/>
          <w:noProof/>
          <w:sz w:val="24"/>
        </w:rPr>
      </w:pPr>
      <w:r>
        <w:rPr>
          <w:rFonts w:ascii="Times New Roman" w:hAnsi="Times New Roman" w:cs="Times New Roman"/>
          <w:bCs/>
          <w:noProof/>
          <w:sz w:val="24"/>
        </w:rPr>
        <w:t>Similar findings can be observed with regard to i</w:t>
      </w:r>
      <w:r>
        <w:rPr>
          <w:rFonts w:ascii="Times New Roman" w:hAnsi="Times New Roman" w:cs="Times New Roman"/>
          <w:bCs/>
          <w:noProof/>
          <w:sz w:val="24"/>
        </w:rPr>
        <w:t xml:space="preserve">njunctions to prohibit permanently the continuation of the infringement. While under Article 11 these permanent injunctions must also be available against intermediaries whose services are used by third parties to infringe IP rights, disparities remain as </w:t>
      </w:r>
      <w:r>
        <w:rPr>
          <w:rFonts w:ascii="Times New Roman" w:hAnsi="Times New Roman" w:cs="Times New Roman"/>
          <w:bCs/>
          <w:noProof/>
          <w:sz w:val="24"/>
        </w:rPr>
        <w:t>to the type of intermediary that can be enjoined and whether injunctions can be obtained to prevent future infringements</w:t>
      </w:r>
      <w:r>
        <w:rPr>
          <w:rStyle w:val="FootnoteReference"/>
          <w:rFonts w:ascii="Times New Roman" w:hAnsi="Times New Roman" w:cs="Times New Roman"/>
          <w:bCs/>
          <w:noProof/>
          <w:sz w:val="24"/>
        </w:rPr>
        <w:footnoteReference w:id="37"/>
      </w:r>
      <w:r>
        <w:rPr>
          <w:rFonts w:ascii="Times New Roman" w:hAnsi="Times New Roman" w:cs="Times New Roman"/>
          <w:bCs/>
          <w:noProof/>
          <w:sz w:val="24"/>
        </w:rPr>
        <w:t>. In some Member States (e.g. Germany) injunctions against intermediaries can only be obtained if they have some liability in the infri</w:t>
      </w:r>
      <w:r>
        <w:rPr>
          <w:rFonts w:ascii="Times New Roman" w:hAnsi="Times New Roman" w:cs="Times New Roman"/>
          <w:bCs/>
          <w:noProof/>
          <w:sz w:val="24"/>
        </w:rPr>
        <w:t xml:space="preserve">nging activities. </w:t>
      </w:r>
    </w:p>
    <w:p w:rsidR="00EB6A7B" w:rsidRDefault="001E7ACC">
      <w:pPr>
        <w:tabs>
          <w:tab w:val="num" w:pos="3129"/>
        </w:tabs>
        <w:spacing w:before="200"/>
        <w:jc w:val="both"/>
        <w:rPr>
          <w:rFonts w:ascii="Times New Roman" w:hAnsi="Times New Roman" w:cs="Times New Roman"/>
          <w:noProof/>
          <w:sz w:val="24"/>
          <w:lang w:val="en-US"/>
        </w:rPr>
      </w:pPr>
      <w:r>
        <w:rPr>
          <w:rFonts w:ascii="Times New Roman" w:hAnsi="Times New Roman" w:cs="Times New Roman"/>
          <w:bCs/>
          <w:noProof/>
          <w:sz w:val="24"/>
        </w:rPr>
        <w:t>In their responses to the public consultation, some rightholders also flagged as a problem the scope of forward looking injunctions.</w:t>
      </w:r>
      <w:r>
        <w:rPr>
          <w:rStyle w:val="FootnoteReference"/>
          <w:rFonts w:ascii="Times New Roman" w:hAnsi="Times New Roman" w:cs="Times New Roman"/>
          <w:bCs/>
          <w:noProof/>
          <w:sz w:val="24"/>
        </w:rPr>
        <w:footnoteReference w:id="38"/>
      </w:r>
      <w:r>
        <w:rPr>
          <w:rFonts w:ascii="Times New Roman" w:hAnsi="Times New Roman" w:cs="Times New Roman"/>
          <w:bCs/>
          <w:noProof/>
          <w:sz w:val="24"/>
        </w:rPr>
        <w:t xml:space="preserve"> </w:t>
      </w:r>
      <w:r>
        <w:rPr>
          <w:rFonts w:ascii="Times New Roman" w:hAnsi="Times New Roman" w:cs="Times New Roman"/>
          <w:noProof/>
          <w:sz w:val="24"/>
          <w:szCs w:val="24"/>
        </w:rPr>
        <w:t>The rightholders</w:t>
      </w:r>
      <w:r>
        <w:rPr>
          <w:rFonts w:ascii="Times New Roman" w:hAnsi="Times New Roman" w:cs="Times New Roman"/>
          <w:bCs/>
          <w:noProof/>
          <w:sz w:val="24"/>
          <w:szCs w:val="24"/>
        </w:rPr>
        <w:t>, representatives of the judiciary and legal profession as well as Member States indica</w:t>
      </w:r>
      <w:r>
        <w:rPr>
          <w:rFonts w:ascii="Times New Roman" w:hAnsi="Times New Roman" w:cs="Times New Roman"/>
          <w:bCs/>
          <w:noProof/>
          <w:sz w:val="24"/>
          <w:szCs w:val="24"/>
        </w:rPr>
        <w:t>ted in the public consultation that they would welcome clarifications with regard to the scope of provisional and permanent injunctions' applications</w:t>
      </w:r>
      <w:r>
        <w:rPr>
          <w:rFonts w:ascii="Times New Roman" w:hAnsi="Times New Roman" w:cs="Times New Roman"/>
          <w:noProof/>
          <w:sz w:val="24"/>
          <w:szCs w:val="24"/>
        </w:rPr>
        <w:t>. In their view it should be clarified that all types of intermediaries can be enjoined, that no specific l</w:t>
      </w:r>
      <w:r>
        <w:rPr>
          <w:rFonts w:ascii="Times New Roman" w:hAnsi="Times New Roman" w:cs="Times New Roman"/>
          <w:noProof/>
          <w:sz w:val="24"/>
          <w:szCs w:val="24"/>
        </w:rPr>
        <w:t>iability or responsibility (e.g. violation of any duty of care) of the intermediary is required to issue an injunction and that national courts may order intermediaries to take measures aimed not only at bringing to an end infringements already committed a</w:t>
      </w:r>
      <w:r>
        <w:rPr>
          <w:rFonts w:ascii="Times New Roman" w:hAnsi="Times New Roman" w:cs="Times New Roman"/>
          <w:noProof/>
          <w:sz w:val="24"/>
          <w:szCs w:val="24"/>
        </w:rPr>
        <w:t xml:space="preserve">gainst IPR using their services, but also at preventing further infringements. </w:t>
      </w:r>
    </w:p>
    <w:p w:rsidR="00EB6A7B" w:rsidRDefault="001E7ACC">
      <w:pPr>
        <w:pBdr>
          <w:top w:val="single" w:sz="4" w:space="1" w:color="auto"/>
          <w:left w:val="single" w:sz="4" w:space="4" w:color="auto"/>
          <w:bottom w:val="single" w:sz="4" w:space="1" w:color="auto"/>
          <w:right w:val="single" w:sz="4" w:space="4" w:color="auto"/>
        </w:pBdr>
        <w:tabs>
          <w:tab w:val="num" w:pos="3129"/>
        </w:tabs>
        <w:spacing w:before="200"/>
        <w:jc w:val="both"/>
        <w:rPr>
          <w:rFonts w:ascii="Times New Roman" w:hAnsi="Times New Roman" w:cs="Times New Roman"/>
          <w:noProof/>
          <w:sz w:val="24"/>
          <w:lang w:val="en-US"/>
        </w:rPr>
      </w:pPr>
      <w:r>
        <w:rPr>
          <w:rFonts w:ascii="Times New Roman" w:hAnsi="Times New Roman" w:cs="Times New Roman"/>
          <w:noProof/>
          <w:sz w:val="24"/>
          <w:lang w:val="en-US"/>
        </w:rPr>
        <w:t>In conclusion, the effectiveness of the requirements for obtaining provisional and permanent injunctions against an infringer and against an intermediary in contributing to the</w:t>
      </w:r>
      <w:r>
        <w:rPr>
          <w:rFonts w:ascii="Times New Roman" w:hAnsi="Times New Roman" w:cs="Times New Roman"/>
          <w:noProof/>
          <w:sz w:val="24"/>
          <w:lang w:val="en-US"/>
        </w:rPr>
        <w:t xml:space="preserve"> improvement of access to efficient civil enforcement of IPR appears to be limited by the subsequent divergent application of the EU rules at national level.</w:t>
      </w:r>
    </w:p>
    <w:p w:rsidR="00EB6A7B" w:rsidRDefault="001E7ACC">
      <w:pPr>
        <w:pStyle w:val="Heading5"/>
        <w:rPr>
          <w:noProof/>
          <w:lang w:val="en-US"/>
        </w:rPr>
      </w:pPr>
      <w:r>
        <w:rPr>
          <w:noProof/>
          <w:lang w:val="en-US"/>
        </w:rPr>
        <w:t xml:space="preserve">Damages (Art. 13) </w:t>
      </w:r>
    </w:p>
    <w:p w:rsidR="00EB6A7B" w:rsidRDefault="001E7ACC">
      <w:pPr>
        <w:tabs>
          <w:tab w:val="num" w:pos="3129"/>
        </w:tabs>
        <w:spacing w:before="200"/>
        <w:jc w:val="both"/>
        <w:rPr>
          <w:rFonts w:ascii="Times New Roman" w:hAnsi="Times New Roman" w:cs="Times New Roman"/>
          <w:noProof/>
          <w:sz w:val="24"/>
          <w:lang w:val="en-US"/>
        </w:rPr>
      </w:pPr>
      <w:r>
        <w:rPr>
          <w:rFonts w:ascii="Times New Roman" w:hAnsi="Times New Roman" w:cs="Times New Roman"/>
          <w:noProof/>
          <w:sz w:val="24"/>
          <w:lang w:val="en-US"/>
        </w:rPr>
        <w:t xml:space="preserve">According to Article 13 of the Directive, Member States shall ensure that the </w:t>
      </w:r>
      <w:r>
        <w:rPr>
          <w:rFonts w:ascii="Times New Roman" w:hAnsi="Times New Roman" w:cs="Times New Roman"/>
          <w:noProof/>
          <w:sz w:val="24"/>
          <w:lang w:val="en-US"/>
        </w:rPr>
        <w:t xml:space="preserve">infringer pays the rightholder damages appropriate to the actual prejudice suffered by him/her as a result of the infringement. The Directive provides two models for the calculation of damages, one based on taking into account "all appropriate aspects" of </w:t>
      </w:r>
      <w:r>
        <w:rPr>
          <w:rFonts w:ascii="Times New Roman" w:hAnsi="Times New Roman" w:cs="Times New Roman"/>
          <w:noProof/>
          <w:sz w:val="24"/>
          <w:lang w:val="en-US"/>
        </w:rPr>
        <w:t xml:space="preserve">the infringement and the other on a lump sum method. According to the first one, the calculation of damages should be based on aspects such as negative economic consequences, including lost profits, which the injured party has suffered, any unfair profits </w:t>
      </w:r>
      <w:r>
        <w:rPr>
          <w:rFonts w:ascii="Times New Roman" w:hAnsi="Times New Roman" w:cs="Times New Roman"/>
          <w:noProof/>
          <w:sz w:val="24"/>
          <w:lang w:val="en-US"/>
        </w:rPr>
        <w:t>made by the infringer, and, in appropriate cases, elements other than economic factors, such as the moral prejudice caused. Alternatively, the award of damages may consist in a lump sum based on elements such as at least the amount of royalties or fees whi</w:t>
      </w:r>
      <w:r>
        <w:rPr>
          <w:rFonts w:ascii="Times New Roman" w:hAnsi="Times New Roman" w:cs="Times New Roman"/>
          <w:noProof/>
          <w:sz w:val="24"/>
          <w:lang w:val="en-US"/>
        </w:rPr>
        <w:t>ch would have been due if the infringer had requested authorisation to use the IPRs concerned (e.g. on the basis of licensing agreement).</w:t>
      </w:r>
    </w:p>
    <w:p w:rsidR="00EB6A7B" w:rsidRDefault="001E7ACC">
      <w:pPr>
        <w:tabs>
          <w:tab w:val="num" w:pos="3129"/>
        </w:tabs>
        <w:spacing w:before="200"/>
        <w:jc w:val="both"/>
        <w:rPr>
          <w:rFonts w:ascii="Times New Roman" w:hAnsi="Times New Roman" w:cs="Times New Roman"/>
          <w:noProof/>
          <w:sz w:val="24"/>
          <w:lang w:val="en-US"/>
        </w:rPr>
      </w:pPr>
      <w:r>
        <w:rPr>
          <w:rFonts w:ascii="Times New Roman" w:hAnsi="Times New Roman" w:cs="Times New Roman"/>
          <w:noProof/>
          <w:sz w:val="24"/>
          <w:lang w:val="en-US"/>
        </w:rPr>
        <w:t>This measure is effective, first and foremost, if rightholders are able to obtain compensation for the actual prejudic</w:t>
      </w:r>
      <w:r>
        <w:rPr>
          <w:rFonts w:ascii="Times New Roman" w:hAnsi="Times New Roman" w:cs="Times New Roman"/>
          <w:noProof/>
          <w:sz w:val="24"/>
          <w:lang w:val="en-US"/>
        </w:rPr>
        <w:t>e suffered as a result of IPR infringements. As a secondary objective it should also act as a deterrent to infringers.</w:t>
      </w:r>
      <w:r>
        <w:rPr>
          <w:rFonts w:ascii="Times New Roman" w:hAnsi="Times New Roman" w:cs="Times New Roman"/>
          <w:noProof/>
          <w:sz w:val="24"/>
        </w:rPr>
        <w:t xml:space="preserve"> </w:t>
      </w:r>
      <w:r>
        <w:rPr>
          <w:rFonts w:ascii="Times New Roman" w:hAnsi="Times New Roman" w:cs="Times New Roman"/>
          <w:noProof/>
          <w:sz w:val="24"/>
          <w:lang w:val="en-US"/>
        </w:rPr>
        <w:t>Starting proceedings on the merits to claim damages is an investment of time and resources; because the civil court proceedings in IP mat</w:t>
      </w:r>
      <w:r>
        <w:rPr>
          <w:rFonts w:ascii="Times New Roman" w:hAnsi="Times New Roman" w:cs="Times New Roman"/>
          <w:noProof/>
          <w:sz w:val="24"/>
          <w:lang w:val="en-US"/>
        </w:rPr>
        <w:t>ters can in certain cases take several years before the final decision is issued, and tend to be costly inter alia due to the specialist expertise needed, many rightholders consider it is not worth to launch such proceedings if the financial outcome cannot</w:t>
      </w:r>
      <w:r>
        <w:rPr>
          <w:rFonts w:ascii="Times New Roman" w:hAnsi="Times New Roman" w:cs="Times New Roman"/>
          <w:noProof/>
          <w:sz w:val="24"/>
          <w:lang w:val="en-US"/>
        </w:rPr>
        <w:t xml:space="preserve"> be predicted.</w:t>
      </w:r>
    </w:p>
    <w:p w:rsidR="00EB6A7B" w:rsidRDefault="001E7ACC">
      <w:pPr>
        <w:tabs>
          <w:tab w:val="num" w:pos="3129"/>
        </w:tabs>
        <w:spacing w:before="200"/>
        <w:jc w:val="both"/>
        <w:rPr>
          <w:rFonts w:ascii="Times New Roman" w:hAnsi="Times New Roman" w:cs="Times New Roman"/>
          <w:noProof/>
          <w:sz w:val="24"/>
          <w:lang w:val="en-US"/>
        </w:rPr>
      </w:pPr>
      <w:r>
        <w:rPr>
          <w:rFonts w:ascii="Times New Roman" w:hAnsi="Times New Roman" w:cs="Times New Roman"/>
          <w:noProof/>
          <w:sz w:val="24"/>
        </w:rPr>
        <w:t xml:space="preserve">An overall majority of the </w:t>
      </w:r>
      <w:r>
        <w:rPr>
          <w:rFonts w:ascii="Times New Roman" w:hAnsi="Times New Roman" w:cs="Times New Roman"/>
          <w:bCs/>
          <w:noProof/>
          <w:sz w:val="24"/>
        </w:rPr>
        <w:t>judiciary, legal profession representatives and of the Member States</w:t>
      </w:r>
      <w:r>
        <w:rPr>
          <w:rFonts w:ascii="Times New Roman" w:hAnsi="Times New Roman" w:cs="Times New Roman"/>
          <w:b/>
          <w:bCs/>
          <w:noProof/>
          <w:sz w:val="24"/>
        </w:rPr>
        <w:t xml:space="preserve"> </w:t>
      </w:r>
      <w:r>
        <w:rPr>
          <w:rFonts w:ascii="Times New Roman" w:hAnsi="Times New Roman" w:cs="Times New Roman"/>
          <w:noProof/>
          <w:sz w:val="24"/>
        </w:rPr>
        <w:t>found in their responses to the public consultation that the rules for setting damages helped effectively in protecting IPR and preventing infrin</w:t>
      </w:r>
      <w:r>
        <w:rPr>
          <w:rFonts w:ascii="Times New Roman" w:hAnsi="Times New Roman" w:cs="Times New Roman"/>
          <w:noProof/>
          <w:sz w:val="24"/>
        </w:rPr>
        <w:t xml:space="preserve">gements. </w:t>
      </w:r>
      <w:r>
        <w:rPr>
          <w:rFonts w:ascii="Times New Roman" w:hAnsi="Times New Roman" w:cs="Times New Roman"/>
          <w:noProof/>
          <w:sz w:val="24"/>
          <w:lang w:val="en-US"/>
        </w:rPr>
        <w:t xml:space="preserve">Half of the responding rightholders however considered the award of damages to be insufficient, almost all saying that the application of the rules in court is the main obstacle to a sufficient compensation. According to rightholders, damages are </w:t>
      </w:r>
      <w:r>
        <w:rPr>
          <w:rFonts w:ascii="Times New Roman" w:hAnsi="Times New Roman" w:cs="Times New Roman"/>
          <w:noProof/>
          <w:sz w:val="24"/>
          <w:lang w:val="en-US"/>
        </w:rPr>
        <w:t>not assessed in their entirety, sometimes with the result that infringers are subject to the same conditions as a regular licensee. According to rightholders the main reasons for not claiming damages are the low probability of obtaining appropriate compens</w:t>
      </w:r>
      <w:r>
        <w:rPr>
          <w:rFonts w:ascii="Times New Roman" w:hAnsi="Times New Roman" w:cs="Times New Roman"/>
          <w:noProof/>
          <w:sz w:val="24"/>
          <w:lang w:val="en-US"/>
        </w:rPr>
        <w:t xml:space="preserve">ation for the damages suffered and for the reimbursement of legal costs/other expenses. </w:t>
      </w:r>
      <w:r>
        <w:rPr>
          <w:rFonts w:ascii="Times New Roman" w:hAnsi="Times New Roman" w:cs="Times New Roman"/>
          <w:noProof/>
          <w:sz w:val="24"/>
        </w:rPr>
        <w:t>Rightholders call for a clarification of the rules, in particular the rules on quantification of damages, in order to ensure reimbursement of the actual prejudice suffe</w:t>
      </w:r>
      <w:r>
        <w:rPr>
          <w:rFonts w:ascii="Times New Roman" w:hAnsi="Times New Roman" w:cs="Times New Roman"/>
          <w:noProof/>
          <w:sz w:val="24"/>
        </w:rPr>
        <w:t>red as well as dissuasion of future infringements. The judiciary and legal profession did also call for more legal clarity on the calculation of damages and for a reduction in the cost of producing evidence related to damages.</w:t>
      </w:r>
    </w:p>
    <w:p w:rsidR="00EB6A7B" w:rsidRDefault="001E7ACC">
      <w:pPr>
        <w:tabs>
          <w:tab w:val="num" w:pos="3129"/>
        </w:tabs>
        <w:spacing w:before="200"/>
        <w:jc w:val="both"/>
        <w:rPr>
          <w:rFonts w:ascii="Times New Roman" w:hAnsi="Times New Roman" w:cs="Times New Roman"/>
          <w:noProof/>
          <w:sz w:val="24"/>
        </w:rPr>
      </w:pPr>
      <w:r>
        <w:rPr>
          <w:rFonts w:ascii="Times New Roman" w:hAnsi="Times New Roman" w:cs="Times New Roman"/>
          <w:noProof/>
          <w:sz w:val="24"/>
        </w:rPr>
        <w:t>The limited data available an</w:t>
      </w:r>
      <w:r>
        <w:rPr>
          <w:rFonts w:ascii="Times New Roman" w:hAnsi="Times New Roman" w:cs="Times New Roman"/>
          <w:noProof/>
          <w:sz w:val="24"/>
        </w:rPr>
        <w:t xml:space="preserve">alysed in </w:t>
      </w:r>
      <w:r>
        <w:rPr>
          <w:rFonts w:ascii="Times New Roman" w:hAnsi="Times New Roman" w:cs="Times New Roman"/>
          <w:bCs/>
          <w:noProof/>
          <w:sz w:val="24"/>
        </w:rPr>
        <w:t>the Evaluation Study</w:t>
      </w:r>
      <w:r>
        <w:rPr>
          <w:rStyle w:val="FootnoteReference"/>
          <w:rFonts w:ascii="Times New Roman" w:hAnsi="Times New Roman" w:cs="Times New Roman"/>
          <w:bCs/>
          <w:noProof/>
          <w:sz w:val="24"/>
        </w:rPr>
        <w:footnoteReference w:id="39"/>
      </w:r>
      <w:r>
        <w:rPr>
          <w:rFonts w:ascii="Times New Roman" w:hAnsi="Times New Roman" w:cs="Times New Roman"/>
          <w:bCs/>
          <w:noProof/>
          <w:sz w:val="24"/>
        </w:rPr>
        <w:t xml:space="preserve"> </w:t>
      </w:r>
      <w:r>
        <w:rPr>
          <w:rFonts w:ascii="Times New Roman" w:hAnsi="Times New Roman" w:cs="Times New Roman"/>
          <w:noProof/>
          <w:sz w:val="24"/>
        </w:rPr>
        <w:t>point to significant differences in damages requested and awarded by courts in different Member States and across different IPRs, raising the question of a level playing field for IPR enforcement and an equal level of protec</w:t>
      </w:r>
      <w:r>
        <w:rPr>
          <w:rFonts w:ascii="Times New Roman" w:hAnsi="Times New Roman" w:cs="Times New Roman"/>
          <w:noProof/>
          <w:sz w:val="24"/>
        </w:rPr>
        <w:t>tion for IPR in the EU</w:t>
      </w:r>
      <w:r>
        <w:rPr>
          <w:rStyle w:val="FootnoteReference"/>
          <w:rFonts w:ascii="Times New Roman" w:hAnsi="Times New Roman" w:cs="Times New Roman"/>
          <w:noProof/>
          <w:sz w:val="24"/>
        </w:rPr>
        <w:footnoteReference w:id="40"/>
      </w:r>
      <w:r>
        <w:rPr>
          <w:rFonts w:ascii="Times New Roman" w:hAnsi="Times New Roman" w:cs="Times New Roman"/>
          <w:noProof/>
          <w:sz w:val="24"/>
        </w:rPr>
        <w:t>.</w:t>
      </w:r>
    </w:p>
    <w:p w:rsidR="00EB6A7B" w:rsidRDefault="001E7ACC">
      <w:pPr>
        <w:tabs>
          <w:tab w:val="num" w:pos="3129"/>
        </w:tabs>
        <w:spacing w:before="200"/>
        <w:jc w:val="both"/>
        <w:rPr>
          <w:rFonts w:ascii="Times New Roman" w:hAnsi="Times New Roman" w:cs="Times New Roman"/>
          <w:bCs/>
          <w:noProof/>
          <w:sz w:val="24"/>
        </w:rPr>
      </w:pPr>
      <w:r>
        <w:rPr>
          <w:rFonts w:ascii="Times New Roman" w:hAnsi="Times New Roman" w:cs="Times New Roman"/>
          <w:bCs/>
          <w:noProof/>
          <w:sz w:val="24"/>
        </w:rPr>
        <w:t>As described above, the Directive provides for two alternative methods of setting the damages. Member States' national rules and practices differ considerably however in what is included in the calculation and how:</w:t>
      </w:r>
    </w:p>
    <w:p w:rsidR="00EB6A7B" w:rsidRDefault="001E7ACC">
      <w:pPr>
        <w:pStyle w:val="ListParagraph"/>
        <w:numPr>
          <w:ilvl w:val="0"/>
          <w:numId w:val="55"/>
        </w:numPr>
        <w:spacing w:before="200"/>
        <w:jc w:val="both"/>
        <w:rPr>
          <w:rFonts w:ascii="Times New Roman" w:hAnsi="Times New Roman" w:cs="Times New Roman"/>
          <w:bCs/>
          <w:noProof/>
          <w:sz w:val="24"/>
        </w:rPr>
      </w:pPr>
      <w:r>
        <w:rPr>
          <w:rFonts w:ascii="Times New Roman" w:hAnsi="Times New Roman" w:cs="Times New Roman"/>
          <w:bCs/>
          <w:noProof/>
          <w:sz w:val="24"/>
        </w:rPr>
        <w:t>negative economi</w:t>
      </w:r>
      <w:r>
        <w:rPr>
          <w:rFonts w:ascii="Times New Roman" w:hAnsi="Times New Roman" w:cs="Times New Roman"/>
          <w:bCs/>
          <w:noProof/>
          <w:sz w:val="24"/>
        </w:rPr>
        <w:t>c consequences and unfair profits made by the infringer can be cumulated (e.g. Belgium, Luxemburg or the Netherlands) or shall not be cumulated (Germany, Italy or Slovakia);</w:t>
      </w:r>
    </w:p>
    <w:p w:rsidR="00EB6A7B" w:rsidRDefault="001E7ACC">
      <w:pPr>
        <w:pStyle w:val="ListParagraph"/>
        <w:numPr>
          <w:ilvl w:val="0"/>
          <w:numId w:val="55"/>
        </w:numPr>
        <w:spacing w:before="200"/>
        <w:jc w:val="both"/>
        <w:rPr>
          <w:rFonts w:ascii="Times New Roman" w:hAnsi="Times New Roman" w:cs="Times New Roman"/>
          <w:bCs/>
          <w:noProof/>
          <w:sz w:val="24"/>
        </w:rPr>
      </w:pPr>
      <w:r>
        <w:rPr>
          <w:rFonts w:ascii="Times New Roman" w:hAnsi="Times New Roman" w:cs="Times New Roman"/>
          <w:bCs/>
          <w:noProof/>
          <w:sz w:val="24"/>
        </w:rPr>
        <w:t>damages for moral prejudice suffered may be granted only in copyright cases (exclu</w:t>
      </w:r>
      <w:r>
        <w:rPr>
          <w:rFonts w:ascii="Times New Roman" w:hAnsi="Times New Roman" w:cs="Times New Roman"/>
          <w:bCs/>
          <w:noProof/>
          <w:sz w:val="24"/>
        </w:rPr>
        <w:t>ding owners of industrial property rights), only to physical persons (excluding legal entities)</w:t>
      </w:r>
      <w:r>
        <w:rPr>
          <w:rFonts w:ascii="Times New Roman" w:hAnsi="Times New Roman" w:cs="Times New Roman"/>
          <w:noProof/>
          <w:vertAlign w:val="superscript"/>
        </w:rPr>
        <w:footnoteReference w:id="41"/>
      </w:r>
      <w:r>
        <w:rPr>
          <w:rFonts w:ascii="Times New Roman" w:hAnsi="Times New Roman" w:cs="Times New Roman"/>
          <w:bCs/>
          <w:noProof/>
          <w:sz w:val="24"/>
        </w:rPr>
        <w:t>, only in cases of intentional or negligent infringements (Finland), or may be granted even without suffering material damages (Slovenia);</w:t>
      </w:r>
    </w:p>
    <w:p w:rsidR="00EB6A7B" w:rsidRDefault="001E7ACC">
      <w:pPr>
        <w:pStyle w:val="ListParagraph"/>
        <w:numPr>
          <w:ilvl w:val="0"/>
          <w:numId w:val="55"/>
        </w:numPr>
        <w:spacing w:before="200"/>
        <w:jc w:val="both"/>
        <w:rPr>
          <w:rFonts w:ascii="Times New Roman" w:hAnsi="Times New Roman" w:cs="Times New Roman"/>
          <w:bCs/>
          <w:noProof/>
          <w:sz w:val="24"/>
        </w:rPr>
      </w:pPr>
      <w:r>
        <w:rPr>
          <w:rFonts w:ascii="Times New Roman" w:hAnsi="Times New Roman" w:cs="Times New Roman"/>
          <w:bCs/>
          <w:noProof/>
          <w:sz w:val="24"/>
        </w:rPr>
        <w:t>the abstract calculat</w:t>
      </w:r>
      <w:r>
        <w:rPr>
          <w:rFonts w:ascii="Times New Roman" w:hAnsi="Times New Roman" w:cs="Times New Roman"/>
          <w:bCs/>
          <w:noProof/>
          <w:sz w:val="24"/>
        </w:rPr>
        <w:t>ion method on the basis of the amount of hypothetical royalties/fees is only available if the actual prejudice cannot be calculated (Hungary, Latvia, Slovakia);</w:t>
      </w:r>
    </w:p>
    <w:p w:rsidR="00EB6A7B" w:rsidRDefault="001E7ACC">
      <w:pPr>
        <w:pStyle w:val="ListParagraph"/>
        <w:numPr>
          <w:ilvl w:val="0"/>
          <w:numId w:val="55"/>
        </w:numPr>
        <w:spacing w:before="200"/>
        <w:jc w:val="both"/>
        <w:rPr>
          <w:rFonts w:ascii="Times New Roman" w:hAnsi="Times New Roman" w:cs="Times New Roman"/>
          <w:bCs/>
          <w:noProof/>
          <w:sz w:val="24"/>
        </w:rPr>
      </w:pPr>
      <w:r>
        <w:rPr>
          <w:rFonts w:ascii="Times New Roman" w:hAnsi="Times New Roman" w:cs="Times New Roman"/>
          <w:bCs/>
          <w:noProof/>
          <w:sz w:val="24"/>
        </w:rPr>
        <w:t>the lost profits are estimated</w:t>
      </w:r>
      <w:r>
        <w:rPr>
          <w:rStyle w:val="FootnoteReference"/>
          <w:rFonts w:ascii="Times New Roman" w:hAnsi="Times New Roman" w:cs="Times New Roman"/>
          <w:bCs/>
          <w:noProof/>
          <w:sz w:val="24"/>
        </w:rPr>
        <w:footnoteReference w:id="42"/>
      </w:r>
      <w:r>
        <w:rPr>
          <w:rFonts w:ascii="Times New Roman" w:hAnsi="Times New Roman" w:cs="Times New Roman"/>
          <w:bCs/>
          <w:noProof/>
          <w:sz w:val="24"/>
        </w:rPr>
        <w:t xml:space="preserve">. </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 xml:space="preserve">These examples show that not all Member States have </w:t>
      </w:r>
      <w:r>
        <w:rPr>
          <w:rFonts w:ascii="Times New Roman" w:hAnsi="Times New Roman" w:cs="Times New Roman"/>
          <w:noProof/>
          <w:sz w:val="24"/>
          <w:szCs w:val="24"/>
        </w:rPr>
        <w:t>implemented the criteria for the calculation of damages set in the Directive as alternative, and therefore not all leave an actual choice to the judicial authorities/applicants. In particular, it seems that in some Member States the lump sum damages only c</w:t>
      </w:r>
      <w:r>
        <w:rPr>
          <w:rFonts w:ascii="Times New Roman" w:hAnsi="Times New Roman" w:cs="Times New Roman"/>
          <w:noProof/>
          <w:sz w:val="24"/>
          <w:szCs w:val="24"/>
        </w:rPr>
        <w:t>ome into play if the damage cannot be assessed according to the actual prejudice suffered. It appears that Member States' practice in this respect varies. In some Member States (e.g. Hungary, Latvia, Slovak Republic) it appears that lump sum damages are av</w:t>
      </w:r>
      <w:r>
        <w:rPr>
          <w:rFonts w:ascii="Times New Roman" w:hAnsi="Times New Roman" w:cs="Times New Roman"/>
          <w:noProof/>
          <w:sz w:val="24"/>
          <w:szCs w:val="24"/>
        </w:rPr>
        <w:t>ailable only if damages cannot be calculated otherwise, for example in cases when the actual prejudice cannot be calculated precisely. In other Member States (e.g. the Netherlands, Poland), it seems that courts or parties can freely choose according to whi</w:t>
      </w:r>
      <w:r>
        <w:rPr>
          <w:rFonts w:ascii="Times New Roman" w:hAnsi="Times New Roman" w:cs="Times New Roman"/>
          <w:noProof/>
          <w:sz w:val="24"/>
          <w:szCs w:val="24"/>
        </w:rPr>
        <w:t>ch criterion they assess the damage.</w:t>
      </w:r>
      <w:r>
        <w:rPr>
          <w:rFonts w:ascii="Times New Roman" w:hAnsi="Times New Roman" w:cs="Times New Roman"/>
          <w:noProof/>
          <w:sz w:val="24"/>
          <w:szCs w:val="24"/>
          <w:vertAlign w:val="superscript"/>
        </w:rPr>
        <w:footnoteReference w:id="43"/>
      </w:r>
    </w:p>
    <w:p w:rsidR="00EB6A7B" w:rsidRDefault="001E7ACC">
      <w:pPr>
        <w:jc w:val="both"/>
        <w:rPr>
          <w:rFonts w:ascii="Times New Roman" w:hAnsi="Times New Roman" w:cs="Times New Roman"/>
          <w:noProof/>
          <w:sz w:val="24"/>
          <w:lang w:val="en-US"/>
        </w:rPr>
      </w:pPr>
      <w:r>
        <w:rPr>
          <w:rFonts w:ascii="Times New Roman" w:hAnsi="Times New Roman" w:cs="Times New Roman"/>
          <w:noProof/>
          <w:sz w:val="24"/>
          <w:lang w:val="en-US"/>
        </w:rPr>
        <w:t>A study by the EUIPO provides for a recent update on how costs and damages are approached across Member States</w:t>
      </w:r>
      <w:r>
        <w:rPr>
          <w:rStyle w:val="FootnoteReference"/>
          <w:rFonts w:ascii="Times New Roman" w:hAnsi="Times New Roman" w:cs="Times New Roman"/>
          <w:noProof/>
          <w:sz w:val="24"/>
          <w:lang w:val="en-US"/>
        </w:rPr>
        <w:footnoteReference w:id="44"/>
      </w:r>
      <w:r>
        <w:rPr>
          <w:rFonts w:ascii="Times New Roman" w:hAnsi="Times New Roman" w:cs="Times New Roman"/>
          <w:noProof/>
          <w:sz w:val="24"/>
          <w:lang w:val="en-US"/>
        </w:rPr>
        <w:t>. While it does not provide data on costs and damages awarded, it insists on the difficulty for courts to c</w:t>
      </w:r>
      <w:r>
        <w:rPr>
          <w:rFonts w:ascii="Times New Roman" w:hAnsi="Times New Roman" w:cs="Times New Roman"/>
          <w:noProof/>
          <w:sz w:val="24"/>
          <w:lang w:val="en-US"/>
        </w:rPr>
        <w:t>alculate damages and highlights the shortcomings of this measure in achieving its objective .</w:t>
      </w:r>
    </w:p>
    <w:p w:rsidR="00EB6A7B" w:rsidRDefault="001E7ACC">
      <w:pPr>
        <w:tabs>
          <w:tab w:val="num" w:pos="3129"/>
        </w:tabs>
        <w:spacing w:before="200"/>
        <w:jc w:val="both"/>
        <w:rPr>
          <w:rFonts w:ascii="Times New Roman" w:hAnsi="Times New Roman" w:cs="Times New Roman"/>
          <w:bCs/>
          <w:noProof/>
          <w:sz w:val="24"/>
        </w:rPr>
      </w:pPr>
      <w:r>
        <w:rPr>
          <w:rFonts w:ascii="Times New Roman" w:hAnsi="Times New Roman" w:cs="Times New Roman"/>
          <w:bCs/>
          <w:noProof/>
          <w:sz w:val="24"/>
        </w:rPr>
        <w:t>An additional reason for the discrepancy between damages requested and awarded is the burden of proof.</w:t>
      </w:r>
      <w:r>
        <w:rPr>
          <w:rStyle w:val="FootnoteReference"/>
          <w:rFonts w:ascii="Times New Roman" w:hAnsi="Times New Roman" w:cs="Times New Roman"/>
          <w:bCs/>
          <w:noProof/>
          <w:sz w:val="24"/>
        </w:rPr>
        <w:footnoteReference w:id="45"/>
      </w:r>
      <w:r>
        <w:rPr>
          <w:rFonts w:ascii="Times New Roman" w:hAnsi="Times New Roman" w:cs="Times New Roman"/>
          <w:bCs/>
          <w:noProof/>
          <w:sz w:val="24"/>
        </w:rPr>
        <w:t xml:space="preserve"> While a high burden of proof ensures that any damages awar</w:t>
      </w:r>
      <w:r>
        <w:rPr>
          <w:rFonts w:ascii="Times New Roman" w:hAnsi="Times New Roman" w:cs="Times New Roman"/>
          <w:bCs/>
          <w:noProof/>
          <w:sz w:val="24"/>
        </w:rPr>
        <w:t>ded do not go beyond the prejudice actually suffered, it also makes it more difficult for applicants to substantiate that prejudice. This can be particular problematic in establishing loss of profits of the rightholder and unfair profits made by the infrin</w:t>
      </w:r>
      <w:r>
        <w:rPr>
          <w:rFonts w:ascii="Times New Roman" w:hAnsi="Times New Roman" w:cs="Times New Roman"/>
          <w:bCs/>
          <w:noProof/>
          <w:sz w:val="24"/>
        </w:rPr>
        <w:t>ger:</w:t>
      </w:r>
    </w:p>
    <w:p w:rsidR="00EB6A7B" w:rsidRDefault="001E7ACC">
      <w:pPr>
        <w:pStyle w:val="ListParagraph"/>
        <w:numPr>
          <w:ilvl w:val="0"/>
          <w:numId w:val="54"/>
        </w:numPr>
        <w:spacing w:before="200"/>
        <w:jc w:val="both"/>
        <w:rPr>
          <w:rFonts w:ascii="Times New Roman" w:hAnsi="Times New Roman" w:cs="Times New Roman"/>
          <w:bCs/>
          <w:noProof/>
          <w:sz w:val="24"/>
        </w:rPr>
      </w:pPr>
      <w:r>
        <w:rPr>
          <w:rFonts w:ascii="Times New Roman" w:hAnsi="Times New Roman" w:cs="Times New Roman"/>
          <w:bCs/>
          <w:noProof/>
          <w:sz w:val="24"/>
        </w:rPr>
        <w:t>Rightholders' lost profits can be difficult to prove (a high level of evidence is required) and/or their calculation may lead to divergent results</w:t>
      </w:r>
      <w:r>
        <w:rPr>
          <w:rFonts w:ascii="Times New Roman" w:hAnsi="Times New Roman" w:cs="Times New Roman"/>
          <w:noProof/>
          <w:vertAlign w:val="superscript"/>
        </w:rPr>
        <w:footnoteReference w:id="46"/>
      </w:r>
      <w:r>
        <w:rPr>
          <w:rFonts w:ascii="Times New Roman" w:hAnsi="Times New Roman" w:cs="Times New Roman"/>
          <w:bCs/>
          <w:noProof/>
          <w:sz w:val="24"/>
        </w:rPr>
        <w:t>. Lost profits can be difficult to prove where infringing activities undermine the value of legal sales</w:t>
      </w:r>
      <w:r>
        <w:rPr>
          <w:rFonts w:ascii="Times New Roman" w:hAnsi="Times New Roman" w:cs="Times New Roman"/>
          <w:noProof/>
          <w:vertAlign w:val="superscript"/>
        </w:rPr>
        <w:footnoteReference w:id="47"/>
      </w:r>
      <w:r>
        <w:rPr>
          <w:rFonts w:ascii="Times New Roman" w:hAnsi="Times New Roman" w:cs="Times New Roman"/>
          <w:bCs/>
          <w:noProof/>
          <w:sz w:val="24"/>
        </w:rPr>
        <w:t xml:space="preserve">. Also, for the calculation of the lost profits, it is often unclear whether the price of the original product or the price of the counterfeit/pirated product (which may be substantially lower in some cases) should be taken into account. </w:t>
      </w:r>
    </w:p>
    <w:p w:rsidR="00EB6A7B" w:rsidRDefault="001E7ACC">
      <w:pPr>
        <w:pStyle w:val="ListParagraph"/>
        <w:numPr>
          <w:ilvl w:val="0"/>
          <w:numId w:val="54"/>
        </w:numPr>
        <w:spacing w:before="200"/>
        <w:jc w:val="both"/>
        <w:rPr>
          <w:rFonts w:ascii="Times New Roman" w:hAnsi="Times New Roman" w:cs="Times New Roman"/>
          <w:bCs/>
          <w:noProof/>
          <w:sz w:val="24"/>
        </w:rPr>
      </w:pPr>
      <w:r>
        <w:rPr>
          <w:rFonts w:ascii="Times New Roman" w:hAnsi="Times New Roman" w:cs="Times New Roman"/>
          <w:bCs/>
          <w:noProof/>
          <w:sz w:val="24"/>
        </w:rPr>
        <w:t>Unfair profits: m</w:t>
      </w:r>
      <w:r>
        <w:rPr>
          <w:rFonts w:ascii="Times New Roman" w:hAnsi="Times New Roman" w:cs="Times New Roman"/>
          <w:bCs/>
          <w:noProof/>
          <w:sz w:val="24"/>
        </w:rPr>
        <w:t>any Member States require a rightholder to prove that the profits were made with or as a result of the infringing products (causal link)</w:t>
      </w:r>
      <w:r>
        <w:rPr>
          <w:rFonts w:ascii="Times New Roman" w:hAnsi="Times New Roman" w:cs="Times New Roman"/>
          <w:noProof/>
          <w:vertAlign w:val="superscript"/>
        </w:rPr>
        <w:footnoteReference w:id="48"/>
      </w:r>
      <w:r>
        <w:rPr>
          <w:rFonts w:ascii="Times New Roman" w:hAnsi="Times New Roman" w:cs="Times New Roman"/>
          <w:bCs/>
          <w:noProof/>
          <w:sz w:val="24"/>
        </w:rPr>
        <w:t xml:space="preserve">. </w:t>
      </w:r>
    </w:p>
    <w:p w:rsidR="00EB6A7B" w:rsidRDefault="001E7ACC">
      <w:pPr>
        <w:pStyle w:val="ListParagraph"/>
        <w:numPr>
          <w:ilvl w:val="0"/>
          <w:numId w:val="54"/>
        </w:numPr>
        <w:spacing w:before="200"/>
        <w:jc w:val="both"/>
        <w:rPr>
          <w:rFonts w:ascii="Times New Roman" w:hAnsi="Times New Roman" w:cs="Times New Roman"/>
          <w:bCs/>
          <w:noProof/>
          <w:sz w:val="24"/>
        </w:rPr>
      </w:pPr>
      <w:r>
        <w:rPr>
          <w:rFonts w:ascii="Times New Roman" w:hAnsi="Times New Roman" w:cs="Times New Roman"/>
          <w:bCs/>
          <w:noProof/>
          <w:sz w:val="24"/>
        </w:rPr>
        <w:t>Damages for other negative economic consequences (e.g. price erosion, reputational damage, tarnishment of trade mark</w:t>
      </w:r>
      <w:r>
        <w:rPr>
          <w:rFonts w:ascii="Times New Roman" w:hAnsi="Times New Roman" w:cs="Times New Roman"/>
          <w:bCs/>
          <w:noProof/>
          <w:sz w:val="24"/>
        </w:rPr>
        <w:t>, damage to good-will) and moral (immaterial) damages are rarely awarded and often cannot even be requested by the claimant, given the difficulty to meet the standard of proof requested</w:t>
      </w:r>
      <w:r>
        <w:rPr>
          <w:rFonts w:ascii="Times New Roman" w:hAnsi="Times New Roman" w:cs="Times New Roman"/>
          <w:noProof/>
          <w:vertAlign w:val="superscript"/>
        </w:rPr>
        <w:footnoteReference w:id="49"/>
      </w:r>
      <w:r>
        <w:rPr>
          <w:rFonts w:ascii="Times New Roman" w:hAnsi="Times New Roman" w:cs="Times New Roman"/>
          <w:bCs/>
          <w:noProof/>
          <w:sz w:val="24"/>
        </w:rPr>
        <w:t xml:space="preserve">. </w:t>
      </w:r>
    </w:p>
    <w:p w:rsidR="00EB6A7B" w:rsidRDefault="001E7ACC">
      <w:pPr>
        <w:tabs>
          <w:tab w:val="num" w:pos="3129"/>
        </w:tabs>
        <w:spacing w:before="200"/>
        <w:jc w:val="both"/>
        <w:rPr>
          <w:rFonts w:ascii="Times New Roman" w:hAnsi="Times New Roman" w:cs="Times New Roman"/>
          <w:noProof/>
          <w:sz w:val="24"/>
        </w:rPr>
      </w:pPr>
      <w:r>
        <w:rPr>
          <w:rFonts w:ascii="Times New Roman" w:hAnsi="Times New Roman" w:cs="Times New Roman"/>
          <w:noProof/>
          <w:sz w:val="24"/>
        </w:rPr>
        <w:t>The impact of a high burden of proof is further increased by the fa</w:t>
      </w:r>
      <w:r>
        <w:rPr>
          <w:rFonts w:ascii="Times New Roman" w:hAnsi="Times New Roman" w:cs="Times New Roman"/>
          <w:noProof/>
          <w:sz w:val="24"/>
        </w:rPr>
        <w:t>ct that in many jurisdictions it is often the court that will choose the method of calculation, i.e. (a) taking account of all appropriate aspects of the individual case or (b) setting the damages as a lump sum, and not the rightholder, although the righth</w:t>
      </w:r>
      <w:r>
        <w:rPr>
          <w:rFonts w:ascii="Times New Roman" w:hAnsi="Times New Roman" w:cs="Times New Roman"/>
          <w:noProof/>
          <w:sz w:val="24"/>
        </w:rPr>
        <w:t>older will have to present the required evidence.</w:t>
      </w:r>
    </w:p>
    <w:p w:rsidR="00EB6A7B" w:rsidRDefault="001E7ACC">
      <w:pPr>
        <w:tabs>
          <w:tab w:val="num" w:pos="3129"/>
        </w:tabs>
        <w:spacing w:before="200"/>
        <w:jc w:val="both"/>
        <w:rPr>
          <w:rFonts w:ascii="Times New Roman" w:hAnsi="Times New Roman" w:cs="Times New Roman"/>
          <w:noProof/>
          <w:sz w:val="24"/>
        </w:rPr>
      </w:pPr>
      <w:r>
        <w:rPr>
          <w:rFonts w:ascii="Times New Roman" w:hAnsi="Times New Roman" w:cs="Times New Roman"/>
          <w:noProof/>
          <w:sz w:val="24"/>
        </w:rPr>
        <w:t>At the same time a high burden of proof can lead to harm being compensated by lump sum damages, as less evidence tends to be required. It has been reported however that such lump sum damages are often limit</w:t>
      </w:r>
      <w:r>
        <w:rPr>
          <w:rFonts w:ascii="Times New Roman" w:hAnsi="Times New Roman" w:cs="Times New Roman"/>
          <w:noProof/>
          <w:sz w:val="24"/>
        </w:rPr>
        <w:t xml:space="preserve">ed from 1 to 5 % of the total turnover of the infringer which can be attributed to the infringed right (as they tend to be calculated on the basis of hypothetical royalties/fees). </w:t>
      </w:r>
    </w:p>
    <w:p w:rsidR="00EB6A7B" w:rsidRDefault="001E7ACC">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lang w:val="en-US"/>
        </w:rPr>
      </w:pPr>
      <w:r>
        <w:rPr>
          <w:rFonts w:ascii="Times New Roman" w:hAnsi="Times New Roman" w:cs="Times New Roman"/>
          <w:noProof/>
          <w:sz w:val="24"/>
          <w:lang w:val="en-US"/>
        </w:rPr>
        <w:t xml:space="preserve">To summarise, the rules on damages set out in the Directive appear to have </w:t>
      </w:r>
      <w:r>
        <w:rPr>
          <w:rFonts w:ascii="Times New Roman" w:hAnsi="Times New Roman" w:cs="Times New Roman"/>
          <w:noProof/>
          <w:sz w:val="24"/>
          <w:lang w:val="en-US"/>
        </w:rPr>
        <w:t>helped</w:t>
      </w:r>
      <w:r>
        <w:rPr>
          <w:rFonts w:ascii="Times New Roman" w:hAnsi="Times New Roman" w:cs="Times New Roman"/>
          <w:noProof/>
          <w:sz w:val="24"/>
        </w:rPr>
        <w:t xml:space="preserve"> overall in effectively protecting IPR and preventing infringements</w:t>
      </w:r>
      <w:r>
        <w:rPr>
          <w:rFonts w:ascii="Times New Roman" w:hAnsi="Times New Roman" w:cs="Times New Roman"/>
          <w:noProof/>
          <w:sz w:val="24"/>
          <w:lang w:val="en-US"/>
        </w:rPr>
        <w:t xml:space="preserve">. However, the level of damages awarded by the courts does not always seem sufficient to compensate for the actual prejudice suffered notably in the online environment. This is </w:t>
      </w:r>
      <w:r>
        <w:rPr>
          <w:rFonts w:ascii="Times New Roman" w:hAnsi="Times New Roman" w:cs="Times New Roman"/>
          <w:noProof/>
          <w:sz w:val="24"/>
          <w:lang w:val="en-US"/>
        </w:rPr>
        <w:t>primarily due to different application of the rules at national level (even inside a given Court, individual practices by judges may vary), and different judicial traditions.</w:t>
      </w:r>
    </w:p>
    <w:p w:rsidR="00EB6A7B" w:rsidRDefault="001E7ACC">
      <w:pPr>
        <w:pStyle w:val="Heading5"/>
        <w:rPr>
          <w:noProof/>
          <w:lang w:val="en-US"/>
        </w:rPr>
      </w:pPr>
      <w:r>
        <w:rPr>
          <w:noProof/>
          <w:lang w:val="en-US"/>
        </w:rPr>
        <w:t>Reimbursement of legal costs (article 14)</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According to Article 14 of the Directiv</w:t>
      </w:r>
      <w:r>
        <w:rPr>
          <w:rFonts w:ascii="Times New Roman" w:hAnsi="Times New Roman" w:cs="Times New Roman"/>
          <w:noProof/>
          <w:sz w:val="24"/>
          <w:szCs w:val="24"/>
        </w:rPr>
        <w:t>e Member States shall ensure that reasonable and proportionate legal costs and other expenses incurred by the successful party shall, as a general rule, be borne by the unsuccessful party, unless equity does not allow this. While this general principle pro</w:t>
      </w:r>
      <w:r>
        <w:rPr>
          <w:rFonts w:ascii="Times New Roman" w:hAnsi="Times New Roman" w:cs="Times New Roman"/>
          <w:noProof/>
          <w:sz w:val="24"/>
          <w:szCs w:val="24"/>
        </w:rPr>
        <w:t>vides the national judicial authorities with the basis for reimbursement of costs, in calculating the actual amount that should be awarded the courts are often bound by specific national regimes on calculation of damages in civil matters. Such national reg</w:t>
      </w:r>
      <w:r>
        <w:rPr>
          <w:rFonts w:ascii="Times New Roman" w:hAnsi="Times New Roman" w:cs="Times New Roman"/>
          <w:noProof/>
          <w:sz w:val="24"/>
          <w:szCs w:val="24"/>
        </w:rPr>
        <w:t xml:space="preserve">imes are often not-IP specific, based on caps and/or refer to the national rules governing the minimum costs of assistance of attorneys-at-law or patent attorneys. </w:t>
      </w:r>
    </w:p>
    <w:p w:rsidR="00EB6A7B" w:rsidRDefault="001E7ACC">
      <w:pPr>
        <w:jc w:val="both"/>
        <w:rPr>
          <w:rFonts w:ascii="Times New Roman" w:hAnsi="Times New Roman" w:cs="Times New Roman"/>
          <w:bCs/>
          <w:noProof/>
          <w:sz w:val="24"/>
        </w:rPr>
      </w:pPr>
      <w:r>
        <w:rPr>
          <w:rFonts w:ascii="Times New Roman" w:hAnsi="Times New Roman" w:cs="Times New Roman"/>
          <w:bCs/>
          <w:noProof/>
          <w:sz w:val="24"/>
        </w:rPr>
        <w:t>Rightholders can incur significant costs in relation to the enforcement of their IPRs. As i</w:t>
      </w:r>
      <w:r>
        <w:rPr>
          <w:rFonts w:ascii="Times New Roman" w:hAnsi="Times New Roman" w:cs="Times New Roman"/>
          <w:bCs/>
          <w:noProof/>
          <w:sz w:val="24"/>
        </w:rPr>
        <w:t>ndicated above, they may have to invest substantial sums to detect an infringement, identify the infringer, investigate and gather evidence of infringement, secure seizure, store and eventually destroy infringing goods. Also, because of the complexity of t</w:t>
      </w:r>
      <w:r>
        <w:rPr>
          <w:rFonts w:ascii="Times New Roman" w:hAnsi="Times New Roman" w:cs="Times New Roman"/>
          <w:bCs/>
          <w:noProof/>
          <w:sz w:val="24"/>
        </w:rPr>
        <w:t>he matter, in particular in patent cases, high-level technical expertise can be needed to understand the nature of the right and the scope of potential infringement.</w:t>
      </w:r>
    </w:p>
    <w:p w:rsidR="00EB6A7B" w:rsidRDefault="001E7ACC">
      <w:pPr>
        <w:spacing w:before="200"/>
        <w:jc w:val="both"/>
        <w:rPr>
          <w:rFonts w:ascii="Times New Roman" w:hAnsi="Times New Roman" w:cs="Times New Roman"/>
          <w:noProof/>
          <w:sz w:val="24"/>
        </w:rPr>
      </w:pPr>
      <w:r>
        <w:rPr>
          <w:rFonts w:ascii="Times New Roman" w:hAnsi="Times New Roman" w:cs="Times New Roman"/>
          <w:noProof/>
          <w:sz w:val="24"/>
        </w:rPr>
        <w:t>Similarly as in the case of damages, respondents to the public consultation</w:t>
      </w:r>
      <w:r>
        <w:rPr>
          <w:rStyle w:val="FootnoteReference"/>
          <w:rFonts w:ascii="Times New Roman" w:hAnsi="Times New Roman" w:cs="Times New Roman"/>
          <w:noProof/>
          <w:sz w:val="24"/>
        </w:rPr>
        <w:footnoteReference w:id="50"/>
      </w:r>
      <w:r>
        <w:rPr>
          <w:rFonts w:ascii="Times New Roman" w:hAnsi="Times New Roman" w:cs="Times New Roman"/>
          <w:noProof/>
          <w:sz w:val="24"/>
        </w:rPr>
        <w:t xml:space="preserve"> and the Evalu</w:t>
      </w:r>
      <w:r>
        <w:rPr>
          <w:rFonts w:ascii="Times New Roman" w:hAnsi="Times New Roman" w:cs="Times New Roman"/>
          <w:noProof/>
          <w:sz w:val="24"/>
        </w:rPr>
        <w:t>ation Study</w:t>
      </w:r>
      <w:r>
        <w:rPr>
          <w:rStyle w:val="FootnoteReference"/>
          <w:rFonts w:ascii="Times New Roman" w:hAnsi="Times New Roman" w:cs="Times New Roman"/>
          <w:noProof/>
          <w:sz w:val="24"/>
        </w:rPr>
        <w:footnoteReference w:id="51"/>
      </w:r>
      <w:r>
        <w:rPr>
          <w:rFonts w:ascii="Times New Roman" w:hAnsi="Times New Roman" w:cs="Times New Roman"/>
          <w:noProof/>
          <w:sz w:val="24"/>
        </w:rPr>
        <w:t xml:space="preserve"> identified considerable differences in the calculation of legal costs and in the decision-making procedures in Member States. Although the legal costs awarded by courts to the winning party may not reflect the true legal costs incurred, the av</w:t>
      </w:r>
      <w:r>
        <w:rPr>
          <w:rFonts w:ascii="Times New Roman" w:hAnsi="Times New Roman" w:cs="Times New Roman"/>
          <w:noProof/>
          <w:sz w:val="24"/>
        </w:rPr>
        <w:t xml:space="preserve">ailable data suggests indeed a significant heterogeneity between Member States. </w:t>
      </w:r>
    </w:p>
    <w:p w:rsidR="00EB6A7B" w:rsidRDefault="001E7ACC">
      <w:pPr>
        <w:spacing w:before="200"/>
        <w:jc w:val="both"/>
        <w:rPr>
          <w:rFonts w:ascii="Times New Roman" w:hAnsi="Times New Roman" w:cs="Times New Roman"/>
          <w:noProof/>
          <w:sz w:val="24"/>
        </w:rPr>
      </w:pPr>
      <w:r>
        <w:rPr>
          <w:rFonts w:ascii="Times New Roman" w:hAnsi="Times New Roman" w:cs="Times New Roman"/>
          <w:noProof/>
          <w:sz w:val="24"/>
        </w:rPr>
        <w:t>In addition, the reimbursement of legal costs awarded to the successful party reportedly often only covers a fraction of the total costs incurred and certain cost elements are</w:t>
      </w:r>
      <w:r>
        <w:rPr>
          <w:rFonts w:ascii="Times New Roman" w:hAnsi="Times New Roman" w:cs="Times New Roman"/>
          <w:noProof/>
          <w:sz w:val="24"/>
        </w:rPr>
        <w:t xml:space="preserve"> sometimes not even considered by the court. According to the public consultation</w:t>
      </w:r>
      <w:r>
        <w:rPr>
          <w:rStyle w:val="FootnoteReference"/>
          <w:rFonts w:ascii="Times New Roman" w:hAnsi="Times New Roman" w:cs="Times New Roman"/>
          <w:noProof/>
          <w:sz w:val="24"/>
        </w:rPr>
        <w:footnoteReference w:id="52"/>
      </w:r>
      <w:r>
        <w:rPr>
          <w:rFonts w:ascii="Times New Roman" w:hAnsi="Times New Roman" w:cs="Times New Roman"/>
          <w:noProof/>
          <w:sz w:val="24"/>
        </w:rPr>
        <w:t>, court fees for instituting proceedings and other procedural costs</w:t>
      </w:r>
      <w:r>
        <w:rPr>
          <w:rFonts w:ascii="Times New Roman" w:hAnsi="Times New Roman" w:cs="Times New Roman"/>
          <w:b/>
          <w:noProof/>
          <w:sz w:val="24"/>
        </w:rPr>
        <w:t xml:space="preserve"> </w:t>
      </w:r>
      <w:r>
        <w:rPr>
          <w:rFonts w:ascii="Times New Roman" w:hAnsi="Times New Roman" w:cs="Times New Roman"/>
          <w:noProof/>
          <w:sz w:val="24"/>
        </w:rPr>
        <w:t>are often fully covered while external experts' costs, attorneys' charges and additional attorneys' fees a</w:t>
      </w:r>
      <w:r>
        <w:rPr>
          <w:rFonts w:ascii="Times New Roman" w:hAnsi="Times New Roman" w:cs="Times New Roman"/>
          <w:noProof/>
          <w:sz w:val="24"/>
        </w:rPr>
        <w:t>re mostly only partly covered, also because of caps on the recoverability of legal costs in the respective national legislation. The vast majority of rightholders considered the reimbursement of legal costs insufficient. A comparison of the legal costs rei</w:t>
      </w:r>
      <w:r>
        <w:rPr>
          <w:rFonts w:ascii="Times New Roman" w:hAnsi="Times New Roman" w:cs="Times New Roman"/>
          <w:noProof/>
          <w:sz w:val="24"/>
        </w:rPr>
        <w:t>mbursed at national level shows a very divergent picture</w:t>
      </w:r>
      <w:r>
        <w:rPr>
          <w:rStyle w:val="FootnoteReference"/>
          <w:rFonts w:ascii="Times New Roman" w:hAnsi="Times New Roman" w:cs="Times New Roman"/>
          <w:noProof/>
          <w:sz w:val="24"/>
        </w:rPr>
        <w:footnoteReference w:id="53"/>
      </w:r>
      <w:r>
        <w:rPr>
          <w:rFonts w:ascii="Times New Roman" w:hAnsi="Times New Roman" w:cs="Times New Roman"/>
          <w:noProof/>
          <w:sz w:val="24"/>
        </w:rPr>
        <w:t>.</w:t>
      </w:r>
    </w:p>
    <w:p w:rsidR="00EB6A7B" w:rsidRDefault="001E7ACC">
      <w:pPr>
        <w:spacing w:before="200"/>
        <w:jc w:val="both"/>
        <w:rPr>
          <w:rFonts w:ascii="Times New Roman" w:hAnsi="Times New Roman" w:cs="Times New Roman"/>
          <w:noProof/>
          <w:sz w:val="24"/>
        </w:rPr>
      </w:pPr>
      <w:r>
        <w:rPr>
          <w:rFonts w:ascii="Times New Roman" w:hAnsi="Times New Roman" w:cs="Times New Roman"/>
          <w:noProof/>
          <w:sz w:val="24"/>
        </w:rPr>
        <w:t>Member States and public authorities indicated in the public consultation that mostly identified attorneys' charges, court fees for instituting proceedings, external experts' costs, additional atto</w:t>
      </w:r>
      <w:r>
        <w:rPr>
          <w:rFonts w:ascii="Times New Roman" w:hAnsi="Times New Roman" w:cs="Times New Roman"/>
          <w:noProof/>
          <w:sz w:val="24"/>
        </w:rPr>
        <w:t>rneys' fees and other court costs as being covered. Half of the respondents indicated that the reimbursement of legal costs is subject to limitations.</w:t>
      </w:r>
    </w:p>
    <w:p w:rsidR="00EB6A7B" w:rsidRDefault="001E7ACC">
      <w:pPr>
        <w:spacing w:before="200"/>
        <w:jc w:val="both"/>
        <w:rPr>
          <w:rFonts w:ascii="Times New Roman" w:hAnsi="Times New Roman" w:cs="Times New Roman"/>
          <w:noProof/>
          <w:sz w:val="24"/>
        </w:rPr>
      </w:pPr>
      <w:r>
        <w:rPr>
          <w:rFonts w:ascii="Times New Roman" w:hAnsi="Times New Roman" w:cs="Times New Roman"/>
          <w:noProof/>
          <w:sz w:val="24"/>
        </w:rPr>
        <w:t>Only very few rightholders consider the reimbursement of their legal costs to be sufficient. The main rea</w:t>
      </w:r>
      <w:r>
        <w:rPr>
          <w:rFonts w:ascii="Times New Roman" w:hAnsi="Times New Roman" w:cs="Times New Roman"/>
          <w:noProof/>
          <w:sz w:val="24"/>
        </w:rPr>
        <w:t>sons given for the perceived inadequacy of reimbursement are non-consideration of all the necessary litigation costs, such as in-house costs or expert fees (despite the need for specialist knowledge in such cases), difficulty to quantify the costs for prod</w:t>
      </w:r>
      <w:r>
        <w:rPr>
          <w:rFonts w:ascii="Times New Roman" w:hAnsi="Times New Roman" w:cs="Times New Roman"/>
          <w:noProof/>
          <w:sz w:val="24"/>
        </w:rPr>
        <w:t>ucing evidence and statutory caps on the amount of legal costs that can be recovered. The low or unpredictable level of cost recovery in IP litigation can deter SMEs from relying on registered IPR to defend their investments</w:t>
      </w:r>
      <w:r>
        <w:rPr>
          <w:rFonts w:ascii="Times New Roman" w:hAnsi="Times New Roman" w:cs="Times New Roman"/>
          <w:noProof/>
          <w:sz w:val="24"/>
          <w:vertAlign w:val="superscript"/>
        </w:rPr>
        <w:footnoteReference w:id="54"/>
      </w:r>
      <w:r>
        <w:rPr>
          <w:rFonts w:ascii="Times New Roman" w:hAnsi="Times New Roman" w:cs="Times New Roman"/>
          <w:noProof/>
          <w:sz w:val="24"/>
        </w:rPr>
        <w:t>.</w:t>
      </w:r>
    </w:p>
    <w:p w:rsidR="00EB6A7B" w:rsidRDefault="001E7ACC">
      <w:pPr>
        <w:spacing w:before="200"/>
        <w:jc w:val="both"/>
        <w:rPr>
          <w:rFonts w:ascii="Times New Roman" w:hAnsi="Times New Roman" w:cs="Times New Roman"/>
          <w:noProof/>
          <w:sz w:val="24"/>
        </w:rPr>
      </w:pPr>
      <w:r>
        <w:rPr>
          <w:rFonts w:ascii="Times New Roman" w:hAnsi="Times New Roman" w:cs="Times New Roman"/>
          <w:noProof/>
          <w:sz w:val="24"/>
        </w:rPr>
        <w:t xml:space="preserve">The majority of rightholders </w:t>
      </w:r>
      <w:r>
        <w:rPr>
          <w:rFonts w:ascii="Times New Roman" w:hAnsi="Times New Roman" w:cs="Times New Roman"/>
          <w:noProof/>
          <w:sz w:val="24"/>
        </w:rPr>
        <w:t>thus called for an adjustment of practices, ensuring an appropriate recoverability of the actual costs, including necessary non-judicial costs, such as expert and investigation costs, in all Member States. Many comments from stakeholders referred to ensuri</w:t>
      </w:r>
      <w:r>
        <w:rPr>
          <w:rFonts w:ascii="Times New Roman" w:hAnsi="Times New Roman" w:cs="Times New Roman"/>
          <w:noProof/>
          <w:sz w:val="24"/>
        </w:rPr>
        <w:t xml:space="preserve">ng that rightholders are able to recover more ‘realistic’ or indeed full costs of IPR enforcement, including costs related to investigating and pursuing an infringement, and all related expenses and expert fees. </w:t>
      </w:r>
    </w:p>
    <w:p w:rsidR="00EB6A7B" w:rsidRDefault="001E7ACC">
      <w:pPr>
        <w:spacing w:before="200"/>
        <w:jc w:val="both"/>
        <w:rPr>
          <w:rFonts w:ascii="Times New Roman" w:hAnsi="Times New Roman" w:cs="Times New Roman"/>
          <w:noProof/>
          <w:sz w:val="24"/>
        </w:rPr>
      </w:pPr>
      <w:r>
        <w:rPr>
          <w:rFonts w:ascii="Times New Roman" w:hAnsi="Times New Roman" w:cs="Times New Roman"/>
          <w:noProof/>
          <w:sz w:val="24"/>
        </w:rPr>
        <w:t xml:space="preserve">A large majority of respondents from the </w:t>
      </w:r>
      <w:r>
        <w:rPr>
          <w:rFonts w:ascii="Times New Roman" w:hAnsi="Times New Roman" w:cs="Times New Roman"/>
          <w:bCs/>
          <w:noProof/>
          <w:sz w:val="24"/>
        </w:rPr>
        <w:t>ju</w:t>
      </w:r>
      <w:r>
        <w:rPr>
          <w:rFonts w:ascii="Times New Roman" w:hAnsi="Times New Roman" w:cs="Times New Roman"/>
          <w:bCs/>
          <w:noProof/>
          <w:sz w:val="24"/>
        </w:rPr>
        <w:t>diciary and legal profession</w:t>
      </w:r>
      <w:r>
        <w:rPr>
          <w:rFonts w:ascii="Times New Roman" w:hAnsi="Times New Roman" w:cs="Times New Roman"/>
          <w:b/>
          <w:bCs/>
          <w:noProof/>
          <w:sz w:val="24"/>
        </w:rPr>
        <w:t xml:space="preserve"> </w:t>
      </w:r>
      <w:r>
        <w:rPr>
          <w:rFonts w:ascii="Times New Roman" w:hAnsi="Times New Roman" w:cs="Times New Roman"/>
          <w:noProof/>
          <w:sz w:val="24"/>
        </w:rPr>
        <w:t>did not believe that the application of the provisions on legal costs have helped effectively in protecting and preventing IPR infringements. Some respondents are of the opinion that courts enjoy too much discretionary power in granting legal costs, result</w:t>
      </w:r>
      <w:r>
        <w:rPr>
          <w:rFonts w:ascii="Times New Roman" w:hAnsi="Times New Roman" w:cs="Times New Roman"/>
          <w:noProof/>
          <w:sz w:val="24"/>
        </w:rPr>
        <w:t xml:space="preserve">ing very often in insufficient reimbursement of costs. Respondents called for an uniform interpretation and application of the rules in order to enhance the level of reimbursement of costs for the winning party. </w:t>
      </w:r>
    </w:p>
    <w:p w:rsidR="00EB6A7B" w:rsidRDefault="001E7ACC">
      <w:pPr>
        <w:pBdr>
          <w:top w:val="single" w:sz="4" w:space="1" w:color="auto"/>
          <w:left w:val="single" w:sz="4" w:space="4" w:color="auto"/>
          <w:bottom w:val="single" w:sz="4" w:space="1" w:color="auto"/>
          <w:right w:val="single" w:sz="4" w:space="4" w:color="auto"/>
        </w:pBdr>
        <w:spacing w:before="200"/>
        <w:jc w:val="both"/>
        <w:rPr>
          <w:rFonts w:ascii="Times New Roman" w:hAnsi="Times New Roman" w:cs="Times New Roman"/>
          <w:noProof/>
          <w:sz w:val="24"/>
          <w:szCs w:val="24"/>
        </w:rPr>
      </w:pPr>
      <w:r>
        <w:rPr>
          <w:rFonts w:ascii="Times New Roman" w:hAnsi="Times New Roman" w:cs="Times New Roman"/>
          <w:noProof/>
          <w:sz w:val="24"/>
        </w:rPr>
        <w:t xml:space="preserve">To conclude, the effectiveness of the </w:t>
      </w:r>
      <w:r>
        <w:rPr>
          <w:rFonts w:ascii="Times New Roman" w:hAnsi="Times New Roman" w:cs="Times New Roman"/>
          <w:noProof/>
          <w:sz w:val="24"/>
          <w:szCs w:val="24"/>
        </w:rPr>
        <w:t xml:space="preserve">rule </w:t>
      </w:r>
      <w:r>
        <w:rPr>
          <w:rFonts w:ascii="Times New Roman" w:hAnsi="Times New Roman" w:cs="Times New Roman"/>
          <w:noProof/>
          <w:sz w:val="24"/>
          <w:szCs w:val="24"/>
        </w:rPr>
        <w:t>established by the Directive that reasonable and proportionate legal costs and other expenses incurred by the successful party shall, as a general rule, be borne by the unsuccessful party, unless equity does not allow this,</w:t>
      </w:r>
      <w:r>
        <w:rPr>
          <w:rFonts w:ascii="Times New Roman" w:hAnsi="Times New Roman" w:cs="Times New Roman"/>
          <w:noProof/>
          <w:sz w:val="24"/>
        </w:rPr>
        <w:t xml:space="preserve"> </w:t>
      </w:r>
      <w:r>
        <w:rPr>
          <w:rFonts w:ascii="Times New Roman" w:hAnsi="Times New Roman" w:cs="Times New Roman"/>
          <w:noProof/>
          <w:sz w:val="24"/>
          <w:szCs w:val="24"/>
        </w:rPr>
        <w:t>is affected by divergent nationa</w:t>
      </w:r>
      <w:r>
        <w:rPr>
          <w:rFonts w:ascii="Times New Roman" w:hAnsi="Times New Roman" w:cs="Times New Roman"/>
          <w:noProof/>
          <w:sz w:val="24"/>
          <w:szCs w:val="24"/>
        </w:rPr>
        <w:t>l rules laying down specific principles and caps for the reimbursement of such costs in civil proceedings. Because of this divergent approach taken up by the Member States, the Directive has not achieved a high, equivalent and homogeneous level of protecti</w:t>
      </w:r>
      <w:r>
        <w:rPr>
          <w:rFonts w:ascii="Times New Roman" w:hAnsi="Times New Roman" w:cs="Times New Roman"/>
          <w:noProof/>
          <w:sz w:val="24"/>
          <w:szCs w:val="24"/>
        </w:rPr>
        <w:t xml:space="preserve">on in the internal market in the area of reimbursement of legal costs. </w:t>
      </w:r>
      <w:bookmarkStart w:id="92" w:name="_Toc491884849"/>
      <w:bookmarkEnd w:id="92"/>
    </w:p>
    <w:p w:rsidR="00EB6A7B" w:rsidRDefault="001E7ACC">
      <w:pPr>
        <w:pStyle w:val="Heading3"/>
        <w:ind w:left="1276" w:hanging="1276"/>
        <w:rPr>
          <w:noProof/>
        </w:rPr>
      </w:pPr>
      <w:bookmarkStart w:id="93" w:name="_Toc498521056"/>
      <w:r>
        <w:rPr>
          <w:noProof/>
        </w:rPr>
        <w:t>Effects of the Directive</w:t>
      </w:r>
      <w:bookmarkEnd w:id="93"/>
    </w:p>
    <w:p w:rsidR="00EB6A7B" w:rsidRDefault="001E7ACC">
      <w:pPr>
        <w:pBdr>
          <w:top w:val="single" w:sz="4" w:space="1" w:color="auto"/>
          <w:left w:val="single" w:sz="4" w:space="4" w:color="auto"/>
          <w:bottom w:val="single" w:sz="4" w:space="1" w:color="auto"/>
          <w:right w:val="single" w:sz="4" w:space="4" w:color="auto"/>
        </w:pBdr>
        <w:ind w:left="426" w:hanging="426"/>
        <w:jc w:val="both"/>
        <w:rPr>
          <w:rFonts w:ascii="Times New Roman" w:hAnsi="Times New Roman" w:cs="Times New Roman"/>
          <w:i/>
          <w:noProof/>
          <w:sz w:val="24"/>
        </w:rPr>
      </w:pPr>
      <w:r>
        <w:rPr>
          <w:rFonts w:ascii="Times New Roman" w:hAnsi="Times New Roman" w:cs="Times New Roman"/>
          <w:i/>
          <w:noProof/>
          <w:sz w:val="24"/>
          <w:szCs w:val="24"/>
        </w:rPr>
        <w:t>Evaluation question</w:t>
      </w:r>
      <w:r>
        <w:rPr>
          <w:rFonts w:ascii="Times New Roman" w:hAnsi="Times New Roman" w:cs="Times New Roman"/>
          <w:i/>
          <w:noProof/>
          <w:sz w:val="24"/>
        </w:rPr>
        <w:t xml:space="preserve"> 2</w:t>
      </w:r>
    </w:p>
    <w:p w:rsidR="00EB6A7B" w:rsidRDefault="001E7ACC">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rPr>
      </w:pPr>
      <w:r>
        <w:rPr>
          <w:rFonts w:ascii="Times New Roman" w:hAnsi="Times New Roman" w:cs="Times New Roman"/>
          <w:i/>
          <w:noProof/>
          <w:sz w:val="24"/>
        </w:rPr>
        <w:t xml:space="preserve">What have been the effects of the Directive? To what extent do those observed effects/changes correspond to the objectives? To what </w:t>
      </w:r>
      <w:r>
        <w:rPr>
          <w:rFonts w:ascii="Times New Roman" w:hAnsi="Times New Roman" w:cs="Times New Roman"/>
          <w:i/>
          <w:noProof/>
          <w:sz w:val="24"/>
        </w:rPr>
        <w:t>extent can those effects/changes be attributed to the Directive? To what extent can those effects be linked to other EU instruments?</w:t>
      </w:r>
    </w:p>
    <w:p w:rsidR="00EB6A7B" w:rsidRDefault="001E7ACC">
      <w:pPr>
        <w:spacing w:after="160" w:line="259"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The expected effects of the Directive were to have higher use of legal enforcement remedies, to have more efficient remedie</w:t>
      </w:r>
      <w:r>
        <w:rPr>
          <w:rFonts w:ascii="Times New Roman" w:eastAsia="MS PGothic" w:hAnsi="Times New Roman" w:cs="Times New Roman"/>
          <w:noProof/>
          <w:sz w:val="24"/>
          <w:szCs w:val="24"/>
        </w:rPr>
        <w:t>s (in terms of the length of procedures and costs), less occurrence of IPR infringements and better knowledge on IPR enforcement rules (see also Figure 1 with the intervention logic presented).</w:t>
      </w:r>
    </w:p>
    <w:p w:rsidR="00EB6A7B" w:rsidRDefault="001E7ACC">
      <w:pPr>
        <w:spacing w:after="160" w:line="259"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In general, the following effects of the Directive have been n</w:t>
      </w:r>
      <w:r>
        <w:rPr>
          <w:rFonts w:ascii="Times New Roman" w:eastAsia="MS PGothic" w:hAnsi="Times New Roman" w:cs="Times New Roman"/>
          <w:noProof/>
          <w:sz w:val="24"/>
          <w:szCs w:val="24"/>
        </w:rPr>
        <w:t>oted by stakeholders:</w:t>
      </w:r>
    </w:p>
    <w:p w:rsidR="00EB6A7B" w:rsidRDefault="001E7ACC">
      <w:pPr>
        <w:spacing w:after="160" w:line="259"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w:t>
      </w:r>
      <w:r>
        <w:rPr>
          <w:rFonts w:ascii="Times New Roman" w:eastAsia="MS PGothic" w:hAnsi="Times New Roman" w:cs="Times New Roman"/>
          <w:noProof/>
          <w:sz w:val="24"/>
          <w:szCs w:val="24"/>
        </w:rPr>
        <w:tab/>
        <w:t xml:space="preserve">While in some Member States only little change was noted in legislation and legal practice, it was also said that the Directive led to considerable improvements in other Member States, making tools available that were not available </w:t>
      </w:r>
      <w:r>
        <w:rPr>
          <w:rFonts w:ascii="Times New Roman" w:eastAsia="MS PGothic" w:hAnsi="Times New Roman" w:cs="Times New Roman"/>
          <w:noProof/>
          <w:sz w:val="24"/>
          <w:szCs w:val="24"/>
        </w:rPr>
        <w:t>before the Directive.</w:t>
      </w:r>
    </w:p>
    <w:p w:rsidR="00EB6A7B" w:rsidRDefault="001E7ACC">
      <w:pPr>
        <w:spacing w:after="160" w:line="259"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w:t>
      </w:r>
      <w:r>
        <w:rPr>
          <w:rFonts w:ascii="Times New Roman" w:eastAsia="MS PGothic" w:hAnsi="Times New Roman" w:cs="Times New Roman"/>
          <w:noProof/>
          <w:sz w:val="24"/>
          <w:szCs w:val="24"/>
        </w:rPr>
        <w:tab/>
        <w:t>The Directive had a direct effect on the harmonisation of laws and tools that made it more effective to implement a single pan-European strategy for IP enforcement.</w:t>
      </w:r>
    </w:p>
    <w:p w:rsidR="00EB6A7B" w:rsidRDefault="001E7ACC">
      <w:pPr>
        <w:spacing w:after="160" w:line="259"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w:t>
      </w:r>
      <w:r>
        <w:rPr>
          <w:rFonts w:ascii="Times New Roman" w:eastAsia="MS PGothic" w:hAnsi="Times New Roman" w:cs="Times New Roman"/>
          <w:noProof/>
          <w:sz w:val="24"/>
          <w:szCs w:val="24"/>
        </w:rPr>
        <w:tab/>
        <w:t>A better pan-European strategy by companies translated into effec</w:t>
      </w:r>
      <w:r>
        <w:rPr>
          <w:rFonts w:ascii="Times New Roman" w:eastAsia="MS PGothic" w:hAnsi="Times New Roman" w:cs="Times New Roman"/>
          <w:noProof/>
          <w:sz w:val="24"/>
          <w:szCs w:val="24"/>
        </w:rPr>
        <w:t>tiveness gains, since it opened up room to go after more IP infringement cases and/or act on IP infringement where otherwise no action would have been taken.</w:t>
      </w:r>
    </w:p>
    <w:p w:rsidR="00EB6A7B" w:rsidRDefault="001E7ACC">
      <w:pPr>
        <w:spacing w:after="160" w:line="259"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w:t>
      </w:r>
      <w:r>
        <w:rPr>
          <w:rFonts w:ascii="Times New Roman" w:eastAsia="MS PGothic" w:hAnsi="Times New Roman" w:cs="Times New Roman"/>
          <w:noProof/>
          <w:sz w:val="24"/>
          <w:szCs w:val="24"/>
        </w:rPr>
        <w:tab/>
        <w:t xml:space="preserve">The Directive seems to have substantially increased the interaction between judges in different </w:t>
      </w:r>
      <w:r>
        <w:rPr>
          <w:rFonts w:ascii="Times New Roman" w:eastAsia="MS PGothic" w:hAnsi="Times New Roman" w:cs="Times New Roman"/>
          <w:noProof/>
          <w:sz w:val="24"/>
          <w:szCs w:val="24"/>
        </w:rPr>
        <w:t xml:space="preserve">Member States. Interviews with judges suggest that they meet more often and look at rulings in other Member States to inform themselves, and the often cross-border or international characteristic seem to require national judges to be better informed about </w:t>
      </w:r>
      <w:r>
        <w:rPr>
          <w:rFonts w:ascii="Times New Roman" w:eastAsia="MS PGothic" w:hAnsi="Times New Roman" w:cs="Times New Roman"/>
          <w:noProof/>
          <w:sz w:val="24"/>
          <w:szCs w:val="24"/>
        </w:rPr>
        <w:t xml:space="preserve">other Member States’ practices. </w:t>
      </w:r>
    </w:p>
    <w:p w:rsidR="00EB6A7B" w:rsidRDefault="001E7ACC">
      <w:pPr>
        <w:spacing w:after="160" w:line="259"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The Evaluation Study presents data on number of court cases and average length of the proceedings to assess whether the Directive had impact on the amount of civil proceedings taking place as well as on their length.</w:t>
      </w:r>
    </w:p>
    <w:p w:rsidR="00EB6A7B" w:rsidRDefault="001E7ACC">
      <w:pPr>
        <w:spacing w:after="160" w:line="259"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Accord</w:t>
      </w:r>
      <w:r>
        <w:rPr>
          <w:rFonts w:ascii="Times New Roman" w:eastAsia="MS PGothic" w:hAnsi="Times New Roman" w:cs="Times New Roman"/>
          <w:noProof/>
          <w:sz w:val="24"/>
          <w:szCs w:val="24"/>
        </w:rPr>
        <w:t xml:space="preserve">ing to the Evaluation Study, although the number of court cases for all IPRs </w:t>
      </w:r>
      <w:r>
        <w:rPr>
          <w:rFonts w:ascii="Times New Roman" w:hAnsi="Times New Roman" w:cs="Times New Roman"/>
          <w:noProof/>
          <w:sz w:val="24"/>
        </w:rPr>
        <w:t>have increased, this cannot be solely attributed to the adoption of the Directive</w:t>
      </w:r>
      <w:r>
        <w:rPr>
          <w:rFonts w:ascii="Times New Roman" w:eastAsia="MS PGothic" w:hAnsi="Times New Roman" w:cs="Times New Roman"/>
          <w:noProof/>
          <w:sz w:val="24"/>
          <w:szCs w:val="24"/>
        </w:rPr>
        <w:t>.</w:t>
      </w:r>
    </w:p>
    <w:p w:rsidR="00EB6A7B" w:rsidRDefault="001E7ACC">
      <w:pPr>
        <w:jc w:val="both"/>
        <w:rPr>
          <w:rFonts w:ascii="Times New Roman" w:eastAsia="MS PGothic" w:hAnsi="Times New Roman" w:cs="Times New Roman"/>
          <w:noProof/>
          <w:sz w:val="24"/>
          <w:szCs w:val="24"/>
          <w:lang w:val="en-US"/>
        </w:rPr>
      </w:pPr>
      <w:r>
        <w:rPr>
          <w:rFonts w:ascii="Times New Roman" w:eastAsia="MS PGothic" w:hAnsi="Times New Roman" w:cs="Times New Roman"/>
          <w:noProof/>
          <w:sz w:val="24"/>
          <w:szCs w:val="24"/>
        </w:rPr>
        <w:t>When comparing the situation in four selected Member States (France, the United Kingdom, Netherl</w:t>
      </w:r>
      <w:r>
        <w:rPr>
          <w:rFonts w:ascii="Times New Roman" w:eastAsia="MS PGothic" w:hAnsi="Times New Roman" w:cs="Times New Roman"/>
          <w:noProof/>
          <w:sz w:val="24"/>
          <w:szCs w:val="24"/>
        </w:rPr>
        <w:t xml:space="preserve">ands and Germany), the following picture emerges. </w:t>
      </w:r>
      <w:r>
        <w:rPr>
          <w:rFonts w:ascii="Times New Roman" w:eastAsia="MS PGothic" w:hAnsi="Times New Roman" w:cs="Times New Roman"/>
          <w:noProof/>
          <w:sz w:val="24"/>
          <w:szCs w:val="24"/>
          <w:lang w:val="en-US"/>
        </w:rPr>
        <w:t>The average duration of litigations related to all IP types and all of these four Member States is about one year. In trademark court cases, France and the United Kingdom are on average the Member States wi</w:t>
      </w:r>
      <w:r>
        <w:rPr>
          <w:rFonts w:ascii="Times New Roman" w:eastAsia="MS PGothic" w:hAnsi="Times New Roman" w:cs="Times New Roman"/>
          <w:noProof/>
          <w:sz w:val="24"/>
          <w:szCs w:val="24"/>
          <w:lang w:val="en-US"/>
        </w:rPr>
        <w:t xml:space="preserve">th the highest duration of litigations (1.4 years), while for Germany and Netherlands the average duration of the proceedings is a third (or less) the duration of the cases in France and the United Kingdom (0.4 and 0.2 years respectively). In patent court </w:t>
      </w:r>
      <w:r>
        <w:rPr>
          <w:rFonts w:ascii="Times New Roman" w:eastAsia="MS PGothic" w:hAnsi="Times New Roman" w:cs="Times New Roman"/>
          <w:noProof/>
          <w:sz w:val="24"/>
          <w:szCs w:val="24"/>
          <w:lang w:val="en-US"/>
        </w:rPr>
        <w:t>cases, the duration is the highest for all the four Member States compared to the other two IP types. France has the highest duration average of 1.8 years, followed by the United Kingdom and Germany with 1.1 years and the Netherlands with 0.8 years. In des</w:t>
      </w:r>
      <w:r>
        <w:rPr>
          <w:rFonts w:ascii="Times New Roman" w:eastAsia="MS PGothic" w:hAnsi="Times New Roman" w:cs="Times New Roman"/>
          <w:noProof/>
          <w:sz w:val="24"/>
          <w:szCs w:val="24"/>
          <w:lang w:val="en-US"/>
        </w:rPr>
        <w:t>ign court cases France leads with 1.4 years followed by the United Kingdom with one year, Germany with 0.5 years and the Netherlands with 0.1 years.</w:t>
      </w:r>
    </w:p>
    <w:p w:rsidR="00EB6A7B" w:rsidRDefault="001E7ACC">
      <w:pPr>
        <w:jc w:val="both"/>
        <w:rPr>
          <w:rFonts w:ascii="Times New Roman" w:eastAsia="MS PGothic" w:hAnsi="Times New Roman" w:cs="Times New Roman"/>
          <w:noProof/>
          <w:sz w:val="24"/>
          <w:szCs w:val="24"/>
          <w:lang w:val="en-US"/>
        </w:rPr>
      </w:pPr>
      <w:r>
        <w:rPr>
          <w:rFonts w:ascii="Times New Roman" w:eastAsia="MS PGothic" w:hAnsi="Times New Roman" w:cs="Times New Roman"/>
          <w:noProof/>
          <w:sz w:val="24"/>
          <w:szCs w:val="24"/>
          <w:lang w:val="en-US"/>
        </w:rPr>
        <w:t xml:space="preserve">According to the data presented in the Evaluation Study, the preliminary comparison of the pattern ‘before </w:t>
      </w:r>
      <w:r>
        <w:rPr>
          <w:rFonts w:ascii="Times New Roman" w:eastAsia="MS PGothic" w:hAnsi="Times New Roman" w:cs="Times New Roman"/>
          <w:noProof/>
          <w:sz w:val="24"/>
          <w:szCs w:val="24"/>
          <w:lang w:val="en-US"/>
        </w:rPr>
        <w:t>and after’ the transposition of the Directive shows that in all IP types, across all four Member States concerned, the average duration of litigations has decreased or remained stable. The highest reductions are in design and patent court cases specificall</w:t>
      </w:r>
      <w:r>
        <w:rPr>
          <w:rFonts w:ascii="Times New Roman" w:eastAsia="MS PGothic" w:hAnsi="Times New Roman" w:cs="Times New Roman"/>
          <w:noProof/>
          <w:sz w:val="24"/>
          <w:szCs w:val="24"/>
          <w:lang w:val="en-US"/>
        </w:rPr>
        <w:t>y in the United Kingdom and in patent court cases in France.</w:t>
      </w:r>
    </w:p>
    <w:p w:rsidR="00EB6A7B" w:rsidRDefault="001E7ACC" w:rsidP="001E7ACC">
      <w:pPr>
        <w:keepNext/>
        <w:rPr>
          <w:rFonts w:ascii="Times New Roman" w:eastAsia="MS PGothic" w:hAnsi="Times New Roman" w:cs="Times New Roman"/>
          <w:i/>
          <w:noProof/>
          <w:sz w:val="24"/>
          <w:szCs w:val="24"/>
          <w:lang w:val="en-US"/>
        </w:rPr>
      </w:pPr>
      <w:r>
        <w:rPr>
          <w:rFonts w:ascii="Times New Roman" w:eastAsia="MS PGothic" w:hAnsi="Times New Roman" w:cs="Times New Roman"/>
          <w:i/>
          <w:noProof/>
          <w:sz w:val="24"/>
          <w:szCs w:val="24"/>
          <w:lang w:val="en-US"/>
        </w:rPr>
        <w:t xml:space="preserve">Figure </w:t>
      </w:r>
      <w:r>
        <w:rPr>
          <w:rFonts w:ascii="Times New Roman" w:eastAsia="MS PGothic" w:hAnsi="Times New Roman" w:cs="Times New Roman"/>
          <w:i/>
          <w:noProof/>
          <w:sz w:val="24"/>
          <w:szCs w:val="24"/>
          <w:lang w:val="en-US"/>
        </w:rPr>
        <w:fldChar w:fldCharType="begin"/>
      </w:r>
      <w:r>
        <w:rPr>
          <w:rFonts w:ascii="Times New Roman" w:eastAsia="MS PGothic" w:hAnsi="Times New Roman" w:cs="Times New Roman"/>
          <w:i/>
          <w:noProof/>
          <w:sz w:val="24"/>
          <w:szCs w:val="24"/>
          <w:lang w:val="en-US"/>
        </w:rPr>
        <w:instrText xml:space="preserve"> SEQ Figure \* ARABIC </w:instrText>
      </w:r>
      <w:r>
        <w:rPr>
          <w:rFonts w:ascii="Times New Roman" w:eastAsia="MS PGothic" w:hAnsi="Times New Roman" w:cs="Times New Roman"/>
          <w:i/>
          <w:noProof/>
          <w:sz w:val="24"/>
          <w:szCs w:val="24"/>
          <w:lang w:val="en-US"/>
        </w:rPr>
        <w:fldChar w:fldCharType="separate"/>
      </w:r>
      <w:r>
        <w:rPr>
          <w:rFonts w:ascii="Times New Roman" w:eastAsia="MS PGothic" w:hAnsi="Times New Roman" w:cs="Times New Roman"/>
          <w:i/>
          <w:noProof/>
          <w:sz w:val="24"/>
          <w:szCs w:val="24"/>
          <w:lang w:val="en-US"/>
        </w:rPr>
        <w:t>1</w:t>
      </w:r>
      <w:r>
        <w:rPr>
          <w:rFonts w:ascii="Times New Roman" w:eastAsia="MS PGothic" w:hAnsi="Times New Roman" w:cs="Times New Roman"/>
          <w:noProof/>
          <w:sz w:val="24"/>
          <w:szCs w:val="24"/>
        </w:rPr>
        <w:fldChar w:fldCharType="end"/>
      </w:r>
      <w:r>
        <w:rPr>
          <w:rFonts w:ascii="Times New Roman" w:eastAsia="MS PGothic" w:hAnsi="Times New Roman" w:cs="Times New Roman"/>
          <w:noProof/>
          <w:sz w:val="24"/>
          <w:szCs w:val="24"/>
          <w:lang w:val="en-US"/>
        </w:rPr>
        <w:t xml:space="preserve"> </w:t>
      </w:r>
      <w:r>
        <w:rPr>
          <w:rFonts w:ascii="Times New Roman" w:eastAsia="MS PGothic" w:hAnsi="Times New Roman" w:cs="Times New Roman"/>
          <w:i/>
          <w:noProof/>
          <w:sz w:val="24"/>
          <w:szCs w:val="24"/>
          <w:lang w:val="en-US"/>
        </w:rPr>
        <w:t>Average length of the proceedings of the court cases before and after the Directive</w:t>
      </w:r>
    </w:p>
    <w:p w:rsidR="00EB6A7B" w:rsidRDefault="001E7ACC">
      <w:pPr>
        <w:rPr>
          <w:rFonts w:ascii="Times New Roman" w:eastAsia="MS PGothic" w:hAnsi="Times New Roman" w:cs="Times New Roman"/>
          <w:noProof/>
          <w:sz w:val="24"/>
          <w:szCs w:val="24"/>
          <w:lang w:val="en-US"/>
        </w:rPr>
      </w:pPr>
      <w:r>
        <w:rPr>
          <w:rFonts w:ascii="Times New Roman" w:eastAsia="MS PGothic" w:hAnsi="Times New Roman" w:cs="Times New Roman"/>
          <w:noProof/>
          <w:sz w:val="24"/>
          <w:szCs w:val="24"/>
          <w:lang w:eastAsia="en-GB"/>
        </w:rPr>
        <w:drawing>
          <wp:inline distT="0" distB="0" distL="0" distR="0">
            <wp:extent cx="5391150" cy="3819525"/>
            <wp:effectExtent l="0" t="0" r="19050" b="9525"/>
            <wp:docPr id="6"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B6A7B" w:rsidRDefault="001E7ACC">
      <w:pPr>
        <w:rPr>
          <w:rFonts w:ascii="Times New Roman" w:eastAsia="MS PGothic" w:hAnsi="Times New Roman" w:cs="Times New Roman"/>
          <w:noProof/>
          <w:sz w:val="20"/>
          <w:szCs w:val="24"/>
          <w:lang w:val="en-US"/>
        </w:rPr>
      </w:pPr>
      <w:r>
        <w:rPr>
          <w:rFonts w:ascii="Times New Roman" w:eastAsia="MS PGothic" w:hAnsi="Times New Roman" w:cs="Times New Roman"/>
          <w:noProof/>
          <w:sz w:val="20"/>
          <w:szCs w:val="24"/>
          <w:lang w:val="en-US"/>
        </w:rPr>
        <w:t xml:space="preserve">Source: Technopolis calculations based on Darts-ip data </w:t>
      </w:r>
    </w:p>
    <w:p w:rsidR="00EB6A7B" w:rsidRDefault="001E7ACC">
      <w:pPr>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The legal analysis investigates whether the implementation of the Directive’s measures across the EU compared to the national laws before the Directive introduced changes in the judiciary systems that could impact on the duration. The focus was placed on r</w:t>
      </w:r>
      <w:r>
        <w:rPr>
          <w:rFonts w:ascii="Times New Roman" w:eastAsia="MS PGothic" w:hAnsi="Times New Roman" w:cs="Times New Roman"/>
          <w:noProof/>
          <w:sz w:val="24"/>
          <w:szCs w:val="24"/>
        </w:rPr>
        <w:t xml:space="preserve">ight of information (Article 8), provisional measures (article 9), damages settlement (Article 13), provision on the publication of cases (Article 15). </w:t>
      </w:r>
    </w:p>
    <w:p w:rsidR="00EB6A7B" w:rsidRDefault="001E7ACC">
      <w:pPr>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 xml:space="preserve">According to the legal analysis only, it is possible that change in delays could at least partially be </w:t>
      </w:r>
      <w:r>
        <w:rPr>
          <w:rFonts w:ascii="Times New Roman" w:eastAsia="MS PGothic" w:hAnsi="Times New Roman" w:cs="Times New Roman"/>
          <w:noProof/>
          <w:sz w:val="24"/>
          <w:szCs w:val="24"/>
        </w:rPr>
        <w:t xml:space="preserve">attributed to the Directive because of the availability of measures that were not available before the Directive. </w:t>
      </w:r>
    </w:p>
    <w:p w:rsidR="00EB6A7B" w:rsidRDefault="001E7ACC">
      <w:pPr>
        <w:spacing w:after="160" w:line="259"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It is however difficult to assess the strength of the effects since the Directive is only part of a broader enforcement framework. Thus, dire</w:t>
      </w:r>
      <w:r>
        <w:rPr>
          <w:rFonts w:ascii="Times New Roman" w:eastAsia="MS PGothic" w:hAnsi="Times New Roman" w:cs="Times New Roman"/>
          <w:noProof/>
          <w:sz w:val="24"/>
          <w:szCs w:val="24"/>
        </w:rPr>
        <w:t xml:space="preserve">ct effects can be seen in all Member States where their legal provisions were changed, while secondary effects can only be found after the Directive was in place and used. In this respect, one can argue that the hitherto clarification at CJEU level helped </w:t>
      </w:r>
      <w:r>
        <w:rPr>
          <w:rFonts w:ascii="Times New Roman" w:eastAsia="MS PGothic" w:hAnsi="Times New Roman" w:cs="Times New Roman"/>
          <w:noProof/>
          <w:sz w:val="24"/>
          <w:szCs w:val="24"/>
        </w:rPr>
        <w:t>to overcome some shortcomings (i.e., vague language, absence of definitions) and triggered more communication among judges across the MS. This may further enhance national rulings and may also lead to further harmonisation in the application of the Directi</w:t>
      </w:r>
      <w:r>
        <w:rPr>
          <w:rFonts w:ascii="Times New Roman" w:eastAsia="MS PGothic" w:hAnsi="Times New Roman" w:cs="Times New Roman"/>
          <w:noProof/>
          <w:sz w:val="24"/>
          <w:szCs w:val="24"/>
        </w:rPr>
        <w:t xml:space="preserve">ve’s provisions. </w:t>
      </w:r>
    </w:p>
    <w:p w:rsidR="00EB6A7B" w:rsidRDefault="001E7ACC">
      <w:pPr>
        <w:spacing w:after="160" w:line="259"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Thus, the evolution of court cases and their specific provisions do not find effects of the Directive on statistically measurable characteristics of civil enforcement of IP in Europe overall. This is in line with the feedback from the int</w:t>
      </w:r>
      <w:r>
        <w:rPr>
          <w:rFonts w:ascii="Times New Roman" w:eastAsia="MS PGothic" w:hAnsi="Times New Roman" w:cs="Times New Roman"/>
          <w:noProof/>
          <w:sz w:val="24"/>
          <w:szCs w:val="24"/>
        </w:rPr>
        <w:t xml:space="preserve">erviews.  </w:t>
      </w:r>
    </w:p>
    <w:p w:rsidR="00EB6A7B" w:rsidRDefault="001E7ACC">
      <w:pPr>
        <w:spacing w:after="160" w:line="259" w:lineRule="auto"/>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 xml:space="preserve">The econometric models for the most part did not unveil strong correlations between the introduction of the Directive and the development of key indicators on litigation activity – let alone causality. Together with the interview evidence, it </w:t>
      </w:r>
      <w:r>
        <w:rPr>
          <w:rFonts w:ascii="Times New Roman" w:eastAsia="MS PGothic" w:hAnsi="Times New Roman" w:cs="Times New Roman"/>
          <w:noProof/>
          <w:sz w:val="24"/>
          <w:szCs w:val="24"/>
        </w:rPr>
        <w:t>appears that the Directive had only marginal significant effects on IP litigation activity in Europe</w:t>
      </w:r>
      <w:r>
        <w:rPr>
          <w:rStyle w:val="FootnoteReference"/>
          <w:rFonts w:ascii="Times New Roman" w:eastAsia="MS PGothic" w:hAnsi="Times New Roman" w:cs="Times New Roman"/>
          <w:noProof/>
          <w:sz w:val="24"/>
          <w:szCs w:val="24"/>
        </w:rPr>
        <w:footnoteReference w:id="55"/>
      </w:r>
      <w:r>
        <w:rPr>
          <w:rFonts w:ascii="Times New Roman" w:eastAsia="MS PGothic" w:hAnsi="Times New Roman" w:cs="Times New Roman"/>
          <w:noProof/>
          <w:sz w:val="24"/>
          <w:szCs w:val="24"/>
        </w:rPr>
        <w:t>.</w:t>
      </w:r>
    </w:p>
    <w:p w:rsidR="00EB6A7B" w:rsidRDefault="001E7ACC">
      <w:pPr>
        <w:pStyle w:val="Heading3"/>
        <w:rPr>
          <w:rFonts w:eastAsia="MS PGothic"/>
          <w:noProof/>
        </w:rPr>
      </w:pPr>
      <w:bookmarkStart w:id="94" w:name="_Toc498521057"/>
      <w:r>
        <w:rPr>
          <w:noProof/>
        </w:rPr>
        <w:t>Main factors that support or hamper achieving the objectives</w:t>
      </w:r>
      <w:bookmarkEnd w:id="94"/>
    </w:p>
    <w:p w:rsidR="00EB6A7B" w:rsidRDefault="001E7ACC">
      <w:pPr>
        <w:pBdr>
          <w:top w:val="single" w:sz="4" w:space="1" w:color="auto"/>
          <w:left w:val="single" w:sz="4" w:space="4" w:color="auto"/>
          <w:bottom w:val="single" w:sz="4" w:space="1" w:color="auto"/>
          <w:right w:val="single" w:sz="4" w:space="4" w:color="auto"/>
        </w:pBdr>
        <w:autoSpaceDE w:val="0"/>
        <w:autoSpaceDN w:val="0"/>
        <w:adjustRightInd w:val="0"/>
        <w:spacing w:after="240"/>
        <w:ind w:left="425" w:hanging="425"/>
        <w:jc w:val="both"/>
        <w:rPr>
          <w:rFonts w:ascii="Times New Roman" w:hAnsi="Times New Roman" w:cs="Times New Roman"/>
          <w:i/>
          <w:noProof/>
          <w:sz w:val="24"/>
          <w:szCs w:val="24"/>
        </w:rPr>
      </w:pPr>
      <w:r>
        <w:rPr>
          <w:rFonts w:ascii="Times New Roman" w:hAnsi="Times New Roman" w:cs="Times New Roman"/>
          <w:i/>
          <w:noProof/>
          <w:sz w:val="24"/>
          <w:szCs w:val="24"/>
        </w:rPr>
        <w:t xml:space="preserve">Evaluation question 3 </w:t>
      </w:r>
      <w:r>
        <w:rPr>
          <w:rFonts w:ascii="Times New Roman" w:hAnsi="Times New Roman" w:cs="Times New Roman"/>
          <w:i/>
          <w:noProof/>
          <w:sz w:val="24"/>
          <w:szCs w:val="24"/>
        </w:rPr>
        <w:tab/>
      </w:r>
    </w:p>
    <w:p w:rsidR="00EB6A7B" w:rsidRDefault="001E7ACC">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Times New Roman" w:hAnsi="Times New Roman" w:cs="Times New Roman"/>
          <w:i/>
          <w:noProof/>
          <w:sz w:val="24"/>
          <w:szCs w:val="24"/>
        </w:rPr>
      </w:pPr>
      <w:r>
        <w:rPr>
          <w:rFonts w:ascii="Times New Roman" w:hAnsi="Times New Roman" w:cs="Times New Roman"/>
          <w:i/>
          <w:noProof/>
          <w:sz w:val="24"/>
          <w:szCs w:val="24"/>
        </w:rPr>
        <w:t>What are the main factors, e.g. in the formulation but also the impl</w:t>
      </w:r>
      <w:r>
        <w:rPr>
          <w:rFonts w:ascii="Times New Roman" w:hAnsi="Times New Roman" w:cs="Times New Roman"/>
          <w:i/>
          <w:noProof/>
          <w:sz w:val="24"/>
          <w:szCs w:val="24"/>
        </w:rPr>
        <w:t>ementation and application of the rules, that support or hamper achieving these objectives</w:t>
      </w:r>
      <w:r>
        <w:rPr>
          <w:rStyle w:val="FootnoteReference"/>
          <w:rFonts w:ascii="Times New Roman" w:hAnsi="Times New Roman" w:cs="Times New Roman"/>
          <w:i/>
          <w:noProof/>
          <w:sz w:val="24"/>
          <w:szCs w:val="24"/>
        </w:rPr>
        <w:footnoteReference w:id="56"/>
      </w:r>
      <w:r>
        <w:rPr>
          <w:rFonts w:ascii="Times New Roman" w:hAnsi="Times New Roman" w:cs="Times New Roman"/>
          <w:i/>
          <w:noProof/>
          <w:sz w:val="24"/>
          <w:szCs w:val="24"/>
        </w:rPr>
        <w:t xml:space="preserve">? </w:t>
      </w:r>
      <w:r>
        <w:rPr>
          <w:rFonts w:ascii="Times New Roman" w:hAnsi="Times New Roman" w:cs="Times New Roman"/>
          <w:bCs/>
          <w:i/>
          <w:noProof/>
          <w:sz w:val="24"/>
          <w:szCs w:val="24"/>
        </w:rPr>
        <w:t>To what extent have the different measures, procedures and remedies provided for by the Directive been complemented by non-legislative interventions at EU and nati</w:t>
      </w:r>
      <w:r>
        <w:rPr>
          <w:rFonts w:ascii="Times New Roman" w:hAnsi="Times New Roman" w:cs="Times New Roman"/>
          <w:bCs/>
          <w:i/>
          <w:noProof/>
          <w:sz w:val="24"/>
          <w:szCs w:val="24"/>
        </w:rPr>
        <w:t>onal level, including voluntary stakeholder initiatives?</w:t>
      </w:r>
    </w:p>
    <w:p w:rsidR="00EB6A7B" w:rsidRDefault="001E7ACC">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According to the Evaluation Study and as analysed above when examining the extent to which the different measures provided for by the Directive are affecting its effectiveness,, the issues which hamp</w:t>
      </w:r>
      <w:r>
        <w:rPr>
          <w:rFonts w:ascii="Times New Roman" w:eastAsia="Times New Roman" w:hAnsi="Times New Roman" w:cs="Times New Roman"/>
          <w:noProof/>
          <w:sz w:val="24"/>
          <w:szCs w:val="24"/>
        </w:rPr>
        <w:t xml:space="preserve">er the achievement of the Directive seem to be often in the sphere of the (lack of precise) formulation of some key notions in the Directive as well as, according to the stakeholder opinions, the actual application of the Directive in the Member States. </w:t>
      </w:r>
    </w:p>
    <w:p w:rsidR="00EB6A7B" w:rsidRDefault="001E7ACC">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w:t>
      </w:r>
      <w:r>
        <w:rPr>
          <w:rFonts w:ascii="Times New Roman" w:eastAsia="Times New Roman" w:hAnsi="Times New Roman" w:cs="Times New Roman"/>
          <w:noProof/>
          <w:sz w:val="24"/>
          <w:szCs w:val="24"/>
        </w:rPr>
        <w:t>he concerns with the formulation mainly focus on two areas: involvement of intermediaries, and scope of injunctions.</w:t>
      </w:r>
    </w:p>
    <w:p w:rsidR="00EB6A7B" w:rsidRDefault="001E7ACC">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differences in implementation are often linked to specifics of certain Member States, industries and/or certain IP rights, as well as t</w:t>
      </w:r>
      <w:r>
        <w:rPr>
          <w:rFonts w:ascii="Times New Roman" w:eastAsia="Times New Roman" w:hAnsi="Times New Roman" w:cs="Times New Roman"/>
          <w:noProof/>
          <w:sz w:val="24"/>
          <w:szCs w:val="24"/>
        </w:rPr>
        <w:t>he way how the general civil enforcement functions in the Member States. These differences have been highlighted under question 2.</w:t>
      </w:r>
    </w:p>
    <w:p w:rsidR="00EB6A7B" w:rsidRDefault="001E7ACC">
      <w:pPr>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Intermediary</w:t>
      </w:r>
    </w:p>
    <w:p w:rsidR="00EB6A7B" w:rsidRDefault="001E7ACC">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formulation of the notion of intermediary is a factor leading to potential differences on the Member States'</w:t>
      </w:r>
      <w:r>
        <w:rPr>
          <w:rFonts w:ascii="Times New Roman" w:eastAsia="Times New Roman" w:hAnsi="Times New Roman" w:cs="Times New Roman"/>
          <w:noProof/>
          <w:sz w:val="24"/>
          <w:szCs w:val="24"/>
        </w:rPr>
        <w:t xml:space="preserve"> level. This notion is interpreted in various ways so as to include different entities, ranging from different types of online service providers to carriers, shipping agents, postal service providers, etc. The Evaluation Study has showed that different int</w:t>
      </w:r>
      <w:r>
        <w:rPr>
          <w:rFonts w:ascii="Times New Roman" w:eastAsia="Times New Roman" w:hAnsi="Times New Roman" w:cs="Times New Roman"/>
          <w:noProof/>
          <w:sz w:val="24"/>
          <w:szCs w:val="24"/>
        </w:rPr>
        <w:t>erpretation is due to the fact that most Member States do not precise who qualifies as an “intermediary” with only some (e.g. FI, CZ) attempting to provide a definition of this term.</w:t>
      </w:r>
      <w:r>
        <w:rPr>
          <w:rStyle w:val="FootnoteReference"/>
          <w:rFonts w:ascii="Times New Roman" w:eastAsia="Times New Roman" w:hAnsi="Times New Roman" w:cs="Times New Roman"/>
          <w:noProof/>
          <w:sz w:val="24"/>
          <w:szCs w:val="24"/>
        </w:rPr>
        <w:footnoteReference w:id="57"/>
      </w:r>
      <w:r>
        <w:rPr>
          <w:rFonts w:ascii="Times New Roman" w:eastAsia="Times New Roman" w:hAnsi="Times New Roman" w:cs="Times New Roman"/>
          <w:noProof/>
          <w:sz w:val="24"/>
          <w:szCs w:val="24"/>
        </w:rPr>
        <w:t xml:space="preserve"> However, even in the absence of a formal definition, the notion of inter</w:t>
      </w:r>
      <w:r>
        <w:rPr>
          <w:rFonts w:ascii="Times New Roman" w:eastAsia="Times New Roman" w:hAnsi="Times New Roman" w:cs="Times New Roman"/>
          <w:noProof/>
          <w:sz w:val="24"/>
          <w:szCs w:val="24"/>
        </w:rPr>
        <w:t xml:space="preserve">mediary seems to be similarly perceived across the EU 28. </w:t>
      </w:r>
    </w:p>
    <w:p w:rsidR="00EB6A7B" w:rsidRDefault="001E7ACC">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Under Articles 9 and 11 of the Directive the intermediary may be ordered to take measures aimed at bringing infringements of intellectual property rights to an end, and at preventing further infrin</w:t>
      </w:r>
      <w:r>
        <w:rPr>
          <w:rFonts w:ascii="Times New Roman" w:eastAsia="Times New Roman" w:hAnsi="Times New Roman" w:cs="Times New Roman"/>
          <w:noProof/>
          <w:sz w:val="24"/>
          <w:szCs w:val="24"/>
        </w:rPr>
        <w:t>gements. In this respect, intermediaries implemented various policies against the infringers, such as take-down notices</w:t>
      </w:r>
      <w:r>
        <w:rPr>
          <w:rStyle w:val="FootnoteReference"/>
          <w:rFonts w:ascii="Times New Roman" w:eastAsia="Times New Roman" w:hAnsi="Times New Roman" w:cs="Times New Roman"/>
          <w:noProof/>
          <w:sz w:val="24"/>
          <w:szCs w:val="24"/>
        </w:rPr>
        <w:footnoteReference w:id="58"/>
      </w:r>
      <w:r>
        <w:rPr>
          <w:rFonts w:ascii="Times New Roman" w:eastAsia="Times New Roman" w:hAnsi="Times New Roman" w:cs="Times New Roman"/>
          <w:noProof/>
          <w:sz w:val="24"/>
          <w:szCs w:val="24"/>
        </w:rPr>
        <w:t xml:space="preserve">, sanctions implemented in their policies and other tools aiming at eliminating the illegal offers. </w:t>
      </w:r>
    </w:p>
    <w:p w:rsidR="00EB6A7B" w:rsidRDefault="001E7ACC">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Sweden, for instance, the law do</w:t>
      </w:r>
      <w:r>
        <w:rPr>
          <w:rFonts w:ascii="Times New Roman" w:eastAsia="Times New Roman" w:hAnsi="Times New Roman" w:cs="Times New Roman"/>
          <w:noProof/>
          <w:sz w:val="24"/>
          <w:szCs w:val="24"/>
        </w:rPr>
        <w:t>es not distinguish between different types of intermediaries. However, regarding ISPs whose services are being used by a third party to infringe an IPR, the law is somewhat unclear. In one case a hosting service provider was considered responsible for cont</w:t>
      </w:r>
      <w:r>
        <w:rPr>
          <w:rFonts w:ascii="Times New Roman" w:eastAsia="Times New Roman" w:hAnsi="Times New Roman" w:cs="Times New Roman"/>
          <w:noProof/>
          <w:sz w:val="24"/>
          <w:szCs w:val="24"/>
        </w:rPr>
        <w:t>ribution to the infringements carried out by the users of a platform by providing it with access to the internet, whereas in another case it was ruled that in order to obtain an injunction against an online intermediary it is not sufficient that the interm</w:t>
      </w:r>
      <w:r>
        <w:rPr>
          <w:rFonts w:ascii="Times New Roman" w:eastAsia="Times New Roman" w:hAnsi="Times New Roman" w:cs="Times New Roman"/>
          <w:noProof/>
          <w:sz w:val="24"/>
          <w:szCs w:val="24"/>
        </w:rPr>
        <w:t xml:space="preserve">ediary merely provides access to the internet without also providing some sort of direct assistance to the primary infringers. </w:t>
      </w:r>
    </w:p>
    <w:p w:rsidR="00EB6A7B" w:rsidRDefault="001E7ACC">
      <w:pPr>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Scope of injunctions</w:t>
      </w:r>
    </w:p>
    <w:p w:rsidR="00EB6A7B" w:rsidRDefault="001E7ACC">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formulation of the scope of the injunctions is another hampering factor emerging from the Evaluation </w:t>
      </w:r>
      <w:r>
        <w:rPr>
          <w:rFonts w:ascii="Times New Roman" w:eastAsia="Times New Roman" w:hAnsi="Times New Roman" w:cs="Times New Roman"/>
          <w:noProof/>
          <w:sz w:val="24"/>
          <w:szCs w:val="24"/>
        </w:rPr>
        <w:t>Report and contacts with stakeholders. Most Member States provide the court with the ability to issue orders against future infringement.</w:t>
      </w:r>
      <w:r>
        <w:rPr>
          <w:rStyle w:val="FootnoteReference"/>
          <w:rFonts w:ascii="Times New Roman" w:eastAsia="Times New Roman" w:hAnsi="Times New Roman" w:cs="Times New Roman"/>
          <w:noProof/>
          <w:sz w:val="24"/>
          <w:szCs w:val="24"/>
        </w:rPr>
        <w:footnoteReference w:id="59"/>
      </w:r>
      <w:r>
        <w:rPr>
          <w:rFonts w:ascii="Times New Roman" w:eastAsia="Times New Roman" w:hAnsi="Times New Roman" w:cs="Times New Roman"/>
          <w:noProof/>
          <w:sz w:val="24"/>
          <w:szCs w:val="24"/>
        </w:rPr>
        <w:t xml:space="preserve"> Hence, the injunction may order the recall and/or removal from all chains of commerce of the infringing products as w</w:t>
      </w:r>
      <w:r>
        <w:rPr>
          <w:rFonts w:ascii="Times New Roman" w:eastAsia="Times New Roman" w:hAnsi="Times New Roman" w:cs="Times New Roman"/>
          <w:noProof/>
          <w:sz w:val="24"/>
          <w:szCs w:val="24"/>
        </w:rPr>
        <w:t>ell as of the materials, tools, or equipment intended for or used during the infringement. In this sense, the injunction can be prohibitory or ordering: prohibitory injunctions prohibit the infringer from producing or selling the infringing product or serv</w:t>
      </w:r>
      <w:r>
        <w:rPr>
          <w:rFonts w:ascii="Times New Roman" w:eastAsia="Times New Roman" w:hAnsi="Times New Roman" w:cs="Times New Roman"/>
          <w:noProof/>
          <w:sz w:val="24"/>
          <w:szCs w:val="24"/>
        </w:rPr>
        <w:t>ice, whereas ordering injunctions order the infringer to call back, destroy, or hand over infringing products.</w:t>
      </w:r>
    </w:p>
    <w:p w:rsidR="00EB6A7B" w:rsidRDefault="001E7ACC">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Despite the differences in the Member States concerning the requirements in particular concerning injunctions against intermediaries issued under</w:t>
      </w:r>
      <w:r>
        <w:rPr>
          <w:rFonts w:ascii="Times New Roman" w:eastAsia="Times New Roman" w:hAnsi="Times New Roman" w:cs="Times New Roman"/>
          <w:noProof/>
          <w:sz w:val="24"/>
          <w:szCs w:val="24"/>
        </w:rPr>
        <w:t xml:space="preserve"> the Directive, injunction measures are important for their respective legal systems. Some Member States (e.g. DK, SI, EL, IT) mention that rightholders often rely on precautionary/provisional measures as their primary enforcement remedy; in some Member St</w:t>
      </w:r>
      <w:r>
        <w:rPr>
          <w:rFonts w:ascii="Times New Roman" w:eastAsia="Times New Roman" w:hAnsi="Times New Roman" w:cs="Times New Roman"/>
          <w:noProof/>
          <w:sz w:val="24"/>
          <w:szCs w:val="24"/>
        </w:rPr>
        <w:t xml:space="preserve">ates (e.g. IT and DE) ex parte injunctions can usually be obtained within a few days, and are reportedly the most effective remedies. </w:t>
      </w:r>
    </w:p>
    <w:p w:rsidR="00EB6A7B" w:rsidRDefault="001E7ACC">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Cross-checking with the available darts-ip data</w:t>
      </w:r>
      <w:r>
        <w:rPr>
          <w:rStyle w:val="FootnoteReference"/>
          <w:rFonts w:ascii="Times New Roman" w:eastAsia="Times New Roman" w:hAnsi="Times New Roman" w:cs="Times New Roman"/>
          <w:noProof/>
          <w:sz w:val="24"/>
          <w:szCs w:val="24"/>
        </w:rPr>
        <w:footnoteReference w:id="60"/>
      </w:r>
      <w:r>
        <w:rPr>
          <w:rFonts w:ascii="Times New Roman" w:eastAsia="Times New Roman" w:hAnsi="Times New Roman" w:cs="Times New Roman"/>
          <w:noProof/>
          <w:sz w:val="24"/>
          <w:szCs w:val="24"/>
        </w:rPr>
        <w:t xml:space="preserve"> on preliminary injunctions, the Evaluation Report identified different p</w:t>
      </w:r>
      <w:r>
        <w:rPr>
          <w:rFonts w:ascii="Times New Roman" w:eastAsia="Times New Roman" w:hAnsi="Times New Roman" w:cs="Times New Roman"/>
          <w:noProof/>
          <w:sz w:val="24"/>
          <w:szCs w:val="24"/>
        </w:rPr>
        <w:t>atterns. Given that in Italy an interlocutory injunction is available whenever an IP infringement is ongoing or imminent, irrespective of the degree of urgency of the matter, there is no requirement on rightholders to file their requests within a short tim</w:t>
      </w:r>
      <w:r>
        <w:rPr>
          <w:rFonts w:ascii="Times New Roman" w:eastAsia="Times New Roman" w:hAnsi="Times New Roman" w:cs="Times New Roman"/>
          <w:noProof/>
          <w:sz w:val="24"/>
          <w:szCs w:val="24"/>
        </w:rPr>
        <w:t>e of becoming aware of the actual or threatened infringement. It may come to no surprise that Italy has the highest number of preliminary injunctions over the 2005-2015 period (almost 1.400). Thus, in approximately 46% of all Italian cases a preliminary in</w:t>
      </w:r>
      <w:r>
        <w:rPr>
          <w:rFonts w:ascii="Times New Roman" w:eastAsia="Times New Roman" w:hAnsi="Times New Roman" w:cs="Times New Roman"/>
          <w:noProof/>
          <w:sz w:val="24"/>
          <w:szCs w:val="24"/>
        </w:rPr>
        <w:t>junction has been used. The Netherlands come second with about 770 cases which in turn form a share of 51% of all Dutch cases. In Germany and France, preliminary injunction requests are in 12% and 5.3% of the German and French cases respectively. Among the</w:t>
      </w:r>
      <w:r>
        <w:rPr>
          <w:rFonts w:ascii="Times New Roman" w:eastAsia="Times New Roman" w:hAnsi="Times New Roman" w:cs="Times New Roman"/>
          <w:noProof/>
          <w:sz w:val="24"/>
          <w:szCs w:val="24"/>
        </w:rPr>
        <w:t xml:space="preserve"> Member States with lower absolute case numbers, requests for preliminary injunctions enjoy a high share such as in Cyprus (75% - 21 cases) and Slovakia (40% - 64 cases). In Ireland and Latvia, on the other hand, this measure is not used at all. </w:t>
      </w:r>
    </w:p>
    <w:p w:rsidR="00EB6A7B" w:rsidRDefault="001E7ACC">
      <w:pPr>
        <w:tabs>
          <w:tab w:val="num" w:pos="3129"/>
        </w:tabs>
        <w:spacing w:before="200"/>
        <w:jc w:val="both"/>
        <w:rPr>
          <w:rFonts w:ascii="Times New Roman" w:hAnsi="Times New Roman" w:cs="Times New Roman"/>
          <w:b/>
          <w:i/>
          <w:noProof/>
          <w:sz w:val="24"/>
        </w:rPr>
      </w:pPr>
      <w:r>
        <w:rPr>
          <w:rFonts w:ascii="Times New Roman" w:hAnsi="Times New Roman" w:cs="Times New Roman"/>
          <w:b/>
          <w:i/>
          <w:noProof/>
          <w:sz w:val="24"/>
        </w:rPr>
        <w:t>Lack of s</w:t>
      </w:r>
      <w:r>
        <w:rPr>
          <w:rFonts w:ascii="Times New Roman" w:hAnsi="Times New Roman" w:cs="Times New Roman"/>
          <w:b/>
          <w:i/>
          <w:noProof/>
          <w:sz w:val="24"/>
        </w:rPr>
        <w:t>anctions for non-compliance</w:t>
      </w:r>
    </w:p>
    <w:p w:rsidR="00EB6A7B" w:rsidRDefault="001E7ACC">
      <w:pPr>
        <w:tabs>
          <w:tab w:val="num" w:pos="3129"/>
        </w:tabs>
        <w:spacing w:before="200"/>
        <w:jc w:val="both"/>
        <w:rPr>
          <w:rFonts w:ascii="Times New Roman" w:hAnsi="Times New Roman" w:cs="Times New Roman"/>
          <w:bCs/>
          <w:noProof/>
          <w:sz w:val="24"/>
        </w:rPr>
      </w:pPr>
      <w:r>
        <w:rPr>
          <w:rFonts w:ascii="Times New Roman" w:hAnsi="Times New Roman" w:cs="Times New Roman"/>
          <w:bCs/>
          <w:noProof/>
          <w:sz w:val="24"/>
        </w:rPr>
        <w:t xml:space="preserve">The measures, procedures and remedies provided for by the Directive are only effective if their addressees also actually implement them. It is therefore important that there are measures available which aim to ensure compliance </w:t>
      </w:r>
      <w:r>
        <w:rPr>
          <w:rFonts w:ascii="Times New Roman" w:hAnsi="Times New Roman" w:cs="Times New Roman"/>
          <w:bCs/>
          <w:noProof/>
          <w:sz w:val="24"/>
        </w:rPr>
        <w:t>with court orders made for instance regarding evidence, the right of information and injunctions. It appears however, that sanctions for non-compliance with the measures, procedures and remedies are not always sufficiently deterrent</w:t>
      </w:r>
      <w:r>
        <w:rPr>
          <w:rFonts w:ascii="Times New Roman" w:hAnsi="Times New Roman" w:cs="Times New Roman"/>
          <w:b/>
          <w:bCs/>
          <w:noProof/>
          <w:sz w:val="24"/>
        </w:rPr>
        <w:t>:</w:t>
      </w:r>
    </w:p>
    <w:p w:rsidR="00EB6A7B" w:rsidRDefault="001E7ACC">
      <w:pPr>
        <w:pStyle w:val="ListParagraph"/>
        <w:numPr>
          <w:ilvl w:val="0"/>
          <w:numId w:val="53"/>
        </w:numPr>
        <w:spacing w:before="200"/>
        <w:jc w:val="both"/>
        <w:rPr>
          <w:rFonts w:ascii="Times New Roman" w:hAnsi="Times New Roman" w:cs="Times New Roman"/>
          <w:bCs/>
          <w:noProof/>
          <w:sz w:val="24"/>
        </w:rPr>
      </w:pPr>
      <w:r>
        <w:rPr>
          <w:rFonts w:ascii="Times New Roman" w:hAnsi="Times New Roman" w:cs="Times New Roman"/>
          <w:bCs/>
          <w:noProof/>
          <w:sz w:val="24"/>
        </w:rPr>
        <w:t>For some Member States</w:t>
      </w:r>
      <w:r>
        <w:rPr>
          <w:rFonts w:ascii="Times New Roman" w:hAnsi="Times New Roman" w:cs="Times New Roman"/>
          <w:bCs/>
          <w:noProof/>
          <w:sz w:val="24"/>
        </w:rPr>
        <w:t xml:space="preserve"> (e.g. Lithuania, Hungary) the sanctions for failing to comply with orders regarding evidence and the right of information are reported to be not dissuasive. In Poland, there are reportedly no sanctions imposed on the defendant who fails to comply – only a</w:t>
      </w:r>
      <w:r>
        <w:rPr>
          <w:rFonts w:ascii="Times New Roman" w:hAnsi="Times New Roman" w:cs="Times New Roman"/>
          <w:bCs/>
          <w:noProof/>
          <w:sz w:val="24"/>
        </w:rPr>
        <w:t xml:space="preserve"> third party or a witness. By contrast in some other Member States (Greece, Italy, Malta, Spain), a failure on the part of the defendant to produce required documents enables the court to draw an inference regarding the facts to be proven, which provides a</w:t>
      </w:r>
      <w:r>
        <w:rPr>
          <w:rFonts w:ascii="Times New Roman" w:hAnsi="Times New Roman" w:cs="Times New Roman"/>
          <w:bCs/>
          <w:noProof/>
          <w:sz w:val="24"/>
        </w:rPr>
        <w:t xml:space="preserve"> strong incentive for the defendant to produce the required documents. In some Member States, the court has a general power to impose sanctions that are appropriate in the circumstances. For example in Denmark, Cyprus and the UK, the court can impose fines</w:t>
      </w:r>
      <w:r>
        <w:rPr>
          <w:rFonts w:ascii="Times New Roman" w:hAnsi="Times New Roman" w:cs="Times New Roman"/>
          <w:bCs/>
          <w:noProof/>
          <w:sz w:val="24"/>
        </w:rPr>
        <w:t xml:space="preserve"> and, following proceedings for contempt of court, impose imprisonment.</w:t>
      </w:r>
      <w:r>
        <w:rPr>
          <w:rFonts w:ascii="Times New Roman" w:hAnsi="Times New Roman" w:cs="Times New Roman"/>
          <w:noProof/>
          <w:vertAlign w:val="superscript"/>
        </w:rPr>
        <w:footnoteReference w:id="61"/>
      </w:r>
      <w:r>
        <w:rPr>
          <w:rFonts w:ascii="Times New Roman" w:hAnsi="Times New Roman" w:cs="Times New Roman"/>
          <w:bCs/>
          <w:noProof/>
          <w:sz w:val="24"/>
        </w:rPr>
        <w:t xml:space="preserve"> </w:t>
      </w:r>
    </w:p>
    <w:p w:rsidR="00EB6A7B" w:rsidRDefault="001E7ACC">
      <w:pPr>
        <w:pStyle w:val="ListParagraph"/>
        <w:numPr>
          <w:ilvl w:val="0"/>
          <w:numId w:val="53"/>
        </w:numPr>
        <w:spacing w:before="200"/>
        <w:jc w:val="both"/>
        <w:rPr>
          <w:rFonts w:ascii="Times New Roman" w:hAnsi="Times New Roman" w:cs="Times New Roman"/>
          <w:bCs/>
          <w:noProof/>
          <w:sz w:val="24"/>
        </w:rPr>
      </w:pPr>
      <w:r>
        <w:rPr>
          <w:rFonts w:ascii="Times New Roman" w:hAnsi="Times New Roman" w:cs="Times New Roman"/>
          <w:bCs/>
          <w:noProof/>
          <w:sz w:val="24"/>
        </w:rPr>
        <w:t xml:space="preserve">For injunctions significant disparities between the laws of the Member States appear to exist regarding the sanctions in place for failing to comply with provisional/precautionary </w:t>
      </w:r>
      <w:r>
        <w:rPr>
          <w:rFonts w:ascii="Times New Roman" w:hAnsi="Times New Roman" w:cs="Times New Roman"/>
          <w:bCs/>
          <w:noProof/>
          <w:sz w:val="24"/>
        </w:rPr>
        <w:t>measures. In most Member States, it is possible to obtain an interlocutory injunction that requires the alleged infringer or intermediary to pay a penalty if the infringement continues. However, this is impossible in several Member States. In some Member S</w:t>
      </w:r>
      <w:r>
        <w:rPr>
          <w:rFonts w:ascii="Times New Roman" w:hAnsi="Times New Roman" w:cs="Times New Roman"/>
          <w:bCs/>
          <w:noProof/>
          <w:sz w:val="24"/>
        </w:rPr>
        <w:t>tates, maximum fines of € 290, or even € 100 (or € 200 in the case of a repeated failure to comply with the order), have been reported.</w:t>
      </w:r>
      <w:r>
        <w:rPr>
          <w:rFonts w:ascii="Times New Roman" w:hAnsi="Times New Roman" w:cs="Times New Roman"/>
          <w:noProof/>
          <w:vertAlign w:val="superscript"/>
        </w:rPr>
        <w:footnoteReference w:id="62"/>
      </w:r>
    </w:p>
    <w:p w:rsidR="00EB6A7B" w:rsidRDefault="001E7ACC">
      <w:pPr>
        <w:spacing w:before="200"/>
        <w:jc w:val="both"/>
        <w:rPr>
          <w:rFonts w:ascii="Times New Roman" w:hAnsi="Times New Roman" w:cs="Times New Roman"/>
          <w:b/>
          <w:bCs/>
          <w:i/>
          <w:noProof/>
          <w:sz w:val="24"/>
        </w:rPr>
      </w:pPr>
      <w:r>
        <w:rPr>
          <w:rFonts w:ascii="Times New Roman" w:hAnsi="Times New Roman" w:cs="Times New Roman"/>
          <w:b/>
          <w:bCs/>
          <w:i/>
          <w:noProof/>
          <w:sz w:val="24"/>
        </w:rPr>
        <w:t>Specialised judiciary</w:t>
      </w:r>
    </w:p>
    <w:p w:rsidR="00EB6A7B" w:rsidRDefault="001E7ACC">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regards factors that had a positive contribution to achieving the objective of the Directive, </w:t>
      </w:r>
      <w:r>
        <w:rPr>
          <w:rFonts w:ascii="Times New Roman" w:eastAsia="Times New Roman" w:hAnsi="Times New Roman" w:cs="Times New Roman"/>
          <w:noProof/>
          <w:sz w:val="24"/>
          <w:szCs w:val="24"/>
        </w:rPr>
        <w:t>several stakeholders pointed out in particular to the existence of specialised judiciary</w:t>
      </w:r>
      <w:r>
        <w:rPr>
          <w:rStyle w:val="FootnoteReference"/>
          <w:rFonts w:ascii="Times New Roman" w:eastAsia="Times New Roman" w:hAnsi="Times New Roman" w:cs="Times New Roman"/>
          <w:noProof/>
          <w:sz w:val="24"/>
          <w:szCs w:val="24"/>
        </w:rPr>
        <w:footnoteReference w:id="63"/>
      </w:r>
      <w:r>
        <w:rPr>
          <w:rFonts w:ascii="Times New Roman" w:eastAsia="Times New Roman" w:hAnsi="Times New Roman" w:cs="Times New Roman"/>
          <w:noProof/>
          <w:sz w:val="24"/>
          <w:szCs w:val="24"/>
        </w:rPr>
        <w:t>. Irrespective of the type of IPR at issue – or whether interviewee had a history of being defendants or plaintiffs in IPR enforcement cases, or whether it is a SME or</w:t>
      </w:r>
      <w:r>
        <w:rPr>
          <w:rFonts w:ascii="Times New Roman" w:eastAsia="Times New Roman" w:hAnsi="Times New Roman" w:cs="Times New Roman"/>
          <w:noProof/>
          <w:sz w:val="24"/>
          <w:szCs w:val="24"/>
        </w:rPr>
        <w:t xml:space="preserve"> a large firm – there was overwhelming support for specialisation as decisive factor for efficient and effective IPR enforcement. The advantages of specialised judges were seen primarily in terms of predictability. More consistent decisions could lead to g</w:t>
      </w:r>
      <w:r>
        <w:rPr>
          <w:rFonts w:ascii="Times New Roman" w:eastAsia="Times New Roman" w:hAnsi="Times New Roman" w:cs="Times New Roman"/>
          <w:noProof/>
          <w:sz w:val="24"/>
          <w:szCs w:val="24"/>
        </w:rPr>
        <w:t>reater legal certainty and a more efficient civil court system.</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Experienced judges were considered faster and therefore more efficient in assessing a case (i.e., the time needed to spend on a case would be less; according to an estimate some efficiency gai</w:t>
      </w:r>
      <w:r>
        <w:rPr>
          <w:rFonts w:ascii="Times New Roman" w:eastAsia="Times New Roman" w:hAnsi="Times New Roman" w:cs="Times New Roman"/>
          <w:noProof/>
          <w:sz w:val="24"/>
          <w:szCs w:val="24"/>
        </w:rPr>
        <w:t>ns would be around 50%).This translates into higher speed, more usage of IP enforcement proceedings when necessary and fewer costs. It was also seen as a deterrent against abuse, as a specialised judge could be quicker to dismiss “frivolous claims”.</w:t>
      </w:r>
    </w:p>
    <w:p w:rsidR="00EB6A7B" w:rsidRDefault="001E7ACC">
      <w:pPr>
        <w:spacing w:after="0"/>
        <w:jc w:val="both"/>
        <w:rPr>
          <w:rFonts w:ascii="Times New Roman" w:eastAsia="Times New Roman" w:hAnsi="Times New Roman" w:cs="Times New Roman"/>
          <w:b/>
          <w:i/>
          <w:noProof/>
          <w:sz w:val="24"/>
          <w:szCs w:val="24"/>
          <w:lang w:val="en-US"/>
        </w:rPr>
      </w:pPr>
      <w:r>
        <w:rPr>
          <w:rFonts w:ascii="Times New Roman" w:eastAsia="Times New Roman" w:hAnsi="Times New Roman" w:cs="Times New Roman"/>
          <w:b/>
          <w:i/>
          <w:noProof/>
          <w:sz w:val="24"/>
          <w:szCs w:val="24"/>
          <w:lang w:val="en-US"/>
        </w:rPr>
        <w:t>Volunt</w:t>
      </w:r>
      <w:r>
        <w:rPr>
          <w:rFonts w:ascii="Times New Roman" w:eastAsia="Times New Roman" w:hAnsi="Times New Roman" w:cs="Times New Roman"/>
          <w:b/>
          <w:i/>
          <w:noProof/>
          <w:sz w:val="24"/>
          <w:szCs w:val="24"/>
          <w:lang w:val="en-US"/>
        </w:rPr>
        <w:t>ary stakeholders' initiatives</w:t>
      </w:r>
    </w:p>
    <w:p w:rsidR="00EB6A7B" w:rsidRDefault="00EB6A7B">
      <w:pPr>
        <w:spacing w:after="0"/>
        <w:jc w:val="both"/>
        <w:rPr>
          <w:rFonts w:ascii="Times New Roman" w:eastAsia="Times New Roman" w:hAnsi="Times New Roman" w:cs="Times New Roman"/>
          <w:noProof/>
          <w:sz w:val="24"/>
          <w:szCs w:val="24"/>
          <w:lang w:val="en-US"/>
        </w:rPr>
      </w:pPr>
    </w:p>
    <w:p w:rsidR="00EB6A7B" w:rsidRDefault="001E7ACC">
      <w:pPr>
        <w:spacing w:after="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Article 17 of the Directive is concerned with the encouragement of codes of conduct. As for such voluntary stakeholders' initiatives, the level of engagement and efficiency of existing schemes at national level varies signifi</w:t>
      </w:r>
      <w:r>
        <w:rPr>
          <w:rFonts w:ascii="Times New Roman" w:eastAsia="Times New Roman" w:hAnsi="Times New Roman" w:cs="Times New Roman"/>
          <w:noProof/>
          <w:sz w:val="24"/>
          <w:szCs w:val="24"/>
          <w:lang w:val="en-US"/>
        </w:rPr>
        <w:t>cantly</w:t>
      </w:r>
      <w:r>
        <w:rPr>
          <w:rStyle w:val="FootnoteReference"/>
          <w:rFonts w:ascii="Times New Roman" w:eastAsia="Times New Roman" w:hAnsi="Times New Roman" w:cs="Times New Roman"/>
          <w:noProof/>
          <w:sz w:val="24"/>
          <w:szCs w:val="24"/>
          <w:lang w:val="en-US"/>
        </w:rPr>
        <w:footnoteReference w:id="64"/>
      </w:r>
      <w:r>
        <w:rPr>
          <w:rFonts w:ascii="Times New Roman" w:eastAsia="Times New Roman" w:hAnsi="Times New Roman" w:cs="Times New Roman"/>
          <w:noProof/>
          <w:sz w:val="24"/>
          <w:szCs w:val="24"/>
          <w:lang w:val="en-US"/>
        </w:rPr>
        <w:t>.</w:t>
      </w:r>
      <w:r>
        <w:rPr>
          <w:rFonts w:ascii="Times New Roman" w:hAnsi="Times New Roman" w:cs="Times New Roman"/>
          <w:noProof/>
        </w:rPr>
        <w:t xml:space="preserve"> </w:t>
      </w:r>
      <w:r>
        <w:rPr>
          <w:rFonts w:ascii="Times New Roman" w:eastAsia="Times New Roman" w:hAnsi="Times New Roman" w:cs="Times New Roman"/>
          <w:noProof/>
          <w:sz w:val="24"/>
          <w:szCs w:val="24"/>
          <w:lang w:val="en-US"/>
        </w:rPr>
        <w:t>The feedback on national soft law measures like memoranda of understandings between intermediaries and rights holders is mixed according to many stakeholders.</w:t>
      </w:r>
      <w:r>
        <w:rPr>
          <w:rStyle w:val="FootnoteReference"/>
          <w:rFonts w:ascii="Times New Roman" w:eastAsia="Times New Roman" w:hAnsi="Times New Roman" w:cs="Times New Roman"/>
          <w:noProof/>
          <w:sz w:val="24"/>
          <w:szCs w:val="24"/>
          <w:lang w:val="en-US"/>
        </w:rPr>
        <w:footnoteReference w:id="65"/>
      </w:r>
      <w:r>
        <w:rPr>
          <w:rFonts w:ascii="Times New Roman" w:eastAsia="Times New Roman" w:hAnsi="Times New Roman" w:cs="Times New Roman"/>
          <w:noProof/>
          <w:sz w:val="24"/>
          <w:szCs w:val="24"/>
          <w:lang w:val="en-US"/>
        </w:rPr>
        <w:t xml:space="preserve"> While this initiative is generally perceived beneficial to support better enforcement of IPR, there are certain doubts as to expected utility and effectiveness. There was a consensus that memoranda of understandings cannot substitute the Directive but rat</w:t>
      </w:r>
      <w:r>
        <w:rPr>
          <w:rFonts w:ascii="Times New Roman" w:eastAsia="Times New Roman" w:hAnsi="Times New Roman" w:cs="Times New Roman"/>
          <w:noProof/>
          <w:sz w:val="24"/>
          <w:szCs w:val="24"/>
          <w:lang w:val="en-US"/>
        </w:rPr>
        <w:t>her acts as a complementary instrument.</w:t>
      </w:r>
    </w:p>
    <w:p w:rsidR="00EB6A7B" w:rsidRDefault="00EB6A7B">
      <w:pPr>
        <w:spacing w:after="0"/>
        <w:jc w:val="both"/>
        <w:rPr>
          <w:rFonts w:ascii="Times New Roman" w:eastAsia="Times New Roman" w:hAnsi="Times New Roman" w:cs="Times New Roman"/>
          <w:noProof/>
          <w:sz w:val="24"/>
          <w:szCs w:val="24"/>
          <w:lang w:val="en-US"/>
        </w:rPr>
      </w:pPr>
    </w:p>
    <w:p w:rsidR="00EB6A7B" w:rsidRDefault="001E7ACC">
      <w:pPr>
        <w:spacing w:after="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t>At the EU level, the Memorandum of Understanding</w:t>
      </w:r>
      <w:r>
        <w:rPr>
          <w:rStyle w:val="FootnoteReference"/>
          <w:rFonts w:ascii="Times New Roman" w:eastAsia="Times New Roman" w:hAnsi="Times New Roman" w:cs="Times New Roman"/>
          <w:noProof/>
          <w:sz w:val="24"/>
          <w:szCs w:val="24"/>
          <w:lang w:val="en-US"/>
        </w:rPr>
        <w:footnoteReference w:id="66"/>
      </w:r>
      <w:r>
        <w:rPr>
          <w:rFonts w:ascii="Times New Roman" w:eastAsia="Times New Roman" w:hAnsi="Times New Roman" w:cs="Times New Roman"/>
          <w:noProof/>
          <w:sz w:val="24"/>
          <w:szCs w:val="24"/>
          <w:lang w:val="en-US"/>
        </w:rPr>
        <w:t xml:space="preserve"> on the online sale of counterfeit goods entered into force in 2011 and further memoranda are being discussed. There is a consensus among stakeholders that cooperatio</w:t>
      </w:r>
      <w:r>
        <w:rPr>
          <w:rFonts w:ascii="Times New Roman" w:eastAsia="Times New Roman" w:hAnsi="Times New Roman" w:cs="Times New Roman"/>
          <w:noProof/>
          <w:sz w:val="24"/>
          <w:szCs w:val="24"/>
          <w:lang w:val="en-US"/>
        </w:rPr>
        <w:t>n agreements between rightholders and intermediary service providers can be a significant complementary route to the legislative framework. Rightholders and intermediaries signed up to an agreement on a set of guiding principles and rules aimed at identify</w:t>
      </w:r>
      <w:r>
        <w:rPr>
          <w:rFonts w:ascii="Times New Roman" w:eastAsia="Times New Roman" w:hAnsi="Times New Roman" w:cs="Times New Roman"/>
          <w:noProof/>
          <w:sz w:val="24"/>
          <w:szCs w:val="24"/>
          <w:lang w:val="en-US"/>
        </w:rPr>
        <w:t xml:space="preserve">ing and disrupting the revenue that commercial scale IP infringing websites obtain through online advertising. </w:t>
      </w:r>
    </w:p>
    <w:p w:rsidR="00EB6A7B" w:rsidRDefault="001E7ACC">
      <w:pPr>
        <w:pStyle w:val="Heading3"/>
        <w:rPr>
          <w:noProof/>
          <w:lang w:val="en-US"/>
        </w:rPr>
      </w:pPr>
      <w:bookmarkStart w:id="95" w:name="_Toc498521058"/>
      <w:r>
        <w:rPr>
          <w:noProof/>
          <w:lang w:val="en-US"/>
        </w:rPr>
        <w:t>Consequences or effects not originally planned</w:t>
      </w:r>
      <w:bookmarkEnd w:id="95"/>
    </w:p>
    <w:p w:rsidR="00EB6A7B" w:rsidRDefault="001E7ACC">
      <w:pPr>
        <w:pBdr>
          <w:top w:val="single" w:sz="4" w:space="1" w:color="auto"/>
          <w:left w:val="single" w:sz="4" w:space="4" w:color="auto"/>
          <w:bottom w:val="single" w:sz="4" w:space="1" w:color="auto"/>
          <w:right w:val="single" w:sz="4" w:space="4" w:color="auto"/>
        </w:pBdr>
        <w:spacing w:before="120" w:after="120"/>
        <w:ind w:left="426" w:hanging="426"/>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Evaluation question 4</w:t>
      </w:r>
    </w:p>
    <w:p w:rsidR="00EB6A7B" w:rsidRDefault="001E7ACC">
      <w:pPr>
        <w:pBdr>
          <w:top w:val="single" w:sz="4" w:space="1" w:color="auto"/>
          <w:left w:val="single" w:sz="4" w:space="4" w:color="auto"/>
          <w:bottom w:val="single" w:sz="4" w:space="1" w:color="auto"/>
          <w:right w:val="single" w:sz="4" w:space="4" w:color="auto"/>
        </w:pBdr>
        <w:spacing w:before="120" w:after="120"/>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What are the consequences or effects (both positive and negative) that were</w:t>
      </w:r>
      <w:r>
        <w:rPr>
          <w:rFonts w:ascii="Times New Roman" w:eastAsia="Times New Roman" w:hAnsi="Times New Roman" w:cs="Times New Roman"/>
          <w:i/>
          <w:noProof/>
          <w:sz w:val="24"/>
          <w:szCs w:val="24"/>
        </w:rPr>
        <w:t xml:space="preserve"> not originally planned?</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planned effects of the Directive are analysed in details under question 2.</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analysis indicates overall that no major unplanned effects were detected.  The following point was however raised in this context:</w:t>
      </w:r>
    </w:p>
    <w:p w:rsidR="00EB6A7B" w:rsidRDefault="001E7ACC">
      <w:pPr>
        <w:spacing w:before="120" w:after="120"/>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Abusive litigatio</w:t>
      </w:r>
      <w:r>
        <w:rPr>
          <w:rFonts w:ascii="Times New Roman" w:eastAsia="Times New Roman" w:hAnsi="Times New Roman" w:cs="Times New Roman"/>
          <w:b/>
          <w:i/>
          <w:noProof/>
          <w:sz w:val="24"/>
          <w:szCs w:val="24"/>
        </w:rPr>
        <w:t>n</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 recent study by the JRC</w:t>
      </w:r>
      <w:r>
        <w:rPr>
          <w:rStyle w:val="FootnoteReference"/>
          <w:rFonts w:ascii="Times New Roman" w:eastAsia="Times New Roman" w:hAnsi="Times New Roman" w:cs="Times New Roman"/>
          <w:noProof/>
          <w:sz w:val="24"/>
          <w:szCs w:val="24"/>
        </w:rPr>
        <w:footnoteReference w:id="67"/>
      </w:r>
      <w:r>
        <w:rPr>
          <w:rFonts w:ascii="Times New Roman" w:eastAsia="Times New Roman" w:hAnsi="Times New Roman" w:cs="Times New Roman"/>
          <w:noProof/>
          <w:sz w:val="24"/>
          <w:szCs w:val="24"/>
        </w:rPr>
        <w:t xml:space="preserve"> from 2016 indicates that patent assertion has become a common practice in shaping the balance between technology creation and technology dissemination in the ICT industry in Europe. The importance of this practice for the functioning of ICT markets has gi</w:t>
      </w:r>
      <w:r>
        <w:rPr>
          <w:rFonts w:ascii="Times New Roman" w:eastAsia="Times New Roman" w:hAnsi="Times New Roman" w:cs="Times New Roman"/>
          <w:noProof/>
          <w:sz w:val="24"/>
          <w:szCs w:val="24"/>
        </w:rPr>
        <w:t>ven rise to new entities that enforce patents but do not utilise the patented technology, commonly referred to as patent assertion entities (PAEs). The study concludes that the institutional and legal framework in Europe has not allowed the more negative c</w:t>
      </w:r>
      <w:r>
        <w:rPr>
          <w:rFonts w:ascii="Times New Roman" w:eastAsia="Times New Roman" w:hAnsi="Times New Roman" w:cs="Times New Roman"/>
          <w:noProof/>
          <w:sz w:val="24"/>
          <w:szCs w:val="24"/>
        </w:rPr>
        <w:t xml:space="preserve">onsequences associated with PAEs to materialise to the same extent that it has, according to some economic literature, in the US. </w:t>
      </w:r>
    </w:p>
    <w:tbl>
      <w:tblPr>
        <w:tblpPr w:leftFromText="180" w:rightFromText="180" w:vertAnchor="page" w:horzAnchor="margin" w:tblpY="68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EB6A7B">
        <w:trPr>
          <w:trHeight w:val="4411"/>
        </w:trPr>
        <w:tc>
          <w:tcPr>
            <w:tcW w:w="9225" w:type="dxa"/>
          </w:tcPr>
          <w:p w:rsidR="00EB6A7B" w:rsidRDefault="001E7ACC">
            <w:pPr>
              <w:tabs>
                <w:tab w:val="left" w:pos="1200"/>
              </w:tabs>
              <w:rPr>
                <w:rFonts w:ascii="Times New Roman" w:eastAsiaTheme="majorEastAsia" w:hAnsi="Times New Roman" w:cs="Times New Roman"/>
                <w:b/>
                <w:bCs/>
                <w:noProof/>
                <w:sz w:val="24"/>
                <w:szCs w:val="24"/>
              </w:rPr>
            </w:pPr>
            <w:r>
              <w:rPr>
                <w:rFonts w:ascii="Times New Roman" w:eastAsiaTheme="majorEastAsia" w:hAnsi="Times New Roman" w:cs="Times New Roman"/>
                <w:b/>
                <w:bCs/>
                <w:noProof/>
                <w:sz w:val="24"/>
                <w:szCs w:val="24"/>
              </w:rPr>
              <w:t>CONCLUSIONS</w:t>
            </w:r>
          </w:p>
          <w:p w:rsidR="00EB6A7B" w:rsidRDefault="001E7ACC">
            <w:pPr>
              <w:jc w:val="both"/>
              <w:rPr>
                <w:rFonts w:ascii="Times New Roman" w:eastAsiaTheme="majorEastAsia" w:hAnsi="Times New Roman" w:cs="Times New Roman"/>
                <w:bCs/>
                <w:noProof/>
                <w:sz w:val="24"/>
                <w:szCs w:val="24"/>
              </w:rPr>
            </w:pPr>
            <w:r>
              <w:rPr>
                <w:rFonts w:ascii="Times New Roman" w:eastAsiaTheme="majorEastAsia" w:hAnsi="Times New Roman" w:cs="Times New Roman"/>
                <w:bCs/>
                <w:noProof/>
                <w:sz w:val="24"/>
                <w:szCs w:val="24"/>
              </w:rPr>
              <w:t>The Directive's rules have helped effectively in protecting IP and preventing IPR infringements. The Directive al</w:t>
            </w:r>
            <w:r>
              <w:rPr>
                <w:rFonts w:ascii="Times New Roman" w:eastAsiaTheme="majorEastAsia" w:hAnsi="Times New Roman" w:cs="Times New Roman"/>
                <w:bCs/>
                <w:noProof/>
                <w:sz w:val="24"/>
                <w:szCs w:val="24"/>
              </w:rPr>
              <w:t>so provides effective means for facilitating the civil enforcement of IPRs. It established a common legal framework, where the same set of tools can be applied across the EU. In this respect, it has achieved the objective of approximating the legislative s</w:t>
            </w:r>
            <w:r>
              <w:rPr>
                <w:rFonts w:ascii="Times New Roman" w:eastAsiaTheme="majorEastAsia" w:hAnsi="Times New Roman" w:cs="Times New Roman"/>
                <w:bCs/>
                <w:noProof/>
                <w:sz w:val="24"/>
                <w:szCs w:val="24"/>
              </w:rPr>
              <w:t xml:space="preserve">ystems of the Member States for the civil enforcement of IPR, thereby generally ensuring a high, equivalent and homogeneous level of protection in the internal market.  </w:t>
            </w:r>
          </w:p>
          <w:p w:rsidR="00EB6A7B" w:rsidRDefault="001E7ACC">
            <w:pPr>
              <w:jc w:val="both"/>
              <w:rPr>
                <w:rFonts w:ascii="Times New Roman" w:eastAsiaTheme="majorEastAsia" w:hAnsi="Times New Roman" w:cs="Times New Roman"/>
                <w:bCs/>
                <w:noProof/>
                <w:sz w:val="24"/>
                <w:szCs w:val="24"/>
              </w:rPr>
            </w:pPr>
            <w:r>
              <w:rPr>
                <w:rFonts w:ascii="Times New Roman" w:eastAsiaTheme="majorEastAsia" w:hAnsi="Times New Roman" w:cs="Times New Roman"/>
                <w:bCs/>
                <w:noProof/>
                <w:sz w:val="24"/>
                <w:szCs w:val="24"/>
              </w:rPr>
              <w:t xml:space="preserve">The analysis of the application of the measures, procedures and remedies provided for </w:t>
            </w:r>
            <w:r>
              <w:rPr>
                <w:rFonts w:ascii="Times New Roman" w:eastAsiaTheme="majorEastAsia" w:hAnsi="Times New Roman" w:cs="Times New Roman"/>
                <w:bCs/>
                <w:noProof/>
                <w:sz w:val="24"/>
                <w:szCs w:val="24"/>
              </w:rPr>
              <w:t>by the Directive at national level however shows a significant divergence between Member States in applying the relevant provisions which in turn affect the Directive's effectiveness. The reason for such divergence is both the different interpretation of t</w:t>
            </w:r>
            <w:r>
              <w:rPr>
                <w:rFonts w:ascii="Times New Roman" w:eastAsiaTheme="majorEastAsia" w:hAnsi="Times New Roman" w:cs="Times New Roman"/>
                <w:bCs/>
                <w:noProof/>
                <w:sz w:val="24"/>
                <w:szCs w:val="24"/>
              </w:rPr>
              <w:t>he Directive's provisions at national level and the divergent legal traditions of Member States, which are reflected in different national civil procedural rules. As to the latter, the Directive's measures, procedures and remedies are embedded into the gen</w:t>
            </w:r>
            <w:r>
              <w:rPr>
                <w:rFonts w:ascii="Times New Roman" w:eastAsiaTheme="majorEastAsia" w:hAnsi="Times New Roman" w:cs="Times New Roman"/>
                <w:bCs/>
                <w:noProof/>
                <w:sz w:val="24"/>
                <w:szCs w:val="24"/>
              </w:rPr>
              <w:t xml:space="preserve">eral civil procedural law framework – and the lack of effectiveness of the Directive in some respects is caused by factors outside the scope of the Directive. </w:t>
            </w:r>
          </w:p>
          <w:p w:rsidR="00EB6A7B" w:rsidRDefault="001E7ACC">
            <w:pPr>
              <w:jc w:val="both"/>
              <w:rPr>
                <w:rFonts w:ascii="Times New Roman" w:eastAsiaTheme="majorEastAsia" w:hAnsi="Times New Roman" w:cs="Times New Roman"/>
                <w:bCs/>
                <w:noProof/>
                <w:sz w:val="24"/>
                <w:szCs w:val="24"/>
              </w:rPr>
            </w:pPr>
            <w:r>
              <w:rPr>
                <w:rFonts w:ascii="Times New Roman" w:eastAsiaTheme="majorEastAsia" w:hAnsi="Times New Roman" w:cs="Times New Roman"/>
                <w:bCs/>
                <w:noProof/>
                <w:sz w:val="24"/>
                <w:szCs w:val="24"/>
              </w:rPr>
              <w:t>For SMEs, costly and complicated judicial procedures may be an important deterrent stopping them</w:t>
            </w:r>
            <w:r>
              <w:rPr>
                <w:rFonts w:ascii="Times New Roman" w:eastAsiaTheme="majorEastAsia" w:hAnsi="Times New Roman" w:cs="Times New Roman"/>
                <w:bCs/>
                <w:noProof/>
                <w:sz w:val="24"/>
                <w:szCs w:val="24"/>
              </w:rPr>
              <w:t xml:space="preserve"> from actively defending their assets.</w:t>
            </w:r>
          </w:p>
          <w:p w:rsidR="00EB6A7B" w:rsidRDefault="00EB6A7B">
            <w:pPr>
              <w:pStyle w:val="Heading3"/>
              <w:numPr>
                <w:ilvl w:val="0"/>
                <w:numId w:val="0"/>
              </w:numPr>
              <w:rPr>
                <w:noProof/>
              </w:rPr>
            </w:pPr>
          </w:p>
        </w:tc>
      </w:tr>
    </w:tbl>
    <w:p w:rsidR="00EB6A7B" w:rsidRDefault="001E7ACC">
      <w:pPr>
        <w:jc w:val="both"/>
        <w:rPr>
          <w:rFonts w:ascii="Times New Roman" w:eastAsiaTheme="majorEastAsia" w:hAnsi="Times New Roman" w:cs="Times New Roman"/>
          <w:bCs/>
          <w:noProof/>
          <w:sz w:val="24"/>
          <w:szCs w:val="24"/>
        </w:rPr>
      </w:pPr>
      <w:r>
        <w:rPr>
          <w:rFonts w:ascii="Times New Roman" w:eastAsiaTheme="majorEastAsia" w:hAnsi="Times New Roman" w:cs="Times New Roman"/>
          <w:bCs/>
          <w:noProof/>
          <w:sz w:val="24"/>
          <w:szCs w:val="24"/>
        </w:rPr>
        <w:t>Some stakeholders have reported the potential abuse of rules on evidence (Articles 6 and 7) in patent-related matters to get hold of confidential business information as a potential negative effect of the Directive.</w:t>
      </w:r>
      <w:r>
        <w:rPr>
          <w:rFonts w:ascii="Times New Roman" w:eastAsiaTheme="majorEastAsia" w:hAnsi="Times New Roman" w:cs="Times New Roman"/>
          <w:bCs/>
          <w:noProof/>
          <w:sz w:val="24"/>
          <w:szCs w:val="24"/>
        </w:rPr>
        <w:t xml:space="preserve"> This practice of "fishing expeditions" however could not be quantified apart from allegations by some actors.</w:t>
      </w:r>
    </w:p>
    <w:p w:rsidR="00EB6A7B" w:rsidRDefault="001E7ACC">
      <w:pPr>
        <w:pStyle w:val="Heading2"/>
        <w:numPr>
          <w:ilvl w:val="0"/>
          <w:numId w:val="0"/>
        </w:numPr>
        <w:ind w:left="1134" w:hanging="1134"/>
        <w:rPr>
          <w:noProof/>
          <w:color w:val="000000" w:themeColor="text1"/>
        </w:rPr>
      </w:pPr>
      <w:bookmarkStart w:id="96" w:name="_Toc486261771"/>
      <w:bookmarkStart w:id="97" w:name="_Toc486262009"/>
      <w:bookmarkStart w:id="98" w:name="_Toc486262059"/>
      <w:bookmarkStart w:id="99" w:name="_Toc486262117"/>
      <w:bookmarkStart w:id="100" w:name="_Toc498521059"/>
      <w:bookmarkEnd w:id="96"/>
      <w:bookmarkEnd w:id="97"/>
      <w:bookmarkEnd w:id="98"/>
      <w:bookmarkEnd w:id="99"/>
      <w:r>
        <w:rPr>
          <w:noProof/>
          <w:color w:val="000000" w:themeColor="text1"/>
        </w:rPr>
        <w:t>5.2. Efficiency</w:t>
      </w:r>
      <w:bookmarkEnd w:id="100"/>
    </w:p>
    <w:p w:rsidR="00EB6A7B" w:rsidRDefault="001E7ACC">
      <w:pPr>
        <w:spacing w:before="120" w:after="120"/>
        <w:jc w:val="both"/>
        <w:rPr>
          <w:rFonts w:ascii="Times New Roman" w:eastAsia="Times New Roman" w:hAnsi="Times New Roman" w:cs="Times New Roman"/>
          <w:noProof/>
          <w:color w:val="000000" w:themeColor="text1"/>
          <w:sz w:val="24"/>
          <w:szCs w:val="24"/>
          <w:u w:val="single"/>
        </w:rPr>
      </w:pPr>
      <w:r>
        <w:rPr>
          <w:rFonts w:ascii="Times New Roman" w:eastAsia="Times New Roman" w:hAnsi="Times New Roman" w:cs="Times New Roman"/>
          <w:noProof/>
          <w:color w:val="000000" w:themeColor="text1"/>
          <w:sz w:val="24"/>
          <w:szCs w:val="24"/>
          <w:u w:val="single"/>
        </w:rPr>
        <w:t>The functioning of the Directive in terms of efficiency was assessed on the basis of the following evaluation questions:</w:t>
      </w:r>
    </w:p>
    <w:p w:rsidR="00EB6A7B" w:rsidRDefault="001E7ACC">
      <w:pPr>
        <w:rPr>
          <w:rFonts w:ascii="Times New Roman" w:hAnsi="Times New Roman" w:cs="Times New Roman"/>
          <w:i/>
          <w:noProof/>
          <w:color w:val="000000" w:themeColor="text1"/>
          <w:sz w:val="24"/>
          <w:szCs w:val="24"/>
        </w:rPr>
      </w:pPr>
      <w:r>
        <w:rPr>
          <w:rFonts w:ascii="Times New Roman" w:hAnsi="Times New Roman" w:cs="Times New Roman"/>
          <w:i/>
          <w:noProof/>
          <w:color w:val="000000" w:themeColor="text1"/>
          <w:sz w:val="24"/>
          <w:szCs w:val="24"/>
        </w:rPr>
        <w:t xml:space="preserve">5) What </w:t>
      </w:r>
      <w:r>
        <w:rPr>
          <w:rFonts w:ascii="Times New Roman" w:hAnsi="Times New Roman" w:cs="Times New Roman"/>
          <w:i/>
          <w:noProof/>
          <w:color w:val="000000" w:themeColor="text1"/>
          <w:sz w:val="24"/>
          <w:szCs w:val="24"/>
        </w:rPr>
        <w:t>are the costs and benefits associated with the implementation and application of the Directive? To what extent are they proportionate?</w:t>
      </w:r>
    </w:p>
    <w:p w:rsidR="00EB6A7B" w:rsidRDefault="001E7ACC">
      <w:pPr>
        <w:spacing w:before="120" w:after="120"/>
        <w:jc w:val="both"/>
        <w:rPr>
          <w:rFonts w:ascii="Times New Roman" w:eastAsia="Times New Roman" w:hAnsi="Times New Roman" w:cs="Times New Roman"/>
          <w:i/>
          <w:noProof/>
          <w:color w:val="000000" w:themeColor="text1"/>
          <w:sz w:val="24"/>
          <w:szCs w:val="24"/>
        </w:rPr>
      </w:pPr>
      <w:r>
        <w:rPr>
          <w:rFonts w:ascii="Times New Roman" w:eastAsia="Times New Roman" w:hAnsi="Times New Roman" w:cs="Times New Roman"/>
          <w:i/>
          <w:noProof/>
          <w:color w:val="000000" w:themeColor="text1"/>
          <w:sz w:val="24"/>
          <w:szCs w:val="24"/>
        </w:rPr>
        <w:t>6) To what extent, have the different measures, procedures and remedies provided for by the Directive been efficient mean</w:t>
      </w:r>
      <w:r>
        <w:rPr>
          <w:rFonts w:ascii="Times New Roman" w:eastAsia="Times New Roman" w:hAnsi="Times New Roman" w:cs="Times New Roman"/>
          <w:i/>
          <w:noProof/>
          <w:color w:val="000000" w:themeColor="text1"/>
          <w:sz w:val="24"/>
          <w:szCs w:val="24"/>
        </w:rPr>
        <w:t>s of ensuring the enforcement of IPRs? What factors influence the efficiency of the different measures, procedures and remedies?</w:t>
      </w:r>
    </w:p>
    <w:p w:rsidR="00EB6A7B" w:rsidRDefault="001E7ACC">
      <w:pPr>
        <w:spacing w:before="120" w:after="120"/>
        <w:jc w:val="both"/>
        <w:rPr>
          <w:rFonts w:ascii="Times New Roman" w:eastAsia="Times New Roman" w:hAnsi="Times New Roman" w:cs="Times New Roman"/>
          <w:i/>
          <w:noProof/>
          <w:color w:val="000000" w:themeColor="text1"/>
          <w:sz w:val="24"/>
          <w:szCs w:val="24"/>
        </w:rPr>
      </w:pPr>
      <w:r>
        <w:rPr>
          <w:rFonts w:ascii="Times New Roman" w:eastAsia="Times New Roman" w:hAnsi="Times New Roman" w:cs="Times New Roman"/>
          <w:i/>
          <w:noProof/>
          <w:color w:val="000000" w:themeColor="text1"/>
          <w:sz w:val="24"/>
          <w:szCs w:val="24"/>
        </w:rPr>
        <w:t>7) How affordable were the costs borne by different addressees for the measures, procedures and remedies provided for by the Di</w:t>
      </w:r>
      <w:r>
        <w:rPr>
          <w:rFonts w:ascii="Times New Roman" w:eastAsia="Times New Roman" w:hAnsi="Times New Roman" w:cs="Times New Roman"/>
          <w:i/>
          <w:noProof/>
          <w:color w:val="000000" w:themeColor="text1"/>
          <w:sz w:val="24"/>
          <w:szCs w:val="24"/>
        </w:rPr>
        <w:t>rective? Are they proportionate to the benefits achieved?</w:t>
      </w:r>
    </w:p>
    <w:p w:rsidR="00EB6A7B" w:rsidRDefault="001E7ACC">
      <w:pPr>
        <w:spacing w:before="120" w:after="120"/>
        <w:jc w:val="both"/>
        <w:rPr>
          <w:rFonts w:ascii="Times New Roman" w:eastAsia="Times New Roman" w:hAnsi="Times New Roman" w:cs="Times New Roman"/>
          <w:i/>
          <w:noProof/>
          <w:color w:val="000000" w:themeColor="text1"/>
          <w:sz w:val="24"/>
          <w:szCs w:val="24"/>
        </w:rPr>
      </w:pPr>
      <w:r>
        <w:rPr>
          <w:rFonts w:ascii="Times New Roman" w:eastAsia="Times New Roman" w:hAnsi="Times New Roman" w:cs="Times New Roman"/>
          <w:i/>
          <w:noProof/>
          <w:color w:val="000000" w:themeColor="text1"/>
          <w:sz w:val="24"/>
          <w:szCs w:val="24"/>
        </w:rPr>
        <w:t>8) If there are significant differences in costs, length of procedure or other necessary resources invested between Member States, what is causing them?</w:t>
      </w:r>
    </w:p>
    <w:p w:rsidR="00EB6A7B" w:rsidRDefault="00EB6A7B">
      <w:pPr>
        <w:pStyle w:val="Heading2"/>
        <w:numPr>
          <w:ilvl w:val="0"/>
          <w:numId w:val="0"/>
        </w:numPr>
        <w:ind w:left="1134"/>
        <w:rPr>
          <w:noProof/>
        </w:rPr>
      </w:pPr>
    </w:p>
    <w:p w:rsidR="00EB6A7B" w:rsidRDefault="001E7ACC">
      <w:pPr>
        <w:pStyle w:val="Heading3"/>
        <w:numPr>
          <w:ilvl w:val="0"/>
          <w:numId w:val="0"/>
        </w:numPr>
        <w:ind w:left="2160"/>
        <w:rPr>
          <w:rFonts w:eastAsia="MS PGothic"/>
          <w:noProof/>
        </w:rPr>
      </w:pPr>
      <w:bookmarkStart w:id="101" w:name="_Toc498521060"/>
      <w:r>
        <w:rPr>
          <w:rFonts w:eastAsia="MS PGothic"/>
          <w:noProof/>
        </w:rPr>
        <w:t>5.2.1. Costs and benefits</w:t>
      </w:r>
      <w:bookmarkEnd w:id="101"/>
    </w:p>
    <w:p w:rsidR="00EB6A7B" w:rsidRDefault="001E7ACC">
      <w:pPr>
        <w:pBdr>
          <w:top w:val="single" w:sz="4" w:space="1" w:color="auto"/>
          <w:left w:val="single" w:sz="4" w:space="4" w:color="auto"/>
          <w:bottom w:val="single" w:sz="4" w:space="1" w:color="auto"/>
          <w:right w:val="single" w:sz="4" w:space="4" w:color="auto"/>
        </w:pBdr>
        <w:spacing w:after="160" w:line="259" w:lineRule="auto"/>
        <w:ind w:left="426" w:hanging="426"/>
        <w:jc w:val="both"/>
        <w:rPr>
          <w:rFonts w:ascii="Times New Roman" w:eastAsia="MS PGothic" w:hAnsi="Times New Roman" w:cs="Times New Roman"/>
          <w:i/>
          <w:noProof/>
          <w:sz w:val="24"/>
          <w:szCs w:val="24"/>
        </w:rPr>
      </w:pPr>
      <w:r>
        <w:rPr>
          <w:rFonts w:ascii="Times New Roman" w:hAnsi="Times New Roman" w:cs="Times New Roman"/>
          <w:i/>
          <w:noProof/>
          <w:sz w:val="24"/>
        </w:rPr>
        <w:t xml:space="preserve">Evaluation question </w:t>
      </w:r>
      <w:r>
        <w:rPr>
          <w:rFonts w:ascii="Times New Roman" w:eastAsia="MS PGothic" w:hAnsi="Times New Roman" w:cs="Times New Roman"/>
          <w:i/>
          <w:noProof/>
          <w:sz w:val="24"/>
          <w:szCs w:val="24"/>
        </w:rPr>
        <w:t>5</w:t>
      </w:r>
      <w:r>
        <w:rPr>
          <w:rFonts w:ascii="Times New Roman" w:eastAsia="MS PGothic" w:hAnsi="Times New Roman" w:cs="Times New Roman"/>
          <w:i/>
          <w:noProof/>
          <w:sz w:val="24"/>
          <w:szCs w:val="24"/>
        </w:rPr>
        <w:tab/>
      </w:r>
    </w:p>
    <w:p w:rsidR="00EB6A7B" w:rsidRDefault="001E7ACC">
      <w:pPr>
        <w:pBdr>
          <w:top w:val="single" w:sz="4" w:space="1" w:color="auto"/>
          <w:left w:val="single" w:sz="4" w:space="4" w:color="auto"/>
          <w:bottom w:val="single" w:sz="4" w:space="1" w:color="auto"/>
          <w:right w:val="single" w:sz="4" w:space="4" w:color="auto"/>
        </w:pBdr>
        <w:spacing w:after="160" w:line="259" w:lineRule="auto"/>
        <w:jc w:val="both"/>
        <w:rPr>
          <w:rFonts w:ascii="Times New Roman" w:eastAsia="MS PGothic" w:hAnsi="Times New Roman" w:cs="Times New Roman"/>
          <w:i/>
          <w:noProof/>
          <w:sz w:val="24"/>
          <w:szCs w:val="24"/>
        </w:rPr>
      </w:pPr>
      <w:r>
        <w:rPr>
          <w:rFonts w:ascii="Times New Roman" w:eastAsia="MS PGothic" w:hAnsi="Times New Roman" w:cs="Times New Roman"/>
          <w:i/>
          <w:noProof/>
          <w:sz w:val="24"/>
          <w:szCs w:val="24"/>
        </w:rPr>
        <w:t>What are the costs and benefits associated with the implementation and application of the Directive? To what extent are they proportionate?</w:t>
      </w:r>
    </w:p>
    <w:p w:rsidR="00EB6A7B" w:rsidRDefault="001E7ACC">
      <w:pPr>
        <w:pStyle w:val="Heading4"/>
        <w:numPr>
          <w:ilvl w:val="0"/>
          <w:numId w:val="0"/>
        </w:numPr>
        <w:ind w:left="1134" w:hanging="1134"/>
        <w:rPr>
          <w:noProof/>
        </w:rPr>
      </w:pPr>
      <w:r>
        <w:rPr>
          <w:noProof/>
        </w:rPr>
        <w:t xml:space="preserve">5.2.1.1. Costs </w:t>
      </w:r>
    </w:p>
    <w:p w:rsidR="00EB6A7B" w:rsidRDefault="001E7ACC">
      <w:pPr>
        <w:spacing w:before="120" w:after="120"/>
        <w:jc w:val="both"/>
        <w:rPr>
          <w:rFonts w:ascii="Times New Roman" w:eastAsia="Calibri" w:hAnsi="Times New Roman" w:cs="Times New Roman"/>
          <w:b/>
          <w:i/>
          <w:noProof/>
          <w:color w:val="000000"/>
          <w:sz w:val="24"/>
          <w:szCs w:val="24"/>
          <w:lang w:eastAsia="en-GB"/>
        </w:rPr>
      </w:pPr>
      <w:r>
        <w:rPr>
          <w:rFonts w:ascii="Times New Roman" w:eastAsia="Calibri" w:hAnsi="Times New Roman" w:cs="Times New Roman"/>
          <w:b/>
          <w:i/>
          <w:noProof/>
          <w:color w:val="000000"/>
          <w:sz w:val="24"/>
          <w:szCs w:val="24"/>
          <w:lang w:eastAsia="en-GB"/>
        </w:rPr>
        <w:t>The costs of the implementation of the Directive</w:t>
      </w:r>
    </w:p>
    <w:p w:rsidR="00EB6A7B" w:rsidRDefault="001E7ACC">
      <w:pPr>
        <w:spacing w:before="120" w:after="120"/>
        <w:jc w:val="both"/>
        <w:rPr>
          <w:rFonts w:ascii="Times New Roman" w:eastAsia="Calibri" w:hAnsi="Times New Roman" w:cs="Times New Roman"/>
          <w:noProof/>
          <w:color w:val="000000"/>
          <w:sz w:val="24"/>
          <w:szCs w:val="24"/>
          <w:lang w:eastAsia="en-GB"/>
        </w:rPr>
      </w:pPr>
      <w:r>
        <w:rPr>
          <w:rFonts w:ascii="Times New Roman" w:eastAsia="Calibri" w:hAnsi="Times New Roman" w:cs="Times New Roman"/>
          <w:noProof/>
          <w:color w:val="000000"/>
          <w:sz w:val="24"/>
          <w:szCs w:val="24"/>
          <w:lang w:eastAsia="en-GB"/>
        </w:rPr>
        <w:t>The Directive approximates the legislation of the Member States in the field of civil enforcement of IPR. The Directive required Member States to transpose its provisions into their national laws and thus to make available to applicants the Directive's mea</w:t>
      </w:r>
      <w:r>
        <w:rPr>
          <w:rFonts w:ascii="Times New Roman" w:eastAsia="Calibri" w:hAnsi="Times New Roman" w:cs="Times New Roman"/>
          <w:noProof/>
          <w:color w:val="000000"/>
          <w:sz w:val="24"/>
          <w:szCs w:val="24"/>
          <w:lang w:eastAsia="en-GB"/>
        </w:rPr>
        <w:t>sures, procedures and remedies for the enforcement of IPR. The Directive does not require Member States to establish specific administrative procedures or infrastructures. The Directive does not provide for any market monitoring arrangements or reporting o</w:t>
      </w:r>
      <w:r>
        <w:rPr>
          <w:rFonts w:ascii="Times New Roman" w:eastAsia="Calibri" w:hAnsi="Times New Roman" w:cs="Times New Roman"/>
          <w:noProof/>
          <w:color w:val="000000"/>
          <w:sz w:val="24"/>
          <w:szCs w:val="24"/>
          <w:lang w:eastAsia="en-GB"/>
        </w:rPr>
        <w:t>bligations to be fulfilled by the Member States or any of the private parties concerned. Stakeholders (rightholders and intermediaries) during the public consultation did not indicate any administrative costs in relation to the implementation of the Direct</w:t>
      </w:r>
      <w:r>
        <w:rPr>
          <w:rFonts w:ascii="Times New Roman" w:eastAsia="Calibri" w:hAnsi="Times New Roman" w:cs="Times New Roman"/>
          <w:noProof/>
          <w:color w:val="000000"/>
          <w:sz w:val="24"/>
          <w:szCs w:val="24"/>
          <w:lang w:eastAsia="en-GB"/>
        </w:rPr>
        <w:t xml:space="preserve">ive. </w:t>
      </w:r>
    </w:p>
    <w:p w:rsidR="00EB6A7B" w:rsidRDefault="001E7ACC">
      <w:pPr>
        <w:spacing w:before="120" w:after="120"/>
        <w:jc w:val="both"/>
        <w:rPr>
          <w:rFonts w:ascii="Times New Roman" w:eastAsia="Calibri" w:hAnsi="Times New Roman" w:cs="Times New Roman"/>
          <w:b/>
          <w:i/>
          <w:noProof/>
          <w:color w:val="000000"/>
          <w:sz w:val="24"/>
          <w:szCs w:val="24"/>
          <w:lang w:eastAsia="en-GB"/>
        </w:rPr>
      </w:pPr>
      <w:r>
        <w:rPr>
          <w:rFonts w:ascii="Times New Roman" w:eastAsia="Calibri" w:hAnsi="Times New Roman" w:cs="Times New Roman"/>
          <w:b/>
          <w:i/>
          <w:noProof/>
          <w:color w:val="000000"/>
          <w:sz w:val="24"/>
          <w:szCs w:val="24"/>
          <w:lang w:eastAsia="en-GB"/>
        </w:rPr>
        <w:t>The costs of the application of the Directive</w:t>
      </w:r>
    </w:p>
    <w:p w:rsidR="00EB6A7B" w:rsidRDefault="001E7ACC">
      <w:pPr>
        <w:jc w:val="both"/>
        <w:rPr>
          <w:rFonts w:ascii="Times New Roman" w:hAnsi="Times New Roman" w:cs="Times New Roman"/>
          <w:noProof/>
          <w:sz w:val="24"/>
        </w:rPr>
      </w:pPr>
      <w:r>
        <w:rPr>
          <w:rFonts w:ascii="Times New Roman" w:hAnsi="Times New Roman" w:cs="Times New Roman"/>
          <w:noProof/>
          <w:sz w:val="24"/>
        </w:rPr>
        <w:t>Rightholders, both small and large companies, use the following resources to detect and combat infringements of their IPR:</w:t>
      </w:r>
    </w:p>
    <w:p w:rsidR="00EB6A7B" w:rsidRDefault="001E7ACC">
      <w:pPr>
        <w:pStyle w:val="ListParagraph"/>
        <w:numPr>
          <w:ilvl w:val="0"/>
          <w:numId w:val="49"/>
        </w:numPr>
        <w:spacing w:before="240"/>
        <w:jc w:val="both"/>
        <w:rPr>
          <w:rFonts w:ascii="Times New Roman" w:eastAsiaTheme="majorEastAsia" w:hAnsi="Times New Roman" w:cs="Times New Roman"/>
          <w:bCs/>
          <w:noProof/>
          <w:sz w:val="24"/>
          <w:szCs w:val="24"/>
        </w:rPr>
      </w:pPr>
      <w:r>
        <w:rPr>
          <w:rFonts w:ascii="Times New Roman" w:eastAsiaTheme="majorEastAsia" w:hAnsi="Times New Roman" w:cs="Times New Roman"/>
          <w:bCs/>
          <w:noProof/>
          <w:sz w:val="24"/>
          <w:szCs w:val="24"/>
        </w:rPr>
        <w:t>cost of employee time dedicated to IPR enforcement (for activities such as market</w:t>
      </w:r>
      <w:r>
        <w:rPr>
          <w:rFonts w:ascii="Times New Roman" w:eastAsiaTheme="majorEastAsia" w:hAnsi="Times New Roman" w:cs="Times New Roman"/>
          <w:bCs/>
          <w:noProof/>
          <w:sz w:val="24"/>
          <w:szCs w:val="24"/>
        </w:rPr>
        <w:t xml:space="preserve"> monitoring and identification of infringements);</w:t>
      </w:r>
    </w:p>
    <w:p w:rsidR="00EB6A7B" w:rsidRDefault="001E7ACC">
      <w:pPr>
        <w:pStyle w:val="ListParagraph"/>
        <w:numPr>
          <w:ilvl w:val="0"/>
          <w:numId w:val="49"/>
        </w:numPr>
        <w:spacing w:before="240"/>
        <w:jc w:val="both"/>
        <w:rPr>
          <w:rFonts w:ascii="Times New Roman" w:eastAsiaTheme="majorEastAsia" w:hAnsi="Times New Roman" w:cs="Times New Roman"/>
          <w:bCs/>
          <w:noProof/>
          <w:sz w:val="24"/>
          <w:szCs w:val="24"/>
        </w:rPr>
      </w:pPr>
      <w:r>
        <w:rPr>
          <w:rFonts w:ascii="Times New Roman" w:eastAsiaTheme="majorEastAsia" w:hAnsi="Times New Roman" w:cs="Times New Roman"/>
          <w:bCs/>
          <w:noProof/>
          <w:sz w:val="24"/>
          <w:szCs w:val="24"/>
        </w:rPr>
        <w:t>cost of external legal assistance;</w:t>
      </w:r>
    </w:p>
    <w:p w:rsidR="00EB6A7B" w:rsidRDefault="001E7ACC">
      <w:pPr>
        <w:pStyle w:val="ListParagraph"/>
        <w:numPr>
          <w:ilvl w:val="0"/>
          <w:numId w:val="49"/>
        </w:numPr>
        <w:spacing w:before="240"/>
        <w:jc w:val="both"/>
        <w:rPr>
          <w:rFonts w:ascii="Times New Roman" w:eastAsiaTheme="majorEastAsia" w:hAnsi="Times New Roman" w:cs="Times New Roman"/>
          <w:bCs/>
          <w:noProof/>
          <w:sz w:val="24"/>
          <w:szCs w:val="24"/>
        </w:rPr>
      </w:pPr>
      <w:r>
        <w:rPr>
          <w:rFonts w:ascii="Times New Roman" w:eastAsiaTheme="majorEastAsia" w:hAnsi="Times New Roman" w:cs="Times New Roman"/>
          <w:bCs/>
          <w:noProof/>
          <w:sz w:val="24"/>
          <w:szCs w:val="24"/>
        </w:rPr>
        <w:t>court fees in connection with infringement-related litigation;</w:t>
      </w:r>
    </w:p>
    <w:p w:rsidR="00EB6A7B" w:rsidRDefault="001E7ACC">
      <w:pPr>
        <w:pStyle w:val="ListParagraph"/>
        <w:numPr>
          <w:ilvl w:val="0"/>
          <w:numId w:val="49"/>
        </w:numPr>
        <w:spacing w:before="240"/>
        <w:jc w:val="both"/>
        <w:rPr>
          <w:rFonts w:ascii="Times New Roman" w:eastAsiaTheme="majorEastAsia" w:hAnsi="Times New Roman" w:cs="Times New Roman"/>
          <w:bCs/>
          <w:noProof/>
          <w:sz w:val="24"/>
          <w:szCs w:val="24"/>
        </w:rPr>
      </w:pPr>
      <w:r>
        <w:rPr>
          <w:rFonts w:ascii="Times New Roman" w:eastAsiaTheme="majorEastAsia" w:hAnsi="Times New Roman" w:cs="Times New Roman"/>
          <w:bCs/>
          <w:noProof/>
          <w:sz w:val="24"/>
          <w:szCs w:val="24"/>
        </w:rPr>
        <w:t>storage and destruction costs;</w:t>
      </w:r>
    </w:p>
    <w:p w:rsidR="00EB6A7B" w:rsidRDefault="001E7ACC">
      <w:pPr>
        <w:pStyle w:val="ListParagraph"/>
        <w:numPr>
          <w:ilvl w:val="0"/>
          <w:numId w:val="49"/>
        </w:numPr>
        <w:spacing w:before="240"/>
        <w:jc w:val="both"/>
        <w:rPr>
          <w:rFonts w:ascii="Times New Roman" w:eastAsiaTheme="majorEastAsia" w:hAnsi="Times New Roman" w:cs="Times New Roman"/>
          <w:bCs/>
          <w:noProof/>
          <w:sz w:val="24"/>
          <w:szCs w:val="24"/>
        </w:rPr>
      </w:pPr>
      <w:r>
        <w:rPr>
          <w:rFonts w:ascii="Times New Roman" w:eastAsiaTheme="majorEastAsia" w:hAnsi="Times New Roman" w:cs="Times New Roman"/>
          <w:bCs/>
          <w:noProof/>
          <w:sz w:val="24"/>
          <w:szCs w:val="24"/>
        </w:rPr>
        <w:t>other infringement-related costs.</w:t>
      </w:r>
    </w:p>
    <w:p w:rsidR="00EB6A7B" w:rsidRDefault="001E7ACC">
      <w:pPr>
        <w:jc w:val="both"/>
        <w:rPr>
          <w:rFonts w:ascii="Times New Roman" w:hAnsi="Times New Roman" w:cs="Times New Roman"/>
          <w:noProof/>
          <w:sz w:val="24"/>
        </w:rPr>
      </w:pPr>
      <w:r>
        <w:rPr>
          <w:rFonts w:ascii="Times New Roman" w:hAnsi="Times New Roman" w:cs="Times New Roman"/>
          <w:noProof/>
          <w:sz w:val="24"/>
        </w:rPr>
        <w:t xml:space="preserve">Overall, the average EU company that aims </w:t>
      </w:r>
      <w:r>
        <w:rPr>
          <w:rFonts w:ascii="Times New Roman" w:hAnsi="Times New Roman" w:cs="Times New Roman"/>
          <w:noProof/>
          <w:sz w:val="24"/>
        </w:rPr>
        <w:t>to protect its IP spends EUR 115 317 per year on enforcement-related activities, with a wide variation, depending on company size. In the case of small companies (i.e. those with fewer than 50 employees), the average outlay is EUR 83 653 per year. For medi</w:t>
      </w:r>
      <w:r>
        <w:rPr>
          <w:rFonts w:ascii="Times New Roman" w:hAnsi="Times New Roman" w:cs="Times New Roman"/>
          <w:noProof/>
          <w:sz w:val="24"/>
        </w:rPr>
        <w:t>um-sized companies (those with 50 to 250 employees), the figure is EUR 103 166. Finally, for large companies, those with more than 250 employees, the enforcement costs amount to EUR 159 132 per year.</w:t>
      </w:r>
      <w:r>
        <w:rPr>
          <w:rFonts w:ascii="Times New Roman" w:hAnsi="Times New Roman" w:cs="Times New Roman"/>
          <w:noProof/>
          <w:sz w:val="24"/>
          <w:vertAlign w:val="superscript"/>
        </w:rPr>
        <w:footnoteReference w:id="68"/>
      </w:r>
    </w:p>
    <w:p w:rsidR="00EB6A7B" w:rsidRDefault="001E7ACC">
      <w:pPr>
        <w:spacing w:before="120" w:after="120"/>
        <w:jc w:val="both"/>
        <w:rPr>
          <w:rFonts w:ascii="Times New Roman" w:eastAsia="Calibri" w:hAnsi="Times New Roman" w:cs="Times New Roman"/>
          <w:noProof/>
          <w:color w:val="000000"/>
          <w:sz w:val="24"/>
          <w:szCs w:val="24"/>
          <w:lang w:eastAsia="en-GB"/>
        </w:rPr>
      </w:pPr>
      <w:r>
        <w:rPr>
          <w:rFonts w:ascii="Times New Roman" w:eastAsia="Times New Roman" w:hAnsi="Times New Roman" w:cs="Times New Roman"/>
          <w:noProof/>
          <w:sz w:val="24"/>
          <w:szCs w:val="24"/>
        </w:rPr>
        <w:t>Some of these costs are related to the application of t</w:t>
      </w:r>
      <w:r>
        <w:rPr>
          <w:rFonts w:ascii="Times New Roman" w:eastAsia="Times New Roman" w:hAnsi="Times New Roman" w:cs="Times New Roman"/>
          <w:noProof/>
          <w:sz w:val="24"/>
          <w:szCs w:val="24"/>
        </w:rPr>
        <w:t xml:space="preserve">he Directive. </w:t>
      </w:r>
      <w:r>
        <w:rPr>
          <w:rFonts w:ascii="Times New Roman" w:eastAsia="Calibri" w:hAnsi="Times New Roman" w:cs="Times New Roman"/>
          <w:noProof/>
          <w:color w:val="000000"/>
          <w:sz w:val="24"/>
          <w:szCs w:val="24"/>
          <w:lang w:eastAsia="en-GB"/>
        </w:rPr>
        <w:t>The Directive provides measures, procedures and remedies for the enforcement of IPR in civil law proceedings. The costs of the practical application of the Directive therefore overlap with the costs for civil justice and civil litigation. The</w:t>
      </w:r>
      <w:r>
        <w:rPr>
          <w:rFonts w:ascii="Times New Roman" w:eastAsia="Calibri" w:hAnsi="Times New Roman" w:cs="Times New Roman"/>
          <w:noProof/>
          <w:color w:val="000000"/>
          <w:sz w:val="24"/>
          <w:szCs w:val="24"/>
          <w:lang w:eastAsia="en-GB"/>
        </w:rPr>
        <w:t xml:space="preserve"> basic elements of the quantifiable costs of litigation are the same in every jurisdiction:</w:t>
      </w:r>
    </w:p>
    <w:p w:rsidR="00EB6A7B" w:rsidRDefault="001E7ACC">
      <w:pPr>
        <w:pStyle w:val="ListParagraph"/>
        <w:numPr>
          <w:ilvl w:val="0"/>
          <w:numId w:val="48"/>
        </w:numPr>
        <w:spacing w:before="120" w:after="120"/>
        <w:jc w:val="both"/>
        <w:rPr>
          <w:rFonts w:ascii="Times New Roman" w:eastAsia="Calibri" w:hAnsi="Times New Roman" w:cs="Times New Roman"/>
          <w:noProof/>
          <w:color w:val="000000"/>
          <w:sz w:val="24"/>
          <w:szCs w:val="24"/>
          <w:lang w:eastAsia="en-GB"/>
        </w:rPr>
      </w:pPr>
      <w:r>
        <w:rPr>
          <w:rFonts w:ascii="Times New Roman" w:eastAsia="Calibri" w:hAnsi="Times New Roman" w:cs="Times New Roman"/>
          <w:noProof/>
          <w:color w:val="000000"/>
          <w:sz w:val="24"/>
          <w:szCs w:val="24"/>
          <w:lang w:eastAsia="en-GB"/>
        </w:rPr>
        <w:t>Charges for use of the courts, including associated officers, bailiffs;</w:t>
      </w:r>
    </w:p>
    <w:p w:rsidR="00EB6A7B" w:rsidRDefault="001E7ACC">
      <w:pPr>
        <w:pStyle w:val="ListParagraph"/>
        <w:numPr>
          <w:ilvl w:val="0"/>
          <w:numId w:val="48"/>
        </w:numPr>
        <w:spacing w:before="120" w:after="120"/>
        <w:jc w:val="both"/>
        <w:rPr>
          <w:rFonts w:ascii="Times New Roman" w:eastAsia="Calibri" w:hAnsi="Times New Roman" w:cs="Times New Roman"/>
          <w:noProof/>
          <w:color w:val="000000"/>
          <w:sz w:val="24"/>
          <w:szCs w:val="24"/>
          <w:lang w:eastAsia="en-GB"/>
        </w:rPr>
      </w:pPr>
      <w:r>
        <w:rPr>
          <w:rFonts w:ascii="Times New Roman" w:eastAsia="Calibri" w:hAnsi="Times New Roman" w:cs="Times New Roman"/>
          <w:noProof/>
          <w:color w:val="000000"/>
          <w:sz w:val="24"/>
          <w:szCs w:val="24"/>
          <w:lang w:eastAsia="en-GB"/>
        </w:rPr>
        <w:t>Evidential costs: witnesses, experts;</w:t>
      </w:r>
    </w:p>
    <w:p w:rsidR="00EB6A7B" w:rsidRDefault="001E7ACC">
      <w:pPr>
        <w:pStyle w:val="ListParagraph"/>
        <w:numPr>
          <w:ilvl w:val="0"/>
          <w:numId w:val="48"/>
        </w:numPr>
        <w:spacing w:before="120" w:after="120"/>
        <w:jc w:val="both"/>
        <w:rPr>
          <w:rFonts w:ascii="Times New Roman" w:eastAsia="Calibri" w:hAnsi="Times New Roman" w:cs="Times New Roman"/>
          <w:noProof/>
          <w:color w:val="000000"/>
          <w:sz w:val="24"/>
          <w:szCs w:val="24"/>
          <w:lang w:eastAsia="en-GB"/>
        </w:rPr>
      </w:pPr>
      <w:r>
        <w:rPr>
          <w:rFonts w:ascii="Times New Roman" w:eastAsia="Calibri" w:hAnsi="Times New Roman" w:cs="Times New Roman"/>
          <w:noProof/>
          <w:color w:val="000000"/>
          <w:sz w:val="24"/>
          <w:szCs w:val="24"/>
          <w:lang w:eastAsia="en-GB"/>
        </w:rPr>
        <w:t>Lawyers’ fees.</w:t>
      </w:r>
      <w:r>
        <w:rPr>
          <w:rStyle w:val="FootnoteReference"/>
          <w:rFonts w:ascii="Times New Roman" w:eastAsia="Calibri" w:hAnsi="Times New Roman" w:cs="Times New Roman"/>
          <w:noProof/>
          <w:color w:val="000000"/>
          <w:sz w:val="24"/>
          <w:szCs w:val="24"/>
          <w:lang w:eastAsia="en-GB"/>
        </w:rPr>
        <w:footnoteReference w:id="69"/>
      </w:r>
    </w:p>
    <w:p w:rsidR="00EB6A7B" w:rsidRDefault="001E7ACC">
      <w:pPr>
        <w:spacing w:before="120" w:after="120"/>
        <w:jc w:val="both"/>
        <w:rPr>
          <w:rFonts w:ascii="Times New Roman" w:eastAsia="Calibri" w:hAnsi="Times New Roman" w:cs="Times New Roman"/>
          <w:noProof/>
          <w:color w:val="000000"/>
          <w:sz w:val="24"/>
          <w:szCs w:val="24"/>
          <w:lang w:eastAsia="en-GB"/>
        </w:rPr>
      </w:pPr>
      <w:r>
        <w:rPr>
          <w:rFonts w:ascii="Times New Roman" w:eastAsia="Calibri" w:hAnsi="Times New Roman" w:cs="Times New Roman"/>
          <w:noProof/>
          <w:color w:val="000000"/>
          <w:sz w:val="24"/>
          <w:szCs w:val="24"/>
          <w:lang w:eastAsia="en-GB"/>
        </w:rPr>
        <w:t xml:space="preserve">These costs divide into </w:t>
      </w:r>
      <w:r>
        <w:rPr>
          <w:rFonts w:ascii="Times New Roman" w:eastAsia="Calibri" w:hAnsi="Times New Roman" w:cs="Times New Roman"/>
          <w:noProof/>
          <w:color w:val="000000"/>
          <w:sz w:val="24"/>
          <w:szCs w:val="24"/>
          <w:lang w:eastAsia="en-GB"/>
        </w:rPr>
        <w:t>administrative/court fees (the costs of civil litigation for the applicant: court and lawyer fees) and substantive compliance costs (preparation of a legal action, meeting the requested level of evidence) for the applicant, substantive compliance costs (co</w:t>
      </w:r>
      <w:r>
        <w:rPr>
          <w:rFonts w:ascii="Times New Roman" w:eastAsia="Calibri" w:hAnsi="Times New Roman" w:cs="Times New Roman"/>
          <w:noProof/>
          <w:color w:val="000000"/>
          <w:sz w:val="24"/>
          <w:szCs w:val="24"/>
          <w:lang w:eastAsia="en-GB"/>
        </w:rPr>
        <w:t>sts of compliance with the Directive measures) for the unsuccessful party and possible indirect costs due to the wider impact of the Directive measures, procedures and remedies (e.g. injunctions).</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Calibri" w:hAnsi="Times New Roman" w:cs="Times New Roman"/>
          <w:noProof/>
          <w:color w:val="000000"/>
          <w:sz w:val="24"/>
          <w:szCs w:val="24"/>
          <w:lang w:eastAsia="en-GB"/>
        </w:rPr>
        <w:t xml:space="preserve">However, not all of these costs can be attributed directly </w:t>
      </w:r>
      <w:r>
        <w:rPr>
          <w:rFonts w:ascii="Times New Roman" w:eastAsia="Calibri" w:hAnsi="Times New Roman" w:cs="Times New Roman"/>
          <w:noProof/>
          <w:color w:val="000000"/>
          <w:sz w:val="24"/>
          <w:szCs w:val="24"/>
          <w:lang w:eastAsia="en-GB"/>
        </w:rPr>
        <w:t xml:space="preserve">to the application of the Directive. </w:t>
      </w:r>
      <w:r>
        <w:rPr>
          <w:rFonts w:ascii="Times New Roman" w:hAnsi="Times New Roman" w:cs="Times New Roman"/>
          <w:noProof/>
          <w:sz w:val="24"/>
          <w:szCs w:val="24"/>
        </w:rPr>
        <w:t>The key types of costs that affect an applicant's decision to litigate are the legal costs of bringing the action (administrative/court fees and the costs of legal and expert services). For the applicant, the administra</w:t>
      </w:r>
      <w:r>
        <w:rPr>
          <w:rFonts w:ascii="Times New Roman" w:hAnsi="Times New Roman" w:cs="Times New Roman"/>
          <w:noProof/>
          <w:sz w:val="24"/>
          <w:szCs w:val="24"/>
        </w:rPr>
        <w:t xml:space="preserve">tive/ court fees and substantive compliance costs are use-based. These costs only occur if a rightholder is applying for a Directive measure, procedure or remedy in civil court proceedings. </w:t>
      </w:r>
      <w:r>
        <w:rPr>
          <w:rFonts w:ascii="Times New Roman" w:eastAsia="Times New Roman" w:hAnsi="Times New Roman" w:cs="Times New Roman"/>
          <w:noProof/>
          <w:sz w:val="24"/>
          <w:szCs w:val="24"/>
        </w:rPr>
        <w:t>The Directive itself however does not impose any administrative or compliance costs on the applicant. The costs of bringing legal action and the preparation of legal action derive primarily from the general rules and procedures for the use of the civil jus</w:t>
      </w:r>
      <w:r>
        <w:rPr>
          <w:rFonts w:ascii="Times New Roman" w:eastAsia="Times New Roman" w:hAnsi="Times New Roman" w:cs="Times New Roman"/>
          <w:noProof/>
          <w:sz w:val="24"/>
          <w:szCs w:val="24"/>
        </w:rPr>
        <w:t xml:space="preserve">tice system in a Member State, not from the Directive. </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Study</w:t>
      </w:r>
      <w:r>
        <w:rPr>
          <w:rStyle w:val="FootnoteReference"/>
          <w:rFonts w:ascii="Times New Roman" w:eastAsia="Times New Roman" w:hAnsi="Times New Roman" w:cs="Times New Roman"/>
          <w:noProof/>
          <w:sz w:val="24"/>
          <w:szCs w:val="24"/>
        </w:rPr>
        <w:footnoteReference w:id="70"/>
      </w:r>
      <w:r>
        <w:rPr>
          <w:rFonts w:ascii="Times New Roman" w:eastAsia="Times New Roman" w:hAnsi="Times New Roman" w:cs="Times New Roman"/>
          <w:noProof/>
          <w:sz w:val="24"/>
          <w:szCs w:val="24"/>
        </w:rPr>
        <w:t xml:space="preserve"> concluded that the Directive has not imposed any incremental direct costs on the applicant compared to the period before the date of transposition of the Directive, either in ter</w:t>
      </w:r>
      <w:r>
        <w:rPr>
          <w:rFonts w:ascii="Times New Roman" w:eastAsia="Times New Roman" w:hAnsi="Times New Roman" w:cs="Times New Roman"/>
          <w:noProof/>
          <w:sz w:val="24"/>
          <w:szCs w:val="24"/>
        </w:rPr>
        <w:t>ms of administrative costs or substantive compliance costs. In that respect the Evaluation Study also found that there is no statistically significant correlation between the implementation of the Directive and the number of IPR court cases and between the</w:t>
      </w:r>
      <w:r>
        <w:rPr>
          <w:rFonts w:ascii="Times New Roman" w:eastAsia="Times New Roman" w:hAnsi="Times New Roman" w:cs="Times New Roman"/>
          <w:noProof/>
          <w:sz w:val="24"/>
          <w:szCs w:val="24"/>
        </w:rPr>
        <w:t xml:space="preserve"> implementation of the Directive and the average duration of IP litigation cases (except for the average duration of patent cases, which decreased). The application of the Directive has therefore also not led to additional costs for applicants related to l</w:t>
      </w:r>
      <w:r>
        <w:rPr>
          <w:rFonts w:ascii="Times New Roman" w:eastAsia="Times New Roman" w:hAnsi="Times New Roman" w:cs="Times New Roman"/>
          <w:noProof/>
          <w:sz w:val="24"/>
          <w:szCs w:val="24"/>
        </w:rPr>
        <w:t xml:space="preserve">onger court proceedings. </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According to the Evaluation Study,</w:t>
      </w:r>
      <w:r>
        <w:rPr>
          <w:rFonts w:ascii="Times New Roman" w:eastAsia="Times New Roman" w:hAnsi="Times New Roman" w:cs="Times New Roman"/>
          <w:bCs/>
          <w:noProof/>
          <w:sz w:val="24"/>
          <w:szCs w:val="24"/>
        </w:rPr>
        <w:t xml:space="preserve"> </w:t>
      </w:r>
      <w:r>
        <w:rPr>
          <w:rFonts w:ascii="Times New Roman" w:eastAsia="Times New Roman" w:hAnsi="Times New Roman" w:cs="Times New Roman"/>
          <w:noProof/>
          <w:sz w:val="24"/>
          <w:szCs w:val="24"/>
        </w:rPr>
        <w:t>the operating costs of intermediaries also cannot be directly attributed to the Directive. The large intermediaries argued that they had already processes in place for IP rightholders to record a</w:t>
      </w:r>
      <w:r>
        <w:rPr>
          <w:rFonts w:ascii="Times New Roman" w:eastAsia="Times New Roman" w:hAnsi="Times New Roman" w:cs="Times New Roman"/>
          <w:noProof/>
          <w:sz w:val="24"/>
          <w:szCs w:val="24"/>
        </w:rPr>
        <w:t>n infringement (notice and take down process) and obtain data that would allow them to enforce their IPR against the primary infringer. It should also be noted that investments made by intermediaries would need to be assessed considering at least the e-Com</w:t>
      </w:r>
      <w:r>
        <w:rPr>
          <w:rFonts w:ascii="Times New Roman" w:eastAsia="Times New Roman" w:hAnsi="Times New Roman" w:cs="Times New Roman"/>
          <w:noProof/>
          <w:sz w:val="24"/>
          <w:szCs w:val="24"/>
        </w:rPr>
        <w:t>merce Directive (2000)</w:t>
      </w:r>
      <w:r>
        <w:rPr>
          <w:rStyle w:val="FootnoteReference"/>
          <w:rFonts w:ascii="Times New Roman" w:eastAsia="Times New Roman" w:hAnsi="Times New Roman" w:cs="Times New Roman"/>
          <w:noProof/>
          <w:sz w:val="24"/>
          <w:szCs w:val="24"/>
        </w:rPr>
        <w:footnoteReference w:id="71"/>
      </w:r>
      <w:r>
        <w:rPr>
          <w:rFonts w:ascii="Times New Roman" w:eastAsia="Times New Roman" w:hAnsi="Times New Roman" w:cs="Times New Roman"/>
          <w:noProof/>
          <w:sz w:val="24"/>
          <w:szCs w:val="24"/>
        </w:rPr>
        <w:t xml:space="preserve"> and the Information Society Directive (2001)</w:t>
      </w:r>
      <w:r>
        <w:rPr>
          <w:rStyle w:val="FootnoteReference"/>
          <w:rFonts w:ascii="Times New Roman" w:eastAsia="Times New Roman" w:hAnsi="Times New Roman" w:cs="Times New Roman"/>
          <w:noProof/>
          <w:sz w:val="24"/>
          <w:szCs w:val="24"/>
        </w:rPr>
        <w:footnoteReference w:id="72"/>
      </w:r>
      <w:r>
        <w:rPr>
          <w:rFonts w:ascii="Times New Roman" w:eastAsia="Times New Roman" w:hAnsi="Times New Roman" w:cs="Times New Roman"/>
          <w:noProof/>
          <w:sz w:val="24"/>
          <w:szCs w:val="24"/>
        </w:rPr>
        <w:t>, which came into force before the IPR Enforcement Directive (2004). Moreover, companies’ corporate responsibility is another important driver and can vary greatly from intermediary to in</w:t>
      </w:r>
      <w:r>
        <w:rPr>
          <w:rFonts w:ascii="Times New Roman" w:eastAsia="Times New Roman" w:hAnsi="Times New Roman" w:cs="Times New Roman"/>
          <w:noProof/>
          <w:sz w:val="24"/>
          <w:szCs w:val="24"/>
        </w:rPr>
        <w:t>termediary – there is credible feedback that the intermediaries interviewed have a high degree of self-interest to be perceived as a “serious and reliable” platform by their customers and end-users, an image, which would be in jeopardy if they allowed an a</w:t>
      </w:r>
      <w:r>
        <w:rPr>
          <w:rFonts w:ascii="Times New Roman" w:eastAsia="Times New Roman" w:hAnsi="Times New Roman" w:cs="Times New Roman"/>
          <w:noProof/>
          <w:sz w:val="24"/>
          <w:szCs w:val="24"/>
        </w:rPr>
        <w:t>buse of their platform for the offering of counterfeit and pirated goods. This is particularly true where the customers can be victims of the illegal activity (i.e. purchase of fake medicine or fashionable bag).</w:t>
      </w:r>
    </w:p>
    <w:p w:rsidR="00EB6A7B" w:rsidRDefault="001E7ACC">
      <w:pPr>
        <w:pStyle w:val="Heading4"/>
        <w:numPr>
          <w:ilvl w:val="0"/>
          <w:numId w:val="0"/>
        </w:numPr>
        <w:ind w:left="1134" w:hanging="1134"/>
        <w:rPr>
          <w:noProof/>
        </w:rPr>
      </w:pPr>
      <w:r>
        <w:rPr>
          <w:noProof/>
        </w:rPr>
        <w:t xml:space="preserve">5.2.1.2. Benefits </w:t>
      </w:r>
    </w:p>
    <w:p w:rsidR="00EB6A7B" w:rsidRDefault="001E7ACC">
      <w:pPr>
        <w:jc w:val="both"/>
        <w:rPr>
          <w:rFonts w:ascii="Times New Roman" w:hAnsi="Times New Roman" w:cs="Times New Roman"/>
          <w:noProof/>
        </w:rPr>
      </w:pPr>
      <w:r>
        <w:rPr>
          <w:rFonts w:ascii="Times New Roman" w:hAnsi="Times New Roman" w:cs="Times New Roman"/>
          <w:noProof/>
          <w:sz w:val="24"/>
          <w:szCs w:val="24"/>
        </w:rPr>
        <w:t xml:space="preserve">Concerning benefits, the </w:t>
      </w:r>
      <w:r>
        <w:rPr>
          <w:rFonts w:ascii="Times New Roman" w:hAnsi="Times New Roman" w:cs="Times New Roman"/>
          <w:noProof/>
          <w:sz w:val="24"/>
          <w:szCs w:val="24"/>
        </w:rPr>
        <w:t>intervention logic supporting the Directive is that the approximation of the measures, procedures and remedies necessary to ensure the enforcement of IPR results in better and faster access to justice, better protection of IPR in particular in a cross bord</w:t>
      </w:r>
      <w:r>
        <w:rPr>
          <w:rFonts w:ascii="Times New Roman" w:hAnsi="Times New Roman" w:cs="Times New Roman"/>
          <w:noProof/>
          <w:sz w:val="24"/>
          <w:szCs w:val="24"/>
        </w:rPr>
        <w:t xml:space="preserve">er context, reduction of IPR infringements and in an elimination of disparities in the existing national systems for civil enforcement of IPR. </w:t>
      </w:r>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main objective of the Directive was indeed to provide for a minimum set of measures, procedures and remedies</w:t>
      </w:r>
      <w:r>
        <w:rPr>
          <w:rFonts w:ascii="Times New Roman" w:hAnsi="Times New Roman" w:cs="Times New Roman"/>
          <w:noProof/>
          <w:sz w:val="24"/>
          <w:szCs w:val="24"/>
        </w:rPr>
        <w:t>, and limit the disparities between the systems of the Member States as regards the means of enforcing IPR, thus ensuring a high, equivalent and homogeneous level of protection in the internal market. This results in direct and indirect efficiency improvem</w:t>
      </w:r>
      <w:r>
        <w:rPr>
          <w:rFonts w:ascii="Times New Roman" w:hAnsi="Times New Roman" w:cs="Times New Roman"/>
          <w:noProof/>
          <w:sz w:val="24"/>
          <w:szCs w:val="24"/>
        </w:rPr>
        <w:t xml:space="preserve">ents for the parties involved. </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According to the Evaluation Study</w:t>
      </w:r>
      <w:r>
        <w:rPr>
          <w:rStyle w:val="FootnoteReference"/>
          <w:rFonts w:ascii="Times New Roman" w:eastAsia="Times New Roman" w:hAnsi="Times New Roman" w:cs="Times New Roman"/>
          <w:noProof/>
          <w:sz w:val="24"/>
          <w:szCs w:val="24"/>
        </w:rPr>
        <w:footnoteReference w:id="73"/>
      </w:r>
      <w:r>
        <w:rPr>
          <w:rFonts w:ascii="Times New Roman" w:eastAsia="Times New Roman" w:hAnsi="Times New Roman" w:cs="Times New Roman"/>
          <w:noProof/>
          <w:sz w:val="24"/>
          <w:szCs w:val="24"/>
        </w:rPr>
        <w:t>, the majority of stakeholders were of the opinion that the Directive provided for additional tools in the hands of rightholders to litigate in case of IPR infringement and accomplished a mo</w:t>
      </w:r>
      <w:r>
        <w:rPr>
          <w:rFonts w:ascii="Times New Roman" w:eastAsia="Times New Roman" w:hAnsi="Times New Roman" w:cs="Times New Roman"/>
          <w:noProof/>
          <w:sz w:val="24"/>
          <w:szCs w:val="24"/>
        </w:rPr>
        <w:t>re harmonised enforcement framework in the EU Member States. The harmonisation of the measures, procedures and remedies necessary to ensure the enforcement of IPR allows to assess an infringement case across various jurisdictions and to employ similar lega</w:t>
      </w:r>
      <w:r>
        <w:rPr>
          <w:rFonts w:ascii="Times New Roman" w:eastAsia="Times New Roman" w:hAnsi="Times New Roman" w:cs="Times New Roman"/>
          <w:noProof/>
          <w:sz w:val="24"/>
          <w:szCs w:val="24"/>
        </w:rPr>
        <w:t>l tools in different Member States. The possibility of a pan-European enforcement strategy translates into efficiency gains and possible cost savings (e.g. fewer resources to coordinate, prepare and implement IP enforcement action in the EU or more legal a</w:t>
      </w:r>
      <w:r>
        <w:rPr>
          <w:rFonts w:ascii="Times New Roman" w:eastAsia="Times New Roman" w:hAnsi="Times New Roman" w:cs="Times New Roman"/>
          <w:noProof/>
          <w:sz w:val="24"/>
          <w:szCs w:val="24"/>
        </w:rPr>
        <w:t>ction with the same resources, streamlining of monitoring activities).</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However, on the basis of the available data, it is not possible to provide a comprehensive quantitative description of these benefits. The econometric modelling analysis employed in the</w:t>
      </w:r>
      <w:r>
        <w:rPr>
          <w:rFonts w:ascii="Times New Roman" w:eastAsia="Times New Roman" w:hAnsi="Times New Roman" w:cs="Times New Roman"/>
          <w:noProof/>
          <w:sz w:val="24"/>
          <w:szCs w:val="24"/>
        </w:rPr>
        <w:t xml:space="preserve"> Evaluation Study</w:t>
      </w:r>
      <w:r>
        <w:rPr>
          <w:rStyle w:val="FootnoteReference"/>
          <w:rFonts w:ascii="Times New Roman" w:eastAsia="Times New Roman" w:hAnsi="Times New Roman" w:cs="Times New Roman"/>
          <w:noProof/>
          <w:sz w:val="24"/>
          <w:szCs w:val="24"/>
        </w:rPr>
        <w:footnoteReference w:id="74"/>
      </w:r>
      <w:r>
        <w:rPr>
          <w:rFonts w:ascii="Times New Roman" w:eastAsia="Times New Roman" w:hAnsi="Times New Roman" w:cs="Times New Roman"/>
          <w:noProof/>
          <w:sz w:val="24"/>
          <w:szCs w:val="24"/>
        </w:rPr>
        <w:t xml:space="preserve"> concludes that possible benefits cannot be attributed directly to the Directive. There is no quantitative evidence indicating either a positive or negative trend due to the Directive. </w:t>
      </w:r>
    </w:p>
    <w:p w:rsidR="00EB6A7B" w:rsidRDefault="001E7ACC">
      <w:pPr>
        <w:jc w:val="both"/>
        <w:rPr>
          <w:rFonts w:ascii="Times New Roman" w:hAnsi="Times New Roman" w:cs="Times New Roman"/>
          <w:noProof/>
        </w:rPr>
      </w:pPr>
      <w:r>
        <w:rPr>
          <w:rFonts w:ascii="Times New Roman" w:hAnsi="Times New Roman" w:cs="Times New Roman"/>
          <w:noProof/>
          <w:sz w:val="24"/>
          <w:szCs w:val="24"/>
        </w:rPr>
        <w:t>An indirect benefit from the implementation and appl</w:t>
      </w:r>
      <w:r>
        <w:rPr>
          <w:rFonts w:ascii="Times New Roman" w:hAnsi="Times New Roman" w:cs="Times New Roman"/>
          <w:noProof/>
          <w:sz w:val="24"/>
          <w:szCs w:val="24"/>
        </w:rPr>
        <w:t>ication of the Directive could be seen in the enhanced sharing of knowledge and good practice in the area of civil enforcement of IPR between Member States, in particular between national judges. The Evaluation Study has shown that with the transposition o</w:t>
      </w:r>
      <w:r>
        <w:rPr>
          <w:rFonts w:ascii="Times New Roman" w:hAnsi="Times New Roman" w:cs="Times New Roman"/>
          <w:noProof/>
          <w:sz w:val="24"/>
          <w:szCs w:val="24"/>
        </w:rPr>
        <w:t>f the Directive the interaction between judges in different Member States has substantially increased. Judges meet more often and look at rulings in other Member States to inform themselves. While the Directive does not require meetings of judges a growing</w:t>
      </w:r>
      <w:r>
        <w:rPr>
          <w:rFonts w:ascii="Times New Roman" w:hAnsi="Times New Roman" w:cs="Times New Roman"/>
          <w:noProof/>
          <w:sz w:val="24"/>
          <w:szCs w:val="24"/>
        </w:rPr>
        <w:t xml:space="preserve"> awareness of enforcement legislation and the often cross-border or international characteristic seem to require national judges to be better informed about other Member States’ practices – arguably leading to higher quality judgements.</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The fact that inter</w:t>
      </w:r>
      <w:r>
        <w:rPr>
          <w:rFonts w:ascii="Times New Roman" w:hAnsi="Times New Roman" w:cs="Times New Roman"/>
          <w:noProof/>
          <w:sz w:val="24"/>
          <w:szCs w:val="24"/>
        </w:rPr>
        <w:t>locutory and permanent injunctions can also be applied for against “intermediaries whose services are used by a third party to infringe an intellectual property right” might have motivated intermediaries to engage more proactively in the protection of IPR,</w:t>
      </w:r>
      <w:r>
        <w:rPr>
          <w:rFonts w:ascii="Times New Roman" w:hAnsi="Times New Roman" w:cs="Times New Roman"/>
          <w:noProof/>
          <w:sz w:val="24"/>
          <w:szCs w:val="24"/>
        </w:rPr>
        <w:t xml:space="preserve"> to avoid being the addressee of court injunctions. The number of voluntary cooperation agreements between rightholders and intermediaries aiming at the identification and prevention of IPR infringements through the use of intermediary services is growing.</w:t>
      </w:r>
      <w:r>
        <w:rPr>
          <w:rFonts w:ascii="Times New Roman" w:hAnsi="Times New Roman" w:cs="Times New Roman"/>
          <w:noProof/>
          <w:sz w:val="24"/>
          <w:szCs w:val="24"/>
        </w:rPr>
        <w:t xml:space="preserve"> At the same time this development has again to be assessed also in light of the relevant obligations set out in relation to certain categories of intermediaries in the e-Commerce Directive and the Information Society Directive in the case of copyright.</w:t>
      </w:r>
    </w:p>
    <w:p w:rsidR="00EB6A7B" w:rsidRDefault="001E7ACC">
      <w:pPr>
        <w:jc w:val="both"/>
        <w:rPr>
          <w:rFonts w:ascii="Times New Roman" w:hAnsi="Times New Roman" w:cs="Times New Roman"/>
          <w:noProof/>
        </w:rPr>
      </w:pPr>
      <w:r>
        <w:rPr>
          <w:rFonts w:ascii="Times New Roman" w:hAnsi="Times New Roman" w:cs="Times New Roman"/>
          <w:noProof/>
          <w:sz w:val="24"/>
          <w:szCs w:val="24"/>
        </w:rPr>
        <w:t>Th</w:t>
      </w:r>
      <w:r>
        <w:rPr>
          <w:rFonts w:ascii="Times New Roman" w:hAnsi="Times New Roman" w:cs="Times New Roman"/>
          <w:noProof/>
          <w:sz w:val="24"/>
          <w:szCs w:val="24"/>
        </w:rPr>
        <w:t>e Directive itself includes a reference in its recitals saying that the "Directive respects the fundamental rights and observes the principles recognised in particular by the Charter of Fundamental Rights of the European Union". The application of the Dire</w:t>
      </w:r>
      <w:r>
        <w:rPr>
          <w:rFonts w:ascii="Times New Roman" w:hAnsi="Times New Roman" w:cs="Times New Roman"/>
          <w:noProof/>
          <w:sz w:val="24"/>
          <w:szCs w:val="24"/>
        </w:rPr>
        <w:t xml:space="preserve">ctive, and the interpretation of the Directive by the CJEU in preliminary reference proceedings following from this application, has certainly helped to clarify the relationship between the different fundamental rights concerned by the enforcement of IPR. </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results of the EUIPO sectorial studies on the scope, scale and impact of IPR infringement in EU</w:t>
      </w:r>
      <w:r>
        <w:rPr>
          <w:rFonts w:ascii="Times New Roman" w:eastAsia="Times New Roman" w:hAnsi="Times New Roman" w:cs="Times New Roman"/>
          <w:noProof/>
          <w:sz w:val="24"/>
          <w:szCs w:val="24"/>
          <w:vertAlign w:val="superscript"/>
        </w:rPr>
        <w:footnoteReference w:id="75"/>
      </w:r>
      <w:r>
        <w:rPr>
          <w:rFonts w:ascii="Times New Roman" w:eastAsia="Times New Roman" w:hAnsi="Times New Roman" w:cs="Times New Roman"/>
          <w:noProof/>
          <w:sz w:val="24"/>
          <w:szCs w:val="24"/>
        </w:rPr>
        <w:t xml:space="preserve"> and the recent study by the OECD and the EUIPO</w:t>
      </w:r>
      <w:r>
        <w:rPr>
          <w:rFonts w:ascii="Times New Roman" w:eastAsia="Times New Roman" w:hAnsi="Times New Roman" w:cs="Times New Roman"/>
          <w:noProof/>
          <w:sz w:val="24"/>
          <w:szCs w:val="24"/>
          <w:vertAlign w:val="superscript"/>
        </w:rPr>
        <w:footnoteReference w:id="76"/>
      </w:r>
      <w:r>
        <w:rPr>
          <w:rFonts w:ascii="Times New Roman" w:eastAsia="Times New Roman" w:hAnsi="Times New Roman" w:cs="Times New Roman"/>
          <w:noProof/>
          <w:sz w:val="24"/>
          <w:szCs w:val="24"/>
        </w:rPr>
        <w:t xml:space="preserve"> indicate that, despite the adoption and application of the Directive, illicit trade is not disappearing an</w:t>
      </w:r>
      <w:r>
        <w:rPr>
          <w:rFonts w:ascii="Times New Roman" w:eastAsia="Times New Roman" w:hAnsi="Times New Roman" w:cs="Times New Roman"/>
          <w:noProof/>
          <w:sz w:val="24"/>
          <w:szCs w:val="24"/>
        </w:rPr>
        <w:t>d that counterfeiting and piracy is still on the rise, impacting all market segments.</w:t>
      </w:r>
    </w:p>
    <w:p w:rsidR="00EB6A7B" w:rsidRDefault="001E7ACC">
      <w:pPr>
        <w:pStyle w:val="Heading4"/>
        <w:numPr>
          <w:ilvl w:val="0"/>
          <w:numId w:val="0"/>
        </w:numPr>
        <w:ind w:left="1134" w:hanging="1134"/>
        <w:rPr>
          <w:noProof/>
        </w:rPr>
      </w:pPr>
      <w:r>
        <w:rPr>
          <w:noProof/>
        </w:rPr>
        <w:t>5.2.1.3. Overall cost/benefit relationship</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Study</w:t>
      </w:r>
      <w:r>
        <w:rPr>
          <w:rStyle w:val="FootnoteReference"/>
          <w:rFonts w:ascii="Times New Roman" w:eastAsia="Times New Roman" w:hAnsi="Times New Roman" w:cs="Times New Roman"/>
          <w:noProof/>
          <w:sz w:val="24"/>
          <w:szCs w:val="24"/>
        </w:rPr>
        <w:footnoteReference w:id="77"/>
      </w:r>
      <w:r>
        <w:rPr>
          <w:rFonts w:ascii="Times New Roman" w:eastAsia="Times New Roman" w:hAnsi="Times New Roman" w:cs="Times New Roman"/>
          <w:noProof/>
          <w:sz w:val="24"/>
          <w:szCs w:val="24"/>
        </w:rPr>
        <w:t xml:space="preserve"> finally provides for a general cost-benefit analysis. With little to no changes to the cost situation, but with principal improvements brought by the Directive even if public consultation feedback was not able to pinpoint costs attributable to the Directi</w:t>
      </w:r>
      <w:r>
        <w:rPr>
          <w:rFonts w:ascii="Times New Roman" w:eastAsia="Times New Roman" w:hAnsi="Times New Roman" w:cs="Times New Roman"/>
          <w:noProof/>
          <w:sz w:val="24"/>
          <w:szCs w:val="24"/>
        </w:rPr>
        <w:t>ve, the overall perception was that the benefits outweigh the costs. Therefore, the Directive can be seen as a useful and necessary piece of legislation to harmonise IPR enforcement across Europe.</w:t>
      </w:r>
    </w:p>
    <w:p w:rsidR="00EB6A7B" w:rsidRDefault="00EB6A7B">
      <w:pPr>
        <w:spacing w:before="120" w:after="120"/>
        <w:jc w:val="both"/>
        <w:rPr>
          <w:rFonts w:ascii="Times New Roman" w:eastAsia="Times New Roman" w:hAnsi="Times New Roman" w:cs="Times New Roman"/>
          <w:noProof/>
          <w:sz w:val="24"/>
          <w:szCs w:val="24"/>
        </w:rPr>
      </w:pPr>
    </w:p>
    <w:p w:rsidR="00EB6A7B" w:rsidRDefault="001E7ACC">
      <w:pPr>
        <w:pStyle w:val="Heading3"/>
        <w:numPr>
          <w:ilvl w:val="0"/>
          <w:numId w:val="0"/>
        </w:numPr>
        <w:ind w:left="2160"/>
        <w:rPr>
          <w:rFonts w:eastAsia="MS PGothic"/>
          <w:noProof/>
        </w:rPr>
      </w:pPr>
      <w:bookmarkStart w:id="102" w:name="_Toc498521061"/>
      <w:r>
        <w:rPr>
          <w:rFonts w:eastAsia="MS PGothic"/>
          <w:noProof/>
        </w:rPr>
        <w:t>5.2.2. Efficiency of the different measures</w:t>
      </w:r>
      <w:bookmarkEnd w:id="102"/>
    </w:p>
    <w:p w:rsidR="00EB6A7B" w:rsidRDefault="00EB6A7B">
      <w:pPr>
        <w:rPr>
          <w:rFonts w:ascii="Times New Roman" w:hAnsi="Times New Roman" w:cs="Times New Roman"/>
          <w:noProof/>
        </w:rPr>
      </w:pPr>
    </w:p>
    <w:p w:rsidR="00EB6A7B" w:rsidRDefault="001E7ACC">
      <w:p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i/>
          <w:noProof/>
          <w:sz w:val="24"/>
          <w:szCs w:val="24"/>
        </w:rPr>
      </w:pPr>
      <w:r>
        <w:rPr>
          <w:rFonts w:ascii="Times New Roman" w:hAnsi="Times New Roman" w:cs="Times New Roman"/>
          <w:i/>
          <w:noProof/>
          <w:sz w:val="24"/>
        </w:rPr>
        <w:t xml:space="preserve">Evaluation question </w:t>
      </w:r>
      <w:r>
        <w:rPr>
          <w:rFonts w:ascii="Times New Roman" w:hAnsi="Times New Roman" w:cs="Times New Roman"/>
          <w:i/>
          <w:noProof/>
          <w:sz w:val="24"/>
          <w:szCs w:val="24"/>
        </w:rPr>
        <w:t>6</w:t>
      </w:r>
    </w:p>
    <w:p w:rsidR="00EB6A7B" w:rsidRDefault="001E7ACC">
      <w:pPr>
        <w:pBdr>
          <w:top w:val="single" w:sz="4" w:space="1" w:color="auto"/>
          <w:left w:val="single" w:sz="4" w:space="4" w:color="auto"/>
          <w:bottom w:val="single" w:sz="4" w:space="1" w:color="auto"/>
          <w:right w:val="single" w:sz="4" w:space="4" w:color="auto"/>
        </w:pBdr>
        <w:rPr>
          <w:rFonts w:ascii="Times New Roman" w:hAnsi="Times New Roman" w:cs="Times New Roman"/>
          <w:i/>
          <w:noProof/>
          <w:sz w:val="24"/>
          <w:szCs w:val="24"/>
        </w:rPr>
      </w:pPr>
      <w:r>
        <w:rPr>
          <w:rFonts w:ascii="Times New Roman" w:hAnsi="Times New Roman" w:cs="Times New Roman"/>
          <w:i/>
          <w:noProof/>
          <w:sz w:val="24"/>
          <w:szCs w:val="24"/>
        </w:rPr>
        <w:t>To what extent, have the different measures, procedures and remedies provided for by the Directive been efficient means of ensuring the enforcement of IPRs? What factors influence the efficiency of the different measures, procedures a</w:t>
      </w:r>
      <w:r>
        <w:rPr>
          <w:rFonts w:ascii="Times New Roman" w:hAnsi="Times New Roman" w:cs="Times New Roman"/>
          <w:i/>
          <w:noProof/>
          <w:sz w:val="24"/>
          <w:szCs w:val="24"/>
        </w:rPr>
        <w:t>nd remedies?</w:t>
      </w:r>
    </w:p>
    <w:p w:rsidR="00EB6A7B" w:rsidRDefault="001E7ACC">
      <w:pPr>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The efficiency analysis of the different measures depends again very much on the cost effectiveness of a measure in a particular Member State. A number of measures have been discussed already under the effectiveness criteria. The efficiency of</w:t>
      </w:r>
      <w:r>
        <w:rPr>
          <w:rFonts w:ascii="Times New Roman" w:eastAsia="MS PGothic" w:hAnsi="Times New Roman" w:cs="Times New Roman"/>
          <w:noProof/>
          <w:sz w:val="24"/>
          <w:szCs w:val="24"/>
        </w:rPr>
        <w:t xml:space="preserve"> measures on evidence, damages, legal costs, is questionable in view of the costs they generate for rightholders to enforce their rights, notably burden of proof (notably for evidence), legal costs, or the insufficient amount of damages awarded (see sectio</w:t>
      </w:r>
      <w:r>
        <w:rPr>
          <w:rFonts w:ascii="Times New Roman" w:eastAsia="MS PGothic" w:hAnsi="Times New Roman" w:cs="Times New Roman"/>
          <w:noProof/>
          <w:sz w:val="24"/>
          <w:szCs w:val="24"/>
        </w:rPr>
        <w:t>n 5.1.1.2). Other than lost profits, rightholders may not in practical terms always be compensated for other negative economic consequences resulting from an infringement</w:t>
      </w:r>
      <w:r>
        <w:rPr>
          <w:rStyle w:val="FootnoteReference"/>
          <w:rFonts w:ascii="Times New Roman" w:eastAsia="MS PGothic" w:hAnsi="Times New Roman" w:cs="Times New Roman"/>
          <w:noProof/>
          <w:sz w:val="24"/>
          <w:szCs w:val="24"/>
        </w:rPr>
        <w:footnoteReference w:id="78"/>
      </w:r>
      <w:r>
        <w:rPr>
          <w:rFonts w:ascii="Times New Roman" w:eastAsia="MS PGothic" w:hAnsi="Times New Roman" w:cs="Times New Roman"/>
          <w:noProof/>
          <w:sz w:val="24"/>
          <w:szCs w:val="24"/>
        </w:rPr>
        <w:t xml:space="preserve">. </w:t>
      </w:r>
    </w:p>
    <w:p w:rsidR="00EB6A7B" w:rsidRDefault="001E7ACC">
      <w:pPr>
        <w:pStyle w:val="Heading3"/>
        <w:numPr>
          <w:ilvl w:val="0"/>
          <w:numId w:val="0"/>
        </w:numPr>
        <w:ind w:left="2160"/>
        <w:rPr>
          <w:rFonts w:eastAsia="MS PGothic"/>
          <w:noProof/>
        </w:rPr>
      </w:pPr>
      <w:bookmarkStart w:id="103" w:name="_Toc498521062"/>
      <w:r>
        <w:rPr>
          <w:rFonts w:eastAsia="MS PGothic"/>
          <w:noProof/>
        </w:rPr>
        <w:t>5.2.3.  Affordability and proportionality</w:t>
      </w:r>
      <w:bookmarkEnd w:id="103"/>
    </w:p>
    <w:p w:rsidR="00EB6A7B" w:rsidRDefault="00EB6A7B">
      <w:pPr>
        <w:rPr>
          <w:rFonts w:ascii="Times New Roman" w:hAnsi="Times New Roman" w:cs="Times New Roman"/>
          <w:noProof/>
        </w:rPr>
      </w:pPr>
    </w:p>
    <w:p w:rsidR="00EB6A7B" w:rsidRDefault="001E7ACC">
      <w:p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i/>
          <w:noProof/>
          <w:sz w:val="24"/>
          <w:szCs w:val="24"/>
        </w:rPr>
      </w:pPr>
      <w:r>
        <w:rPr>
          <w:rFonts w:ascii="Times New Roman" w:hAnsi="Times New Roman" w:cs="Times New Roman"/>
          <w:i/>
          <w:noProof/>
          <w:sz w:val="24"/>
        </w:rPr>
        <w:t xml:space="preserve">Evaluation question </w:t>
      </w:r>
      <w:r>
        <w:rPr>
          <w:rFonts w:ascii="Times New Roman" w:hAnsi="Times New Roman" w:cs="Times New Roman"/>
          <w:i/>
          <w:noProof/>
          <w:sz w:val="24"/>
          <w:szCs w:val="24"/>
        </w:rPr>
        <w:t>7</w:t>
      </w:r>
    </w:p>
    <w:p w:rsidR="00EB6A7B" w:rsidRDefault="001E7ACC">
      <w:pPr>
        <w:pBdr>
          <w:top w:val="single" w:sz="4" w:space="1" w:color="auto"/>
          <w:left w:val="single" w:sz="4" w:space="4" w:color="auto"/>
          <w:bottom w:val="single" w:sz="4" w:space="1" w:color="auto"/>
          <w:right w:val="single" w:sz="4" w:space="4" w:color="auto"/>
        </w:pBdr>
        <w:rPr>
          <w:rFonts w:ascii="Times New Roman" w:hAnsi="Times New Roman" w:cs="Times New Roman"/>
          <w:i/>
          <w:noProof/>
          <w:sz w:val="24"/>
          <w:szCs w:val="24"/>
        </w:rPr>
      </w:pPr>
      <w:r>
        <w:rPr>
          <w:rFonts w:ascii="Times New Roman" w:hAnsi="Times New Roman" w:cs="Times New Roman"/>
          <w:i/>
          <w:noProof/>
          <w:sz w:val="24"/>
          <w:szCs w:val="24"/>
        </w:rPr>
        <w:t>How affordable we</w:t>
      </w:r>
      <w:r>
        <w:rPr>
          <w:rFonts w:ascii="Times New Roman" w:hAnsi="Times New Roman" w:cs="Times New Roman"/>
          <w:i/>
          <w:noProof/>
          <w:sz w:val="24"/>
          <w:szCs w:val="24"/>
        </w:rPr>
        <w:t xml:space="preserve">re the costs borne by different addressees for the measures, procedures and remedies provided for by the Directive? Are they proportionate to the benefits achieved? </w:t>
      </w:r>
    </w:p>
    <w:p w:rsidR="00EB6A7B" w:rsidRDefault="00EB6A7B">
      <w:pPr>
        <w:jc w:val="both"/>
        <w:rPr>
          <w:rFonts w:ascii="Times New Roman" w:eastAsia="MS PGothic" w:hAnsi="Times New Roman" w:cs="Times New Roman"/>
          <w:noProof/>
          <w:sz w:val="24"/>
          <w:szCs w:val="24"/>
        </w:rPr>
      </w:pPr>
    </w:p>
    <w:p w:rsidR="00EB6A7B" w:rsidRDefault="001E7ACC">
      <w:pPr>
        <w:rPr>
          <w:rFonts w:ascii="Times New Roman" w:eastAsia="MS PGothic" w:hAnsi="Times New Roman" w:cs="Times New Roman"/>
          <w:b/>
          <w:noProof/>
          <w:sz w:val="24"/>
          <w:szCs w:val="24"/>
        </w:rPr>
      </w:pPr>
      <w:r>
        <w:rPr>
          <w:rFonts w:ascii="Times New Roman" w:eastAsia="MS PGothic" w:hAnsi="Times New Roman" w:cs="Times New Roman"/>
          <w:b/>
          <w:noProof/>
          <w:sz w:val="24"/>
          <w:szCs w:val="24"/>
        </w:rPr>
        <w:t xml:space="preserve">Affordability </w:t>
      </w:r>
    </w:p>
    <w:p w:rsidR="00EB6A7B" w:rsidRDefault="001E7ACC">
      <w:pPr>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 xml:space="preserve">Affordability is a problem especially for SMEs regardless of the type of </w:t>
      </w:r>
      <w:r>
        <w:rPr>
          <w:rFonts w:ascii="Times New Roman" w:eastAsia="MS PGothic" w:hAnsi="Times New Roman" w:cs="Times New Roman"/>
          <w:noProof/>
          <w:sz w:val="24"/>
          <w:szCs w:val="24"/>
        </w:rPr>
        <w:t>IP. This finding is in line with inputs from the public stakeholder consultation as well as the survey results from the SME scoreboard</w:t>
      </w:r>
      <w:r>
        <w:rPr>
          <w:rStyle w:val="FootnoteReference"/>
          <w:rFonts w:ascii="Times New Roman" w:eastAsia="MS PGothic" w:hAnsi="Times New Roman" w:cs="Times New Roman"/>
          <w:noProof/>
          <w:sz w:val="24"/>
          <w:szCs w:val="24"/>
        </w:rPr>
        <w:footnoteReference w:id="79"/>
      </w:r>
      <w:r>
        <w:rPr>
          <w:rFonts w:ascii="Times New Roman" w:eastAsia="MS PGothic" w:hAnsi="Times New Roman" w:cs="Times New Roman"/>
          <w:noProof/>
          <w:sz w:val="24"/>
          <w:szCs w:val="24"/>
        </w:rPr>
        <w:t>. While this finding seems simple and the remedies straightforward (make the enforcement of IPR easier, so SMEs can bette</w:t>
      </w:r>
      <w:r>
        <w:rPr>
          <w:rFonts w:ascii="Times New Roman" w:eastAsia="MS PGothic" w:hAnsi="Times New Roman" w:cs="Times New Roman"/>
          <w:noProof/>
          <w:sz w:val="24"/>
          <w:szCs w:val="24"/>
        </w:rPr>
        <w:t>r access the system), the problem is far more complex. This is due to the fact that SMEs may find themselves not only in the position of a rightholder enforcing a right (as the applicant), but also on the defendant side. Allowing for easier enforcement may</w:t>
      </w:r>
      <w:r>
        <w:rPr>
          <w:rFonts w:ascii="Times New Roman" w:eastAsia="MS PGothic" w:hAnsi="Times New Roman" w:cs="Times New Roman"/>
          <w:noProof/>
          <w:sz w:val="24"/>
          <w:szCs w:val="24"/>
        </w:rPr>
        <w:t xml:space="preserve"> help therefore SME acting as applicants, but may have negative consequences for SME acting as defendants.</w:t>
      </w:r>
    </w:p>
    <w:p w:rsidR="00EB6A7B" w:rsidRDefault="001E7ACC">
      <w:pPr>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The SMEs interviewed – both the ones defending and the ones who could or were actually enforcing their rights – saw “affordability” actually almost a</w:t>
      </w:r>
      <w:r>
        <w:rPr>
          <w:rFonts w:ascii="Times New Roman" w:eastAsia="MS PGothic" w:hAnsi="Times New Roman" w:cs="Times New Roman"/>
          <w:noProof/>
          <w:sz w:val="24"/>
          <w:szCs w:val="24"/>
        </w:rPr>
        <w:t>s a prohibitive factor in their particular business contexts (still, all opted for the existence of IPR and good ways to enforce IPR). One of the credible suggestions to tackle this issue was the existence of specialised judges which could quickly judge va</w:t>
      </w:r>
      <w:r>
        <w:rPr>
          <w:rFonts w:ascii="Times New Roman" w:eastAsia="MS PGothic" w:hAnsi="Times New Roman" w:cs="Times New Roman"/>
          <w:noProof/>
          <w:sz w:val="24"/>
          <w:szCs w:val="24"/>
        </w:rPr>
        <w:t>lidity and infringement.</w:t>
      </w:r>
    </w:p>
    <w:p w:rsidR="00EB6A7B" w:rsidRDefault="001E7ACC">
      <w:pPr>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Illustrative case studies come from the telecommunication sector. An SME filing for a preliminary injunction in Spain against 10 different infringing companies has been asked for 1 million euro deposit. While this was proportionate</w:t>
      </w:r>
      <w:r>
        <w:rPr>
          <w:rFonts w:ascii="Times New Roman" w:eastAsia="MS PGothic" w:hAnsi="Times New Roman" w:cs="Times New Roman"/>
          <w:noProof/>
          <w:sz w:val="24"/>
          <w:szCs w:val="24"/>
        </w:rPr>
        <w:t xml:space="preserve"> to the turnover of the accused companies, it constituted the yearly turnover of the SME in case. In a similar case another SME has been granted an injunction in Germany, but applying it before an appeal case required a deposit higher than a million euro. </w:t>
      </w:r>
      <w:r>
        <w:rPr>
          <w:rFonts w:ascii="Times New Roman" w:eastAsia="MS PGothic" w:hAnsi="Times New Roman" w:cs="Times New Roman"/>
          <w:noProof/>
          <w:sz w:val="24"/>
          <w:szCs w:val="24"/>
        </w:rPr>
        <w:t>Again while this was proportionate to the value of the case it seems disproportionate in relation to the turnover of the SME. This indicates that growing SMEs that have valuable IP might have difficulties in enforcing their rights as their current financia</w:t>
      </w:r>
      <w:r>
        <w:rPr>
          <w:rFonts w:ascii="Times New Roman" w:eastAsia="MS PGothic" w:hAnsi="Times New Roman" w:cs="Times New Roman"/>
          <w:noProof/>
          <w:sz w:val="24"/>
          <w:szCs w:val="24"/>
        </w:rPr>
        <w:t xml:space="preserve">l strengths is below the potential of their valuable IP. </w:t>
      </w:r>
    </w:p>
    <w:p w:rsidR="00EB6A7B" w:rsidRDefault="001E7ACC">
      <w:pPr>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For SMEs acting as defendants the legal costs of the cases (see section 5.2.4 for illustration) can be high, again in proportion to their turnover, and not easily predictable. This may push such SME</w:t>
      </w:r>
      <w:r>
        <w:rPr>
          <w:rFonts w:ascii="Times New Roman" w:eastAsia="MS PGothic" w:hAnsi="Times New Roman" w:cs="Times New Roman"/>
          <w:noProof/>
          <w:sz w:val="24"/>
          <w:szCs w:val="24"/>
        </w:rPr>
        <w:t>s to settle on conditions that are strongly unfavourable for them just to avoid the risk of starting a legal battle. This is an issue that 9% of surveyed SMEs have suffered mentioning that they have been "IP bullied"</w:t>
      </w:r>
      <w:r>
        <w:rPr>
          <w:rStyle w:val="FootnoteReference"/>
          <w:rFonts w:ascii="Times New Roman" w:eastAsia="MS PGothic" w:hAnsi="Times New Roman" w:cs="Times New Roman"/>
          <w:noProof/>
          <w:sz w:val="24"/>
          <w:szCs w:val="24"/>
        </w:rPr>
        <w:footnoteReference w:id="80"/>
      </w:r>
      <w:r>
        <w:rPr>
          <w:rFonts w:ascii="Times New Roman" w:eastAsia="MS PGothic" w:hAnsi="Times New Roman" w:cs="Times New Roman"/>
          <w:noProof/>
          <w:sz w:val="24"/>
          <w:szCs w:val="24"/>
        </w:rPr>
        <w:t>.</w:t>
      </w:r>
    </w:p>
    <w:p w:rsidR="00EB6A7B" w:rsidRDefault="001E7ACC">
      <w:pPr>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According to the Evaluation Study</w:t>
      </w:r>
      <w:r>
        <w:rPr>
          <w:rStyle w:val="FootnoteReference"/>
          <w:rFonts w:ascii="Times New Roman" w:eastAsia="MS PGothic" w:hAnsi="Times New Roman" w:cs="Times New Roman"/>
          <w:noProof/>
          <w:sz w:val="24"/>
          <w:szCs w:val="24"/>
        </w:rPr>
        <w:footnoteReference w:id="81"/>
      </w:r>
      <w:r>
        <w:rPr>
          <w:rFonts w:ascii="Times New Roman" w:eastAsia="MS PGothic" w:hAnsi="Times New Roman" w:cs="Times New Roman"/>
          <w:noProof/>
          <w:sz w:val="24"/>
          <w:szCs w:val="24"/>
        </w:rPr>
        <w:t>, t</w:t>
      </w:r>
      <w:r>
        <w:rPr>
          <w:rFonts w:ascii="Times New Roman" w:eastAsia="MS PGothic" w:hAnsi="Times New Roman" w:cs="Times New Roman"/>
          <w:noProof/>
          <w:sz w:val="24"/>
          <w:szCs w:val="24"/>
        </w:rPr>
        <w:t>he affordability problem seems less of an issue for larger firms, where the question seems to be more whether the use of a particular Directive remedy has in principle the chance to succeed or not.</w:t>
      </w:r>
    </w:p>
    <w:p w:rsidR="00EB6A7B" w:rsidRDefault="001E7ACC">
      <w:pPr>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 xml:space="preserve">Affordability depends also very much on the general costs </w:t>
      </w:r>
      <w:r>
        <w:rPr>
          <w:rFonts w:ascii="Times New Roman" w:eastAsia="MS PGothic" w:hAnsi="Times New Roman" w:cs="Times New Roman"/>
          <w:noProof/>
          <w:sz w:val="24"/>
          <w:szCs w:val="24"/>
        </w:rPr>
        <w:t>of the legal system in the Member States (which means that this may be again an issue of national legal traditions and procedural law, rather than a factor which the Directive directly influences)</w:t>
      </w:r>
    </w:p>
    <w:p w:rsidR="00EB6A7B" w:rsidRDefault="001E7ACC">
      <w:pPr>
        <w:pStyle w:val="Heading3"/>
        <w:numPr>
          <w:ilvl w:val="0"/>
          <w:numId w:val="0"/>
        </w:numPr>
        <w:ind w:left="2160"/>
        <w:rPr>
          <w:rFonts w:eastAsia="MS PGothic"/>
          <w:noProof/>
        </w:rPr>
      </w:pPr>
      <w:bookmarkStart w:id="104" w:name="_Toc498521063"/>
      <w:r>
        <w:rPr>
          <w:rFonts w:eastAsia="MS PGothic"/>
          <w:noProof/>
        </w:rPr>
        <w:t>5.2.4. National differences</w:t>
      </w:r>
      <w:bookmarkEnd w:id="104"/>
    </w:p>
    <w:p w:rsidR="00EB6A7B" w:rsidRDefault="001E7ACC">
      <w:p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i/>
          <w:noProof/>
          <w:sz w:val="24"/>
          <w:szCs w:val="24"/>
        </w:rPr>
      </w:pPr>
      <w:r>
        <w:rPr>
          <w:rFonts w:ascii="Times New Roman" w:hAnsi="Times New Roman" w:cs="Times New Roman"/>
          <w:i/>
          <w:noProof/>
          <w:sz w:val="24"/>
        </w:rPr>
        <w:t xml:space="preserve">Evaluation question </w:t>
      </w:r>
      <w:r>
        <w:rPr>
          <w:rFonts w:ascii="Times New Roman" w:hAnsi="Times New Roman" w:cs="Times New Roman"/>
          <w:i/>
          <w:noProof/>
          <w:sz w:val="24"/>
          <w:szCs w:val="24"/>
        </w:rPr>
        <w:t>8</w:t>
      </w:r>
    </w:p>
    <w:p w:rsidR="00EB6A7B" w:rsidRDefault="001E7ACC">
      <w:pPr>
        <w:pBdr>
          <w:top w:val="single" w:sz="4" w:space="1" w:color="auto"/>
          <w:left w:val="single" w:sz="4" w:space="4" w:color="auto"/>
          <w:bottom w:val="single" w:sz="4" w:space="1" w:color="auto"/>
          <w:right w:val="single" w:sz="4" w:space="4" w:color="auto"/>
        </w:pBdr>
        <w:rPr>
          <w:rFonts w:ascii="Times New Roman" w:hAnsi="Times New Roman" w:cs="Times New Roman"/>
          <w:i/>
          <w:noProof/>
          <w:sz w:val="24"/>
          <w:szCs w:val="24"/>
        </w:rPr>
      </w:pPr>
      <w:r>
        <w:rPr>
          <w:rFonts w:ascii="Times New Roman" w:hAnsi="Times New Roman" w:cs="Times New Roman"/>
          <w:i/>
          <w:noProof/>
          <w:sz w:val="24"/>
          <w:szCs w:val="24"/>
        </w:rPr>
        <w:t xml:space="preserve">If there </w:t>
      </w:r>
      <w:r>
        <w:rPr>
          <w:rFonts w:ascii="Times New Roman" w:hAnsi="Times New Roman" w:cs="Times New Roman"/>
          <w:i/>
          <w:noProof/>
          <w:sz w:val="24"/>
          <w:szCs w:val="24"/>
        </w:rPr>
        <w:t>are significant differences in costs, length of procedure or other necessary resources invested between Member States, what is causing them?</w:t>
      </w:r>
    </w:p>
    <w:p w:rsidR="00EB6A7B" w:rsidRDefault="001E7ACC">
      <w:pPr>
        <w:rPr>
          <w:rFonts w:ascii="Times New Roman" w:eastAsia="MS PGothic" w:hAnsi="Times New Roman" w:cs="Times New Roman"/>
          <w:noProof/>
          <w:sz w:val="24"/>
          <w:szCs w:val="24"/>
        </w:rPr>
      </w:pPr>
      <w:r>
        <w:rPr>
          <w:rFonts w:ascii="Times New Roman" w:eastAsia="MS PGothic" w:hAnsi="Times New Roman" w:cs="Times New Roman"/>
          <w:noProof/>
          <w:sz w:val="24"/>
          <w:szCs w:val="24"/>
        </w:rPr>
        <w:t xml:space="preserve">The data and the interview evidence show that there are indeed considerable differences in costs and length of </w:t>
      </w:r>
      <w:r>
        <w:rPr>
          <w:rFonts w:ascii="Times New Roman" w:eastAsia="MS PGothic" w:hAnsi="Times New Roman" w:cs="Times New Roman"/>
          <w:noProof/>
          <w:sz w:val="24"/>
          <w:szCs w:val="24"/>
        </w:rPr>
        <w:t>procedure.</w:t>
      </w:r>
    </w:p>
    <w:p w:rsidR="00EB6A7B" w:rsidRDefault="001E7ACC">
      <w:pPr>
        <w:rPr>
          <w:rFonts w:ascii="Times New Roman" w:eastAsia="MS PGothic" w:hAnsi="Times New Roman" w:cs="Times New Roman"/>
          <w:b/>
          <w:i/>
          <w:noProof/>
          <w:sz w:val="24"/>
          <w:szCs w:val="24"/>
        </w:rPr>
      </w:pPr>
      <w:r>
        <w:rPr>
          <w:rFonts w:ascii="Times New Roman" w:eastAsia="MS PGothic" w:hAnsi="Times New Roman" w:cs="Times New Roman"/>
          <w:b/>
          <w:i/>
          <w:noProof/>
          <w:sz w:val="24"/>
          <w:szCs w:val="24"/>
        </w:rPr>
        <w:t>Costs</w:t>
      </w:r>
    </w:p>
    <w:p w:rsidR="00EB6A7B" w:rsidRDefault="001E7ACC">
      <w:pPr>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The issue of costs has already been addressed under point 5.2.1.1.</w:t>
      </w:r>
    </w:p>
    <w:p w:rsidR="00EB6A7B" w:rsidRDefault="001E7ACC">
      <w:pPr>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 xml:space="preserve">Average legal costs awarded can be as high as € 300,000 on average for patents in the UK, or € 150,000 for trademark cases. This is indicative for typically high legal </w:t>
      </w:r>
      <w:r>
        <w:rPr>
          <w:rFonts w:ascii="Times New Roman" w:eastAsia="MS PGothic" w:hAnsi="Times New Roman" w:cs="Times New Roman"/>
          <w:noProof/>
          <w:sz w:val="24"/>
          <w:szCs w:val="24"/>
        </w:rPr>
        <w:t>costs in the UK, which are said to be considerably larger than, for example, in Germany.</w:t>
      </w:r>
    </w:p>
    <w:p w:rsidR="00EB6A7B" w:rsidRDefault="001E7ACC">
      <w:pPr>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The study of the French Ministry</w:t>
      </w:r>
      <w:r>
        <w:rPr>
          <w:rStyle w:val="FootnoteReference"/>
          <w:rFonts w:ascii="Times New Roman" w:eastAsia="MS PGothic" w:hAnsi="Times New Roman" w:cs="Times New Roman"/>
          <w:noProof/>
          <w:sz w:val="24"/>
          <w:szCs w:val="24"/>
        </w:rPr>
        <w:footnoteReference w:id="82"/>
      </w:r>
      <w:r>
        <w:rPr>
          <w:rFonts w:ascii="Times New Roman" w:eastAsia="MS PGothic" w:hAnsi="Times New Roman" w:cs="Times New Roman"/>
          <w:noProof/>
          <w:sz w:val="24"/>
          <w:szCs w:val="24"/>
        </w:rPr>
        <w:t xml:space="preserve"> also provides for an estimate of the legal costs in view of the complexity of the case, ranging from 85 000 Euros for a 'simple' liti</w:t>
      </w:r>
      <w:r>
        <w:rPr>
          <w:rFonts w:ascii="Times New Roman" w:eastAsia="MS PGothic" w:hAnsi="Times New Roman" w:cs="Times New Roman"/>
          <w:noProof/>
          <w:sz w:val="24"/>
          <w:szCs w:val="24"/>
        </w:rPr>
        <w:t xml:space="preserve">gation case in France to 5 M Euros for a complex case in the UK. </w:t>
      </w:r>
    </w:p>
    <w:p w:rsidR="00EB6A7B" w:rsidRDefault="001E7ACC">
      <w:pPr>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A study made in the context of the preparation of the Unified Patent Court gives also an approximation of the incidence and cost of patent litigation for European patents in DE, FR, NL and t</w:t>
      </w:r>
      <w:r>
        <w:rPr>
          <w:rFonts w:ascii="Times New Roman" w:eastAsia="MS PGothic" w:hAnsi="Times New Roman" w:cs="Times New Roman"/>
          <w:noProof/>
          <w:sz w:val="24"/>
          <w:szCs w:val="24"/>
        </w:rPr>
        <w:t>he UK and highlights the crucial aspect of heterogeneity of the costs of litigation</w:t>
      </w:r>
      <w:r>
        <w:rPr>
          <w:rStyle w:val="FootnoteReference"/>
          <w:rFonts w:ascii="Times New Roman" w:eastAsia="MS PGothic" w:hAnsi="Times New Roman" w:cs="Times New Roman"/>
          <w:noProof/>
          <w:sz w:val="24"/>
          <w:szCs w:val="24"/>
        </w:rPr>
        <w:footnoteReference w:id="83"/>
      </w:r>
      <w:r>
        <w:rPr>
          <w:rFonts w:ascii="Times New Roman" w:eastAsia="MS PGothic" w:hAnsi="Times New Roman" w:cs="Times New Roman"/>
          <w:noProof/>
          <w:sz w:val="24"/>
          <w:szCs w:val="24"/>
        </w:rPr>
        <w:t>.</w:t>
      </w:r>
    </w:p>
    <w:p w:rsidR="00EB6A7B" w:rsidRDefault="001E7ACC">
      <w:pPr>
        <w:rPr>
          <w:rFonts w:ascii="Times New Roman" w:eastAsia="MS PGothic" w:hAnsi="Times New Roman" w:cs="Times New Roman"/>
          <w:b/>
          <w:i/>
          <w:noProof/>
          <w:sz w:val="24"/>
          <w:szCs w:val="24"/>
        </w:rPr>
      </w:pPr>
      <w:r>
        <w:rPr>
          <w:rFonts w:ascii="Times New Roman" w:eastAsia="MS PGothic" w:hAnsi="Times New Roman" w:cs="Times New Roman"/>
          <w:b/>
          <w:i/>
          <w:noProof/>
          <w:sz w:val="24"/>
          <w:szCs w:val="24"/>
        </w:rPr>
        <w:t>Length of procedure</w:t>
      </w:r>
    </w:p>
    <w:p w:rsidR="00EB6A7B" w:rsidRDefault="001E7ACC">
      <w:pPr>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The different length of procedures has already been addressed in detail under point 5.1.2.</w:t>
      </w:r>
    </w:p>
    <w:p w:rsidR="00EB6A7B" w:rsidRDefault="001E7ACC">
      <w:pPr>
        <w:jc w:val="both"/>
        <w:rPr>
          <w:rFonts w:ascii="Times New Roman" w:eastAsia="MS PGothic" w:hAnsi="Times New Roman" w:cs="Times New Roman"/>
          <w:noProof/>
          <w:sz w:val="24"/>
          <w:szCs w:val="24"/>
        </w:rPr>
      </w:pPr>
      <w:r>
        <w:rPr>
          <w:rFonts w:ascii="Times New Roman" w:eastAsia="MS PGothic" w:hAnsi="Times New Roman" w:cs="Times New Roman"/>
          <w:noProof/>
          <w:sz w:val="24"/>
          <w:szCs w:val="24"/>
        </w:rPr>
        <w:t xml:space="preserve">According to the interviewees, such differences are mainly </w:t>
      </w:r>
      <w:r>
        <w:rPr>
          <w:rFonts w:ascii="Times New Roman" w:eastAsia="MS PGothic" w:hAnsi="Times New Roman" w:cs="Times New Roman"/>
          <w:noProof/>
          <w:sz w:val="24"/>
          <w:szCs w:val="24"/>
        </w:rPr>
        <w:t>due to national legal traditions and, reflecting (again) the specific ways general national civil enforcement rules and procedures interact with the rules of the Directive. Different requirements to apply certain instruments of the Directive (e.g. when and</w:t>
      </w:r>
      <w:r>
        <w:rPr>
          <w:rFonts w:ascii="Times New Roman" w:eastAsia="MS PGothic" w:hAnsi="Times New Roman" w:cs="Times New Roman"/>
          <w:noProof/>
          <w:sz w:val="24"/>
          <w:szCs w:val="24"/>
        </w:rPr>
        <w:t xml:space="preserve"> under what detailed conditions preliminary injunctions can be provided) and the existence of specialised courts are examples of causes explaining these variations. </w:t>
      </w:r>
    </w:p>
    <w:p w:rsidR="00EB6A7B" w:rsidRDefault="00EB6A7B">
      <w:pPr>
        <w:jc w:val="both"/>
        <w:rPr>
          <w:rFonts w:ascii="Times New Roman" w:eastAsia="MS PGothic" w:hAnsi="Times New Roman" w:cs="Times New Roman"/>
          <w:noProof/>
          <w:sz w:val="24"/>
          <w:szCs w:val="24"/>
        </w:rPr>
      </w:pPr>
    </w:p>
    <w:p w:rsidR="00EB6A7B" w:rsidRDefault="001E7ACC">
      <w:pPr>
        <w:pBdr>
          <w:top w:val="single" w:sz="4" w:space="1" w:color="auto"/>
          <w:left w:val="single" w:sz="4" w:space="4" w:color="auto"/>
          <w:bottom w:val="single" w:sz="4" w:space="1" w:color="auto"/>
          <w:right w:val="single" w:sz="4" w:space="4" w:color="auto"/>
        </w:pBd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u w:val="single"/>
        </w:rPr>
        <w:t>In conclusion</w:t>
      </w:r>
      <w:r>
        <w:rPr>
          <w:rFonts w:ascii="Times New Roman" w:eastAsia="Times New Roman" w:hAnsi="Times New Roman" w:cs="Times New Roman"/>
          <w:noProof/>
          <w:sz w:val="24"/>
          <w:szCs w:val="24"/>
        </w:rPr>
        <w:t>, despite a limited amount of evidence, the Directive can be considered to h</w:t>
      </w:r>
      <w:r>
        <w:rPr>
          <w:rFonts w:ascii="Times New Roman" w:eastAsia="Times New Roman" w:hAnsi="Times New Roman" w:cs="Times New Roman"/>
          <w:noProof/>
          <w:sz w:val="24"/>
          <w:szCs w:val="24"/>
        </w:rPr>
        <w:t>ave been a cost-efficient and beneficial intervention. It has not created administrative burden or significant compliance / implementation costs for either stakeholders or Member States. The Directive has helped to bring about more harmonisation across the</w:t>
      </w:r>
      <w:r>
        <w:rPr>
          <w:rFonts w:ascii="Times New Roman" w:eastAsia="Times New Roman" w:hAnsi="Times New Roman" w:cs="Times New Roman"/>
          <w:noProof/>
          <w:sz w:val="24"/>
          <w:szCs w:val="24"/>
        </w:rPr>
        <w:t xml:space="preserve"> EU MS and it provides for a common set of tools in the hands of the stakeholders to litigate against IPR infringement across EU. However, efficiency is noted to be weakened mainly due to different national civil law traditions.</w:t>
      </w:r>
    </w:p>
    <w:p w:rsidR="00EB6A7B" w:rsidRDefault="001E7ACC">
      <w:pPr>
        <w:pBdr>
          <w:top w:val="single" w:sz="4" w:space="1" w:color="auto"/>
          <w:left w:val="single" w:sz="4" w:space="4" w:color="auto"/>
          <w:bottom w:val="single" w:sz="4" w:space="1" w:color="auto"/>
          <w:right w:val="single" w:sz="4" w:space="4" w:color="auto"/>
        </w:pBd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case of SMEs, allowi</w:t>
      </w:r>
      <w:r>
        <w:rPr>
          <w:rFonts w:ascii="Times New Roman" w:eastAsia="Times New Roman" w:hAnsi="Times New Roman" w:cs="Times New Roman"/>
          <w:noProof/>
          <w:sz w:val="24"/>
          <w:szCs w:val="24"/>
        </w:rPr>
        <w:t>ng for an easier enforcement might not be the best solution as, on the one hand, it may help those SMEs acting as applicants, but on the other hand it may have negative consequences for those firms acting as defendants.</w:t>
      </w:r>
    </w:p>
    <w:p w:rsidR="00EB6A7B" w:rsidRDefault="00EB6A7B">
      <w:pPr>
        <w:pBdr>
          <w:top w:val="single" w:sz="4" w:space="1" w:color="auto"/>
          <w:left w:val="single" w:sz="4" w:space="4" w:color="auto"/>
          <w:bottom w:val="single" w:sz="4" w:space="1" w:color="auto"/>
          <w:right w:val="single" w:sz="4" w:space="4" w:color="auto"/>
        </w:pBdr>
        <w:spacing w:before="120" w:after="120"/>
        <w:jc w:val="both"/>
        <w:rPr>
          <w:rFonts w:ascii="Times New Roman" w:eastAsia="Times New Roman" w:hAnsi="Times New Roman" w:cs="Times New Roman"/>
          <w:noProof/>
          <w:sz w:val="24"/>
          <w:szCs w:val="24"/>
        </w:rPr>
      </w:pPr>
    </w:p>
    <w:p w:rsidR="00EB6A7B" w:rsidRDefault="001E7ACC">
      <w:pPr>
        <w:pStyle w:val="Heading2"/>
        <w:numPr>
          <w:ilvl w:val="0"/>
          <w:numId w:val="0"/>
        </w:numPr>
        <w:ind w:left="1134" w:hanging="1134"/>
        <w:rPr>
          <w:noProof/>
        </w:rPr>
      </w:pPr>
      <w:bookmarkStart w:id="105" w:name="_Toc486261778"/>
      <w:bookmarkStart w:id="106" w:name="_Toc486262016"/>
      <w:bookmarkStart w:id="107" w:name="_Toc486262066"/>
      <w:bookmarkStart w:id="108" w:name="_Toc486262124"/>
      <w:bookmarkStart w:id="109" w:name="_Toc498521064"/>
      <w:bookmarkEnd w:id="105"/>
      <w:bookmarkEnd w:id="106"/>
      <w:bookmarkEnd w:id="107"/>
      <w:bookmarkEnd w:id="108"/>
      <w:r>
        <w:rPr>
          <w:noProof/>
        </w:rPr>
        <w:t>5.3. Relevance</w:t>
      </w:r>
      <w:bookmarkEnd w:id="109"/>
    </w:p>
    <w:p w:rsidR="00EB6A7B" w:rsidRDefault="001E7ACC">
      <w:pPr>
        <w:pStyle w:val="Text1"/>
        <w:ind w:left="0"/>
        <w:rPr>
          <w:noProof/>
        </w:rPr>
      </w:pPr>
      <w:r>
        <w:rPr>
          <w:noProof/>
        </w:rPr>
        <w:t>The functioning of t</w:t>
      </w:r>
      <w:r>
        <w:rPr>
          <w:noProof/>
        </w:rPr>
        <w:t>he Directive in terms of relevance has been assessed on the basis of the following evaluation questions:</w:t>
      </w:r>
    </w:p>
    <w:p w:rsidR="00EB6A7B" w:rsidRDefault="001E7ACC">
      <w:pPr>
        <w:pStyle w:val="Text1"/>
        <w:ind w:left="0"/>
        <w:rPr>
          <w:i/>
          <w:noProof/>
        </w:rPr>
      </w:pPr>
      <w:r>
        <w:rPr>
          <w:i/>
          <w:noProof/>
        </w:rPr>
        <w:t>9) To what extent do the objectives of IPRED (still) correspond to the needs of stakeholders, including holders of IPRs?</w:t>
      </w:r>
    </w:p>
    <w:p w:rsidR="00EB6A7B" w:rsidRDefault="001E7ACC">
      <w:pPr>
        <w:pStyle w:val="Text1"/>
        <w:ind w:left="0"/>
        <w:rPr>
          <w:i/>
          <w:noProof/>
        </w:rPr>
      </w:pPr>
      <w:r>
        <w:rPr>
          <w:i/>
          <w:noProof/>
        </w:rPr>
        <w:t xml:space="preserve">10) To what extent have the </w:t>
      </w:r>
      <w:r>
        <w:rPr>
          <w:i/>
          <w:noProof/>
        </w:rPr>
        <w:t>measures, procedures and remedies provided for by IPRED been relevant to meet the objective of ensuring the enforcement of intellectual property? In view of the development of the digital environment, to what extent are the measures, procedures and remedie</w:t>
      </w:r>
      <w:r>
        <w:rPr>
          <w:i/>
          <w:noProof/>
        </w:rPr>
        <w:t>s provided for by IPRED still relevant for achieving the objectives of IPRED or have other approaches currently not provided for by the Directive become more important?</w:t>
      </w:r>
    </w:p>
    <w:p w:rsidR="00EB6A7B" w:rsidRDefault="001E7ACC">
      <w:pPr>
        <w:pStyle w:val="Text1"/>
        <w:ind w:left="0"/>
        <w:rPr>
          <w:i/>
          <w:noProof/>
        </w:rPr>
      </w:pPr>
      <w:r>
        <w:rPr>
          <w:i/>
          <w:noProof/>
        </w:rPr>
        <w:t>11) Have there been developments since the entering into force of the Directive, in par</w:t>
      </w:r>
      <w:r>
        <w:rPr>
          <w:i/>
          <w:noProof/>
        </w:rPr>
        <w:t>ticular with regard to the development of the digital environment and technology in general, that contributed to achieving the objectives?</w:t>
      </w:r>
    </w:p>
    <w:p w:rsidR="00EB6A7B" w:rsidRDefault="001E7ACC">
      <w:pPr>
        <w:pStyle w:val="Heading3"/>
        <w:numPr>
          <w:ilvl w:val="0"/>
          <w:numId w:val="0"/>
        </w:numPr>
        <w:ind w:left="2160"/>
        <w:rPr>
          <w:noProof/>
        </w:rPr>
      </w:pPr>
      <w:bookmarkStart w:id="110" w:name="_Toc498521065"/>
      <w:r>
        <w:rPr>
          <w:noProof/>
        </w:rPr>
        <w:t>5.3.1. Objectives and stakeholder needs</w:t>
      </w:r>
      <w:bookmarkEnd w:id="110"/>
    </w:p>
    <w:p w:rsidR="00EB6A7B" w:rsidRDefault="001E7ACC">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rPr>
      </w:pPr>
      <w:r>
        <w:rPr>
          <w:rFonts w:ascii="Times New Roman" w:hAnsi="Times New Roman" w:cs="Times New Roman"/>
          <w:i/>
          <w:noProof/>
          <w:sz w:val="24"/>
        </w:rPr>
        <w:t>Evaluation question 9</w:t>
      </w:r>
    </w:p>
    <w:p w:rsidR="00EB6A7B" w:rsidRDefault="001E7ACC">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cs="Times New Roman"/>
          <w:i/>
          <w:noProof/>
          <w:sz w:val="24"/>
          <w:szCs w:val="24"/>
        </w:rPr>
        <w:t xml:space="preserve">To what extent do the objectives of the Directive </w:t>
      </w:r>
      <w:r>
        <w:rPr>
          <w:rFonts w:ascii="Times New Roman" w:hAnsi="Times New Roman" w:cs="Times New Roman"/>
          <w:i/>
          <w:noProof/>
          <w:sz w:val="24"/>
          <w:szCs w:val="24"/>
        </w:rPr>
        <w:t>(still) correspond to the needs of stakeholders, including holders of IPRs?</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Rightholders have an interest in effective and efficient means of enforcement of IPR, for which a functioning Directive harmonising enforcement procedures across Europe is seen as </w:t>
      </w:r>
      <w:r>
        <w:rPr>
          <w:rFonts w:ascii="Times New Roman" w:eastAsia="Times New Roman" w:hAnsi="Times New Roman" w:cs="Times New Roman"/>
          <w:noProof/>
          <w:sz w:val="24"/>
          <w:szCs w:val="24"/>
        </w:rPr>
        <w:t>essential.</w:t>
      </w:r>
      <w:r>
        <w:rPr>
          <w:rStyle w:val="FootnoteReference"/>
          <w:rFonts w:ascii="Times New Roman" w:eastAsia="Times New Roman" w:hAnsi="Times New Roman" w:cs="Times New Roman"/>
          <w:noProof/>
          <w:sz w:val="24"/>
          <w:szCs w:val="24"/>
        </w:rPr>
        <w:footnoteReference w:id="84"/>
      </w:r>
      <w:r>
        <w:rPr>
          <w:rFonts w:ascii="Times New Roman" w:eastAsia="Times New Roman" w:hAnsi="Times New Roman" w:cs="Times New Roman"/>
          <w:noProof/>
          <w:sz w:val="24"/>
          <w:szCs w:val="24"/>
        </w:rPr>
        <w:t xml:space="preserve"> This is supported by their call to ensure a uniform interpretation of certain provisions of the Directive, such as on the right of information, damages or the calculation of legal costs (see effectiveness section above) and by the growing numbe</w:t>
      </w:r>
      <w:r>
        <w:rPr>
          <w:rFonts w:ascii="Times New Roman" w:eastAsia="Times New Roman" w:hAnsi="Times New Roman" w:cs="Times New Roman"/>
          <w:noProof/>
          <w:sz w:val="24"/>
          <w:szCs w:val="24"/>
        </w:rPr>
        <w:t>r of IP infringements.</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report indicates that the overall relevance of the objectives of the Directive still corresponds to the needs of all stakeholders.</w:t>
      </w:r>
      <w:r>
        <w:rPr>
          <w:rStyle w:val="FootnoteReference"/>
          <w:rFonts w:ascii="Times New Roman" w:eastAsia="Times New Roman" w:hAnsi="Times New Roman" w:cs="Times New Roman"/>
          <w:noProof/>
          <w:sz w:val="24"/>
          <w:szCs w:val="24"/>
        </w:rPr>
        <w:footnoteReference w:id="85"/>
      </w:r>
      <w:r>
        <w:rPr>
          <w:rFonts w:ascii="Times New Roman" w:eastAsia="Times New Roman" w:hAnsi="Times New Roman" w:cs="Times New Roman"/>
          <w:noProof/>
          <w:sz w:val="24"/>
          <w:szCs w:val="24"/>
        </w:rPr>
        <w:t xml:space="preserve"> This is reflected in several ways:</w:t>
      </w:r>
    </w:p>
    <w:p w:rsidR="00EB6A7B" w:rsidRDefault="001E7ACC">
      <w:pPr>
        <w:pStyle w:val="ListParagraph"/>
        <w:numPr>
          <w:ilvl w:val="0"/>
          <w:numId w:val="47"/>
        </w:numPr>
        <w:spacing w:before="120" w:after="120"/>
        <w:ind w:left="284" w:hanging="284"/>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Statements regarding the recognition that IPR infri</w:t>
      </w:r>
      <w:r>
        <w:rPr>
          <w:rFonts w:ascii="Times New Roman" w:eastAsia="Times New Roman" w:hAnsi="Times New Roman" w:cs="Times New Roman"/>
          <w:noProof/>
          <w:sz w:val="24"/>
          <w:szCs w:val="24"/>
        </w:rPr>
        <w:t>ngement is an important and significant phenomenon that needs to be tackled, in line also with studies on the extent of counterfeiting and piracy activity.</w:t>
      </w:r>
    </w:p>
    <w:p w:rsidR="00EB6A7B" w:rsidRDefault="001E7ACC">
      <w:pPr>
        <w:pStyle w:val="ListParagraph"/>
        <w:numPr>
          <w:ilvl w:val="0"/>
          <w:numId w:val="47"/>
        </w:numPr>
        <w:spacing w:before="120" w:after="120"/>
        <w:ind w:left="284" w:hanging="284"/>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overall response and media coverage concerning the public consultation on the Directive, but als</w:t>
      </w:r>
      <w:r>
        <w:rPr>
          <w:rFonts w:ascii="Times New Roman" w:eastAsia="Times New Roman" w:hAnsi="Times New Roman" w:cs="Times New Roman"/>
          <w:noProof/>
          <w:sz w:val="24"/>
          <w:szCs w:val="24"/>
        </w:rPr>
        <w:t>o of IPR enforcement topics in general.</w:t>
      </w:r>
    </w:p>
    <w:p w:rsidR="00EB6A7B" w:rsidRDefault="00EB6A7B">
      <w:pPr>
        <w:pStyle w:val="ListParagraph"/>
        <w:spacing w:before="120" w:after="120"/>
        <w:ind w:left="284"/>
        <w:jc w:val="both"/>
        <w:rPr>
          <w:rFonts w:ascii="Times New Roman" w:eastAsia="Times New Roman" w:hAnsi="Times New Roman" w:cs="Times New Roman"/>
          <w:noProof/>
          <w:sz w:val="24"/>
          <w:szCs w:val="24"/>
        </w:rPr>
      </w:pPr>
    </w:p>
    <w:p w:rsidR="00EB6A7B" w:rsidRDefault="001E7ACC">
      <w:pPr>
        <w:pStyle w:val="Heading3"/>
        <w:numPr>
          <w:ilvl w:val="0"/>
          <w:numId w:val="0"/>
        </w:numPr>
        <w:ind w:left="2160"/>
        <w:rPr>
          <w:noProof/>
        </w:rPr>
      </w:pPr>
      <w:bookmarkStart w:id="111" w:name="_Toc498521066"/>
      <w:r>
        <w:rPr>
          <w:noProof/>
        </w:rPr>
        <w:t>5.3.2. Relevance of the different measures</w:t>
      </w:r>
      <w:bookmarkEnd w:id="111"/>
    </w:p>
    <w:p w:rsidR="00EB6A7B" w:rsidRDefault="001E7ACC">
      <w:p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i/>
          <w:noProof/>
          <w:sz w:val="24"/>
          <w:szCs w:val="24"/>
        </w:rPr>
      </w:pPr>
      <w:r>
        <w:rPr>
          <w:rFonts w:ascii="Times New Roman" w:hAnsi="Times New Roman" w:cs="Times New Roman"/>
          <w:i/>
          <w:noProof/>
          <w:sz w:val="24"/>
        </w:rPr>
        <w:t xml:space="preserve">Evaluation question </w:t>
      </w:r>
      <w:r>
        <w:rPr>
          <w:rFonts w:ascii="Times New Roman" w:hAnsi="Times New Roman" w:cs="Times New Roman"/>
          <w:i/>
          <w:noProof/>
          <w:sz w:val="24"/>
          <w:szCs w:val="24"/>
        </w:rPr>
        <w:t>10</w:t>
      </w:r>
    </w:p>
    <w:p w:rsidR="00EB6A7B" w:rsidRDefault="001E7ACC">
      <w:pPr>
        <w:pBdr>
          <w:top w:val="single" w:sz="4" w:space="1" w:color="auto"/>
          <w:left w:val="single" w:sz="4" w:space="4" w:color="auto"/>
          <w:bottom w:val="single" w:sz="4" w:space="1" w:color="auto"/>
          <w:right w:val="single" w:sz="4" w:space="4" w:color="auto"/>
        </w:pBdr>
        <w:jc w:val="both"/>
        <w:rPr>
          <w:rFonts w:ascii="Times New Roman" w:hAnsi="Times New Roman" w:cs="Times New Roman"/>
          <w:i/>
          <w:noProof/>
          <w:sz w:val="24"/>
          <w:szCs w:val="24"/>
        </w:rPr>
      </w:pPr>
      <w:r>
        <w:rPr>
          <w:rFonts w:ascii="Times New Roman" w:hAnsi="Times New Roman" w:cs="Times New Roman"/>
          <w:i/>
          <w:noProof/>
          <w:sz w:val="24"/>
          <w:szCs w:val="24"/>
        </w:rPr>
        <w:t>To what extent have the measures, procedures and remedies provided for by the Directive been relevant to meet the objective of ensuring the enforceme</w:t>
      </w:r>
      <w:r>
        <w:rPr>
          <w:rFonts w:ascii="Times New Roman" w:hAnsi="Times New Roman" w:cs="Times New Roman"/>
          <w:i/>
          <w:noProof/>
          <w:sz w:val="24"/>
          <w:szCs w:val="24"/>
        </w:rPr>
        <w:t>nt of intellectual property?- In view of the development of the digital environment, to what extent are the measures, procedures and remedies provided for by the Directive still relevant for achieving the objectives of the Directive or have other approache</w:t>
      </w:r>
      <w:r>
        <w:rPr>
          <w:rFonts w:ascii="Times New Roman" w:hAnsi="Times New Roman" w:cs="Times New Roman"/>
          <w:i/>
          <w:noProof/>
          <w:sz w:val="24"/>
          <w:szCs w:val="24"/>
        </w:rPr>
        <w:t xml:space="preserve">s currently not provided for by the Directive become more important? </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Within the Directive, the different measures and remedies can be ranked according to relevance for enforcing IPR. According to the Evaluation Study</w:t>
      </w:r>
      <w:r>
        <w:rPr>
          <w:rStyle w:val="FootnoteReference"/>
          <w:rFonts w:ascii="Times New Roman" w:eastAsia="Times New Roman" w:hAnsi="Times New Roman" w:cs="Times New Roman"/>
          <w:noProof/>
          <w:sz w:val="24"/>
          <w:szCs w:val="24"/>
        </w:rPr>
        <w:footnoteReference w:id="86"/>
      </w:r>
      <w:r>
        <w:rPr>
          <w:rFonts w:ascii="Times New Roman" w:eastAsia="Times New Roman" w:hAnsi="Times New Roman" w:cs="Times New Roman"/>
          <w:noProof/>
          <w:sz w:val="24"/>
          <w:szCs w:val="24"/>
        </w:rPr>
        <w:t>, they could be ranked as follows:</w:t>
      </w:r>
    </w:p>
    <w:p w:rsidR="00EB6A7B" w:rsidRDefault="001E7ACC">
      <w:pPr>
        <w:numPr>
          <w:ilvl w:val="0"/>
          <w:numId w:val="42"/>
        </w:numPr>
        <w:spacing w:before="120" w:after="120"/>
        <w:ind w:left="284" w:hanging="284"/>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w:t>
      </w:r>
      <w:r>
        <w:rPr>
          <w:rFonts w:ascii="Times New Roman" w:eastAsia="Times New Roman" w:hAnsi="Times New Roman" w:cs="Times New Roman"/>
          <w:noProof/>
          <w:sz w:val="24"/>
          <w:szCs w:val="24"/>
        </w:rPr>
        <w:t xml:space="preserve"> most important measure – and also the one that was most intensely discussed by stakeholders – was preliminary injunctions.</w:t>
      </w:r>
    </w:p>
    <w:p w:rsidR="00EB6A7B" w:rsidRDefault="001E7ACC">
      <w:pPr>
        <w:numPr>
          <w:ilvl w:val="0"/>
          <w:numId w:val="42"/>
        </w:numPr>
        <w:spacing w:before="120" w:after="120"/>
        <w:ind w:left="284" w:hanging="284"/>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was followed by (and most of the time coupled to) the measures relating to the right of information or to evidence.</w:t>
      </w:r>
    </w:p>
    <w:p w:rsidR="00EB6A7B" w:rsidRDefault="001E7ACC">
      <w:pPr>
        <w:numPr>
          <w:ilvl w:val="0"/>
          <w:numId w:val="42"/>
        </w:numPr>
        <w:spacing w:before="120" w:after="120"/>
        <w:ind w:left="284" w:hanging="284"/>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Ranking thi</w:t>
      </w:r>
      <w:r>
        <w:rPr>
          <w:rFonts w:ascii="Times New Roman" w:eastAsia="Times New Roman" w:hAnsi="Times New Roman" w:cs="Times New Roman"/>
          <w:noProof/>
          <w:sz w:val="24"/>
          <w:szCs w:val="24"/>
        </w:rPr>
        <w:t>rd, and seemingly less relevant than the remedies ranked first and second, are the provisions regarding damages and legal costs.</w:t>
      </w:r>
    </w:p>
    <w:p w:rsidR="00EB6A7B" w:rsidRDefault="001E7ACC">
      <w:pPr>
        <w:numPr>
          <w:ilvl w:val="0"/>
          <w:numId w:val="42"/>
        </w:numPr>
        <w:spacing w:before="120" w:after="120"/>
        <w:ind w:left="284" w:hanging="284"/>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Very few comments were received with respect to the provisions regarding publication. These were considered as the least releva</w:t>
      </w:r>
      <w:r>
        <w:rPr>
          <w:rFonts w:ascii="Times New Roman" w:eastAsia="Times New Roman" w:hAnsi="Times New Roman" w:cs="Times New Roman"/>
          <w:noProof/>
          <w:sz w:val="24"/>
          <w:szCs w:val="24"/>
        </w:rPr>
        <w:t>nt.</w:t>
      </w:r>
    </w:p>
    <w:p w:rsidR="00EB6A7B" w:rsidRDefault="00EB6A7B">
      <w:pPr>
        <w:spacing w:before="120" w:after="120"/>
        <w:jc w:val="both"/>
        <w:rPr>
          <w:rFonts w:ascii="Times New Roman" w:eastAsia="Times New Roman" w:hAnsi="Times New Roman" w:cs="Times New Roman"/>
          <w:b/>
          <w:i/>
          <w:noProof/>
          <w:sz w:val="24"/>
          <w:szCs w:val="24"/>
        </w:rPr>
      </w:pPr>
    </w:p>
    <w:p w:rsidR="00EB6A7B" w:rsidRDefault="001E7ACC">
      <w:pPr>
        <w:spacing w:before="120" w:after="120"/>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Preliminary injunctions</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rationale behind the first ranking is seen in the fact that preliminary injunctions are the most powerful tool, as they have, on a provisional basis, direct and effective consequences for the opposing party. This can be </w:t>
      </w:r>
      <w:r>
        <w:rPr>
          <w:rFonts w:ascii="Times New Roman" w:eastAsia="Times New Roman" w:hAnsi="Times New Roman" w:cs="Times New Roman"/>
          <w:noProof/>
          <w:sz w:val="24"/>
          <w:szCs w:val="24"/>
        </w:rPr>
        <w:t>especially necessary as it can take some time until the matter is resolved in proceedings on the merits of the case. Even the threat of preliminary injunctions may in certain cases be enough to bring (alleged) IPR infringers to the negotiation table, so th</w:t>
      </w:r>
      <w:r>
        <w:rPr>
          <w:rFonts w:ascii="Times New Roman" w:eastAsia="Times New Roman" w:hAnsi="Times New Roman" w:cs="Times New Roman"/>
          <w:noProof/>
          <w:sz w:val="24"/>
          <w:szCs w:val="24"/>
        </w:rPr>
        <w:t>at litigation may not be necessary (or – if litigation is started – it will not be brought to conclusion, because the parties settle out of court).</w:t>
      </w:r>
    </w:p>
    <w:p w:rsidR="00EB6A7B" w:rsidRDefault="00EB6A7B">
      <w:pPr>
        <w:spacing w:before="120" w:after="120"/>
        <w:jc w:val="both"/>
        <w:rPr>
          <w:rFonts w:ascii="Times New Roman" w:eastAsia="Times New Roman" w:hAnsi="Times New Roman" w:cs="Times New Roman"/>
          <w:noProof/>
          <w:sz w:val="24"/>
          <w:szCs w:val="24"/>
        </w:rPr>
      </w:pPr>
    </w:p>
    <w:p w:rsidR="00EB6A7B" w:rsidRDefault="001E7ACC">
      <w:pPr>
        <w:spacing w:before="120" w:after="120"/>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Right of information / evidence</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According to the Evaluation Study</w:t>
      </w:r>
      <w:r>
        <w:rPr>
          <w:rStyle w:val="FootnoteReference"/>
          <w:rFonts w:ascii="Times New Roman" w:eastAsia="Times New Roman" w:hAnsi="Times New Roman" w:cs="Times New Roman"/>
          <w:noProof/>
          <w:sz w:val="24"/>
          <w:szCs w:val="24"/>
        </w:rPr>
        <w:footnoteReference w:id="87"/>
      </w:r>
      <w:r>
        <w:rPr>
          <w:rFonts w:ascii="Times New Roman" w:eastAsia="Times New Roman" w:hAnsi="Times New Roman" w:cs="Times New Roman"/>
          <w:noProof/>
          <w:sz w:val="24"/>
          <w:szCs w:val="24"/>
        </w:rPr>
        <w:t xml:space="preserve">, the right of information and the rules </w:t>
      </w:r>
      <w:r>
        <w:rPr>
          <w:rFonts w:ascii="Times New Roman" w:eastAsia="Times New Roman" w:hAnsi="Times New Roman" w:cs="Times New Roman"/>
          <w:noProof/>
          <w:sz w:val="24"/>
          <w:szCs w:val="24"/>
        </w:rPr>
        <w:t>on the presentation and preservation of evidence are often relevant in practice as pre-requisite to issue an injunction. Issues on obtaining information are discussed in more details in the effectiveness section.</w:t>
      </w:r>
    </w:p>
    <w:p w:rsidR="00EB6A7B" w:rsidRDefault="00EB6A7B">
      <w:pPr>
        <w:spacing w:before="120" w:after="120"/>
        <w:jc w:val="both"/>
        <w:rPr>
          <w:rFonts w:ascii="Times New Roman" w:eastAsia="Times New Roman" w:hAnsi="Times New Roman" w:cs="Times New Roman"/>
          <w:noProof/>
          <w:sz w:val="24"/>
          <w:szCs w:val="24"/>
        </w:rPr>
      </w:pPr>
    </w:p>
    <w:p w:rsidR="00EB6A7B" w:rsidRDefault="001E7ACC">
      <w:pPr>
        <w:spacing w:before="120" w:after="120"/>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Damages, legal costs</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reason why damage</w:t>
      </w:r>
      <w:r>
        <w:rPr>
          <w:rFonts w:ascii="Times New Roman" w:eastAsia="Times New Roman" w:hAnsi="Times New Roman" w:cs="Times New Roman"/>
          <w:noProof/>
          <w:sz w:val="24"/>
          <w:szCs w:val="24"/>
        </w:rPr>
        <w:t>s do not seem to play much of a role, at least for the majority of stakeholders – even if the difficulties assessing damages are catered for – lies in the overall objective of rightholders to consider the future and stop infringement, rather than looking t</w:t>
      </w:r>
      <w:r>
        <w:rPr>
          <w:rFonts w:ascii="Times New Roman" w:eastAsia="Times New Roman" w:hAnsi="Times New Roman" w:cs="Times New Roman"/>
          <w:noProof/>
          <w:sz w:val="24"/>
          <w:szCs w:val="24"/>
        </w:rPr>
        <w:t>o the past and try to obtain a damages award.</w:t>
      </w:r>
      <w:r>
        <w:rPr>
          <w:rStyle w:val="FootnoteReference"/>
          <w:rFonts w:ascii="Times New Roman" w:eastAsia="Times New Roman" w:hAnsi="Times New Roman" w:cs="Times New Roman"/>
          <w:noProof/>
          <w:sz w:val="24"/>
          <w:szCs w:val="24"/>
        </w:rPr>
        <w:footnoteReference w:id="88"/>
      </w:r>
      <w:r>
        <w:rPr>
          <w:rFonts w:ascii="Times New Roman" w:eastAsia="Times New Roman" w:hAnsi="Times New Roman" w:cs="Times New Roman"/>
          <w:noProof/>
          <w:sz w:val="24"/>
          <w:szCs w:val="24"/>
        </w:rPr>
        <w:t xml:space="preserve"> See also section on effectiveness for more details. Apart from the problems assessing the level of damages, there is also the issue whether any damages award is actually enforceable in practice (firms may go b</w:t>
      </w:r>
      <w:r>
        <w:rPr>
          <w:rFonts w:ascii="Times New Roman" w:eastAsia="Times New Roman" w:hAnsi="Times New Roman" w:cs="Times New Roman"/>
          <w:noProof/>
          <w:sz w:val="24"/>
          <w:szCs w:val="24"/>
        </w:rPr>
        <w:t xml:space="preserve">ankrupt, bank accounts are in another country, etc.). In cases such as patent enforcement proceedings, the goal is frequently to reach licensing agreements and thus generate future revenue for the rightholder. </w:t>
      </w:r>
    </w:p>
    <w:p w:rsidR="00EB6A7B" w:rsidRDefault="001E7ACC">
      <w:pPr>
        <w:spacing w:before="120" w:after="120"/>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Publication</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Almost all respondents from the j</w:t>
      </w:r>
      <w:r>
        <w:rPr>
          <w:rFonts w:ascii="Times New Roman" w:eastAsia="Times New Roman" w:hAnsi="Times New Roman" w:cs="Times New Roman"/>
          <w:noProof/>
          <w:sz w:val="24"/>
          <w:szCs w:val="24"/>
        </w:rPr>
        <w:t>udiciary and legal profession in the public consultation stated that judicial decisions related to the enforcement of IPRs are publicly accessible in their jurisdiction. However, only a few Member States have dedicated websites for such purposes. Furthermo</w:t>
      </w:r>
      <w:r>
        <w:rPr>
          <w:rFonts w:ascii="Times New Roman" w:eastAsia="Times New Roman" w:hAnsi="Times New Roman" w:cs="Times New Roman"/>
          <w:noProof/>
          <w:sz w:val="24"/>
          <w:szCs w:val="24"/>
        </w:rPr>
        <w:t>re, very often only final judgments from the appeal courts are available, not first instance or interim decisions. These are available only on commercial databases. In other jurisdictions no central database exists and judgments can only be obtained direct</w:t>
      </w:r>
      <w:r>
        <w:rPr>
          <w:rFonts w:ascii="Times New Roman" w:eastAsia="Times New Roman" w:hAnsi="Times New Roman" w:cs="Times New Roman"/>
          <w:noProof/>
          <w:sz w:val="24"/>
          <w:szCs w:val="24"/>
        </w:rPr>
        <w:t>ly from the court in question. In some cases publication depends on the approval of the judge or the interest of the public in the decision in question. Personal data is removed before publication. For two Member States decisions do not seem to be publicly</w:t>
      </w:r>
      <w:r>
        <w:rPr>
          <w:rFonts w:ascii="Times New Roman" w:eastAsia="Times New Roman" w:hAnsi="Times New Roman" w:cs="Times New Roman"/>
          <w:noProof/>
          <w:sz w:val="24"/>
          <w:szCs w:val="24"/>
        </w:rPr>
        <w:t xml:space="preserve"> available.</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interviews with experts indicate that many IPR enforcement actions are actually handled in a confidential manner and details of deals struck out-of-court are kept confidential. </w:t>
      </w:r>
    </w:p>
    <w:p w:rsidR="00EB6A7B" w:rsidRDefault="001E7ACC">
      <w:pPr>
        <w:spacing w:before="120" w:after="120"/>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Digital environment</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overall feedback received from rightho</w:t>
      </w:r>
      <w:r>
        <w:rPr>
          <w:rFonts w:ascii="Times New Roman" w:eastAsia="Times New Roman" w:hAnsi="Times New Roman" w:cs="Times New Roman"/>
          <w:noProof/>
          <w:sz w:val="24"/>
          <w:szCs w:val="24"/>
        </w:rPr>
        <w:t>lders in the public consultation is to be interpreted as considering the current provisions of the Directive related to evidence to be relevant also in the digital environment. They however see a need for better application with regard to preserving eviden</w:t>
      </w:r>
      <w:r>
        <w:rPr>
          <w:rFonts w:ascii="Times New Roman" w:eastAsia="Times New Roman" w:hAnsi="Times New Roman" w:cs="Times New Roman"/>
          <w:noProof/>
          <w:sz w:val="24"/>
          <w:szCs w:val="24"/>
        </w:rPr>
        <w:t xml:space="preserve">ce in the digital environment. </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There was a broad consensus among respondents that the interpretation of the Articles on the presentation and preservation of evidence (Articles 6 and 7) should be clarified for the digital environment. This included three m</w:t>
      </w:r>
      <w:r>
        <w:rPr>
          <w:rFonts w:ascii="Times New Roman" w:eastAsia="Times New Roman" w:hAnsi="Times New Roman" w:cs="Times New Roman"/>
          <w:noProof/>
          <w:sz w:val="24"/>
          <w:szCs w:val="24"/>
        </w:rPr>
        <w:t>ain aspects:</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Clarifying that Articles 6 and 7 of the Directive apply equally to online infringements. Specific suggestions include clarifying that websites and their servers can be seized as infringing goods, including at hosting providers;</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Ensuring co</w:t>
      </w:r>
      <w:r>
        <w:rPr>
          <w:rFonts w:ascii="Times New Roman" w:eastAsia="Times New Roman" w:hAnsi="Times New Roman" w:cs="Times New Roman"/>
          <w:noProof/>
          <w:sz w:val="24"/>
          <w:szCs w:val="24"/>
        </w:rPr>
        <w:t>rrect and harmonised application across all Member States, and addressing suggested flaws in generating evidence in the digital infringement, such as the requirement in some Member States for notarised evidence;</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Facilitating the production, preservation </w:t>
      </w:r>
      <w:r>
        <w:rPr>
          <w:rFonts w:ascii="Times New Roman" w:eastAsia="Times New Roman" w:hAnsi="Times New Roman" w:cs="Times New Roman"/>
          <w:noProof/>
          <w:sz w:val="24"/>
          <w:szCs w:val="24"/>
        </w:rPr>
        <w:t>and cross-border acceptance of evidence, in light of specific challenges of digital environments such as i) the anonymity of the internet presenting difficulties in identifying and thus pursuing infringers, and ii) the ease with which infringing parties ca</w:t>
      </w:r>
      <w:r>
        <w:rPr>
          <w:rFonts w:ascii="Times New Roman" w:eastAsia="Times New Roman" w:hAnsi="Times New Roman" w:cs="Times New Roman"/>
          <w:noProof/>
          <w:sz w:val="24"/>
          <w:szCs w:val="24"/>
        </w:rPr>
        <w:t>n delete evidence and online archives of date stamped data.</w:t>
      </w:r>
    </w:p>
    <w:p w:rsidR="00EB6A7B" w:rsidRDefault="001E7ACC">
      <w:pPr>
        <w:spacing w:before="120" w:after="120"/>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Other approaches for enforcement of IPRs</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An</w:t>
      </w:r>
      <w:r>
        <w:rPr>
          <w:rFonts w:ascii="Times New Roman" w:hAnsi="Times New Roman" w:cs="Times New Roman"/>
          <w:noProof/>
        </w:rPr>
        <w:t xml:space="preserve"> </w:t>
      </w:r>
      <w:r>
        <w:rPr>
          <w:rFonts w:ascii="Times New Roman" w:eastAsia="Times New Roman" w:hAnsi="Times New Roman" w:cs="Times New Roman"/>
          <w:noProof/>
          <w:sz w:val="24"/>
          <w:szCs w:val="24"/>
        </w:rPr>
        <w:t>approach currently not provided for by the Directive and which was discussed with interview partners as well as with the World Intellectual Property Org</w:t>
      </w:r>
      <w:r>
        <w:rPr>
          <w:rFonts w:ascii="Times New Roman" w:eastAsia="Times New Roman" w:hAnsi="Times New Roman" w:cs="Times New Roman"/>
          <w:noProof/>
          <w:sz w:val="24"/>
          <w:szCs w:val="24"/>
        </w:rPr>
        <w:t xml:space="preserve">anisation (WIPO) arbitration centre is the extent to which </w:t>
      </w:r>
      <w:r>
        <w:rPr>
          <w:rFonts w:ascii="Times New Roman" w:eastAsia="Times New Roman" w:hAnsi="Times New Roman" w:cs="Times New Roman"/>
          <w:b/>
          <w:noProof/>
          <w:sz w:val="24"/>
          <w:szCs w:val="24"/>
        </w:rPr>
        <w:t xml:space="preserve">alternative dispute resolution (ADR) – mediation and arbitration </w:t>
      </w:r>
      <w:r>
        <w:rPr>
          <w:rFonts w:ascii="Times New Roman" w:eastAsia="Times New Roman" w:hAnsi="Times New Roman" w:cs="Times New Roman"/>
          <w:noProof/>
          <w:sz w:val="24"/>
          <w:szCs w:val="24"/>
        </w:rPr>
        <w:t>– provide alternative means for IPR enforcement. One of the advantages of ADR is that that cross-border issues can often be resolved</w:t>
      </w:r>
      <w:r>
        <w:rPr>
          <w:rFonts w:ascii="Times New Roman" w:eastAsia="Times New Roman" w:hAnsi="Times New Roman" w:cs="Times New Roman"/>
          <w:noProof/>
          <w:sz w:val="24"/>
          <w:szCs w:val="24"/>
        </w:rPr>
        <w:t xml:space="preserve"> more easily, as ADR is typically designed in such a way that the whole case (which could span several Member States) is negotiated in one single procedure. </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ADR also tends to be faster and cheaper than litigation before courts. The big drawback is the obs</w:t>
      </w:r>
      <w:r>
        <w:rPr>
          <w:rFonts w:ascii="Times New Roman" w:eastAsia="Times New Roman" w:hAnsi="Times New Roman" w:cs="Times New Roman"/>
          <w:noProof/>
          <w:sz w:val="24"/>
          <w:szCs w:val="24"/>
        </w:rPr>
        <w:t xml:space="preserve">ervation that ADR works best (or may only work) if two parties who are in a contractual arrangement (e.g., have a licensing deal) already arrange for an ADR/mediation procedure in the contract, before there are any hostilities. </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However, in IPR enforcement</w:t>
      </w:r>
      <w:r>
        <w:rPr>
          <w:rFonts w:ascii="Times New Roman" w:eastAsia="Times New Roman" w:hAnsi="Times New Roman" w:cs="Times New Roman"/>
          <w:noProof/>
          <w:sz w:val="24"/>
          <w:szCs w:val="24"/>
        </w:rPr>
        <w:t xml:space="preserve"> it is often that applicants and defendants have not had an underlying prior contract regulating disputes on the IP via ADR, and once the argument starts, it is hard to still agree to use ADR. Therefore, there was some scepticism whether ADR could be a via</w:t>
      </w:r>
      <w:r>
        <w:rPr>
          <w:rFonts w:ascii="Times New Roman" w:eastAsia="Times New Roman" w:hAnsi="Times New Roman" w:cs="Times New Roman"/>
          <w:noProof/>
          <w:sz w:val="24"/>
          <w:szCs w:val="24"/>
        </w:rPr>
        <w:t xml:space="preserve">ble alternative for IPR enforcement among stakeholders. While it has been acknowledged that the significance of ADR has been increasing, ADR is still a rather nascent and small phenomenon in IPR enforcement. </w:t>
      </w:r>
    </w:p>
    <w:p w:rsidR="00EB6A7B" w:rsidRDefault="00EB6A7B">
      <w:pPr>
        <w:spacing w:before="120" w:after="120"/>
        <w:jc w:val="both"/>
        <w:rPr>
          <w:rFonts w:ascii="Times New Roman" w:eastAsia="Times New Roman" w:hAnsi="Times New Roman" w:cs="Times New Roman"/>
          <w:noProof/>
          <w:sz w:val="24"/>
          <w:szCs w:val="24"/>
        </w:rPr>
      </w:pPr>
    </w:p>
    <w:p w:rsidR="00EB6A7B" w:rsidRDefault="001E7ACC">
      <w:pPr>
        <w:pStyle w:val="Heading3"/>
        <w:numPr>
          <w:ilvl w:val="0"/>
          <w:numId w:val="0"/>
        </w:numPr>
        <w:ind w:left="2160"/>
        <w:rPr>
          <w:noProof/>
        </w:rPr>
      </w:pPr>
      <w:bookmarkStart w:id="112" w:name="_Toc498521067"/>
      <w:r>
        <w:rPr>
          <w:noProof/>
        </w:rPr>
        <w:t>5.3.3. Contribution of other developments</w:t>
      </w:r>
      <w:bookmarkEnd w:id="112"/>
    </w:p>
    <w:p w:rsidR="00EB6A7B" w:rsidRDefault="001E7ACC">
      <w:p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i/>
          <w:noProof/>
          <w:sz w:val="24"/>
          <w:szCs w:val="24"/>
        </w:rPr>
      </w:pPr>
      <w:r>
        <w:rPr>
          <w:rFonts w:ascii="Times New Roman" w:hAnsi="Times New Roman" w:cs="Times New Roman"/>
          <w:i/>
          <w:noProof/>
          <w:sz w:val="24"/>
          <w:szCs w:val="24"/>
        </w:rPr>
        <w:t>Evaluation question 11</w:t>
      </w:r>
    </w:p>
    <w:p w:rsidR="00EB6A7B" w:rsidRDefault="001E7ACC">
      <w:pPr>
        <w:pBdr>
          <w:top w:val="single" w:sz="4" w:space="1" w:color="auto"/>
          <w:left w:val="single" w:sz="4" w:space="4" w:color="auto"/>
          <w:bottom w:val="single" w:sz="4" w:space="1" w:color="auto"/>
          <w:right w:val="single" w:sz="4" w:space="4" w:color="auto"/>
        </w:pBdr>
        <w:rPr>
          <w:rFonts w:ascii="Times New Roman" w:hAnsi="Times New Roman" w:cs="Times New Roman"/>
          <w:i/>
          <w:noProof/>
          <w:sz w:val="24"/>
          <w:szCs w:val="24"/>
        </w:rPr>
      </w:pPr>
      <w:r>
        <w:rPr>
          <w:rFonts w:ascii="Times New Roman" w:hAnsi="Times New Roman" w:cs="Times New Roman"/>
          <w:i/>
          <w:noProof/>
          <w:sz w:val="24"/>
          <w:szCs w:val="24"/>
        </w:rPr>
        <w:t>Have there been developments since the entering into force of the Directive, in particular with regard to the development of the digital environment and technology in general that contributed to achieving the objectives?</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main dev</w:t>
      </w:r>
      <w:r>
        <w:rPr>
          <w:rFonts w:ascii="Times New Roman" w:eastAsia="Times New Roman" w:hAnsi="Times New Roman" w:cs="Times New Roman"/>
          <w:noProof/>
          <w:sz w:val="24"/>
          <w:szCs w:val="24"/>
        </w:rPr>
        <w:t>elopment since the entering into force of the Directive was an expansion of the digital market:</w:t>
      </w:r>
    </w:p>
    <w:p w:rsidR="00EB6A7B" w:rsidRDefault="001E7ACC">
      <w:pPr>
        <w:pStyle w:val="ListParagraph"/>
        <w:numPr>
          <w:ilvl w:val="0"/>
          <w:numId w:val="43"/>
        </w:numPr>
        <w:spacing w:before="120" w:after="120"/>
        <w:ind w:left="284" w:hanging="284"/>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proliferation of new business models for distributing digital content and trading physical goods (both legit and illegal business models, with the latter th</w:t>
      </w:r>
      <w:r>
        <w:rPr>
          <w:rFonts w:ascii="Times New Roman" w:eastAsia="Times New Roman" w:hAnsi="Times New Roman" w:cs="Times New Roman"/>
          <w:noProof/>
          <w:sz w:val="24"/>
          <w:szCs w:val="24"/>
        </w:rPr>
        <w:t>riving on the occurrence of IP infringements)</w:t>
      </w:r>
    </w:p>
    <w:p w:rsidR="00EB6A7B" w:rsidRDefault="001E7ACC">
      <w:pPr>
        <w:pStyle w:val="ListParagraph"/>
        <w:numPr>
          <w:ilvl w:val="0"/>
          <w:numId w:val="43"/>
        </w:numPr>
        <w:spacing w:before="120" w:after="120"/>
        <w:ind w:left="284" w:hanging="284"/>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 stronger occurrence and relevance of cross-border / global trade and distribution</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major issue with respect to new business models is the proliferation of internet platforms and various service providers t</w:t>
      </w:r>
      <w:r>
        <w:rPr>
          <w:rFonts w:ascii="Times New Roman" w:eastAsia="Times New Roman" w:hAnsi="Times New Roman" w:cs="Times New Roman"/>
          <w:noProof/>
          <w:sz w:val="24"/>
          <w:szCs w:val="24"/>
        </w:rPr>
        <w:t>hat could be considered intermediaries within the context of Articles 9 and 11. The intermediary issue has increased in significance, also – because physical goods have been more and more traded via the internet. As such, illicit platforms of dubious origi</w:t>
      </w:r>
      <w:r>
        <w:rPr>
          <w:rFonts w:ascii="Times New Roman" w:eastAsia="Times New Roman" w:hAnsi="Times New Roman" w:cs="Times New Roman"/>
          <w:noProof/>
          <w:sz w:val="24"/>
          <w:szCs w:val="24"/>
        </w:rPr>
        <w:t>n have been a topic of discussion, as have large platforms. The general indication from stakeholders is that there is an urge to have a wider and better definition of what constitutes an intermediary under the Directive, particularly by rightholders, while</w:t>
      </w:r>
      <w:r>
        <w:rPr>
          <w:rFonts w:ascii="Times New Roman" w:eastAsia="Times New Roman" w:hAnsi="Times New Roman" w:cs="Times New Roman"/>
          <w:noProof/>
          <w:sz w:val="24"/>
          <w:szCs w:val="24"/>
        </w:rPr>
        <w:t xml:space="preserve"> online intermediaries themselves regard the current legal text as more or less sufficient. A general conclusion that can be drawn is that, at the very least, the Directive as a tool for the enforcement of IPR has not lost significance, but continues to be</w:t>
      </w:r>
      <w:r>
        <w:rPr>
          <w:rFonts w:ascii="Times New Roman" w:eastAsia="Times New Roman" w:hAnsi="Times New Roman" w:cs="Times New Roman"/>
          <w:noProof/>
          <w:sz w:val="24"/>
          <w:szCs w:val="24"/>
        </w:rPr>
        <w:t xml:space="preserve"> an important pillar for safeguarding IPR enforcement.</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recent times there have been, significant developments, in particular with the proliferation of legal alternatives to access IP protected digital content, such as streaming services or well develope</w:t>
      </w:r>
      <w:r>
        <w:rPr>
          <w:rFonts w:ascii="Times New Roman" w:eastAsia="Times New Roman" w:hAnsi="Times New Roman" w:cs="Times New Roman"/>
          <w:noProof/>
          <w:sz w:val="24"/>
          <w:szCs w:val="24"/>
        </w:rPr>
        <w:t>d games platforms</w:t>
      </w:r>
      <w:r>
        <w:rPr>
          <w:rStyle w:val="FootnoteReference"/>
          <w:rFonts w:ascii="Times New Roman" w:eastAsia="Times New Roman" w:hAnsi="Times New Roman" w:cs="Times New Roman"/>
          <w:noProof/>
          <w:sz w:val="24"/>
          <w:szCs w:val="24"/>
        </w:rPr>
        <w:footnoteReference w:id="89"/>
      </w:r>
      <w:r>
        <w:rPr>
          <w:rFonts w:ascii="Times New Roman" w:eastAsia="Times New Roman" w:hAnsi="Times New Roman" w:cs="Times New Roman"/>
          <w:noProof/>
          <w:sz w:val="24"/>
          <w:szCs w:val="24"/>
        </w:rPr>
        <w:t xml:space="preserve">, which however still require effective enforcement tools.  </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While this contributes indeed to reducing the space for business models based on infringing activities, the IP enforcement framework remains important for the take-up of legal a</w:t>
      </w:r>
      <w:r>
        <w:rPr>
          <w:rFonts w:ascii="Times New Roman" w:eastAsia="Times New Roman" w:hAnsi="Times New Roman" w:cs="Times New Roman"/>
          <w:noProof/>
          <w:sz w:val="24"/>
          <w:szCs w:val="24"/>
        </w:rPr>
        <w:t>lternatives and the digital economy at large</w:t>
      </w:r>
      <w:r>
        <w:rPr>
          <w:rStyle w:val="FootnoteReference"/>
          <w:rFonts w:ascii="Times New Roman" w:eastAsia="Times New Roman" w:hAnsi="Times New Roman" w:cs="Times New Roman"/>
          <w:noProof/>
          <w:sz w:val="24"/>
          <w:szCs w:val="24"/>
        </w:rPr>
        <w:footnoteReference w:id="90"/>
      </w:r>
      <w:r>
        <w:rPr>
          <w:rFonts w:ascii="Times New Roman" w:eastAsia="Times New Roman" w:hAnsi="Times New Roman" w:cs="Times New Roman"/>
          <w:noProof/>
          <w:sz w:val="24"/>
          <w:szCs w:val="24"/>
        </w:rPr>
        <w:t>.</w:t>
      </w:r>
      <w:r>
        <w:rPr>
          <w:noProof/>
        </w:rPr>
        <w:t xml:space="preserve"> </w:t>
      </w:r>
      <w:r>
        <w:rPr>
          <w:rFonts w:ascii="Times New Roman" w:hAnsi="Times New Roman" w:cs="Times New Roman"/>
          <w:noProof/>
          <w:sz w:val="24"/>
          <w:szCs w:val="24"/>
        </w:rPr>
        <w:t xml:space="preserve">An efficient enforcement also through the civil redress mechanisms provided by IPRED remains relevant as part of the </w:t>
      </w:r>
      <w:r>
        <w:rPr>
          <w:rFonts w:ascii="Times New Roman" w:eastAsia="Times New Roman" w:hAnsi="Times New Roman" w:cs="Times New Roman"/>
          <w:noProof/>
          <w:sz w:val="24"/>
          <w:szCs w:val="24"/>
        </w:rPr>
        <w:t>conditions which secure that, investments in new creations and R&amp;D are properly protected an</w:t>
      </w:r>
      <w:r>
        <w:rPr>
          <w:rFonts w:ascii="Times New Roman" w:eastAsia="Times New Roman" w:hAnsi="Times New Roman" w:cs="Times New Roman"/>
          <w:noProof/>
          <w:sz w:val="24"/>
          <w:szCs w:val="24"/>
        </w:rPr>
        <w:t>d can generate an appropriate return for investors and the creative industries</w:t>
      </w:r>
      <w:r>
        <w:rPr>
          <w:rStyle w:val="FootnoteReference"/>
          <w:rFonts w:ascii="Times New Roman" w:eastAsia="Times New Roman" w:hAnsi="Times New Roman" w:cs="Times New Roman"/>
          <w:noProof/>
          <w:sz w:val="24"/>
          <w:szCs w:val="24"/>
        </w:rPr>
        <w:footnoteReference w:id="91"/>
      </w:r>
      <w:r>
        <w:rPr>
          <w:rFonts w:ascii="Times New Roman" w:eastAsia="Times New Roman" w:hAnsi="Times New Roman" w:cs="Times New Roman"/>
          <w:noProof/>
          <w:sz w:val="24"/>
          <w:szCs w:val="24"/>
        </w:rPr>
        <w:t>.</w:t>
      </w:r>
    </w:p>
    <w:p w:rsidR="00EB6A7B" w:rsidRDefault="00EB6A7B">
      <w:pPr>
        <w:spacing w:before="120" w:after="120"/>
        <w:jc w:val="both"/>
        <w:rPr>
          <w:rFonts w:ascii="Times New Roman" w:eastAsia="Times New Roman" w:hAnsi="Times New Roman" w:cs="Times New Roman"/>
          <w:noProof/>
          <w:sz w:val="24"/>
          <w:szCs w:val="24"/>
        </w:rPr>
      </w:pPr>
    </w:p>
    <w:p w:rsidR="00EB6A7B" w:rsidRDefault="001E7ACC">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b/>
          <w:noProof/>
          <w:sz w:val="24"/>
          <w:szCs w:val="24"/>
          <w:u w:val="single"/>
        </w:rPr>
        <w:t>In conclusion</w:t>
      </w:r>
      <w:r>
        <w:rPr>
          <w:rFonts w:ascii="Times New Roman" w:hAnsi="Times New Roman" w:cs="Times New Roman"/>
          <w:noProof/>
          <w:sz w:val="24"/>
          <w:szCs w:val="24"/>
        </w:rPr>
        <w:t xml:space="preserve">, the Directive remains relevant as a tool facilitating enforcement of the different IPRs. </w:t>
      </w:r>
      <w:r>
        <w:rPr>
          <w:rFonts w:ascii="Times New Roman" w:eastAsia="Times New Roman" w:hAnsi="Times New Roman" w:cs="Times New Roman"/>
          <w:noProof/>
          <w:sz w:val="24"/>
          <w:szCs w:val="24"/>
        </w:rPr>
        <w:t xml:space="preserve">The overall relevance of the objectives of the Directive still </w:t>
      </w:r>
      <w:r>
        <w:rPr>
          <w:rFonts w:ascii="Times New Roman" w:eastAsia="Times New Roman" w:hAnsi="Times New Roman" w:cs="Times New Roman"/>
          <w:noProof/>
          <w:sz w:val="24"/>
          <w:szCs w:val="24"/>
        </w:rPr>
        <w:t>corresponds to the needs of all stakeholders in the digital environment.</w:t>
      </w:r>
    </w:p>
    <w:p w:rsidR="00EB6A7B" w:rsidRDefault="001E7ACC">
      <w:pPr>
        <w:pStyle w:val="Heading2"/>
        <w:rPr>
          <w:noProof/>
        </w:rPr>
      </w:pPr>
      <w:bookmarkStart w:id="113" w:name="_Toc498008086"/>
      <w:bookmarkStart w:id="114" w:name="_Toc498521068"/>
      <w:bookmarkEnd w:id="113"/>
      <w:r>
        <w:rPr>
          <w:noProof/>
        </w:rPr>
        <w:t>Coherence</w:t>
      </w:r>
      <w:bookmarkEnd w:id="114"/>
    </w:p>
    <w:p w:rsidR="00EB6A7B" w:rsidRDefault="001E7ACC">
      <w:pPr>
        <w:pStyle w:val="Text1"/>
        <w:ind w:left="0"/>
        <w:rPr>
          <w:noProof/>
        </w:rPr>
      </w:pPr>
      <w:r>
        <w:rPr>
          <w:noProof/>
        </w:rPr>
        <w:t>The functioning of the Directive in terms of coherence has been assessed on the basis of the following evaluation questions:</w:t>
      </w:r>
    </w:p>
    <w:p w:rsidR="00EB6A7B" w:rsidRDefault="001E7ACC">
      <w:pPr>
        <w:rPr>
          <w:rFonts w:ascii="Times New Roman" w:hAnsi="Times New Roman" w:cs="Times New Roman"/>
          <w:i/>
          <w:noProof/>
        </w:rPr>
      </w:pPr>
      <w:r>
        <w:rPr>
          <w:rFonts w:ascii="Times New Roman" w:hAnsi="Times New Roman" w:cs="Times New Roman"/>
          <w:i/>
          <w:noProof/>
        </w:rPr>
        <w:t>12) To what extent are the different measures, p</w:t>
      </w:r>
      <w:r>
        <w:rPr>
          <w:rFonts w:ascii="Times New Roman" w:hAnsi="Times New Roman" w:cs="Times New Roman"/>
          <w:i/>
          <w:noProof/>
        </w:rPr>
        <w:t>rocedures and remedies provided for by the Directive coherent and complement each other or do they overlap or even contradict?</w:t>
      </w:r>
    </w:p>
    <w:p w:rsidR="00EB6A7B" w:rsidRDefault="001E7ACC">
      <w:pPr>
        <w:rPr>
          <w:rFonts w:ascii="Times New Roman" w:hAnsi="Times New Roman" w:cs="Times New Roman"/>
          <w:i/>
          <w:noProof/>
        </w:rPr>
      </w:pPr>
      <w:r>
        <w:rPr>
          <w:rFonts w:ascii="Times New Roman" w:hAnsi="Times New Roman" w:cs="Times New Roman"/>
          <w:i/>
          <w:noProof/>
        </w:rPr>
        <w:t xml:space="preserve">13) To what extent have the different measures, procedures and remedies provided for by the Directive been complemented by </w:t>
      </w:r>
      <w:r>
        <w:rPr>
          <w:rFonts w:ascii="Times New Roman" w:hAnsi="Times New Roman" w:cs="Times New Roman"/>
          <w:i/>
          <w:noProof/>
        </w:rPr>
        <w:t>non-legislative interventions at EU and national level, including voluntary stakeholder initiatives?</w:t>
      </w:r>
    </w:p>
    <w:p w:rsidR="00EB6A7B" w:rsidRDefault="001E7ACC">
      <w:pPr>
        <w:rPr>
          <w:rFonts w:ascii="Times New Roman" w:hAnsi="Times New Roman" w:cs="Times New Roman"/>
          <w:i/>
          <w:noProof/>
        </w:rPr>
      </w:pPr>
      <w:r>
        <w:rPr>
          <w:rFonts w:ascii="Times New Roman" w:hAnsi="Times New Roman" w:cs="Times New Roman"/>
          <w:i/>
          <w:noProof/>
        </w:rPr>
        <w:t>14) To what extent is IPRED coherent with other instruments and policies at EU level having similar objectives, such as e.g. the E-commerce Directive?</w:t>
      </w:r>
    </w:p>
    <w:p w:rsidR="00EB6A7B" w:rsidRDefault="00EB6A7B">
      <w:pPr>
        <w:pStyle w:val="Text1"/>
        <w:rPr>
          <w:noProof/>
        </w:rPr>
      </w:pPr>
    </w:p>
    <w:p w:rsidR="00EB6A7B" w:rsidRDefault="001E7ACC">
      <w:pPr>
        <w:pStyle w:val="Heading3"/>
        <w:rPr>
          <w:noProof/>
        </w:rPr>
      </w:pPr>
      <w:bookmarkStart w:id="115" w:name="_Toc498521069"/>
      <w:r>
        <w:rPr>
          <w:noProof/>
        </w:rPr>
        <w:t>Coh</w:t>
      </w:r>
      <w:r>
        <w:rPr>
          <w:noProof/>
        </w:rPr>
        <w:t>erence of the different measures</w:t>
      </w:r>
      <w:bookmarkEnd w:id="115"/>
    </w:p>
    <w:p w:rsidR="00EB6A7B" w:rsidRDefault="001E7ACC">
      <w:pPr>
        <w:pStyle w:val="NormalWeb"/>
        <w:pBdr>
          <w:top w:val="single" w:sz="4" w:space="1" w:color="auto"/>
          <w:left w:val="single" w:sz="4" w:space="4" w:color="auto"/>
          <w:bottom w:val="single" w:sz="4" w:space="1" w:color="auto"/>
          <w:right w:val="single" w:sz="4" w:space="4" w:color="auto"/>
        </w:pBdr>
        <w:ind w:left="426" w:hanging="426"/>
        <w:jc w:val="both"/>
        <w:rPr>
          <w:i/>
          <w:noProof/>
        </w:rPr>
      </w:pPr>
      <w:r>
        <w:rPr>
          <w:i/>
          <w:noProof/>
        </w:rPr>
        <w:t>Evaluation question 12</w:t>
      </w:r>
    </w:p>
    <w:p w:rsidR="00EB6A7B" w:rsidRDefault="001E7ACC">
      <w:pPr>
        <w:pStyle w:val="NormalWeb"/>
        <w:pBdr>
          <w:top w:val="single" w:sz="4" w:space="1" w:color="auto"/>
          <w:left w:val="single" w:sz="4" w:space="4" w:color="auto"/>
          <w:bottom w:val="single" w:sz="4" w:space="1" w:color="auto"/>
          <w:right w:val="single" w:sz="4" w:space="4" w:color="auto"/>
        </w:pBdr>
        <w:jc w:val="both"/>
        <w:rPr>
          <w:i/>
          <w:noProof/>
        </w:rPr>
      </w:pPr>
      <w:r>
        <w:rPr>
          <w:i/>
          <w:noProof/>
        </w:rPr>
        <w:t>To what extent are the different measures, procedures and remedies provided for by the Directive coherent and complement each other or do they overlap or even contradict?</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The evaluation did not identi</w:t>
      </w:r>
      <w:r>
        <w:rPr>
          <w:rFonts w:ascii="Times New Roman" w:hAnsi="Times New Roman" w:cs="Times New Roman"/>
          <w:noProof/>
          <w:sz w:val="24"/>
          <w:szCs w:val="24"/>
        </w:rPr>
        <w:t>fy any lack of coherence between the different measures, procedures and remedies themselves provided for by the Directive.</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Stakeholders however pointed to certain problems in the individual application of these measures, procedures and remedies in relation</w:t>
      </w:r>
      <w:r>
        <w:rPr>
          <w:rFonts w:ascii="Times New Roman" w:hAnsi="Times New Roman" w:cs="Times New Roman"/>
          <w:noProof/>
          <w:sz w:val="24"/>
          <w:szCs w:val="24"/>
        </w:rPr>
        <w:t xml:space="preserve"> to Article 3 of the Directive.</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Article 3, the measures, procedures and remedies necessary to ensure the enforcement of the intellectual property rights covered by the Directive shall be fair and equitable and shall not be unnecessarily </w:t>
      </w:r>
      <w:r>
        <w:rPr>
          <w:rFonts w:ascii="Times New Roman" w:hAnsi="Times New Roman" w:cs="Times New Roman"/>
          <w:noProof/>
          <w:sz w:val="24"/>
          <w:szCs w:val="24"/>
        </w:rPr>
        <w:t>complicated or costly, or entail unreasonable time-limits or unwarranted delays. They shall also be effective, proportionate and dissuasive and be applied in such a manner as to avoid the creation of barriers to legitimate trade and to provide for safeguar</w:t>
      </w:r>
      <w:r>
        <w:rPr>
          <w:rFonts w:ascii="Times New Roman" w:hAnsi="Times New Roman" w:cs="Times New Roman"/>
          <w:noProof/>
          <w:sz w:val="24"/>
          <w:szCs w:val="24"/>
        </w:rPr>
        <w:t>ds against their abuse.</w:t>
      </w:r>
    </w:p>
    <w:p w:rsidR="00EB6A7B" w:rsidRDefault="001E7ACC">
      <w:pPr>
        <w:jc w:val="both"/>
        <w:rPr>
          <w:rFonts w:ascii="Times New Roman" w:hAnsi="Times New Roman" w:cs="Times New Roman"/>
          <w:b/>
          <w:i/>
          <w:noProof/>
          <w:sz w:val="24"/>
          <w:szCs w:val="24"/>
        </w:rPr>
      </w:pPr>
      <w:r>
        <w:rPr>
          <w:rFonts w:ascii="Times New Roman" w:hAnsi="Times New Roman" w:cs="Times New Roman"/>
          <w:b/>
          <w:i/>
          <w:noProof/>
          <w:sz w:val="24"/>
          <w:szCs w:val="24"/>
        </w:rPr>
        <w:t>Injunctions</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The proportionality of injunctions is an important element of a well-balanced IPR enforcement system. Stakeholders alleged that the procedure for granting injunctions is not always well-balanced in the light of Article 3</w:t>
      </w:r>
      <w:r>
        <w:rPr>
          <w:rFonts w:ascii="Times New Roman" w:hAnsi="Times New Roman" w:cs="Times New Roman"/>
          <w:noProof/>
          <w:sz w:val="24"/>
          <w:szCs w:val="24"/>
        </w:rPr>
        <w:t>, as injunctions are either granted too easily without due regard to the proportionality of the measure vis-à-vis other fundamental rights, or on the contrary they are not granted although justified to protect IP, in particular in commercial-scale infringe</w:t>
      </w:r>
      <w:r>
        <w:rPr>
          <w:rFonts w:ascii="Times New Roman" w:hAnsi="Times New Roman" w:cs="Times New Roman"/>
          <w:noProof/>
          <w:sz w:val="24"/>
          <w:szCs w:val="24"/>
        </w:rPr>
        <w:t xml:space="preserve">ment cases. </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If national judicial authorities do not assess the proportionality of an injunction, i.e. its adequacy to achieve the objective of the law taking into account the objective to strike a balance between the different fundamental rights concerned</w:t>
      </w:r>
      <w:r>
        <w:rPr>
          <w:rFonts w:ascii="Times New Roman" w:hAnsi="Times New Roman" w:cs="Times New Roman"/>
          <w:noProof/>
          <w:sz w:val="24"/>
          <w:szCs w:val="24"/>
        </w:rPr>
        <w:t>, on a case by case basis, the application of Article 11 of the Directive is, in the view of these stakeholders, not consistent with the general obligation of Article 3 the Directive, i.e. that the measures, procedures and remedies shall be fair and equita</w:t>
      </w:r>
      <w:r>
        <w:rPr>
          <w:rFonts w:ascii="Times New Roman" w:hAnsi="Times New Roman" w:cs="Times New Roman"/>
          <w:noProof/>
          <w:sz w:val="24"/>
          <w:szCs w:val="24"/>
        </w:rPr>
        <w:t>ble and also proportionate.</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 xml:space="preserve">Stakeholders also complained that Member States do not give due consideration to the possibility of applying alternative measures, as established in Article 12 of the Directive. According to that Article, the competent judicial </w:t>
      </w:r>
      <w:r>
        <w:rPr>
          <w:rFonts w:ascii="Times New Roman" w:hAnsi="Times New Roman" w:cs="Times New Roman"/>
          <w:noProof/>
          <w:sz w:val="24"/>
          <w:szCs w:val="24"/>
        </w:rPr>
        <w:t xml:space="preserve">authorities may order pecuniary compensation to be paid to the injured party instead of applying the measures provided for in this section,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injunctions, if that person acted unintentionally and without negligence, if execution of the measures in</w:t>
      </w:r>
      <w:r>
        <w:rPr>
          <w:rFonts w:ascii="Times New Roman" w:hAnsi="Times New Roman" w:cs="Times New Roman"/>
          <w:noProof/>
          <w:sz w:val="24"/>
          <w:szCs w:val="24"/>
        </w:rPr>
        <w:t xml:space="preserve"> question would cause him/her disproportionate harm and if pecuniary compensation to the injured party appears reasonably satisfactory. </w:t>
      </w:r>
    </w:p>
    <w:p w:rsidR="00EB6A7B" w:rsidRDefault="001E7ACC">
      <w:pPr>
        <w:pStyle w:val="Heading3"/>
        <w:rPr>
          <w:noProof/>
          <w:lang w:val="en-US"/>
        </w:rPr>
      </w:pPr>
      <w:bookmarkStart w:id="116" w:name="_Toc498521070"/>
      <w:r>
        <w:rPr>
          <w:noProof/>
          <w:lang w:val="en-US"/>
        </w:rPr>
        <w:t>Complementarity of non-legislative interventions</w:t>
      </w:r>
      <w:bookmarkEnd w:id="116"/>
    </w:p>
    <w:p w:rsidR="00EB6A7B" w:rsidRDefault="001E7ACC">
      <w:pPr>
        <w:pBdr>
          <w:top w:val="single" w:sz="4" w:space="1" w:color="auto"/>
          <w:left w:val="single" w:sz="4" w:space="4" w:color="auto"/>
          <w:bottom w:val="single" w:sz="4" w:space="1" w:color="auto"/>
          <w:right w:val="single" w:sz="4" w:space="4" w:color="auto"/>
        </w:pBdr>
        <w:spacing w:before="120" w:after="120"/>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Evaluation question 13</w:t>
      </w:r>
    </w:p>
    <w:p w:rsidR="00EB6A7B" w:rsidRDefault="001E7ACC">
      <w:pPr>
        <w:pBdr>
          <w:top w:val="single" w:sz="4" w:space="1" w:color="auto"/>
          <w:left w:val="single" w:sz="4" w:space="4" w:color="auto"/>
          <w:bottom w:val="single" w:sz="4" w:space="1" w:color="auto"/>
          <w:right w:val="single" w:sz="4" w:space="4" w:color="auto"/>
        </w:pBdr>
        <w:spacing w:before="120" w:after="120"/>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 xml:space="preserve"> To what extent have the different measures, procedures and remedies provided for by the Directive been complemented by non-legislative interventions at EU and national level, including voluntary stakeholder initiatives?</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From the different feedback from st</w:t>
      </w:r>
      <w:r>
        <w:rPr>
          <w:rFonts w:ascii="Times New Roman" w:eastAsia="Times New Roman" w:hAnsi="Times New Roman" w:cs="Times New Roman"/>
          <w:noProof/>
          <w:sz w:val="24"/>
          <w:szCs w:val="24"/>
        </w:rPr>
        <w:t>akeholders, it emerges overall that non-legislative measures such as voluntary schemes are generally perceived beneficial to support better enforcement of IPR. Success factors for these voluntary agreements were the level of commitment of the signing stake</w:t>
      </w:r>
      <w:r>
        <w:rPr>
          <w:rFonts w:ascii="Times New Roman" w:eastAsia="Times New Roman" w:hAnsi="Times New Roman" w:cs="Times New Roman"/>
          <w:noProof/>
          <w:sz w:val="24"/>
          <w:szCs w:val="24"/>
        </w:rPr>
        <w:t>holders individually, and to which extent they were representative for their industries.</w:t>
      </w:r>
    </w:p>
    <w:p w:rsidR="00EB6A7B" w:rsidRDefault="001E7ACC">
      <w:pPr>
        <w:spacing w:before="120" w:after="120"/>
        <w:jc w:val="both"/>
        <w:rPr>
          <w:rFonts w:ascii="Times New Roman" w:eastAsia="Times New Roman" w:hAnsi="Times New Roman" w:cs="Times New Roman"/>
          <w:noProof/>
          <w:sz w:val="20"/>
          <w:szCs w:val="24"/>
        </w:rPr>
      </w:pPr>
      <w:r>
        <w:rPr>
          <w:rFonts w:ascii="Times New Roman" w:eastAsia="Times New Roman" w:hAnsi="Times New Roman" w:cs="Times New Roman"/>
          <w:noProof/>
          <w:sz w:val="24"/>
          <w:szCs w:val="24"/>
        </w:rPr>
        <w:t xml:space="preserve">During discussions on </w:t>
      </w:r>
      <w:r>
        <w:rPr>
          <w:rFonts w:ascii="Times New Roman" w:eastAsia="Times New Roman" w:hAnsi="Times New Roman" w:cs="Times New Roman"/>
          <w:bCs/>
          <w:noProof/>
          <w:sz w:val="24"/>
          <w:szCs w:val="24"/>
        </w:rPr>
        <w:t>existing schemes at national or regional level</w:t>
      </w:r>
      <w:r>
        <w:rPr>
          <w:rFonts w:ascii="Times New Roman" w:eastAsia="Times New Roman" w:hAnsi="Times New Roman" w:cs="Times New Roman"/>
          <w:noProof/>
          <w:sz w:val="24"/>
          <w:szCs w:val="24"/>
        </w:rPr>
        <w:t xml:space="preserve"> with the Commission, stakeholders in the EU have been very positive on the general framework and t</w:t>
      </w:r>
      <w:r>
        <w:rPr>
          <w:rFonts w:ascii="Times New Roman" w:eastAsia="Times New Roman" w:hAnsi="Times New Roman" w:cs="Times New Roman"/>
          <w:noProof/>
          <w:sz w:val="24"/>
          <w:szCs w:val="24"/>
        </w:rPr>
        <w:t>he certification process of certain existing initiatives, but that two problems have been brought to their attention: the lack of an objective compliance programme and the lack of reliability and objectivity of a self-certification process.</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 study by the </w:t>
      </w:r>
      <w:r>
        <w:rPr>
          <w:rFonts w:ascii="Times New Roman" w:eastAsia="Times New Roman" w:hAnsi="Times New Roman" w:cs="Times New Roman"/>
          <w:noProof/>
          <w:sz w:val="24"/>
          <w:szCs w:val="24"/>
        </w:rPr>
        <w:t>EUIPO</w:t>
      </w:r>
      <w:r>
        <w:rPr>
          <w:rStyle w:val="FootnoteReference"/>
          <w:rFonts w:ascii="Times New Roman" w:eastAsia="Times New Roman" w:hAnsi="Times New Roman" w:cs="Times New Roman"/>
          <w:noProof/>
          <w:sz w:val="24"/>
          <w:szCs w:val="24"/>
        </w:rPr>
        <w:footnoteReference w:id="92"/>
      </w:r>
      <w:r>
        <w:rPr>
          <w:rFonts w:ascii="Times New Roman" w:eastAsia="Times New Roman" w:hAnsi="Times New Roman" w:cs="Times New Roman"/>
          <w:noProof/>
          <w:sz w:val="24"/>
          <w:szCs w:val="24"/>
        </w:rPr>
        <w:t xml:space="preserve"> analyses six voluntary collaboration practices addressing online infringements of trade mark rights, design rights, copyright and rights related to copyright:  </w:t>
      </w:r>
    </w:p>
    <w:p w:rsidR="00EB6A7B" w:rsidRDefault="001E7ACC">
      <w:pPr>
        <w:pStyle w:val="ListParagraph"/>
        <w:numPr>
          <w:ilvl w:val="0"/>
          <w:numId w:val="62"/>
        </w:numPr>
        <w:spacing w:before="120" w:after="120"/>
        <w:ind w:left="284" w:hanging="284"/>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French charter for the fight against the sale of counterfeit goods on the internet b</w:t>
      </w:r>
      <w:r>
        <w:rPr>
          <w:rFonts w:ascii="Times New Roman" w:eastAsia="Times New Roman" w:hAnsi="Times New Roman" w:cs="Times New Roman"/>
          <w:noProof/>
          <w:sz w:val="24"/>
          <w:szCs w:val="24"/>
        </w:rPr>
        <w:t xml:space="preserve">etween intellectual property rightholders and e-commerce platforms. </w:t>
      </w:r>
    </w:p>
    <w:p w:rsidR="00EB6A7B" w:rsidRDefault="001E7ACC">
      <w:pPr>
        <w:pStyle w:val="ListParagraph"/>
        <w:numPr>
          <w:ilvl w:val="0"/>
          <w:numId w:val="57"/>
        </w:numPr>
        <w:spacing w:before="120" w:after="120"/>
        <w:ind w:left="284" w:hanging="284"/>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Dutch notice-and-take-down code of conduct directed to internet service providers that provide a public telecommunications service in the Netherlands. </w:t>
      </w:r>
    </w:p>
    <w:p w:rsidR="00EB6A7B" w:rsidRDefault="001E7ACC">
      <w:pPr>
        <w:pStyle w:val="ListParagraph"/>
        <w:numPr>
          <w:ilvl w:val="0"/>
          <w:numId w:val="57"/>
        </w:numPr>
        <w:spacing w:before="120" w:after="120"/>
        <w:ind w:left="284" w:hanging="284"/>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Danish code of conduct for </w:t>
      </w:r>
      <w:r>
        <w:rPr>
          <w:rFonts w:ascii="Times New Roman" w:eastAsia="Times New Roman" w:hAnsi="Times New Roman" w:cs="Times New Roman"/>
          <w:noProof/>
          <w:sz w:val="24"/>
          <w:szCs w:val="24"/>
        </w:rPr>
        <w:t>internet service providers regarding the management of court DNS blocking orders relating to IP infringements. –</w:t>
      </w:r>
    </w:p>
    <w:p w:rsidR="00EB6A7B" w:rsidRDefault="001E7ACC">
      <w:pPr>
        <w:pStyle w:val="ListParagraph"/>
        <w:numPr>
          <w:ilvl w:val="0"/>
          <w:numId w:val="57"/>
        </w:numPr>
        <w:spacing w:before="120" w:after="120"/>
        <w:ind w:left="284" w:hanging="284"/>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Article 1.7 of the ethics code of the Austrian advertising industry and related articles on the rules of procedure of the Werberat. </w:t>
      </w:r>
    </w:p>
    <w:p w:rsidR="00EB6A7B" w:rsidRDefault="001E7ACC">
      <w:pPr>
        <w:pStyle w:val="ListParagraph"/>
        <w:numPr>
          <w:ilvl w:val="0"/>
          <w:numId w:val="57"/>
        </w:numPr>
        <w:spacing w:before="120" w:after="120"/>
        <w:ind w:left="284" w:hanging="284"/>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UK goo</w:t>
      </w:r>
      <w:r>
        <w:rPr>
          <w:rFonts w:ascii="Times New Roman" w:eastAsia="Times New Roman" w:hAnsi="Times New Roman" w:cs="Times New Roman"/>
          <w:noProof/>
          <w:sz w:val="24"/>
          <w:szCs w:val="24"/>
        </w:rPr>
        <w:t>d practice principles for the trading of digital display advertising. These voluntary practices are intended to respect both the law and the fundamental rights of citizens, while combating online infringements of trade mark rights, design rights, copyright</w:t>
      </w:r>
      <w:r>
        <w:rPr>
          <w:rFonts w:ascii="Times New Roman" w:eastAsia="Times New Roman" w:hAnsi="Times New Roman" w:cs="Times New Roman"/>
          <w:noProof/>
          <w:sz w:val="24"/>
          <w:szCs w:val="24"/>
        </w:rPr>
        <w:t xml:space="preserve"> and rights related to copyright. They include codes of conduct and practices for taking down infringing sites, as well as for controlling advertising and the access to online payment systems.</w:t>
      </w:r>
    </w:p>
    <w:p w:rsidR="00EB6A7B" w:rsidRDefault="001E7ACC">
      <w:pPr>
        <w:pStyle w:val="ListParagraph"/>
        <w:numPr>
          <w:ilvl w:val="0"/>
          <w:numId w:val="57"/>
        </w:numPr>
        <w:spacing w:before="120" w:after="120"/>
        <w:ind w:left="284" w:hanging="284"/>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U.S. IACC payment processor initiative &amp; portal program</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w:t>
      </w:r>
      <w:r>
        <w:rPr>
          <w:rFonts w:ascii="Times New Roman" w:eastAsia="Times New Roman" w:hAnsi="Times New Roman" w:cs="Times New Roman"/>
          <w:noProof/>
          <w:sz w:val="24"/>
          <w:szCs w:val="24"/>
        </w:rPr>
        <w:t xml:space="preserve"> EUIPO study casts light on the role of the parties involved, their coexistence with legal frameworks, the role of technology, the costs involved and the role of educational activities. It shows that the effectiveness of these schemes remains difficult to </w:t>
      </w:r>
      <w:r>
        <w:rPr>
          <w:rFonts w:ascii="Times New Roman" w:eastAsia="Times New Roman" w:hAnsi="Times New Roman" w:cs="Times New Roman"/>
          <w:noProof/>
          <w:sz w:val="24"/>
          <w:szCs w:val="24"/>
        </w:rPr>
        <w:t xml:space="preserve">assess, and that the cost for monitoring activities may prove to be a burden. </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 study by the International Chamber of Commerce recommends best practices for rightholders to engage with intermediaries to improve the effectiveness to fight counterfeits</w:t>
      </w:r>
      <w:r>
        <w:rPr>
          <w:rStyle w:val="FootnoteReference"/>
          <w:rFonts w:ascii="Times New Roman" w:eastAsia="Times New Roman" w:hAnsi="Times New Roman" w:cs="Times New Roman"/>
          <w:noProof/>
          <w:sz w:val="24"/>
          <w:szCs w:val="24"/>
        </w:rPr>
        <w:footnoteReference w:id="93"/>
      </w:r>
      <w:r>
        <w:rPr>
          <w:rFonts w:ascii="Times New Roman" w:eastAsia="Times New Roman" w:hAnsi="Times New Roman" w:cs="Times New Roman"/>
          <w:noProof/>
          <w:sz w:val="24"/>
          <w:szCs w:val="24"/>
        </w:rPr>
        <w:t xml:space="preserve">. </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Other initiatives were also mentioned during the Evaluation Study as complementary measures. Most notably trainings and exchanges of judges (organised by the EPO or the EUIPO) were perceived by stakeholders as very positive. The studies of the EU Observato</w:t>
      </w:r>
      <w:r>
        <w:rPr>
          <w:rFonts w:ascii="Times New Roman" w:eastAsia="Times New Roman" w:hAnsi="Times New Roman" w:cs="Times New Roman"/>
          <w:noProof/>
          <w:sz w:val="24"/>
          <w:szCs w:val="24"/>
        </w:rPr>
        <w:t>ry on Infringements of IP have also been quoted in the public stakeholder consultation, as well as anti-counterfeiting and piracy campaigns at national levels.</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2011 a Memorandum of Understanding (MoU) on the sale of counterfeit goods via the Internet wa</w:t>
      </w:r>
      <w:r>
        <w:rPr>
          <w:rFonts w:ascii="Times New Roman" w:eastAsia="Times New Roman" w:hAnsi="Times New Roman" w:cs="Times New Roman"/>
          <w:noProof/>
          <w:sz w:val="24"/>
          <w:szCs w:val="24"/>
        </w:rPr>
        <w:t>s concluded, under the auspices of the Commission, between major internet platforms and rightholders in order to reduce counterfeit products that are being sold online. The impact of this initiative is measured with key performance indicators that allow fo</w:t>
      </w:r>
      <w:r>
        <w:rPr>
          <w:rFonts w:ascii="Times New Roman" w:eastAsia="Times New Roman" w:hAnsi="Times New Roman" w:cs="Times New Roman"/>
          <w:noProof/>
          <w:sz w:val="24"/>
          <w:szCs w:val="24"/>
        </w:rPr>
        <w:t xml:space="preserve">r objective quantification. Results of the first monitoring cycle show positive tangible effects. </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Another similar on-going voluntary initiative is the MoU on online advertising and IPR which brings together different stakeholders from the advertising indu</w:t>
      </w:r>
      <w:r>
        <w:rPr>
          <w:rFonts w:ascii="Times New Roman" w:eastAsia="Times New Roman" w:hAnsi="Times New Roman" w:cs="Times New Roman"/>
          <w:noProof/>
          <w:sz w:val="24"/>
          <w:szCs w:val="24"/>
        </w:rPr>
        <w:t xml:space="preserve">stry, such as rightholders, advertisers, advertising intermediaries and technology providers, with an aim to reduce the flow of ad revenue to IP infringing sites. In October 2016, an agreement was concluded under the auspices of the Commission on a set of </w:t>
      </w:r>
      <w:r>
        <w:rPr>
          <w:rFonts w:ascii="Times New Roman" w:eastAsia="Times New Roman" w:hAnsi="Times New Roman" w:cs="Times New Roman"/>
          <w:noProof/>
          <w:sz w:val="24"/>
          <w:szCs w:val="24"/>
        </w:rPr>
        <w:t>guiding principles between industry representatives which was a key step towards concluding the Memoranda.</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order to tackle due diligence in other stakeholder circles, potential future voluntary initiatives of this kind include the MoUs concluded by paym</w:t>
      </w:r>
      <w:r>
        <w:rPr>
          <w:rFonts w:ascii="Times New Roman" w:eastAsia="Times New Roman" w:hAnsi="Times New Roman" w:cs="Times New Roman"/>
          <w:noProof/>
          <w:sz w:val="24"/>
          <w:szCs w:val="24"/>
        </w:rPr>
        <w:t xml:space="preserve">ent service providers and shipping companies. </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These initiatives can have a positive impact on the enforcement of IPR as they are industry-led, target specific issues and have the capability of responding to new technological developments in a timely manne</w:t>
      </w:r>
      <w:r>
        <w:rPr>
          <w:rFonts w:ascii="Times New Roman" w:eastAsia="Times New Roman" w:hAnsi="Times New Roman" w:cs="Times New Roman"/>
          <w:noProof/>
          <w:sz w:val="24"/>
          <w:szCs w:val="24"/>
        </w:rPr>
        <w:t>r.</w:t>
      </w:r>
    </w:p>
    <w:p w:rsidR="00EB6A7B" w:rsidRDefault="00EB6A7B">
      <w:pPr>
        <w:spacing w:before="120" w:after="120"/>
        <w:jc w:val="both"/>
        <w:rPr>
          <w:rFonts w:ascii="Times New Roman" w:eastAsia="Times New Roman" w:hAnsi="Times New Roman" w:cs="Times New Roman"/>
          <w:noProof/>
          <w:sz w:val="24"/>
          <w:szCs w:val="24"/>
        </w:rPr>
      </w:pPr>
    </w:p>
    <w:p w:rsidR="00EB6A7B" w:rsidRDefault="001E7ACC">
      <w:pPr>
        <w:pStyle w:val="Heading3"/>
        <w:rPr>
          <w:noProof/>
        </w:rPr>
      </w:pPr>
      <w:bookmarkStart w:id="117" w:name="_Toc498521071"/>
      <w:r>
        <w:rPr>
          <w:noProof/>
        </w:rPr>
        <w:t>Coherence with other EU instruments and policies</w:t>
      </w:r>
      <w:bookmarkEnd w:id="117"/>
    </w:p>
    <w:p w:rsidR="00EB6A7B" w:rsidRDefault="001E7ACC">
      <w:pPr>
        <w:pBdr>
          <w:top w:val="single" w:sz="4" w:space="1" w:color="auto"/>
          <w:left w:val="single" w:sz="4" w:space="4" w:color="auto"/>
          <w:bottom w:val="single" w:sz="4" w:space="1" w:color="auto"/>
          <w:right w:val="single" w:sz="4" w:space="4" w:color="auto"/>
        </w:pBdr>
        <w:spacing w:before="120" w:after="120"/>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Evaluation question 14</w:t>
      </w:r>
    </w:p>
    <w:p w:rsidR="00EB6A7B" w:rsidRDefault="001E7ACC">
      <w:pPr>
        <w:pBdr>
          <w:top w:val="single" w:sz="4" w:space="1" w:color="auto"/>
          <w:left w:val="single" w:sz="4" w:space="4" w:color="auto"/>
          <w:bottom w:val="single" w:sz="4" w:space="1" w:color="auto"/>
          <w:right w:val="single" w:sz="4" w:space="4" w:color="auto"/>
        </w:pBdr>
        <w:spacing w:before="120" w:after="120"/>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To what extent is the Directive coherent with other instruments and policies at EU level having similar objectives, such as e.g. the E-commerce Directive?</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 xml:space="preserve">The Directive appears to </w:t>
      </w:r>
      <w:r>
        <w:rPr>
          <w:rFonts w:ascii="Times New Roman" w:hAnsi="Times New Roman" w:cs="Times New Roman"/>
          <w:noProof/>
          <w:sz w:val="24"/>
          <w:szCs w:val="24"/>
        </w:rPr>
        <w:t>be coherent with other EU instruments in the field of IPR and their enforcement, as well as with other relevant policies at EU level.</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 xml:space="preserve">First, the coherence of the Directive is assessed in the light of existing enforcement rules for specific IPRs. </w:t>
      </w:r>
    </w:p>
    <w:p w:rsidR="00EB6A7B" w:rsidRDefault="001E7ACC">
      <w:pPr>
        <w:jc w:val="both"/>
        <w:rPr>
          <w:rFonts w:ascii="Times New Roman" w:hAnsi="Times New Roman" w:cs="Times New Roman"/>
          <w:b/>
          <w:i/>
          <w:noProof/>
          <w:sz w:val="24"/>
          <w:szCs w:val="24"/>
        </w:rPr>
      </w:pPr>
      <w:r>
        <w:rPr>
          <w:rFonts w:ascii="Times New Roman" w:hAnsi="Times New Roman" w:cs="Times New Roman"/>
          <w:b/>
          <w:i/>
          <w:noProof/>
          <w:sz w:val="24"/>
          <w:szCs w:val="24"/>
        </w:rPr>
        <w:t>Trade mar</w:t>
      </w:r>
      <w:r>
        <w:rPr>
          <w:rFonts w:ascii="Times New Roman" w:hAnsi="Times New Roman" w:cs="Times New Roman"/>
          <w:b/>
          <w:i/>
          <w:noProof/>
          <w:sz w:val="24"/>
          <w:szCs w:val="24"/>
        </w:rPr>
        <w:t>ks</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The Directive is in line with the trade mark acquis and, in certain cases complements it, in particular where it concerns the Trade Mark Directive</w:t>
      </w:r>
      <w:r>
        <w:rPr>
          <w:rStyle w:val="FootnoteReference"/>
          <w:rFonts w:ascii="Times New Roman" w:hAnsi="Times New Roman" w:cs="Times New Roman"/>
          <w:noProof/>
          <w:sz w:val="24"/>
          <w:szCs w:val="24"/>
        </w:rPr>
        <w:footnoteReference w:id="94"/>
      </w:r>
      <w:r>
        <w:rPr>
          <w:rFonts w:ascii="Times New Roman" w:hAnsi="Times New Roman" w:cs="Times New Roman"/>
          <w:noProof/>
          <w:sz w:val="24"/>
          <w:szCs w:val="24"/>
        </w:rPr>
        <w:t xml:space="preserve"> which contains no express rules on enforcement. The EU Trade Mark Regulation (EUTMR)</w:t>
      </w:r>
      <w:r>
        <w:rPr>
          <w:rStyle w:val="FootnoteReference"/>
          <w:rFonts w:ascii="Times New Roman" w:hAnsi="Times New Roman" w:cs="Times New Roman"/>
          <w:noProof/>
          <w:sz w:val="24"/>
          <w:szCs w:val="24"/>
        </w:rPr>
        <w:footnoteReference w:id="95"/>
      </w:r>
      <w:r>
        <w:rPr>
          <w:rFonts w:ascii="Times New Roman" w:hAnsi="Times New Roman" w:cs="Times New Roman"/>
          <w:noProof/>
          <w:sz w:val="24"/>
          <w:szCs w:val="24"/>
        </w:rPr>
        <w:t xml:space="preserve"> provides for measur</w:t>
      </w:r>
      <w:r>
        <w:rPr>
          <w:rFonts w:ascii="Times New Roman" w:hAnsi="Times New Roman" w:cs="Times New Roman"/>
          <w:noProof/>
          <w:sz w:val="24"/>
          <w:szCs w:val="24"/>
        </w:rPr>
        <w:t xml:space="preserve">es on injunctive relief in cases of infringement of EU trade marks. Furthermore, its Article 131 refers to the possibility of requesting provisional measures “as may be available under the law of that State in respect of a national trade mark”. </w:t>
      </w:r>
    </w:p>
    <w:p w:rsidR="00EB6A7B" w:rsidRDefault="001E7ACC">
      <w:pPr>
        <w:jc w:val="both"/>
        <w:rPr>
          <w:rFonts w:ascii="Times New Roman" w:hAnsi="Times New Roman" w:cs="Times New Roman"/>
          <w:b/>
          <w:i/>
          <w:noProof/>
          <w:sz w:val="24"/>
          <w:szCs w:val="24"/>
        </w:rPr>
      </w:pPr>
      <w:r>
        <w:rPr>
          <w:rFonts w:ascii="Times New Roman" w:hAnsi="Times New Roman" w:cs="Times New Roman"/>
          <w:b/>
          <w:i/>
          <w:noProof/>
          <w:sz w:val="24"/>
          <w:szCs w:val="24"/>
        </w:rPr>
        <w:t>Designs</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In</w:t>
      </w:r>
      <w:r>
        <w:rPr>
          <w:rFonts w:ascii="Times New Roman" w:hAnsi="Times New Roman" w:cs="Times New Roman"/>
          <w:noProof/>
          <w:sz w:val="24"/>
          <w:szCs w:val="24"/>
        </w:rPr>
        <w:t xml:space="preserve"> relation to national design rights, the Design Directive</w:t>
      </w:r>
      <w:r>
        <w:rPr>
          <w:rStyle w:val="FootnoteReference"/>
          <w:rFonts w:ascii="Times New Roman" w:hAnsi="Times New Roman" w:cs="Times New Roman"/>
          <w:noProof/>
          <w:sz w:val="24"/>
          <w:szCs w:val="24"/>
        </w:rPr>
        <w:footnoteReference w:id="96"/>
      </w:r>
      <w:r>
        <w:rPr>
          <w:rFonts w:ascii="Times New Roman" w:hAnsi="Times New Roman" w:cs="Times New Roman"/>
          <w:noProof/>
          <w:sz w:val="24"/>
          <w:szCs w:val="24"/>
        </w:rPr>
        <w:t xml:space="preserve"> does not contain any express enforcement-related rules either. The EU Design Regulation</w:t>
      </w:r>
      <w:r>
        <w:rPr>
          <w:rStyle w:val="FootnoteReference"/>
          <w:rFonts w:ascii="Times New Roman" w:hAnsi="Times New Roman" w:cs="Times New Roman"/>
          <w:noProof/>
          <w:sz w:val="24"/>
          <w:szCs w:val="24"/>
        </w:rPr>
        <w:footnoteReference w:id="97"/>
      </w:r>
      <w:r>
        <w:rPr>
          <w:rFonts w:ascii="Times New Roman" w:hAnsi="Times New Roman" w:cs="Times New Roman"/>
          <w:noProof/>
          <w:sz w:val="24"/>
          <w:szCs w:val="24"/>
        </w:rPr>
        <w:t xml:space="preserve"> contains specific provisions in respect to the requirements for provisional and precautionary measures such </w:t>
      </w:r>
      <w:r>
        <w:rPr>
          <w:rFonts w:ascii="Times New Roman" w:hAnsi="Times New Roman" w:cs="Times New Roman"/>
          <w:noProof/>
          <w:sz w:val="24"/>
          <w:szCs w:val="24"/>
        </w:rPr>
        <w:t>as ex parte injunctions. Article 90 of the Design Regulation refers to the possibility of requesting provisional measures “as may be available under the law of that State in respect of national design rights”. This is a matter of national law, as harmonise</w:t>
      </w:r>
      <w:r>
        <w:rPr>
          <w:rFonts w:ascii="Times New Roman" w:hAnsi="Times New Roman" w:cs="Times New Roman"/>
          <w:noProof/>
          <w:sz w:val="24"/>
          <w:szCs w:val="24"/>
        </w:rPr>
        <w:t>d by the IPR Enforcement Directive, with particular reference to Article 9 (in relation to provisional and precautionary measures) of that Directive.</w:t>
      </w:r>
    </w:p>
    <w:p w:rsidR="00EB6A7B" w:rsidRDefault="001E7ACC">
      <w:pPr>
        <w:jc w:val="both"/>
        <w:rPr>
          <w:rFonts w:ascii="Times New Roman" w:hAnsi="Times New Roman" w:cs="Times New Roman"/>
          <w:b/>
          <w:i/>
          <w:noProof/>
          <w:sz w:val="24"/>
          <w:szCs w:val="24"/>
        </w:rPr>
      </w:pPr>
      <w:r>
        <w:rPr>
          <w:rFonts w:ascii="Times New Roman" w:hAnsi="Times New Roman" w:cs="Times New Roman"/>
          <w:b/>
          <w:i/>
          <w:noProof/>
          <w:sz w:val="24"/>
          <w:szCs w:val="24"/>
        </w:rPr>
        <w:t>Geographical indications</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regards to the protection of Geographical Indications (GIs) as IPR, the IPR </w:t>
      </w:r>
      <w:r>
        <w:rPr>
          <w:rFonts w:ascii="Times New Roman" w:hAnsi="Times New Roman" w:cs="Times New Roman"/>
          <w:noProof/>
          <w:sz w:val="24"/>
          <w:szCs w:val="24"/>
        </w:rPr>
        <w:t>Enforcement Directive complements the various Regulations at Union</w:t>
      </w:r>
      <w:r>
        <w:rPr>
          <w:rStyle w:val="FootnoteReference"/>
          <w:rFonts w:ascii="Times New Roman" w:hAnsi="Times New Roman" w:cs="Times New Roman"/>
          <w:noProof/>
          <w:sz w:val="24"/>
          <w:szCs w:val="24"/>
        </w:rPr>
        <w:footnoteReference w:id="98"/>
      </w:r>
      <w:r>
        <w:rPr>
          <w:rFonts w:ascii="Times New Roman" w:hAnsi="Times New Roman" w:cs="Times New Roman"/>
          <w:noProof/>
          <w:sz w:val="24"/>
          <w:szCs w:val="24"/>
        </w:rPr>
        <w:t xml:space="preserve"> level which provide for the protection of GIs in different sectors (agricultural products and foodstuffs, wine, spirit drinks and aromatised wines). As the GIs concern agricultural product</w:t>
      </w:r>
      <w:r>
        <w:rPr>
          <w:rFonts w:ascii="Times New Roman" w:hAnsi="Times New Roman" w:cs="Times New Roman"/>
          <w:noProof/>
          <w:sz w:val="24"/>
          <w:szCs w:val="24"/>
        </w:rPr>
        <w:t xml:space="preserve"> and foodstuffs (and beverages) controls on production and market surveillance is provided by Member States pursuant to the Official Food and Feed Control Regulation</w:t>
      </w:r>
      <w:r>
        <w:rPr>
          <w:rStyle w:val="FootnoteReference"/>
          <w:rFonts w:ascii="Times New Roman" w:hAnsi="Times New Roman" w:cs="Times New Roman"/>
          <w:noProof/>
          <w:sz w:val="24"/>
          <w:szCs w:val="24"/>
        </w:rPr>
        <w:footnoteReference w:id="99"/>
      </w:r>
      <w:r>
        <w:rPr>
          <w:rFonts w:ascii="Times New Roman" w:hAnsi="Times New Roman" w:cs="Times New Roman"/>
          <w:noProof/>
          <w:sz w:val="24"/>
          <w:szCs w:val="24"/>
        </w:rPr>
        <w:t>. The respective GI Regulations provide for general enforcement obligations on Member Stat</w:t>
      </w:r>
      <w:r>
        <w:rPr>
          <w:rFonts w:ascii="Times New Roman" w:hAnsi="Times New Roman" w:cs="Times New Roman"/>
          <w:noProof/>
          <w:sz w:val="24"/>
          <w:szCs w:val="24"/>
        </w:rPr>
        <w:t xml:space="preserve">es including by cross reference to the Official Feed and food Control Regulation, and include administrative checks  Therefore, the Directive and respective GI Regulations are complementary in their nature. </w:t>
      </w:r>
    </w:p>
    <w:p w:rsidR="00EB6A7B" w:rsidRDefault="001E7ACC">
      <w:pPr>
        <w:jc w:val="both"/>
        <w:rPr>
          <w:rFonts w:ascii="Times New Roman" w:hAnsi="Times New Roman" w:cs="Times New Roman"/>
          <w:b/>
          <w:i/>
          <w:noProof/>
          <w:sz w:val="24"/>
          <w:szCs w:val="24"/>
        </w:rPr>
      </w:pPr>
      <w:r>
        <w:rPr>
          <w:rFonts w:ascii="Times New Roman" w:hAnsi="Times New Roman" w:cs="Times New Roman"/>
          <w:b/>
          <w:i/>
          <w:noProof/>
          <w:sz w:val="24"/>
          <w:szCs w:val="24"/>
        </w:rPr>
        <w:t>Copyright</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 xml:space="preserve">As stipulated in Article 2(2) the IPR </w:t>
      </w:r>
      <w:r>
        <w:rPr>
          <w:rFonts w:ascii="Times New Roman" w:hAnsi="Times New Roman" w:cs="Times New Roman"/>
          <w:noProof/>
          <w:sz w:val="24"/>
          <w:szCs w:val="24"/>
        </w:rPr>
        <w:t>Enforcement Directive "this Directive shall be without prejudice to the specific provisions on the enforcement of rights and on exceptions contained in Community legislation concerning copyright and rights related to copyright, notably those found in Counc</w:t>
      </w:r>
      <w:r>
        <w:rPr>
          <w:rFonts w:ascii="Times New Roman" w:hAnsi="Times New Roman" w:cs="Times New Roman"/>
          <w:noProof/>
          <w:sz w:val="24"/>
          <w:szCs w:val="24"/>
        </w:rPr>
        <w:t>il Directive 91/250/EEC [on the legal protection of computer programs (now Directive 2009/24/EC on the legal protection of computer programs)] and, in particular, Article 7 thereof or in Directive 2001/29/EC [on the harmonisation of certain aspects of copy</w:t>
      </w:r>
      <w:r>
        <w:rPr>
          <w:rFonts w:ascii="Times New Roman" w:hAnsi="Times New Roman" w:cs="Times New Roman"/>
          <w:noProof/>
          <w:sz w:val="24"/>
          <w:szCs w:val="24"/>
        </w:rPr>
        <w:t>right and related rights in the information society] and, in particular, Articles 2 to 6 and Article 8 thereof.". In addition, Articles 9 of the IPR Enforcement Directive provides that injunctions against intermediaries whose services are used by a third p</w:t>
      </w:r>
      <w:r>
        <w:rPr>
          <w:rFonts w:ascii="Times New Roman" w:hAnsi="Times New Roman" w:cs="Times New Roman"/>
          <w:noProof/>
          <w:sz w:val="24"/>
          <w:szCs w:val="24"/>
        </w:rPr>
        <w:t xml:space="preserve">arty to infringe a copyright or a related right are covered by Directive 2001/29/EC, whereas its Article 11 states in this connection that it is without prejudice to Article 8(3) of that latter Directive. </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The evaluation did not identify any incoherence in</w:t>
      </w:r>
      <w:r>
        <w:rPr>
          <w:rFonts w:ascii="Times New Roman" w:hAnsi="Times New Roman" w:cs="Times New Roman"/>
          <w:noProof/>
          <w:sz w:val="24"/>
          <w:szCs w:val="24"/>
        </w:rPr>
        <w:t xml:space="preserve"> general between these two Directives, nor between the Articles 9 and 11 the IPR Enforcement Directive and Article 8(3) Information Society Directive in particular. </w:t>
      </w:r>
    </w:p>
    <w:p w:rsidR="00EB6A7B" w:rsidRDefault="001E7ACC">
      <w:pPr>
        <w:spacing w:before="100" w:beforeAutospacing="1" w:after="100" w:afterAutospacing="1" w:line="240" w:lineRule="auto"/>
        <w:jc w:val="both"/>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E-Commerce Directive</w:t>
      </w:r>
    </w:p>
    <w:p w:rsidR="00EB6A7B" w:rsidRDefault="001E7ACC">
      <w:pPr>
        <w:spacing w:before="100" w:beforeAutospacing="1" w:after="100" w:afterAutospacing="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According to Article 2(3)(a) of the IPR Enforcement Directive, the "Directive shall not affect […] Directive 2000/31/EC in general, and Articles 12 to 15 of Directive 2000/31/EC in particular." At the same time Articles 12(3), 13(2) and 14(3) of the e-Comm</w:t>
      </w:r>
      <w:r>
        <w:rPr>
          <w:rFonts w:ascii="Times New Roman" w:eastAsia="Times New Roman" w:hAnsi="Times New Roman" w:cs="Times New Roman"/>
          <w:noProof/>
          <w:sz w:val="24"/>
          <w:szCs w:val="24"/>
          <w:lang w:eastAsia="en-GB"/>
        </w:rPr>
        <w:t xml:space="preserve">erce Directive state that those articles shall not affect the possibility, for a national court or administrative authority, of requiring a service provider to terminate or prevent an infringement. </w:t>
      </w:r>
    </w:p>
    <w:p w:rsidR="00EB6A7B" w:rsidRDefault="001E7ACC">
      <w:pPr>
        <w:spacing w:before="100" w:beforeAutospacing="1"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CJEU has provided further guidance on the interplay b</w:t>
      </w:r>
      <w:r>
        <w:rPr>
          <w:rFonts w:ascii="Times New Roman" w:eastAsia="Times New Roman" w:hAnsi="Times New Roman" w:cs="Times New Roman"/>
          <w:noProof/>
          <w:sz w:val="24"/>
          <w:szCs w:val="24"/>
          <w:lang w:eastAsia="en-GB"/>
        </w:rPr>
        <w:t>etween the e-Commerce Directive and the IPR Enforcement Directive</w:t>
      </w:r>
      <w:r>
        <w:rPr>
          <w:rFonts w:ascii="Times New Roman" w:eastAsia="Times New Roman" w:hAnsi="Times New Roman" w:cs="Times New Roman"/>
          <w:noProof/>
          <w:sz w:val="24"/>
          <w:szCs w:val="24"/>
          <w:vertAlign w:val="superscript"/>
          <w:lang w:eastAsia="en-GB"/>
        </w:rPr>
        <w:footnoteReference w:id="100"/>
      </w:r>
      <w:r>
        <w:rPr>
          <w:rFonts w:ascii="Times New Roman" w:eastAsia="Times New Roman" w:hAnsi="Times New Roman" w:cs="Times New Roman"/>
          <w:noProof/>
          <w:sz w:val="24"/>
          <w:szCs w:val="24"/>
          <w:lang w:eastAsia="en-GB"/>
        </w:rPr>
        <w:t>.</w:t>
      </w:r>
    </w:p>
    <w:p w:rsidR="00EB6A7B" w:rsidRDefault="001E7ACC">
      <w:pPr>
        <w:spacing w:before="100" w:beforeAutospacing="1" w:after="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Taking account of these provisions and the relevant case law, it appears from the evaluation that the IPR Enforcement Directive is coherent with the e-Commerce Directive.</w:t>
      </w:r>
    </w:p>
    <w:p w:rsidR="00EB6A7B" w:rsidRDefault="001E7ACC">
      <w:pPr>
        <w:spacing w:before="100" w:beforeAutospacing="1" w:after="100" w:afterAutospacing="1" w:line="240" w:lineRule="auto"/>
        <w:jc w:val="both"/>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 xml:space="preserve">Civil justice </w:t>
      </w:r>
    </w:p>
    <w:p w:rsidR="00EB6A7B" w:rsidRDefault="001E7ACC">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Ju</w:t>
      </w:r>
      <w:r>
        <w:rPr>
          <w:rFonts w:ascii="Times New Roman" w:eastAsia="Times New Roman" w:hAnsi="Times New Roman" w:cs="Times New Roman"/>
          <w:noProof/>
          <w:sz w:val="24"/>
          <w:szCs w:val="24"/>
          <w:lang w:eastAsia="en-GB"/>
        </w:rPr>
        <w:t>dicial cooperation in civil matters aims to establish close cooperation between the authorities of the Member States in order to eliminate any obstacles deriving from incompatibilities between the various legal and administrative systems. The EU’s action i</w:t>
      </w:r>
      <w:r>
        <w:rPr>
          <w:rFonts w:ascii="Times New Roman" w:eastAsia="Times New Roman" w:hAnsi="Times New Roman" w:cs="Times New Roman"/>
          <w:noProof/>
          <w:sz w:val="24"/>
          <w:szCs w:val="24"/>
          <w:lang w:eastAsia="en-GB"/>
        </w:rPr>
        <w:t>n the area of judicial cooperation in civil matters seeks primarily to achieve the following objectives:</w:t>
      </w:r>
    </w:p>
    <w:p w:rsidR="00EB6A7B" w:rsidRDefault="001E7ACC">
      <w:pPr>
        <w:numPr>
          <w:ilvl w:val="0"/>
          <w:numId w:val="46"/>
        </w:num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ensure a high degree of legal certainty for citizens and businesses in cross-border relations governed by civil law;</w:t>
      </w:r>
    </w:p>
    <w:p w:rsidR="00EB6A7B" w:rsidRDefault="001E7ACC">
      <w:pPr>
        <w:numPr>
          <w:ilvl w:val="0"/>
          <w:numId w:val="46"/>
        </w:num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guarantee citizens and busin</w:t>
      </w:r>
      <w:r>
        <w:rPr>
          <w:rFonts w:ascii="Times New Roman" w:eastAsia="Times New Roman" w:hAnsi="Times New Roman" w:cs="Times New Roman"/>
          <w:noProof/>
          <w:sz w:val="24"/>
          <w:szCs w:val="24"/>
          <w:lang w:eastAsia="en-GB"/>
        </w:rPr>
        <w:t>esses easy and effective access to civil justice in order to settle cross-border disputes;</w:t>
      </w:r>
    </w:p>
    <w:p w:rsidR="00EB6A7B" w:rsidRDefault="001E7ACC">
      <w:pPr>
        <w:numPr>
          <w:ilvl w:val="0"/>
          <w:numId w:val="46"/>
        </w:num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simplify cross-border cooperation instruments between national civil courts;</w:t>
      </w:r>
    </w:p>
    <w:p w:rsidR="00EB6A7B" w:rsidRDefault="001E7ACC">
      <w:pPr>
        <w:numPr>
          <w:ilvl w:val="0"/>
          <w:numId w:val="46"/>
        </w:num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support the training of the judiciary and judicial staff.</w:t>
      </w:r>
    </w:p>
    <w:p w:rsidR="00EB6A7B" w:rsidRDefault="001E7ACC">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improvement of the q</w:t>
      </w:r>
      <w:r>
        <w:rPr>
          <w:rFonts w:ascii="Times New Roman" w:eastAsia="Times New Roman" w:hAnsi="Times New Roman" w:cs="Times New Roman"/>
          <w:noProof/>
          <w:sz w:val="24"/>
          <w:szCs w:val="24"/>
          <w:lang w:eastAsia="en-GB"/>
        </w:rPr>
        <w:t xml:space="preserve">uality, independence and efficiency of judicial systems is another priority of the EU's civil justice policy. </w:t>
      </w:r>
    </w:p>
    <w:p w:rsidR="00EB6A7B" w:rsidRDefault="001E7ACC">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Directive provides measures, procedures and remedies necessary to ensure the civil enforcement of IPR in the Member States. While the Directi</w:t>
      </w:r>
      <w:r>
        <w:rPr>
          <w:rFonts w:ascii="Times New Roman" w:eastAsia="Times New Roman" w:hAnsi="Times New Roman" w:cs="Times New Roman"/>
          <w:noProof/>
          <w:sz w:val="24"/>
          <w:szCs w:val="24"/>
          <w:lang w:eastAsia="en-GB"/>
        </w:rPr>
        <w:t>ve approximates the legislation of the Member States in the field of civil enforcement of the substantive law on IPR it does not aim, as stated in Recital 11, to establish harmonised rules for judicial cooperation, jurisdiction, the recognition and enforce</w:t>
      </w:r>
      <w:r>
        <w:rPr>
          <w:rFonts w:ascii="Times New Roman" w:eastAsia="Times New Roman" w:hAnsi="Times New Roman" w:cs="Times New Roman"/>
          <w:noProof/>
          <w:sz w:val="24"/>
          <w:szCs w:val="24"/>
          <w:lang w:eastAsia="en-GB"/>
        </w:rPr>
        <w:t>ment of decisions in civil and commercial matters, or deal with applicable law. As noted in that recital, there are Union instruments which govern such matters in general terms and are, in principle, equally applicable to intellectual property.</w:t>
      </w:r>
    </w:p>
    <w:p w:rsidR="00EB6A7B" w:rsidRDefault="001E7ACC">
      <w:pPr>
        <w:spacing w:before="100" w:beforeAutospacing="1" w:after="100" w:afterAutospacing="1" w:line="240" w:lineRule="auto"/>
        <w:jc w:val="both"/>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 xml:space="preserve">Protection </w:t>
      </w:r>
      <w:r>
        <w:rPr>
          <w:rFonts w:ascii="Times New Roman" w:eastAsia="Times New Roman" w:hAnsi="Times New Roman" w:cs="Times New Roman"/>
          <w:b/>
          <w:i/>
          <w:noProof/>
          <w:sz w:val="24"/>
          <w:szCs w:val="24"/>
          <w:lang w:eastAsia="en-GB"/>
        </w:rPr>
        <w:t>of fundamental rights</w:t>
      </w:r>
    </w:p>
    <w:p w:rsidR="00EB6A7B" w:rsidRDefault="001E7ACC">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laid down in Recital 32 of the Directive, the Directive respects the fundamental rights and observes the principles recognised in particular by the Charter of Fundamental Rights of the European Union. The CJEU has provided further </w:t>
      </w:r>
      <w:r>
        <w:rPr>
          <w:rFonts w:ascii="Times New Roman" w:eastAsia="Times New Roman" w:hAnsi="Times New Roman" w:cs="Times New Roman"/>
          <w:noProof/>
          <w:sz w:val="24"/>
          <w:szCs w:val="24"/>
          <w:lang w:eastAsia="en-GB"/>
        </w:rPr>
        <w:t>guidance on the protection of fundamental rights in the enforcement of IPR.</w:t>
      </w:r>
      <w:r>
        <w:rPr>
          <w:rStyle w:val="FootnoteReference"/>
          <w:rFonts w:ascii="Times New Roman" w:eastAsia="Times New Roman" w:hAnsi="Times New Roman" w:cs="Times New Roman"/>
          <w:noProof/>
          <w:sz w:val="24"/>
          <w:szCs w:val="24"/>
          <w:lang w:eastAsia="en-GB"/>
        </w:rPr>
        <w:footnoteReference w:id="101"/>
      </w:r>
      <w:r>
        <w:rPr>
          <w:rFonts w:ascii="Times New Roman" w:eastAsia="Times New Roman" w:hAnsi="Times New Roman" w:cs="Times New Roman"/>
          <w:noProof/>
          <w:sz w:val="24"/>
          <w:szCs w:val="24"/>
          <w:lang w:eastAsia="en-GB"/>
        </w:rPr>
        <w:t xml:space="preserve"> </w:t>
      </w:r>
    </w:p>
    <w:p w:rsidR="00EB6A7B" w:rsidRDefault="001E7ACC">
      <w:pPr>
        <w:spacing w:before="100" w:beforeAutospacing="1" w:after="100" w:afterAutospacing="1" w:line="240" w:lineRule="auto"/>
        <w:jc w:val="both"/>
        <w:rPr>
          <w:rFonts w:ascii="Times New Roman" w:eastAsia="Times New Roman" w:hAnsi="Times New Roman" w:cs="Times New Roman"/>
          <w:b/>
          <w:i/>
          <w:noProof/>
          <w:sz w:val="24"/>
          <w:szCs w:val="24"/>
          <w:lang w:eastAsia="en-GB"/>
        </w:rPr>
      </w:pPr>
      <w:r>
        <w:rPr>
          <w:rFonts w:ascii="Times New Roman" w:eastAsia="Times New Roman" w:hAnsi="Times New Roman" w:cs="Times New Roman"/>
          <w:b/>
          <w:i/>
          <w:noProof/>
          <w:sz w:val="24"/>
          <w:szCs w:val="24"/>
          <w:lang w:eastAsia="en-GB"/>
        </w:rPr>
        <w:t>International obligations</w:t>
      </w:r>
    </w:p>
    <w:p w:rsidR="00EB6A7B" w:rsidRDefault="001E7ACC">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stated in the recitals, at international level, all Member States, as well as the Union itself as regards matters within its competence, are bound by</w:t>
      </w:r>
      <w:r>
        <w:rPr>
          <w:rFonts w:ascii="Times New Roman" w:eastAsia="Times New Roman" w:hAnsi="Times New Roman" w:cs="Times New Roman"/>
          <w:noProof/>
          <w:sz w:val="24"/>
          <w:szCs w:val="24"/>
          <w:lang w:eastAsia="en-GB"/>
        </w:rPr>
        <w:t xml:space="preserve"> the Agreement on trade-related aspects of intellectual property (the TRIPS Agreement). The TRIPS Agreement contains, in particular, provisions on the means of enforcing intellectual property rights, which are common standards applicable at international l</w:t>
      </w:r>
      <w:r>
        <w:rPr>
          <w:rFonts w:ascii="Times New Roman" w:eastAsia="Times New Roman" w:hAnsi="Times New Roman" w:cs="Times New Roman"/>
          <w:noProof/>
          <w:sz w:val="24"/>
          <w:szCs w:val="24"/>
          <w:lang w:eastAsia="en-GB"/>
        </w:rPr>
        <w:t xml:space="preserve">evel and implemented in all Member States. </w:t>
      </w:r>
    </w:p>
    <w:p w:rsidR="00EB6A7B" w:rsidRDefault="001E7ACC">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There are also international conventions to which all Member States are parties and which also contain provisions on the means of enforcing intellectual property rights. These include, in particular, the Paris Co</w:t>
      </w:r>
      <w:r>
        <w:rPr>
          <w:rFonts w:ascii="Times New Roman" w:eastAsia="Times New Roman" w:hAnsi="Times New Roman" w:cs="Times New Roman"/>
          <w:noProof/>
          <w:sz w:val="24"/>
          <w:szCs w:val="24"/>
          <w:lang w:eastAsia="en-GB"/>
        </w:rPr>
        <w:t xml:space="preserve">nvention for the Protection of Industrial Property, the Berne Convention for the Protection of Literary and Artistic Works, and the Rome Convention for the Protection of Performers, Producers of Phonograms and Broadcasting Organisations. </w:t>
      </w:r>
    </w:p>
    <w:p w:rsidR="00EB6A7B" w:rsidRDefault="001E7ACC">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Directive sta</w:t>
      </w:r>
      <w:r>
        <w:rPr>
          <w:rFonts w:ascii="Times New Roman" w:eastAsia="Times New Roman" w:hAnsi="Times New Roman" w:cs="Times New Roman"/>
          <w:noProof/>
          <w:sz w:val="24"/>
          <w:szCs w:val="24"/>
          <w:lang w:eastAsia="en-GB"/>
        </w:rPr>
        <w:t xml:space="preserve">tes clearly that this Directive shall not affect Member States' international obligations, including those under the TRIPS Agreement (Art. 2(3)(b)). The evaluation has not revealed any incoherence of the Directive with international obligations. </w:t>
      </w:r>
    </w:p>
    <w:p w:rsidR="00EB6A7B" w:rsidRDefault="001E7ACC">
      <w:pPr>
        <w:pStyle w:val="NormalWeb"/>
        <w:pBdr>
          <w:top w:val="single" w:sz="4" w:space="1" w:color="auto"/>
          <w:left w:val="single" w:sz="4" w:space="4" w:color="auto"/>
          <w:bottom w:val="single" w:sz="4" w:space="1" w:color="auto"/>
          <w:right w:val="single" w:sz="4" w:space="4" w:color="auto"/>
        </w:pBdr>
        <w:spacing w:line="276" w:lineRule="auto"/>
        <w:jc w:val="both"/>
        <w:rPr>
          <w:noProof/>
        </w:rPr>
      </w:pPr>
      <w:r>
        <w:rPr>
          <w:noProof/>
        </w:rPr>
        <w:t>In conclusion, the Directive appears coherent with other EU instruments on IPRs and their enforcement. It also appears that voluntary stakeholders' initiatives can be a powerful complementary tool to judicial enforcement measures, depending on the level of</w:t>
      </w:r>
      <w:r>
        <w:rPr>
          <w:noProof/>
        </w:rPr>
        <w:t xml:space="preserve"> engagement of stakeholders. </w:t>
      </w:r>
    </w:p>
    <w:p w:rsidR="00EB6A7B" w:rsidRDefault="001E7ACC">
      <w:pPr>
        <w:pStyle w:val="Heading2"/>
        <w:rPr>
          <w:noProof/>
        </w:rPr>
      </w:pPr>
      <w:bookmarkStart w:id="118" w:name="_Toc486261787"/>
      <w:bookmarkStart w:id="119" w:name="_Toc486262025"/>
      <w:bookmarkStart w:id="120" w:name="_Toc486262075"/>
      <w:bookmarkStart w:id="121" w:name="_Toc486262133"/>
      <w:bookmarkStart w:id="122" w:name="_Toc498521072"/>
      <w:bookmarkEnd w:id="118"/>
      <w:bookmarkEnd w:id="119"/>
      <w:bookmarkEnd w:id="120"/>
      <w:bookmarkEnd w:id="121"/>
      <w:r>
        <w:rPr>
          <w:noProof/>
        </w:rPr>
        <w:t>EU added value</w:t>
      </w:r>
      <w:bookmarkEnd w:id="122"/>
    </w:p>
    <w:p w:rsidR="00EB6A7B" w:rsidRDefault="001E7ACC">
      <w:pPr>
        <w:rPr>
          <w:rFonts w:ascii="Times New Roman" w:hAnsi="Times New Roman" w:cs="Times New Roman"/>
          <w:noProof/>
        </w:rPr>
      </w:pPr>
      <w:r>
        <w:rPr>
          <w:rFonts w:ascii="Times New Roman" w:hAnsi="Times New Roman" w:cs="Times New Roman"/>
          <w:noProof/>
        </w:rPr>
        <w:t>The EU added value has been assessed on the basis of the following evaluation questions:</w:t>
      </w:r>
    </w:p>
    <w:p w:rsidR="00EB6A7B" w:rsidRDefault="001E7ACC">
      <w:pPr>
        <w:rPr>
          <w:rFonts w:ascii="Times New Roman" w:hAnsi="Times New Roman" w:cs="Times New Roman"/>
          <w:i/>
          <w:noProof/>
        </w:rPr>
      </w:pPr>
      <w:r>
        <w:rPr>
          <w:rFonts w:ascii="Times New Roman" w:hAnsi="Times New Roman" w:cs="Times New Roman"/>
          <w:i/>
          <w:noProof/>
        </w:rPr>
        <w:t xml:space="preserve">15) What has been the EU added value of the Directive, compared to what could have been achieved by Member States at </w:t>
      </w:r>
      <w:r>
        <w:rPr>
          <w:rFonts w:ascii="Times New Roman" w:hAnsi="Times New Roman" w:cs="Times New Roman"/>
          <w:i/>
          <w:noProof/>
        </w:rPr>
        <w:t>national level in ensuring the enforcement of IPRs?</w:t>
      </w:r>
    </w:p>
    <w:p w:rsidR="00EB6A7B" w:rsidRDefault="001E7ACC">
      <w:pPr>
        <w:rPr>
          <w:rFonts w:ascii="Times New Roman" w:hAnsi="Times New Roman" w:cs="Times New Roman"/>
          <w:i/>
          <w:noProof/>
        </w:rPr>
      </w:pPr>
      <w:r>
        <w:rPr>
          <w:rFonts w:ascii="Times New Roman" w:hAnsi="Times New Roman" w:cs="Times New Roman"/>
          <w:i/>
          <w:noProof/>
        </w:rPr>
        <w:t>16) Do the objectives addressed by the Directive continue to require action at EU level?</w:t>
      </w:r>
    </w:p>
    <w:p w:rsidR="00EB6A7B" w:rsidRDefault="001E7ACC">
      <w:pPr>
        <w:pStyle w:val="Heading3"/>
        <w:rPr>
          <w:noProof/>
          <w:lang w:val="en"/>
        </w:rPr>
      </w:pPr>
      <w:bookmarkStart w:id="123" w:name="_Toc498521073"/>
      <w:r>
        <w:rPr>
          <w:noProof/>
          <w:lang w:val="en"/>
        </w:rPr>
        <w:t>EU added value of the directive</w:t>
      </w:r>
      <w:bookmarkEnd w:id="123"/>
    </w:p>
    <w:p w:rsidR="00EB6A7B" w:rsidRDefault="001E7ACC">
      <w:pPr>
        <w:pStyle w:val="NormalWeb"/>
        <w:pBdr>
          <w:top w:val="single" w:sz="4" w:space="1" w:color="auto"/>
          <w:left w:val="single" w:sz="4" w:space="4" w:color="auto"/>
          <w:bottom w:val="single" w:sz="4" w:space="1" w:color="auto"/>
          <w:right w:val="single" w:sz="4" w:space="4" w:color="auto"/>
        </w:pBdr>
        <w:ind w:left="426" w:hanging="426"/>
        <w:jc w:val="both"/>
        <w:rPr>
          <w:i/>
          <w:noProof/>
          <w:lang w:val="en"/>
        </w:rPr>
      </w:pPr>
      <w:r>
        <w:rPr>
          <w:i/>
          <w:noProof/>
        </w:rPr>
        <w:t xml:space="preserve">Evaluation question </w:t>
      </w:r>
      <w:r>
        <w:rPr>
          <w:i/>
          <w:noProof/>
          <w:lang w:val="en"/>
        </w:rPr>
        <w:t>15</w:t>
      </w:r>
    </w:p>
    <w:p w:rsidR="00EB6A7B" w:rsidRDefault="001E7ACC">
      <w:pPr>
        <w:pStyle w:val="NormalWeb"/>
        <w:pBdr>
          <w:top w:val="single" w:sz="4" w:space="1" w:color="auto"/>
          <w:left w:val="single" w:sz="4" w:space="4" w:color="auto"/>
          <w:bottom w:val="single" w:sz="4" w:space="1" w:color="auto"/>
          <w:right w:val="single" w:sz="4" w:space="4" w:color="auto"/>
        </w:pBdr>
        <w:jc w:val="both"/>
        <w:rPr>
          <w:i/>
          <w:noProof/>
          <w:lang w:val="en"/>
        </w:rPr>
      </w:pPr>
      <w:r>
        <w:rPr>
          <w:i/>
          <w:noProof/>
          <w:lang w:val="en"/>
        </w:rPr>
        <w:t xml:space="preserve">What has been the EU added value of the Directive, compared </w:t>
      </w:r>
      <w:r>
        <w:rPr>
          <w:i/>
          <w:noProof/>
          <w:lang w:val="en"/>
        </w:rPr>
        <w:t>to what could have been achieved by Member States at national level in ensuring the enforcement of IPRs?</w:t>
      </w:r>
    </w:p>
    <w:p w:rsidR="00EB6A7B" w:rsidRDefault="001E7ACC">
      <w:pPr>
        <w:pStyle w:val="NormalWeb"/>
        <w:jc w:val="both"/>
        <w:rPr>
          <w:noProof/>
          <w:lang w:val="en"/>
        </w:rPr>
      </w:pPr>
      <w:r>
        <w:rPr>
          <w:noProof/>
          <w:lang w:val="en"/>
        </w:rPr>
        <w:t>According to the feedback from experts and stakeholders</w:t>
      </w:r>
      <w:r>
        <w:rPr>
          <w:rStyle w:val="FootnoteReference"/>
          <w:noProof/>
          <w:lang w:val="en"/>
        </w:rPr>
        <w:footnoteReference w:id="102"/>
      </w:r>
      <w:r>
        <w:rPr>
          <w:noProof/>
          <w:lang w:val="en"/>
        </w:rPr>
        <w:t>, the EU added value must be seen primarily in the context of establishing a common set of tool</w:t>
      </w:r>
      <w:r>
        <w:rPr>
          <w:noProof/>
          <w:lang w:val="en"/>
        </w:rPr>
        <w:t xml:space="preserve">s for IPR enforcement across Europe which would basically: </w:t>
      </w:r>
    </w:p>
    <w:p w:rsidR="00EB6A7B" w:rsidRDefault="001E7ACC">
      <w:pPr>
        <w:pStyle w:val="NormalWeb"/>
        <w:numPr>
          <w:ilvl w:val="0"/>
          <w:numId w:val="44"/>
        </w:numPr>
        <w:jc w:val="both"/>
        <w:rPr>
          <w:noProof/>
          <w:lang w:val="en"/>
        </w:rPr>
      </w:pPr>
      <w:r>
        <w:rPr>
          <w:noProof/>
          <w:lang w:val="en"/>
        </w:rPr>
        <w:t xml:space="preserve">Allow for the creation of a truly pan-European strategy for firms to enforce their IP rights due to the common concepts and procedures (even if application in the MS differs). </w:t>
      </w:r>
    </w:p>
    <w:p w:rsidR="00EB6A7B" w:rsidRDefault="001E7ACC">
      <w:pPr>
        <w:pStyle w:val="NormalWeb"/>
        <w:numPr>
          <w:ilvl w:val="0"/>
          <w:numId w:val="44"/>
        </w:numPr>
        <w:jc w:val="both"/>
        <w:rPr>
          <w:noProof/>
          <w:lang w:val="en"/>
        </w:rPr>
      </w:pPr>
      <w:r>
        <w:rPr>
          <w:noProof/>
          <w:lang w:val="en"/>
        </w:rPr>
        <w:t xml:space="preserve">Lead to efficiency </w:t>
      </w:r>
      <w:r>
        <w:rPr>
          <w:noProof/>
          <w:lang w:val="en"/>
        </w:rPr>
        <w:t>and effectiveness gains; in the sense that in many cases or Member States IP enforcement becomes an option at all.</w:t>
      </w:r>
    </w:p>
    <w:p w:rsidR="00EB6A7B" w:rsidRDefault="001E7ACC">
      <w:pPr>
        <w:pStyle w:val="NormalWeb"/>
        <w:numPr>
          <w:ilvl w:val="0"/>
          <w:numId w:val="44"/>
        </w:numPr>
        <w:jc w:val="both"/>
        <w:rPr>
          <w:noProof/>
          <w:lang w:val="en"/>
        </w:rPr>
      </w:pPr>
      <w:r>
        <w:rPr>
          <w:noProof/>
          <w:lang w:val="en"/>
        </w:rPr>
        <w:t>The benefit for judges to be able to read and be inspired by rulings in other Member States applying the same legal basis results in higher p</w:t>
      </w:r>
      <w:r>
        <w:rPr>
          <w:noProof/>
          <w:lang w:val="en"/>
        </w:rPr>
        <w:t>redictability of rulings in an international context and also contributes to higher efficiency and effectiveness.</w:t>
      </w:r>
    </w:p>
    <w:p w:rsidR="00EB6A7B" w:rsidRDefault="001E7ACC">
      <w:pPr>
        <w:pStyle w:val="NormalWeb"/>
        <w:numPr>
          <w:ilvl w:val="0"/>
          <w:numId w:val="44"/>
        </w:numPr>
        <w:jc w:val="both"/>
        <w:rPr>
          <w:noProof/>
          <w:lang w:val="en"/>
        </w:rPr>
      </w:pPr>
      <w:r>
        <w:rPr>
          <w:noProof/>
          <w:lang w:val="en"/>
        </w:rPr>
        <w:t xml:space="preserve">The persisting difficulties of cross-border protection of IP, often linked to the borderless nature of the internet and knowledge based </w:t>
      </w:r>
      <w:r>
        <w:rPr>
          <w:noProof/>
          <w:lang w:val="en"/>
        </w:rPr>
        <w:t>business activities, require a common EU approach.</w:t>
      </w:r>
    </w:p>
    <w:p w:rsidR="00EB6A7B" w:rsidRDefault="001E7ACC">
      <w:pPr>
        <w:pStyle w:val="NormalWeb"/>
        <w:spacing w:line="276" w:lineRule="auto"/>
        <w:jc w:val="both"/>
        <w:rPr>
          <w:noProof/>
          <w:lang w:val="en"/>
        </w:rPr>
      </w:pPr>
      <w:r>
        <w:rPr>
          <w:noProof/>
          <w:lang w:val="en"/>
        </w:rPr>
        <w:t>According to the experts consulted during the evaluation, it is hardly conceivable, that these values would have been achievable without the Directive, even if the Member States would have themselves inves</w:t>
      </w:r>
      <w:r>
        <w:rPr>
          <w:noProof/>
          <w:lang w:val="en"/>
        </w:rPr>
        <w:t>ted heavily and more in civil IPR enforcement.</w:t>
      </w:r>
      <w:r>
        <w:rPr>
          <w:rStyle w:val="FootnoteReference"/>
          <w:noProof/>
          <w:lang w:val="en"/>
        </w:rPr>
        <w:footnoteReference w:id="103"/>
      </w:r>
      <w:r>
        <w:rPr>
          <w:noProof/>
          <w:lang w:val="en"/>
        </w:rPr>
        <w:t xml:space="preserve"> The feedback therefore indicate that purely nationally-driven approaches would have led to less efficient and effective country-specific enforcement practices, in some cases even becoming a deterrent to enfor</w:t>
      </w:r>
      <w:r>
        <w:rPr>
          <w:noProof/>
          <w:lang w:val="en"/>
        </w:rPr>
        <w:t xml:space="preserve">cing IP rights at all. </w:t>
      </w:r>
    </w:p>
    <w:p w:rsidR="00EB6A7B" w:rsidRDefault="001E7ACC">
      <w:pPr>
        <w:pStyle w:val="Heading3"/>
        <w:rPr>
          <w:noProof/>
          <w:lang w:val="en"/>
        </w:rPr>
      </w:pPr>
      <w:bookmarkStart w:id="124" w:name="_Toc498521074"/>
      <w:r>
        <w:rPr>
          <w:noProof/>
          <w:lang w:val="en"/>
        </w:rPr>
        <w:t>Need for continuous EU action</w:t>
      </w:r>
      <w:bookmarkEnd w:id="124"/>
    </w:p>
    <w:p w:rsidR="00EB6A7B" w:rsidRDefault="001E7ACC">
      <w:pPr>
        <w:pStyle w:val="NormalWeb"/>
        <w:pBdr>
          <w:top w:val="single" w:sz="4" w:space="1" w:color="auto"/>
          <w:left w:val="single" w:sz="4" w:space="4" w:color="auto"/>
          <w:bottom w:val="single" w:sz="4" w:space="1" w:color="auto"/>
          <w:right w:val="single" w:sz="4" w:space="4" w:color="auto"/>
        </w:pBdr>
        <w:spacing w:line="276" w:lineRule="auto"/>
        <w:ind w:left="426" w:hanging="426"/>
        <w:jc w:val="both"/>
        <w:rPr>
          <w:i/>
          <w:noProof/>
          <w:lang w:val="en"/>
        </w:rPr>
      </w:pPr>
      <w:r>
        <w:rPr>
          <w:i/>
          <w:noProof/>
        </w:rPr>
        <w:t xml:space="preserve">Evaluation question </w:t>
      </w:r>
      <w:r>
        <w:rPr>
          <w:i/>
          <w:noProof/>
          <w:lang w:val="en"/>
        </w:rPr>
        <w:t>16</w:t>
      </w:r>
    </w:p>
    <w:p w:rsidR="00EB6A7B" w:rsidRDefault="001E7ACC">
      <w:pPr>
        <w:pStyle w:val="NormalWeb"/>
        <w:pBdr>
          <w:top w:val="single" w:sz="4" w:space="1" w:color="auto"/>
          <w:left w:val="single" w:sz="4" w:space="4" w:color="auto"/>
          <w:bottom w:val="single" w:sz="4" w:space="1" w:color="auto"/>
          <w:right w:val="single" w:sz="4" w:space="4" w:color="auto"/>
        </w:pBdr>
        <w:spacing w:line="276" w:lineRule="auto"/>
        <w:ind w:left="426" w:hanging="426"/>
        <w:jc w:val="both"/>
        <w:rPr>
          <w:i/>
          <w:noProof/>
          <w:lang w:val="en"/>
        </w:rPr>
      </w:pPr>
      <w:r>
        <w:rPr>
          <w:i/>
          <w:noProof/>
          <w:lang w:val="en"/>
        </w:rPr>
        <w:t>Do the objectives addressed by the Directive continue to require action at EU level?</w:t>
      </w:r>
    </w:p>
    <w:p w:rsidR="00EB6A7B" w:rsidRDefault="001E7ACC">
      <w:pPr>
        <w:spacing w:before="120"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There was a large consensus among experts consulted that continued action is required at EU le</w:t>
      </w:r>
      <w:r>
        <w:rPr>
          <w:rFonts w:ascii="Times New Roman" w:eastAsia="Times New Roman" w:hAnsi="Times New Roman" w:cs="Times New Roman"/>
          <w:noProof/>
          <w:sz w:val="24"/>
          <w:szCs w:val="24"/>
        </w:rPr>
        <w:t>vel to tackle the objectives addressed. This, not the least, because IPR infringements remain a significant phenomenon and new challenges appear such as new strategies of counterfeiters and pirates that work increasingly in an internationally connected way</w:t>
      </w:r>
      <w:r>
        <w:rPr>
          <w:rFonts w:ascii="Times New Roman" w:eastAsia="Times New Roman" w:hAnsi="Times New Roman" w:cs="Times New Roman"/>
          <w:noProof/>
          <w:sz w:val="24"/>
          <w:szCs w:val="24"/>
        </w:rPr>
        <w:t>.</w:t>
      </w:r>
    </w:p>
    <w:p w:rsidR="00EB6A7B" w:rsidRDefault="001E7ACC">
      <w:pPr>
        <w:pStyle w:val="NormalWeb"/>
        <w:spacing w:line="276" w:lineRule="auto"/>
        <w:jc w:val="both"/>
        <w:rPr>
          <w:noProof/>
          <w:lang w:val="en"/>
        </w:rPr>
      </w:pPr>
      <w:r>
        <w:rPr>
          <w:noProof/>
          <w:lang w:val="en"/>
        </w:rPr>
        <w:t>The recent EUIPO study on IPR infringements in the clothing sector states for example that counterfeit clothes or shoes destined for the EU market are manufactured outside or inside the EU, imported into the EU and/or distributed across internal EU borde</w:t>
      </w:r>
      <w:r>
        <w:rPr>
          <w:noProof/>
          <w:lang w:val="en"/>
        </w:rPr>
        <w:t>rs, promoted on global social networks and offered on internet sales platforms. The cross-border nature of commercial scale IP infringing activities has been highlighted in the 2015 and 2017 Situation Report of Europol and the EUIPO.</w:t>
      </w:r>
      <w:r>
        <w:rPr>
          <w:rStyle w:val="FootnoteReference"/>
          <w:noProof/>
          <w:lang w:val="en"/>
        </w:rPr>
        <w:footnoteReference w:id="104"/>
      </w:r>
    </w:p>
    <w:p w:rsidR="00EB6A7B" w:rsidRDefault="001E7ACC">
      <w:pPr>
        <w:pStyle w:val="NormalWeb"/>
        <w:spacing w:line="276" w:lineRule="auto"/>
        <w:jc w:val="both"/>
        <w:rPr>
          <w:noProof/>
          <w:lang w:val="en"/>
        </w:rPr>
      </w:pPr>
      <w:r>
        <w:rPr>
          <w:noProof/>
          <w:lang w:val="en"/>
        </w:rPr>
        <w:t>Rightholders report d</w:t>
      </w:r>
      <w:r>
        <w:rPr>
          <w:noProof/>
          <w:lang w:val="en"/>
        </w:rPr>
        <w:t>ifficulties to enforce their rights at EU level. They claim that they have to apply for injunctions separately in each jurisdiction they would like to cover because the current complexity of rules. In particular the different applications of the national I</w:t>
      </w:r>
      <w:r>
        <w:rPr>
          <w:noProof/>
          <w:lang w:val="en"/>
        </w:rPr>
        <w:t>P rules and national procedural rules for granting interlocutory or permanent injunctions - for the same infringement against several infringers or intermediaries from several jurisdictions in the EU- is seen as cumbersome.</w:t>
      </w:r>
    </w:p>
    <w:p w:rsidR="00EB6A7B" w:rsidRDefault="001E7ACC">
      <w:pPr>
        <w:pStyle w:val="NormalWeb"/>
        <w:jc w:val="both"/>
        <w:rPr>
          <w:noProof/>
          <w:lang w:val="en"/>
        </w:rPr>
      </w:pPr>
      <w:r>
        <w:rPr>
          <w:noProof/>
          <w:lang w:val="en"/>
        </w:rPr>
        <w:t xml:space="preserve">Procedural requirements such as </w:t>
      </w:r>
      <w:r>
        <w:rPr>
          <w:noProof/>
          <w:lang w:val="en"/>
        </w:rPr>
        <w:t>translation and more importantly the divergence in applicable rules result in the difficulty to join case as well as significant costs and lengthy procedures.</w:t>
      </w:r>
    </w:p>
    <w:p w:rsidR="00EB6A7B" w:rsidRDefault="001E7ACC">
      <w:pPr>
        <w:pStyle w:val="NormalWeb"/>
        <w:pBdr>
          <w:top w:val="single" w:sz="4" w:space="1" w:color="auto"/>
          <w:left w:val="single" w:sz="4" w:space="4" w:color="auto"/>
          <w:bottom w:val="single" w:sz="4" w:space="1" w:color="auto"/>
          <w:right w:val="single" w:sz="4" w:space="4" w:color="auto"/>
        </w:pBdr>
        <w:jc w:val="both"/>
        <w:rPr>
          <w:noProof/>
          <w:lang w:val="en"/>
        </w:rPr>
      </w:pPr>
      <w:r>
        <w:rPr>
          <w:noProof/>
          <w:lang w:val="en"/>
        </w:rPr>
        <w:t>In conclusion, the evaluation of the EU added value indicates the continuous need for action at E</w:t>
      </w:r>
      <w:r>
        <w:rPr>
          <w:noProof/>
          <w:lang w:val="en"/>
        </w:rPr>
        <w:t>U level, and moreover calls for improved enforcement at EU level.</w:t>
      </w:r>
    </w:p>
    <w:p w:rsidR="00EB6A7B" w:rsidRDefault="001E7ACC">
      <w:pPr>
        <w:pStyle w:val="Heading1"/>
        <w:spacing w:line="276" w:lineRule="auto"/>
        <w:rPr>
          <w:noProof/>
        </w:rPr>
      </w:pPr>
      <w:bookmarkStart w:id="125" w:name="_Toc498521075"/>
      <w:r>
        <w:rPr>
          <w:noProof/>
        </w:rPr>
        <w:t>Conclusions</w:t>
      </w:r>
      <w:bookmarkEnd w:id="125"/>
      <w:r>
        <w:rPr>
          <w:noProof/>
        </w:rPr>
        <w:t xml:space="preserve"> </w:t>
      </w:r>
    </w:p>
    <w:p w:rsidR="00EB6A7B" w:rsidRDefault="001E7ACC">
      <w:pPr>
        <w:spacing w:before="100" w:beforeAutospacing="1" w:after="100" w:afterAutospacing="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fact that the evaluation can only rely on very limited empirical evidence impedes reaching definitive conclusions on the detailed performance criteria of this Directive. However, a solid expert analysis, including the public consultation, and several a</w:t>
      </w:r>
      <w:r>
        <w:rPr>
          <w:rFonts w:ascii="Times New Roman" w:eastAsia="Times New Roman" w:hAnsi="Times New Roman" w:cs="Times New Roman"/>
          <w:noProof/>
          <w:sz w:val="24"/>
          <w:szCs w:val="24"/>
          <w:lang w:eastAsia="en-GB"/>
        </w:rPr>
        <w:t xml:space="preserve">dditional stakeholder consultation, and studies led by the EUIPO have provided significant input to the evaluation. </w:t>
      </w:r>
    </w:p>
    <w:p w:rsidR="00EB6A7B" w:rsidRDefault="001E7ACC">
      <w:pPr>
        <w:spacing w:before="100" w:beforeAutospacing="1" w:after="100" w:afterAutospacing="1"/>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main conclusions of the evaluation are the following:</w:t>
      </w:r>
    </w:p>
    <w:p w:rsidR="00EB6A7B" w:rsidRDefault="001E7ACC">
      <w:pPr>
        <w:numPr>
          <w:ilvl w:val="0"/>
          <w:numId w:val="4"/>
        </w:numPr>
        <w:spacing w:before="100" w:beforeAutospacing="1" w:after="120"/>
        <w:ind w:left="357" w:hanging="357"/>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All Member States have rules of national law in place that transpose the </w:t>
      </w:r>
      <w:r>
        <w:rPr>
          <w:rFonts w:ascii="Times New Roman" w:eastAsia="Times New Roman" w:hAnsi="Times New Roman" w:cs="Times New Roman"/>
          <w:noProof/>
          <w:sz w:val="24"/>
          <w:szCs w:val="24"/>
          <w:lang w:eastAsia="en-GB"/>
        </w:rPr>
        <w:t>Directive. The Directive can be considered to have contributed to fostering a common framework for the enforcement of IPR.</w:t>
      </w:r>
    </w:p>
    <w:p w:rsidR="00EB6A7B" w:rsidRDefault="001E7ACC">
      <w:pPr>
        <w:numPr>
          <w:ilvl w:val="0"/>
          <w:numId w:val="4"/>
        </w:numPr>
        <w:spacing w:before="100" w:beforeAutospacing="1"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regards effectiveness, the main conclusion drawn from the evaluation of the functioning of the Directive is that it has achieved i</w:t>
      </w:r>
      <w:r>
        <w:rPr>
          <w:rFonts w:ascii="Times New Roman" w:eastAsia="Times New Roman" w:hAnsi="Times New Roman" w:cs="Times New Roman"/>
          <w:noProof/>
          <w:sz w:val="24"/>
          <w:szCs w:val="24"/>
          <w:lang w:eastAsia="en-GB"/>
        </w:rPr>
        <w:t xml:space="preserve">ts main objective by providing a minimum but solid standard toolbox of measures, procedures and remedies, contributing to </w:t>
      </w:r>
      <w:r>
        <w:rPr>
          <w:rFonts w:ascii="Times New Roman" w:hAnsi="Times New Roman" w:cs="Times New Roman"/>
          <w:noProof/>
          <w:sz w:val="24"/>
          <w:szCs w:val="24"/>
        </w:rPr>
        <w:t>a level playing field for the enforcement of IPR in the internal market</w:t>
      </w:r>
      <w:r>
        <w:rPr>
          <w:rFonts w:ascii="Times New Roman" w:eastAsia="Times New Roman" w:hAnsi="Times New Roman" w:cs="Times New Roman"/>
          <w:noProof/>
          <w:sz w:val="24"/>
          <w:szCs w:val="24"/>
          <w:lang w:eastAsia="en-GB"/>
        </w:rPr>
        <w:t>. While the Directive's objectives include homogeneity, there s</w:t>
      </w:r>
      <w:r>
        <w:rPr>
          <w:rFonts w:ascii="Times New Roman" w:eastAsia="Times New Roman" w:hAnsi="Times New Roman" w:cs="Times New Roman"/>
          <w:noProof/>
          <w:sz w:val="24"/>
          <w:szCs w:val="24"/>
          <w:lang w:eastAsia="en-GB"/>
        </w:rPr>
        <w:t xml:space="preserve">till exist differences on how these means are applied by the competent judicial authorities at national level which affect the effectiveness of the Directive. This is mainly </w:t>
      </w:r>
      <w:r>
        <w:rPr>
          <w:rFonts w:ascii="Times New Roman" w:hAnsi="Times New Roman" w:cs="Times New Roman"/>
          <w:noProof/>
          <w:sz w:val="24"/>
          <w:szCs w:val="24"/>
        </w:rPr>
        <w:t>due to uncertainties and diverging views as to the way the provisions of the Direc</w:t>
      </w:r>
      <w:r>
        <w:rPr>
          <w:rFonts w:ascii="Times New Roman" w:hAnsi="Times New Roman" w:cs="Times New Roman"/>
          <w:noProof/>
          <w:sz w:val="24"/>
          <w:szCs w:val="24"/>
        </w:rPr>
        <w:t>tive should be understood (in particular provisions relating to presenting and preserving evidence,  right of information, provisional and permanent injunctions, damages, reimbursement of  legal costs) especially taking account of new challenges, including</w:t>
      </w:r>
      <w:r>
        <w:rPr>
          <w:rFonts w:ascii="Times New Roman" w:hAnsi="Times New Roman" w:cs="Times New Roman"/>
          <w:noProof/>
          <w:sz w:val="24"/>
          <w:szCs w:val="24"/>
        </w:rPr>
        <w:t xml:space="preserve"> the digital revolution and cross-border context, as well as to differences in national civil law procedural frameworks, into which the measures, procedures and remedies of the Directive are embedded, as well as dissimilar legal and judicial traditions.</w:t>
      </w:r>
    </w:p>
    <w:p w:rsidR="00EB6A7B" w:rsidRDefault="001E7ACC">
      <w:pPr>
        <w:pStyle w:val="ListParagraph"/>
        <w:numPr>
          <w:ilvl w:val="0"/>
          <w:numId w:val="4"/>
        </w:num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w:t>
      </w:r>
      <w:r>
        <w:rPr>
          <w:rFonts w:ascii="Times New Roman" w:eastAsia="Times New Roman" w:hAnsi="Times New Roman" w:cs="Times New Roman"/>
          <w:noProof/>
          <w:sz w:val="24"/>
          <w:szCs w:val="24"/>
          <w:lang w:eastAsia="en-GB"/>
        </w:rPr>
        <w:t xml:space="preserve"> addition, limited public access to judgments on IPR enforcement rendered at national level allows for little transparency on how the Directive is applied in practice and does not therefore facilitate predictability, knowledge exchange and the definition o</w:t>
      </w:r>
      <w:r>
        <w:rPr>
          <w:rFonts w:ascii="Times New Roman" w:eastAsia="Times New Roman" w:hAnsi="Times New Roman" w:cs="Times New Roman"/>
          <w:noProof/>
          <w:sz w:val="24"/>
          <w:szCs w:val="24"/>
          <w:lang w:eastAsia="en-GB"/>
        </w:rPr>
        <w:t>f best practices.</w:t>
      </w:r>
    </w:p>
    <w:p w:rsidR="00EB6A7B" w:rsidRDefault="001E7ACC">
      <w:pPr>
        <w:numPr>
          <w:ilvl w:val="0"/>
          <w:numId w:val="4"/>
        </w:numPr>
        <w:spacing w:before="100" w:beforeAutospacing="1"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Directive can be considered to have been a cost-efficient and overall a beneficial intervention. It has not created administrative burden or significant compliance or implementation costs for either stakeholders or Member States. Affo</w:t>
      </w:r>
      <w:r>
        <w:rPr>
          <w:rFonts w:ascii="Times New Roman" w:eastAsia="Times New Roman" w:hAnsi="Times New Roman" w:cs="Times New Roman"/>
          <w:noProof/>
          <w:sz w:val="24"/>
          <w:szCs w:val="24"/>
          <w:lang w:eastAsia="en-GB"/>
        </w:rPr>
        <w:t>rdability of the costs represents however an issue particularly for the SMEs and in that context allowing for an easier enforcement may help SMEs when acting as applicants, but have negative consequences when acting as defendants.</w:t>
      </w:r>
    </w:p>
    <w:p w:rsidR="00EB6A7B" w:rsidRDefault="001E7ACC">
      <w:pPr>
        <w:numPr>
          <w:ilvl w:val="0"/>
          <w:numId w:val="4"/>
        </w:numPr>
        <w:spacing w:before="100" w:beforeAutospacing="1" w:after="120"/>
        <w:ind w:left="357" w:hanging="357"/>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existence of national</w:t>
      </w:r>
      <w:r>
        <w:rPr>
          <w:rFonts w:ascii="Times New Roman" w:eastAsia="Times New Roman" w:hAnsi="Times New Roman" w:cs="Times New Roman"/>
          <w:noProof/>
          <w:sz w:val="24"/>
          <w:szCs w:val="24"/>
          <w:lang w:eastAsia="en-GB"/>
        </w:rPr>
        <w:t xml:space="preserve"> judicial authorities specialised in matters related to IPR enforcement constitutes a decisive factor for the effective and efficient use of the measures, procedures and remedies under the Directive. </w:t>
      </w:r>
    </w:p>
    <w:p w:rsidR="00EB6A7B" w:rsidRDefault="001E7ACC">
      <w:pPr>
        <w:numPr>
          <w:ilvl w:val="0"/>
          <w:numId w:val="4"/>
        </w:numPr>
        <w:spacing w:before="100" w:beforeAutospacing="1" w:after="120"/>
        <w:ind w:left="357" w:hanging="357"/>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Directive remains relevant as an instrument facilit</w:t>
      </w:r>
      <w:r>
        <w:rPr>
          <w:rFonts w:ascii="Times New Roman" w:eastAsia="Times New Roman" w:hAnsi="Times New Roman" w:cs="Times New Roman"/>
          <w:noProof/>
          <w:sz w:val="24"/>
          <w:szCs w:val="24"/>
          <w:lang w:eastAsia="en-GB"/>
        </w:rPr>
        <w:t>ating enforcement of the different IPRs in the digital environment and in the cross-border trade.</w:t>
      </w:r>
    </w:p>
    <w:p w:rsidR="00EB6A7B" w:rsidRDefault="001E7ACC">
      <w:pPr>
        <w:numPr>
          <w:ilvl w:val="0"/>
          <w:numId w:val="4"/>
        </w:numPr>
        <w:spacing w:before="100" w:beforeAutospacing="1" w:after="120"/>
        <w:ind w:left="357" w:hanging="357"/>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Directive is coherent both internally and with other EU interventions pursuing similar objectives. Voluntary stakeholders' initiatives can be a powerful c</w:t>
      </w:r>
      <w:r>
        <w:rPr>
          <w:rFonts w:ascii="Times New Roman" w:eastAsia="Times New Roman" w:hAnsi="Times New Roman" w:cs="Times New Roman"/>
          <w:noProof/>
          <w:sz w:val="24"/>
          <w:szCs w:val="24"/>
          <w:lang w:eastAsia="en-GB"/>
        </w:rPr>
        <w:t xml:space="preserve">omplementary tool to judicial enforcement measures, depending on the level of engagement of stakeholders. </w:t>
      </w:r>
    </w:p>
    <w:p w:rsidR="00EB6A7B" w:rsidRDefault="001E7ACC">
      <w:pPr>
        <w:numPr>
          <w:ilvl w:val="0"/>
          <w:numId w:val="4"/>
        </w:numPr>
        <w:spacing w:before="100" w:beforeAutospacing="1" w:after="1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Finally, the Directive's objectives remain valid in view of the Commission priorities to complete the creation of the digital single market and to de</w:t>
      </w:r>
      <w:r>
        <w:rPr>
          <w:rFonts w:ascii="Times New Roman" w:eastAsia="Times New Roman" w:hAnsi="Times New Roman" w:cs="Times New Roman"/>
          <w:noProof/>
          <w:sz w:val="24"/>
          <w:szCs w:val="24"/>
          <w:lang w:eastAsia="en-GB"/>
        </w:rPr>
        <w:t>liver the Single Market Strategy.</w:t>
      </w:r>
    </w:p>
    <w:p w:rsidR="00EB6A7B" w:rsidRDefault="001E7ACC">
      <w:pPr>
        <w:numPr>
          <w:ilvl w:val="0"/>
          <w:numId w:val="4"/>
        </w:numPr>
        <w:spacing w:before="100" w:beforeAutospacing="1" w:after="120"/>
        <w:ind w:left="357" w:hanging="357"/>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regards EU added value, the Directive has provided value by establishing harmonised rules across the internal market. </w:t>
      </w:r>
    </w:p>
    <w:p w:rsidR="00EB6A7B" w:rsidRDefault="001E7ACC">
      <w:pPr>
        <w:numPr>
          <w:ilvl w:val="0"/>
          <w:numId w:val="4"/>
        </w:numPr>
        <w:spacing w:before="100" w:beforeAutospacing="1" w:after="120"/>
        <w:ind w:left="357" w:hanging="357"/>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terms of REFIT, since the Directive has not created administrative burden or significant complian</w:t>
      </w:r>
      <w:r>
        <w:rPr>
          <w:rFonts w:ascii="Times New Roman" w:eastAsia="Times New Roman" w:hAnsi="Times New Roman" w:cs="Times New Roman"/>
          <w:noProof/>
          <w:sz w:val="24"/>
          <w:szCs w:val="24"/>
          <w:lang w:eastAsia="en-GB"/>
        </w:rPr>
        <w:t xml:space="preserve">ce and implementation costs for stakeholders or Member States and since its provisions generally leave the Member States a margin of discretion, the available simplification potential is estimated to be limited. </w:t>
      </w:r>
      <w:r>
        <w:rPr>
          <w:rFonts w:ascii="Times New Roman" w:eastAsia="Times New Roman" w:hAnsi="Times New Roman" w:cs="Times New Roman"/>
          <w:noProof/>
          <w:sz w:val="24"/>
          <w:szCs w:val="24"/>
        </w:rPr>
        <w:t>The costs of bringing legal action and the p</w:t>
      </w:r>
      <w:r>
        <w:rPr>
          <w:rFonts w:ascii="Times New Roman" w:eastAsia="Times New Roman" w:hAnsi="Times New Roman" w:cs="Times New Roman"/>
          <w:noProof/>
          <w:sz w:val="24"/>
          <w:szCs w:val="24"/>
        </w:rPr>
        <w:t>reparation of legal action derive primarily from the general rules and procedures for the use of civil justice system in a Member State, not from the Directive.</w:t>
      </w:r>
    </w:p>
    <w:p w:rsidR="00EB6A7B" w:rsidRDefault="00EB6A7B">
      <w:pPr>
        <w:spacing w:before="100" w:beforeAutospacing="1" w:after="120"/>
        <w:ind w:left="357"/>
        <w:jc w:val="both"/>
        <w:rPr>
          <w:rFonts w:ascii="Times New Roman" w:eastAsia="Times New Roman" w:hAnsi="Times New Roman" w:cs="Times New Roman"/>
          <w:noProof/>
          <w:sz w:val="24"/>
          <w:szCs w:val="24"/>
          <w:lang w:eastAsia="en-GB"/>
        </w:rPr>
      </w:pPr>
    </w:p>
    <w:p w:rsidR="00EB6A7B" w:rsidRDefault="001E7ACC">
      <w:pPr>
        <w:spacing w:before="100" w:beforeAutospacing="1" w:after="120"/>
        <w:jc w:val="both"/>
        <w:rPr>
          <w:rFonts w:ascii="Times New Roman" w:hAnsi="Times New Roman" w:cs="Times New Roman"/>
          <w:b/>
          <w:noProof/>
        </w:rPr>
      </w:pPr>
      <w:r>
        <w:rPr>
          <w:rFonts w:ascii="Times New Roman" w:eastAsia="Times New Roman" w:hAnsi="Times New Roman" w:cs="Times New Roman"/>
          <w:noProof/>
          <w:sz w:val="24"/>
          <w:szCs w:val="24"/>
          <w:lang w:eastAsia="en-GB"/>
        </w:rPr>
        <w:t>On the basis of the above, it can be concluded that the application of the Directive by nation</w:t>
      </w:r>
      <w:r>
        <w:rPr>
          <w:rFonts w:ascii="Times New Roman" w:eastAsia="Times New Roman" w:hAnsi="Times New Roman" w:cs="Times New Roman"/>
          <w:noProof/>
          <w:sz w:val="24"/>
          <w:szCs w:val="24"/>
          <w:lang w:eastAsia="en-GB"/>
        </w:rPr>
        <w:t>al authorities would benefit from the appropriate guidance on how to interpret key provisions and from the additional gathering of best practices for public exchange, complemented by efforts to foster transparency on IPR enforcement-related case law and st</w:t>
      </w:r>
      <w:r>
        <w:rPr>
          <w:rFonts w:ascii="Times New Roman" w:eastAsia="Times New Roman" w:hAnsi="Times New Roman" w:cs="Times New Roman"/>
          <w:noProof/>
          <w:sz w:val="24"/>
          <w:szCs w:val="24"/>
          <w:lang w:eastAsia="en-GB"/>
        </w:rPr>
        <w:t>rengthen the capacity of national judges to adequately deal with IPR infringement claims.</w:t>
      </w:r>
    </w:p>
    <w:p w:rsidR="00EB6A7B" w:rsidRDefault="001E7ACC">
      <w:pPr>
        <w:rPr>
          <w:rFonts w:ascii="Times New Roman" w:hAnsi="Times New Roman" w:cs="Times New Roman"/>
          <w:b/>
          <w:noProof/>
        </w:rPr>
      </w:pPr>
      <w:r>
        <w:rPr>
          <w:rFonts w:ascii="Times New Roman" w:hAnsi="Times New Roman" w:cs="Times New Roman"/>
          <w:b/>
          <w:noProof/>
        </w:rPr>
        <w:br w:type="page"/>
      </w:r>
    </w:p>
    <w:p w:rsidR="00EB6A7B" w:rsidRDefault="001E7ACC">
      <w:pPr>
        <w:pStyle w:val="Heading1"/>
        <w:numPr>
          <w:ilvl w:val="0"/>
          <w:numId w:val="0"/>
        </w:numPr>
        <w:tabs>
          <w:tab w:val="center" w:pos="4536"/>
        </w:tabs>
        <w:spacing w:line="276" w:lineRule="auto"/>
        <w:ind w:left="1134" w:hanging="1134"/>
        <w:rPr>
          <w:noProof/>
        </w:rPr>
      </w:pPr>
      <w:bookmarkStart w:id="126" w:name="_Toc498521076"/>
      <w:r>
        <w:rPr>
          <w:noProof/>
        </w:rPr>
        <w:t>Annex I: Procedural information</w:t>
      </w:r>
      <w:bookmarkEnd w:id="126"/>
      <w:r>
        <w:rPr>
          <w:noProof/>
        </w:rPr>
        <w:tab/>
      </w:r>
    </w:p>
    <w:p w:rsidR="00EB6A7B" w:rsidRDefault="001E7ACC">
      <w:pPr>
        <w:pStyle w:val="ListParagraph"/>
        <w:numPr>
          <w:ilvl w:val="0"/>
          <w:numId w:val="64"/>
        </w:numPr>
        <w:ind w:left="142" w:hanging="142"/>
        <w:rPr>
          <w:rFonts w:ascii="Times New Roman" w:eastAsia="Times New Roman" w:hAnsi="Times New Roman" w:cs="Times New Roman"/>
          <w:b/>
          <w:bCs/>
          <w:smallCaps/>
          <w:noProof/>
          <w:sz w:val="24"/>
          <w:szCs w:val="24"/>
        </w:rPr>
      </w:pPr>
      <w:bookmarkStart w:id="127" w:name="_Toc448323722"/>
      <w:bookmarkStart w:id="128" w:name="_Toc468698064"/>
      <w:r>
        <w:rPr>
          <w:rFonts w:ascii="Times New Roman" w:eastAsia="Times New Roman" w:hAnsi="Times New Roman" w:cs="Times New Roman"/>
          <w:b/>
          <w:bCs/>
          <w:smallCaps/>
          <w:noProof/>
          <w:sz w:val="24"/>
          <w:szCs w:val="24"/>
        </w:rPr>
        <w:t>Identification</w:t>
      </w:r>
      <w:bookmarkEnd w:id="127"/>
      <w:bookmarkEnd w:id="128"/>
    </w:p>
    <w:p w:rsidR="00EB6A7B" w:rsidRDefault="001E7ACC">
      <w:pPr>
        <w:rPr>
          <w:rFonts w:ascii="Times New Roman" w:hAnsi="Times New Roman" w:cs="Times New Roman"/>
          <w:noProof/>
        </w:rPr>
      </w:pPr>
      <w:r>
        <w:rPr>
          <w:rFonts w:ascii="Times New Roman" w:hAnsi="Times New Roman" w:cs="Times New Roman"/>
          <w:noProof/>
        </w:rPr>
        <w:t>Lead DG: DG Internal Market, Industry, Entrepreneurship and SMEs (DG GROW)</w:t>
      </w:r>
    </w:p>
    <w:p w:rsidR="00EB6A7B" w:rsidRDefault="001E7ACC">
      <w:pPr>
        <w:jc w:val="both"/>
        <w:rPr>
          <w:rFonts w:ascii="Times New Roman" w:hAnsi="Times New Roman" w:cs="Times New Roman"/>
          <w:noProof/>
        </w:rPr>
      </w:pPr>
      <w:r>
        <w:rPr>
          <w:rFonts w:ascii="Times New Roman" w:hAnsi="Times New Roman" w:cs="Times New Roman"/>
          <w:noProof/>
          <w:sz w:val="24"/>
        </w:rPr>
        <w:t xml:space="preserve">Agenda planning/Work programme </w:t>
      </w:r>
      <w:r>
        <w:rPr>
          <w:rFonts w:ascii="Times New Roman" w:hAnsi="Times New Roman" w:cs="Times New Roman"/>
          <w:noProof/>
          <w:sz w:val="24"/>
        </w:rPr>
        <w:t>references: The Agenda Planning Reference is 2016/GROW/002. This evaluation forms part of the Commission's initiative to modernise the enforcement of IPR, as announced in the Digital Single Market Strategy</w:t>
      </w:r>
      <w:r>
        <w:rPr>
          <w:rFonts w:ascii="Times New Roman" w:hAnsi="Times New Roman" w:cs="Times New Roman"/>
          <w:noProof/>
          <w:vertAlign w:val="superscript"/>
        </w:rPr>
        <w:footnoteReference w:id="105"/>
      </w:r>
      <w:r>
        <w:rPr>
          <w:rFonts w:ascii="Times New Roman" w:hAnsi="Times New Roman" w:cs="Times New Roman"/>
          <w:noProof/>
        </w:rPr>
        <w:t xml:space="preserve"> </w:t>
      </w:r>
      <w:r>
        <w:rPr>
          <w:rFonts w:ascii="Times New Roman" w:hAnsi="Times New Roman" w:cs="Times New Roman"/>
          <w:noProof/>
          <w:sz w:val="24"/>
        </w:rPr>
        <w:t>and the Single Market Strategy</w:t>
      </w:r>
      <w:r>
        <w:rPr>
          <w:rFonts w:ascii="Times New Roman" w:hAnsi="Times New Roman" w:cs="Times New Roman"/>
          <w:noProof/>
          <w:vertAlign w:val="superscript"/>
        </w:rPr>
        <w:footnoteReference w:id="106"/>
      </w:r>
      <w:r>
        <w:rPr>
          <w:rFonts w:ascii="Times New Roman" w:hAnsi="Times New Roman" w:cs="Times New Roman"/>
          <w:noProof/>
        </w:rPr>
        <w:t xml:space="preserve">. </w:t>
      </w:r>
      <w:r>
        <w:rPr>
          <w:rFonts w:ascii="Times New Roman" w:hAnsi="Times New Roman" w:cs="Times New Roman"/>
          <w:noProof/>
          <w:sz w:val="24"/>
        </w:rPr>
        <w:t>The evaluation i</w:t>
      </w:r>
      <w:r>
        <w:rPr>
          <w:rFonts w:ascii="Times New Roman" w:hAnsi="Times New Roman" w:cs="Times New Roman"/>
          <w:noProof/>
          <w:sz w:val="24"/>
        </w:rPr>
        <w:t>s also part of the Commission's Regulatory Fitness and Performance Programme (REFIT).</w:t>
      </w:r>
    </w:p>
    <w:p w:rsidR="00EB6A7B" w:rsidRDefault="001E7ACC">
      <w:pPr>
        <w:pStyle w:val="ListParagraph"/>
        <w:numPr>
          <w:ilvl w:val="0"/>
          <w:numId w:val="64"/>
        </w:numPr>
        <w:ind w:left="142" w:hanging="142"/>
        <w:rPr>
          <w:rFonts w:ascii="Times New Roman" w:eastAsia="Times New Roman" w:hAnsi="Times New Roman" w:cs="Times New Roman"/>
          <w:b/>
          <w:bCs/>
          <w:smallCaps/>
          <w:noProof/>
          <w:sz w:val="24"/>
          <w:szCs w:val="24"/>
        </w:rPr>
      </w:pPr>
      <w:bookmarkStart w:id="129" w:name="_Toc448323723"/>
      <w:bookmarkStart w:id="130" w:name="_Toc468698065"/>
      <w:r>
        <w:rPr>
          <w:rFonts w:ascii="Times New Roman" w:eastAsia="Times New Roman" w:hAnsi="Times New Roman" w:cs="Times New Roman"/>
          <w:b/>
          <w:bCs/>
          <w:smallCaps/>
          <w:noProof/>
          <w:sz w:val="24"/>
          <w:szCs w:val="24"/>
        </w:rPr>
        <w:t>Organisation and timing</w:t>
      </w:r>
      <w:bookmarkEnd w:id="129"/>
      <w:bookmarkEnd w:id="130"/>
    </w:p>
    <w:p w:rsidR="00EB6A7B" w:rsidRDefault="001E7ACC">
      <w:pPr>
        <w:jc w:val="both"/>
        <w:rPr>
          <w:rFonts w:ascii="Times New Roman" w:hAnsi="Times New Roman" w:cs="Times New Roman"/>
          <w:noProof/>
          <w:sz w:val="24"/>
        </w:rPr>
      </w:pPr>
      <w:r>
        <w:rPr>
          <w:rFonts w:ascii="Times New Roman" w:hAnsi="Times New Roman" w:cs="Times New Roman"/>
          <w:noProof/>
          <w:sz w:val="24"/>
        </w:rPr>
        <w:t xml:space="preserve">An Inter-Service Steering Group was set up in 2015. In total, five meetings were organised: on 24 September 2015, on 28 July 2016, on 5 October </w:t>
      </w:r>
      <w:r>
        <w:rPr>
          <w:rFonts w:ascii="Times New Roman" w:hAnsi="Times New Roman" w:cs="Times New Roman"/>
          <w:noProof/>
          <w:sz w:val="24"/>
        </w:rPr>
        <w:t xml:space="preserve">2016, on 9 June 2017 and on 19 September 2017. The following Directorate-Generals and services were consulted: SG, SJ, AGRI, BUDG, CNCT, COMP, EAC, ECFIN, EMPL, GROW, JRC, JUST, OLAF, RTD, SANTE, TRADE, TAXUD and the EPSC. The feedback received from these </w:t>
      </w:r>
      <w:r>
        <w:rPr>
          <w:rFonts w:ascii="Times New Roman" w:hAnsi="Times New Roman" w:cs="Times New Roman"/>
          <w:noProof/>
          <w:sz w:val="24"/>
        </w:rPr>
        <w:t>Directorate-Generals and services has been taken into account.</w:t>
      </w:r>
    </w:p>
    <w:p w:rsidR="00EB6A7B" w:rsidRDefault="001E7ACC">
      <w:pPr>
        <w:jc w:val="both"/>
        <w:rPr>
          <w:rFonts w:ascii="Times New Roman" w:hAnsi="Times New Roman" w:cs="Times New Roman"/>
          <w:noProof/>
          <w:sz w:val="24"/>
        </w:rPr>
      </w:pPr>
      <w:r>
        <w:rPr>
          <w:rFonts w:ascii="Times New Roman" w:hAnsi="Times New Roman" w:cs="Times New Roman"/>
          <w:noProof/>
          <w:sz w:val="24"/>
        </w:rPr>
        <w:t>The ISSG approved the Evaluation Roadmap and the public consultation following its meeting of 24 September 2015.</w:t>
      </w:r>
    </w:p>
    <w:p w:rsidR="00EB6A7B" w:rsidRDefault="001E7ACC">
      <w:pPr>
        <w:pStyle w:val="ListParagraph"/>
        <w:numPr>
          <w:ilvl w:val="0"/>
          <w:numId w:val="64"/>
        </w:numPr>
        <w:ind w:left="142" w:hanging="142"/>
        <w:rPr>
          <w:rFonts w:ascii="Times New Roman" w:eastAsia="Times New Roman" w:hAnsi="Times New Roman" w:cs="Times New Roman"/>
          <w:b/>
          <w:bCs/>
          <w:smallCaps/>
          <w:noProof/>
          <w:sz w:val="24"/>
          <w:szCs w:val="24"/>
        </w:rPr>
      </w:pPr>
      <w:bookmarkStart w:id="131" w:name="_Toc448323725"/>
      <w:bookmarkStart w:id="132" w:name="_Toc468698067"/>
      <w:r>
        <w:rPr>
          <w:rFonts w:ascii="Times New Roman" w:eastAsia="Times New Roman" w:hAnsi="Times New Roman" w:cs="Times New Roman"/>
          <w:b/>
          <w:bCs/>
          <w:smallCaps/>
          <w:noProof/>
          <w:sz w:val="24"/>
          <w:szCs w:val="24"/>
        </w:rPr>
        <w:t>Evidence used in the evaluation</w:t>
      </w:r>
    </w:p>
    <w:p w:rsidR="00EB6A7B" w:rsidRDefault="001E7ACC">
      <w:pPr>
        <w:jc w:val="both"/>
        <w:rPr>
          <w:rFonts w:ascii="Times New Roman" w:hAnsi="Times New Roman" w:cs="Times New Roman"/>
          <w:bCs/>
          <w:noProof/>
        </w:rPr>
      </w:pPr>
      <w:r>
        <w:rPr>
          <w:rFonts w:ascii="Times New Roman" w:hAnsi="Times New Roman" w:cs="Times New Roman"/>
          <w:noProof/>
          <w:sz w:val="24"/>
        </w:rPr>
        <w:t xml:space="preserve">A first evaluation of IPRED took place in 2010. </w:t>
      </w:r>
      <w:r>
        <w:rPr>
          <w:rFonts w:ascii="Times New Roman" w:hAnsi="Times New Roman" w:cs="Times New Roman"/>
          <w:noProof/>
          <w:sz w:val="24"/>
        </w:rPr>
        <w:t>The publication of the evaluation report</w:t>
      </w:r>
      <w:r>
        <w:rPr>
          <w:rFonts w:ascii="Times New Roman" w:hAnsi="Times New Roman" w:cs="Times New Roman"/>
          <w:bCs/>
          <w:noProof/>
          <w:vertAlign w:val="superscript"/>
        </w:rPr>
        <w:footnoteReference w:id="107"/>
      </w:r>
      <w:r>
        <w:rPr>
          <w:rFonts w:ascii="Times New Roman" w:hAnsi="Times New Roman" w:cs="Times New Roman"/>
          <w:bCs/>
          <w:noProof/>
        </w:rPr>
        <w:t xml:space="preserve"> </w:t>
      </w:r>
      <w:r>
        <w:rPr>
          <w:rFonts w:ascii="Times New Roman" w:hAnsi="Times New Roman" w:cs="Times New Roman"/>
          <w:noProof/>
          <w:sz w:val="24"/>
        </w:rPr>
        <w:t>and its accompanying staff working document</w:t>
      </w:r>
      <w:r>
        <w:rPr>
          <w:rFonts w:ascii="Times New Roman" w:hAnsi="Times New Roman" w:cs="Times New Roman"/>
          <w:bCs/>
          <w:noProof/>
          <w:vertAlign w:val="superscript"/>
        </w:rPr>
        <w:footnoteReference w:id="108"/>
      </w:r>
      <w:r>
        <w:rPr>
          <w:rFonts w:ascii="Times New Roman" w:hAnsi="Times New Roman" w:cs="Times New Roman"/>
          <w:bCs/>
          <w:noProof/>
        </w:rPr>
        <w:t xml:space="preserve"> </w:t>
      </w:r>
      <w:r>
        <w:rPr>
          <w:rFonts w:ascii="Times New Roman" w:hAnsi="Times New Roman" w:cs="Times New Roman"/>
          <w:noProof/>
          <w:sz w:val="24"/>
        </w:rPr>
        <w:t>in December 2010 started a comprehensive consultation process on the functioning of IPRED, laying the foundation for the current evaluation. The report provided the basi</w:t>
      </w:r>
      <w:r>
        <w:rPr>
          <w:rFonts w:ascii="Times New Roman" w:hAnsi="Times New Roman" w:cs="Times New Roman"/>
          <w:noProof/>
          <w:sz w:val="24"/>
        </w:rPr>
        <w:t>s for an extensive public consultation which closed in late March 2011</w:t>
      </w:r>
      <w:r>
        <w:rPr>
          <w:rFonts w:ascii="Times New Roman" w:hAnsi="Times New Roman" w:cs="Times New Roman"/>
          <w:bCs/>
          <w:noProof/>
          <w:vertAlign w:val="superscript"/>
        </w:rPr>
        <w:footnoteReference w:id="109"/>
      </w:r>
      <w:r>
        <w:rPr>
          <w:rFonts w:ascii="Times New Roman" w:hAnsi="Times New Roman" w:cs="Times New Roman"/>
          <w:bCs/>
          <w:noProof/>
        </w:rPr>
        <w:t xml:space="preserve">. </w:t>
      </w:r>
      <w:r>
        <w:rPr>
          <w:rFonts w:ascii="Times New Roman" w:hAnsi="Times New Roman" w:cs="Times New Roman"/>
          <w:noProof/>
          <w:sz w:val="24"/>
        </w:rPr>
        <w:t>A public hearing on the application of IPRED in a digital environment was held on 7 June 2011</w:t>
      </w:r>
      <w:r>
        <w:rPr>
          <w:rFonts w:ascii="Times New Roman" w:hAnsi="Times New Roman" w:cs="Times New Roman"/>
          <w:bCs/>
          <w:noProof/>
          <w:vertAlign w:val="superscript"/>
        </w:rPr>
        <w:footnoteReference w:id="110"/>
      </w:r>
      <w:r>
        <w:rPr>
          <w:rFonts w:ascii="Times New Roman" w:hAnsi="Times New Roman" w:cs="Times New Roman"/>
          <w:bCs/>
          <w:noProof/>
        </w:rPr>
        <w:t xml:space="preserve">. </w:t>
      </w:r>
      <w:r>
        <w:rPr>
          <w:rFonts w:ascii="Times New Roman" w:hAnsi="Times New Roman" w:cs="Times New Roman"/>
          <w:noProof/>
          <w:sz w:val="24"/>
        </w:rPr>
        <w:t>Furthermore, a conference on the enforcement of intellectual property rights was held o</w:t>
      </w:r>
      <w:r>
        <w:rPr>
          <w:rFonts w:ascii="Times New Roman" w:hAnsi="Times New Roman" w:cs="Times New Roman"/>
          <w:noProof/>
          <w:sz w:val="24"/>
        </w:rPr>
        <w:t>n 26 April 2012. A broad public consultation on the efficiency of proceedings and accessibility of measures in the civil enforcement of intellectual property rights was launched in November 2012</w:t>
      </w:r>
      <w:r>
        <w:rPr>
          <w:rFonts w:ascii="Times New Roman" w:hAnsi="Times New Roman" w:cs="Times New Roman"/>
          <w:bCs/>
          <w:noProof/>
          <w:vertAlign w:val="superscript"/>
        </w:rPr>
        <w:footnoteReference w:id="111"/>
      </w:r>
      <w:r>
        <w:rPr>
          <w:rFonts w:ascii="Times New Roman" w:hAnsi="Times New Roman" w:cs="Times New Roman"/>
          <w:bCs/>
          <w:noProof/>
        </w:rPr>
        <w:t xml:space="preserve">. </w:t>
      </w:r>
      <w:r>
        <w:rPr>
          <w:rFonts w:ascii="Times New Roman" w:hAnsi="Times New Roman" w:cs="Times New Roman"/>
          <w:noProof/>
          <w:sz w:val="24"/>
        </w:rPr>
        <w:t>Finally, in December 2013, a public consultation on the rev</w:t>
      </w:r>
      <w:r>
        <w:rPr>
          <w:rFonts w:ascii="Times New Roman" w:hAnsi="Times New Roman" w:cs="Times New Roman"/>
          <w:noProof/>
          <w:sz w:val="24"/>
        </w:rPr>
        <w:t>iew of the EU copyright rules gathered stakeholders' views on IPR enforcement in the digital age</w:t>
      </w:r>
      <w:r>
        <w:rPr>
          <w:rFonts w:ascii="Times New Roman" w:hAnsi="Times New Roman" w:cs="Times New Roman"/>
          <w:bCs/>
          <w:noProof/>
          <w:vertAlign w:val="superscript"/>
        </w:rPr>
        <w:footnoteReference w:id="112"/>
      </w:r>
      <w:r>
        <w:rPr>
          <w:rFonts w:ascii="Times New Roman" w:hAnsi="Times New Roman" w:cs="Times New Roman"/>
          <w:bCs/>
          <w:noProof/>
        </w:rPr>
        <w:t xml:space="preserve">. </w:t>
      </w:r>
    </w:p>
    <w:p w:rsidR="00EB6A7B" w:rsidRDefault="001E7ACC">
      <w:pPr>
        <w:jc w:val="both"/>
        <w:rPr>
          <w:rFonts w:ascii="Times New Roman" w:hAnsi="Times New Roman" w:cs="Times New Roman"/>
          <w:bCs/>
          <w:noProof/>
        </w:rPr>
      </w:pPr>
      <w:r>
        <w:rPr>
          <w:rFonts w:ascii="Times New Roman" w:hAnsi="Times New Roman" w:cs="Times New Roman"/>
          <w:noProof/>
          <w:sz w:val="24"/>
        </w:rPr>
        <w:t xml:space="preserve">The European Observatory on Infringements of Intellectual Property Rights prepared a number of studies which supported the evaluation of the functioning of </w:t>
      </w:r>
      <w:r>
        <w:rPr>
          <w:rFonts w:ascii="Times New Roman" w:hAnsi="Times New Roman" w:cs="Times New Roman"/>
          <w:noProof/>
          <w:sz w:val="24"/>
        </w:rPr>
        <w:t>IPRED</w:t>
      </w:r>
      <w:r>
        <w:rPr>
          <w:rFonts w:ascii="Times New Roman" w:hAnsi="Times New Roman" w:cs="Times New Roman"/>
          <w:bCs/>
          <w:noProof/>
          <w:vertAlign w:val="superscript"/>
        </w:rPr>
        <w:footnoteReference w:id="113"/>
      </w:r>
      <w:r>
        <w:rPr>
          <w:rFonts w:ascii="Times New Roman" w:hAnsi="Times New Roman" w:cs="Times New Roman"/>
          <w:bCs/>
          <w:noProof/>
        </w:rPr>
        <w:t xml:space="preserve">. </w:t>
      </w:r>
    </w:p>
    <w:p w:rsidR="00EB6A7B" w:rsidRDefault="001E7ACC">
      <w:pPr>
        <w:jc w:val="both"/>
        <w:rPr>
          <w:rFonts w:ascii="Times New Roman" w:hAnsi="Times New Roman" w:cs="Times New Roman"/>
          <w:bCs/>
          <w:noProof/>
        </w:rPr>
      </w:pPr>
      <w:r>
        <w:rPr>
          <w:rFonts w:ascii="Times New Roman" w:hAnsi="Times New Roman" w:cs="Times New Roman"/>
          <w:noProof/>
          <w:sz w:val="24"/>
        </w:rPr>
        <w:t>Finally, an open internet-based consultation of 12 weeks on the evaluation of the Directive on the enforcement of intellectual property rights and the possible modernisation of the legal framework was launched in December 2015 and was running unti</w:t>
      </w:r>
      <w:r>
        <w:rPr>
          <w:rFonts w:ascii="Times New Roman" w:hAnsi="Times New Roman" w:cs="Times New Roman"/>
          <w:noProof/>
          <w:sz w:val="24"/>
        </w:rPr>
        <w:t>l April 2016, targeting public authorities and Member State authorities, rightholders, intermediary service providers, the judiciary and consumers and civil society</w:t>
      </w:r>
      <w:r>
        <w:rPr>
          <w:rFonts w:ascii="Times New Roman" w:hAnsi="Times New Roman" w:cs="Times New Roman"/>
          <w:bCs/>
          <w:noProof/>
          <w:vertAlign w:val="superscript"/>
        </w:rPr>
        <w:footnoteReference w:id="114"/>
      </w:r>
      <w:r>
        <w:rPr>
          <w:rFonts w:ascii="Times New Roman" w:hAnsi="Times New Roman" w:cs="Times New Roman"/>
          <w:bCs/>
          <w:noProof/>
        </w:rPr>
        <w:t xml:space="preserve">. </w:t>
      </w:r>
    </w:p>
    <w:p w:rsidR="00EB6A7B" w:rsidRDefault="001E7ACC">
      <w:pPr>
        <w:jc w:val="both"/>
        <w:rPr>
          <w:rFonts w:ascii="Times New Roman" w:hAnsi="Times New Roman" w:cs="Times New Roman"/>
          <w:bCs/>
          <w:noProof/>
        </w:rPr>
      </w:pPr>
      <w:r>
        <w:rPr>
          <w:rFonts w:ascii="Times New Roman" w:hAnsi="Times New Roman" w:cs="Times New Roman"/>
          <w:noProof/>
          <w:sz w:val="24"/>
        </w:rPr>
        <w:t xml:space="preserve">Member States' authorities responsible for intellectual property policy and, in </w:t>
      </w:r>
      <w:r>
        <w:rPr>
          <w:rFonts w:ascii="Times New Roman" w:hAnsi="Times New Roman" w:cs="Times New Roman"/>
          <w:noProof/>
          <w:sz w:val="24"/>
        </w:rPr>
        <w:t>particular, the enforcement of intellectual property rights, were involved in the process through the Commission's Group of experts on the enforcement of intellectual property rights</w:t>
      </w:r>
      <w:r>
        <w:rPr>
          <w:rFonts w:ascii="Times New Roman" w:hAnsi="Times New Roman" w:cs="Times New Roman"/>
          <w:bCs/>
          <w:noProof/>
          <w:vertAlign w:val="superscript"/>
        </w:rPr>
        <w:footnoteReference w:id="115"/>
      </w:r>
      <w:r>
        <w:rPr>
          <w:rFonts w:ascii="Times New Roman" w:hAnsi="Times New Roman" w:cs="Times New Roman"/>
          <w:bCs/>
          <w:noProof/>
        </w:rPr>
        <w:t>.</w:t>
      </w:r>
    </w:p>
    <w:p w:rsidR="00EB6A7B" w:rsidRDefault="001E7ACC">
      <w:pPr>
        <w:pStyle w:val="ListParagraph"/>
        <w:numPr>
          <w:ilvl w:val="0"/>
          <w:numId w:val="64"/>
        </w:numPr>
        <w:ind w:left="142" w:hanging="142"/>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 xml:space="preserve">Studies to support the </w:t>
      </w:r>
      <w:bookmarkEnd w:id="131"/>
      <w:bookmarkEnd w:id="132"/>
      <w:r>
        <w:rPr>
          <w:rFonts w:ascii="Times New Roman" w:eastAsia="Times New Roman" w:hAnsi="Times New Roman" w:cs="Times New Roman"/>
          <w:b/>
          <w:bCs/>
          <w:smallCaps/>
          <w:noProof/>
          <w:sz w:val="24"/>
          <w:szCs w:val="24"/>
        </w:rPr>
        <w:t xml:space="preserve">evaluation report </w:t>
      </w:r>
    </w:p>
    <w:p w:rsidR="00EB6A7B" w:rsidRDefault="001E7ACC">
      <w:pPr>
        <w:jc w:val="both"/>
        <w:rPr>
          <w:rFonts w:ascii="Times New Roman" w:hAnsi="Times New Roman" w:cs="Times New Roman"/>
          <w:noProof/>
          <w:sz w:val="24"/>
        </w:rPr>
      </w:pPr>
      <w:r>
        <w:rPr>
          <w:rFonts w:ascii="Times New Roman" w:hAnsi="Times New Roman" w:cs="Times New Roman"/>
          <w:noProof/>
          <w:sz w:val="24"/>
        </w:rPr>
        <w:t>A study providing support for</w:t>
      </w:r>
      <w:r>
        <w:rPr>
          <w:rFonts w:ascii="Times New Roman" w:hAnsi="Times New Roman" w:cs="Times New Roman"/>
          <w:noProof/>
          <w:sz w:val="24"/>
        </w:rPr>
        <w:t xml:space="preserve"> an ex-post evaluation of Directive 2004/48/EC of the European Parliament and of the Council of 29 April 2004 on the enforcement of intellectual property rights has been prepared by an external contractor</w:t>
      </w:r>
      <w:r>
        <w:rPr>
          <w:rFonts w:ascii="Times New Roman" w:hAnsi="Times New Roman" w:cs="Times New Roman"/>
          <w:noProof/>
          <w:vertAlign w:val="superscript"/>
        </w:rPr>
        <w:footnoteReference w:id="116"/>
      </w:r>
      <w:r>
        <w:rPr>
          <w:rFonts w:ascii="Times New Roman" w:hAnsi="Times New Roman" w:cs="Times New Roman"/>
          <w:noProof/>
        </w:rPr>
        <w:t xml:space="preserve">. </w:t>
      </w:r>
      <w:r>
        <w:rPr>
          <w:rFonts w:ascii="Times New Roman" w:hAnsi="Times New Roman" w:cs="Times New Roman"/>
          <w:noProof/>
          <w:sz w:val="24"/>
        </w:rPr>
        <w:t>The overarching objective of the study was to eva</w:t>
      </w:r>
      <w:r>
        <w:rPr>
          <w:rFonts w:ascii="Times New Roman" w:hAnsi="Times New Roman" w:cs="Times New Roman"/>
          <w:noProof/>
          <w:sz w:val="24"/>
        </w:rPr>
        <w:t xml:space="preserve">luate the relevance and effectiveness, the coherence, efficiency and EU added-value of IPRED. In that respect the study provided </w:t>
      </w:r>
    </w:p>
    <w:p w:rsidR="00EB6A7B" w:rsidRDefault="001E7ACC">
      <w:pPr>
        <w:numPr>
          <w:ilvl w:val="0"/>
          <w:numId w:val="63"/>
        </w:numPr>
        <w:jc w:val="both"/>
        <w:rPr>
          <w:rFonts w:ascii="Times New Roman" w:hAnsi="Times New Roman" w:cs="Times New Roman"/>
          <w:noProof/>
          <w:sz w:val="24"/>
        </w:rPr>
      </w:pPr>
      <w:r>
        <w:rPr>
          <w:rFonts w:ascii="Times New Roman" w:hAnsi="Times New Roman" w:cs="Times New Roman"/>
          <w:noProof/>
          <w:sz w:val="24"/>
        </w:rPr>
        <w:t>a legal analysis of the application of the provisions of the Directive, as well as of the provisions of national law which are</w:t>
      </w:r>
      <w:r>
        <w:rPr>
          <w:rFonts w:ascii="Times New Roman" w:hAnsi="Times New Roman" w:cs="Times New Roman"/>
          <w:noProof/>
          <w:sz w:val="24"/>
        </w:rPr>
        <w:t xml:space="preserve"> relevant in the context of the Directive and its possible revision, </w:t>
      </w:r>
    </w:p>
    <w:p w:rsidR="00EB6A7B" w:rsidRDefault="001E7ACC">
      <w:pPr>
        <w:numPr>
          <w:ilvl w:val="0"/>
          <w:numId w:val="63"/>
        </w:numPr>
        <w:jc w:val="both"/>
        <w:rPr>
          <w:rFonts w:ascii="Times New Roman" w:hAnsi="Times New Roman" w:cs="Times New Roman"/>
          <w:noProof/>
          <w:sz w:val="24"/>
        </w:rPr>
      </w:pPr>
      <w:r>
        <w:rPr>
          <w:rFonts w:ascii="Times New Roman" w:hAnsi="Times New Roman" w:cs="Times New Roman"/>
          <w:noProof/>
          <w:sz w:val="24"/>
        </w:rPr>
        <w:t>an empirical analysis of the application and effect of the Directive in each Member State, and on the Single Market as a whole, with a special focus on cross-border aspects. It should al</w:t>
      </w:r>
      <w:r>
        <w:rPr>
          <w:rFonts w:ascii="Times New Roman" w:hAnsi="Times New Roman" w:cs="Times New Roman"/>
          <w:noProof/>
          <w:sz w:val="24"/>
        </w:rPr>
        <w:t>so include the quantification of regulatory (including administrative) costs and benefits triggered by the directive.</w:t>
      </w:r>
    </w:p>
    <w:p w:rsidR="00EB6A7B" w:rsidRDefault="001E7ACC">
      <w:pPr>
        <w:numPr>
          <w:ilvl w:val="0"/>
          <w:numId w:val="63"/>
        </w:numPr>
        <w:jc w:val="both"/>
        <w:rPr>
          <w:rFonts w:ascii="Times New Roman" w:hAnsi="Times New Roman" w:cs="Times New Roman"/>
          <w:noProof/>
          <w:sz w:val="24"/>
        </w:rPr>
      </w:pPr>
      <w:r>
        <w:rPr>
          <w:rFonts w:ascii="Times New Roman" w:hAnsi="Times New Roman" w:cs="Times New Roman"/>
          <w:noProof/>
          <w:sz w:val="24"/>
        </w:rPr>
        <w:t>a synthesis of the empirical and legal analysis, and</w:t>
      </w:r>
    </w:p>
    <w:p w:rsidR="00EB6A7B" w:rsidRDefault="001E7ACC">
      <w:pPr>
        <w:numPr>
          <w:ilvl w:val="0"/>
          <w:numId w:val="63"/>
        </w:numPr>
        <w:jc w:val="both"/>
        <w:rPr>
          <w:rFonts w:ascii="Times New Roman" w:hAnsi="Times New Roman" w:cs="Times New Roman"/>
          <w:noProof/>
          <w:sz w:val="24"/>
        </w:rPr>
      </w:pPr>
      <w:r>
        <w:rPr>
          <w:rFonts w:ascii="Times New Roman" w:hAnsi="Times New Roman" w:cs="Times New Roman"/>
          <w:noProof/>
          <w:sz w:val="24"/>
        </w:rPr>
        <w:t>on the basis of the findings, support for an evaluation of the Directive.</w:t>
      </w:r>
    </w:p>
    <w:p w:rsidR="00EB6A7B" w:rsidRDefault="001E7ACC">
      <w:pPr>
        <w:rPr>
          <w:rFonts w:ascii="Times New Roman" w:hAnsi="Times New Roman" w:cs="Times New Roman"/>
          <w:noProof/>
        </w:rPr>
      </w:pPr>
      <w:r>
        <w:rPr>
          <w:rFonts w:ascii="Times New Roman" w:hAnsi="Times New Roman" w:cs="Times New Roman"/>
          <w:noProof/>
        </w:rPr>
        <w:br w:type="page"/>
      </w:r>
    </w:p>
    <w:p w:rsidR="00EB6A7B" w:rsidRDefault="001E7ACC">
      <w:pPr>
        <w:pStyle w:val="Heading1"/>
        <w:numPr>
          <w:ilvl w:val="0"/>
          <w:numId w:val="0"/>
        </w:numPr>
        <w:spacing w:line="276" w:lineRule="auto"/>
        <w:ind w:left="1134" w:hanging="1134"/>
        <w:rPr>
          <w:noProof/>
        </w:rPr>
      </w:pPr>
      <w:bookmarkStart w:id="133" w:name="_Toc498521077"/>
      <w:r>
        <w:rPr>
          <w:noProof/>
        </w:rPr>
        <w:t>Annex II:</w:t>
      </w:r>
      <w:r>
        <w:rPr>
          <w:noProof/>
        </w:rPr>
        <w:t xml:space="preserve"> SYNOPSIS REPORT</w:t>
      </w:r>
      <w:bookmarkEnd w:id="133"/>
    </w:p>
    <w:p w:rsidR="00EB6A7B" w:rsidRDefault="001E7ACC">
      <w:pPr>
        <w:pStyle w:val="Heading1"/>
        <w:numPr>
          <w:ilvl w:val="0"/>
          <w:numId w:val="0"/>
        </w:numPr>
        <w:spacing w:line="276" w:lineRule="auto"/>
        <w:ind w:left="1134" w:hanging="1134"/>
        <w:rPr>
          <w:noProof/>
        </w:rPr>
      </w:pPr>
      <w:bookmarkStart w:id="134" w:name="_Toc498521078"/>
      <w:r>
        <w:rPr>
          <w:noProof/>
        </w:rPr>
        <w:t>1)  Stakeholder consultation</w:t>
      </w:r>
      <w:bookmarkEnd w:id="134"/>
    </w:p>
    <w:p w:rsidR="00EB6A7B" w:rsidRDefault="001E7ACC">
      <w:pPr>
        <w:jc w:val="both"/>
        <w:rPr>
          <w:rFonts w:ascii="Times New Roman" w:hAnsi="Times New Roman" w:cs="Times New Roman"/>
          <w:noProof/>
          <w:sz w:val="24"/>
        </w:rPr>
      </w:pPr>
      <w:r>
        <w:rPr>
          <w:rFonts w:ascii="Times New Roman" w:hAnsi="Times New Roman" w:cs="Times New Roman"/>
          <w:noProof/>
          <w:sz w:val="24"/>
        </w:rPr>
        <w:t>In order to support an evaluation of the Directive the Commission launched on 9 December 2015 a public consultation on the evaluation and modernisation of the legal framework for the enforcement of intellectual</w:t>
      </w:r>
      <w:r>
        <w:rPr>
          <w:rFonts w:ascii="Times New Roman" w:hAnsi="Times New Roman" w:cs="Times New Roman"/>
          <w:noProof/>
          <w:sz w:val="24"/>
        </w:rPr>
        <w:t xml:space="preserve"> property rights. The consultation aimed to help assess the functioning of the Directive in the online environment, with a view to identifying the possible need for adapting its provisions and, where appropriate, to propose corrective measures, focusing on</w:t>
      </w:r>
      <w:r>
        <w:rPr>
          <w:rFonts w:ascii="Times New Roman" w:hAnsi="Times New Roman" w:cs="Times New Roman"/>
          <w:noProof/>
          <w:sz w:val="24"/>
        </w:rPr>
        <w:t xml:space="preserve"> commercial-scale infringements and cross-border applicability and in full respect of fundamental rights. Previous consultations had led to the conclusion that a number of key provisions of the Directive, such as the right of information, the application o</w:t>
      </w:r>
      <w:r>
        <w:rPr>
          <w:rFonts w:ascii="Times New Roman" w:hAnsi="Times New Roman" w:cs="Times New Roman"/>
          <w:noProof/>
          <w:sz w:val="24"/>
        </w:rPr>
        <w:t>f injunctions or the calculation of damages, might not function properly or deliver the expected results, in particular in the online environment and in a cross-border context. Beyond the evaluation of the current Directive the consultation addressed a num</w:t>
      </w:r>
      <w:r>
        <w:rPr>
          <w:rFonts w:ascii="Times New Roman" w:hAnsi="Times New Roman" w:cs="Times New Roman"/>
          <w:noProof/>
          <w:sz w:val="24"/>
        </w:rPr>
        <w:t>ber of new issues, such as the role of intermediaries in IPR enforcement or the specialisation of courts, which are currently not dealt with by the Directive but might be taken up in any future initiative in order to modernise the enforcement of IPR. Final</w:t>
      </w:r>
      <w:r>
        <w:rPr>
          <w:rFonts w:ascii="Times New Roman" w:hAnsi="Times New Roman" w:cs="Times New Roman"/>
          <w:noProof/>
          <w:sz w:val="24"/>
        </w:rPr>
        <w:t>ly, the public consultation sought opinions about the use and impact of 'follow the money' initiatives in the area of IPR enforcement.</w:t>
      </w:r>
    </w:p>
    <w:p w:rsidR="00EB6A7B" w:rsidRDefault="001E7ACC">
      <w:pPr>
        <w:jc w:val="both"/>
        <w:rPr>
          <w:rFonts w:ascii="Times New Roman" w:hAnsi="Times New Roman" w:cs="Times New Roman"/>
          <w:noProof/>
          <w:sz w:val="24"/>
        </w:rPr>
      </w:pPr>
      <w:r>
        <w:rPr>
          <w:rFonts w:ascii="Times New Roman" w:hAnsi="Times New Roman" w:cs="Times New Roman"/>
          <w:noProof/>
          <w:sz w:val="24"/>
        </w:rPr>
        <w:t>The Commission published a comprehensive summary of responses to the public consultation on the evaluation and modernisat</w:t>
      </w:r>
      <w:r>
        <w:rPr>
          <w:rFonts w:ascii="Times New Roman" w:hAnsi="Times New Roman" w:cs="Times New Roman"/>
          <w:noProof/>
          <w:sz w:val="24"/>
        </w:rPr>
        <w:t>ion of the legal framework for the enforcement of intellectual property rights on 14 September 2016</w:t>
      </w:r>
      <w:r>
        <w:rPr>
          <w:rFonts w:ascii="Times New Roman" w:hAnsi="Times New Roman" w:cs="Times New Roman"/>
          <w:noProof/>
          <w:sz w:val="24"/>
          <w:vertAlign w:val="superscript"/>
        </w:rPr>
        <w:footnoteReference w:id="117"/>
      </w:r>
      <w:r>
        <w:rPr>
          <w:rFonts w:ascii="Times New Roman" w:hAnsi="Times New Roman" w:cs="Times New Roman"/>
          <w:noProof/>
          <w:sz w:val="24"/>
        </w:rPr>
        <w:t>.</w:t>
      </w:r>
    </w:p>
    <w:p w:rsidR="00EB6A7B" w:rsidRDefault="001E7ACC">
      <w:pPr>
        <w:jc w:val="both"/>
        <w:rPr>
          <w:rFonts w:ascii="Times New Roman" w:hAnsi="Times New Roman" w:cs="Times New Roman"/>
          <w:b/>
          <w:i/>
          <w:noProof/>
          <w:sz w:val="24"/>
        </w:rPr>
      </w:pPr>
      <w:bookmarkStart w:id="135" w:name="_Toc461542823"/>
      <w:r>
        <w:rPr>
          <w:rFonts w:ascii="Times New Roman" w:hAnsi="Times New Roman" w:cs="Times New Roman"/>
          <w:b/>
          <w:i/>
          <w:noProof/>
          <w:sz w:val="24"/>
        </w:rPr>
        <w:t>Responses to the consultation</w:t>
      </w:r>
      <w:bookmarkEnd w:id="135"/>
    </w:p>
    <w:p w:rsidR="00EB6A7B" w:rsidRDefault="001E7ACC">
      <w:pPr>
        <w:jc w:val="both"/>
        <w:rPr>
          <w:rFonts w:ascii="Times New Roman" w:hAnsi="Times New Roman" w:cs="Times New Roman"/>
          <w:noProof/>
          <w:sz w:val="24"/>
        </w:rPr>
      </w:pPr>
      <w:r>
        <w:rPr>
          <w:rFonts w:ascii="Times New Roman" w:hAnsi="Times New Roman" w:cs="Times New Roman"/>
          <w:noProof/>
          <w:sz w:val="24"/>
          <w:lang w:eastAsia="en-GB"/>
        </w:rPr>
        <w:drawing>
          <wp:anchor distT="0" distB="0" distL="114300" distR="114300" simplePos="0" relativeHeight="251659264" behindDoc="0" locked="0" layoutInCell="1" allowOverlap="1">
            <wp:simplePos x="0" y="0"/>
            <wp:positionH relativeFrom="column">
              <wp:posOffset>2771140</wp:posOffset>
            </wp:positionH>
            <wp:positionV relativeFrom="paragraph">
              <wp:posOffset>74295</wp:posOffset>
            </wp:positionV>
            <wp:extent cx="3017520" cy="18167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17520" cy="18167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rPr>
        <w:t>The Commission received 492 responses to the public consultation, 454 responses through the dedicated online tool and 41 responses by email. Most responses came from rightholders, followed by citizens, intermediaries, the judiciary and legal profession and</w:t>
      </w:r>
      <w:r>
        <w:rPr>
          <w:rFonts w:ascii="Times New Roman" w:hAnsi="Times New Roman" w:cs="Times New Roman"/>
          <w:noProof/>
          <w:sz w:val="24"/>
        </w:rPr>
        <w:t xml:space="preserve"> Member States and public authorities. The geographical provenance of the responses is quite balanced for all but one targeted stakeholder group, which should allow for a comprehensive analysis of the functioning of the Directive in the EU28. The situation</w:t>
      </w:r>
      <w:r>
        <w:rPr>
          <w:rFonts w:ascii="Times New Roman" w:hAnsi="Times New Roman" w:cs="Times New Roman"/>
          <w:noProof/>
          <w:sz w:val="24"/>
        </w:rPr>
        <w:t xml:space="preserve"> is quite different for the </w:t>
      </w:r>
      <w:r>
        <w:rPr>
          <w:rFonts w:ascii="Times New Roman" w:hAnsi="Times New Roman" w:cs="Times New Roman"/>
          <w:b/>
          <w:noProof/>
          <w:sz w:val="24"/>
        </w:rPr>
        <w:t>citizens</w:t>
      </w:r>
      <w:r>
        <w:rPr>
          <w:rFonts w:ascii="Times New Roman" w:hAnsi="Times New Roman" w:cs="Times New Roman"/>
          <w:noProof/>
          <w:sz w:val="24"/>
        </w:rPr>
        <w:t>' responses where more than 50% of the contributions originate from Germany. Almost half of the individuals who replied to the consultation were aged under 34 years.</w:t>
      </w:r>
    </w:p>
    <w:p w:rsidR="00EB6A7B" w:rsidRDefault="001E7ACC">
      <w:pPr>
        <w:jc w:val="both"/>
        <w:rPr>
          <w:rFonts w:ascii="Times New Roman" w:hAnsi="Times New Roman" w:cs="Times New Roman"/>
          <w:noProof/>
          <w:sz w:val="24"/>
        </w:rPr>
      </w:pPr>
      <w:r>
        <w:rPr>
          <w:rFonts w:ascii="Times New Roman" w:hAnsi="Times New Roman" w:cs="Times New Roman"/>
          <w:noProof/>
          <w:sz w:val="24"/>
        </w:rPr>
        <w:t xml:space="preserve">Looking at the </w:t>
      </w:r>
      <w:r>
        <w:rPr>
          <w:rFonts w:ascii="Times New Roman" w:hAnsi="Times New Roman" w:cs="Times New Roman"/>
          <w:b/>
          <w:noProof/>
          <w:sz w:val="24"/>
        </w:rPr>
        <w:t>rightholders</w:t>
      </w:r>
      <w:r>
        <w:rPr>
          <w:rFonts w:ascii="Times New Roman" w:hAnsi="Times New Roman" w:cs="Times New Roman"/>
          <w:noProof/>
          <w:sz w:val="24"/>
        </w:rPr>
        <w:t xml:space="preserve"> that responded to the cons</w:t>
      </w:r>
      <w:r>
        <w:rPr>
          <w:rFonts w:ascii="Times New Roman" w:hAnsi="Times New Roman" w:cs="Times New Roman"/>
          <w:noProof/>
          <w:sz w:val="24"/>
        </w:rPr>
        <w:t>ultation and the type of IPR they hold or represent 2/3 of these rights are industrial property rights and 1/3 copyright or rights related to copyright.</w:t>
      </w:r>
    </w:p>
    <w:p w:rsidR="00EB6A7B" w:rsidRDefault="001E7ACC">
      <w:pPr>
        <w:jc w:val="both"/>
        <w:rPr>
          <w:rFonts w:ascii="Times New Roman" w:hAnsi="Times New Roman" w:cs="Times New Roman"/>
          <w:noProof/>
          <w:sz w:val="24"/>
        </w:rPr>
      </w:pPr>
      <w:r>
        <w:rPr>
          <w:rFonts w:ascii="Times New Roman" w:hAnsi="Times New Roman" w:cs="Times New Roman"/>
          <w:noProof/>
          <w:sz w:val="24"/>
          <w:lang w:eastAsia="en-GB"/>
        </w:rPr>
        <w:drawing>
          <wp:inline distT="0" distB="0" distL="0" distR="0">
            <wp:extent cx="5472000" cy="2376000"/>
            <wp:effectExtent l="0" t="0" r="0" b="5715"/>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2000" cy="2376000"/>
                    </a:xfrm>
                    <a:prstGeom prst="rect">
                      <a:avLst/>
                    </a:prstGeom>
                    <a:noFill/>
                  </pic:spPr>
                </pic:pic>
              </a:graphicData>
            </a:graphic>
          </wp:inline>
        </w:drawing>
      </w:r>
    </w:p>
    <w:p w:rsidR="00EB6A7B" w:rsidRDefault="001E7ACC">
      <w:pPr>
        <w:jc w:val="both"/>
        <w:rPr>
          <w:rFonts w:ascii="Times New Roman" w:hAnsi="Times New Roman" w:cs="Times New Roman"/>
          <w:noProof/>
          <w:sz w:val="24"/>
        </w:rPr>
      </w:pPr>
      <w:r>
        <w:rPr>
          <w:rFonts w:ascii="Times New Roman" w:hAnsi="Times New Roman" w:cs="Times New Roman"/>
          <w:noProof/>
          <w:sz w:val="24"/>
        </w:rPr>
        <w:t xml:space="preserve">Of the respondents under the category of </w:t>
      </w:r>
      <w:r>
        <w:rPr>
          <w:rFonts w:ascii="Times New Roman" w:hAnsi="Times New Roman" w:cs="Times New Roman"/>
          <w:b/>
          <w:noProof/>
          <w:sz w:val="24"/>
        </w:rPr>
        <w:t>judiciary and legal professions</w:t>
      </w:r>
      <w:r>
        <w:rPr>
          <w:rFonts w:ascii="Times New Roman" w:hAnsi="Times New Roman" w:cs="Times New Roman"/>
          <w:noProof/>
          <w:sz w:val="24"/>
        </w:rPr>
        <w:t>, most responses came from th</w:t>
      </w:r>
      <w:r>
        <w:rPr>
          <w:rFonts w:ascii="Times New Roman" w:hAnsi="Times New Roman" w:cs="Times New Roman"/>
          <w:noProof/>
          <w:sz w:val="24"/>
        </w:rPr>
        <w:t>e legal profession (counsellors or associations), with only a few responses from judges and academia.</w:t>
      </w:r>
    </w:p>
    <w:p w:rsidR="00EB6A7B" w:rsidRDefault="001E7ACC">
      <w:pPr>
        <w:jc w:val="both"/>
        <w:rPr>
          <w:rFonts w:ascii="Times New Roman" w:hAnsi="Times New Roman" w:cs="Times New Roman"/>
          <w:noProof/>
          <w:sz w:val="24"/>
        </w:rPr>
      </w:pPr>
      <w:r>
        <w:rPr>
          <w:rFonts w:ascii="Times New Roman" w:hAnsi="Times New Roman" w:cs="Times New Roman"/>
          <w:noProof/>
          <w:sz w:val="24"/>
        </w:rPr>
        <w:t xml:space="preserve">The </w:t>
      </w:r>
      <w:r>
        <w:rPr>
          <w:rFonts w:ascii="Times New Roman" w:hAnsi="Times New Roman" w:cs="Times New Roman"/>
          <w:b/>
          <w:noProof/>
          <w:sz w:val="24"/>
        </w:rPr>
        <w:t>intermediaries</w:t>
      </w:r>
      <w:r>
        <w:rPr>
          <w:rFonts w:ascii="Times New Roman" w:hAnsi="Times New Roman" w:cs="Times New Roman"/>
          <w:noProof/>
          <w:sz w:val="24"/>
        </w:rPr>
        <w:t xml:space="preserve"> that responded to the consultation are mainly internet service providers, such as internet access providers, online marketplaces, content hosting platforms or their trade associations. A number of payment service providers, transport and logistic companie</w:t>
      </w:r>
      <w:r>
        <w:rPr>
          <w:rFonts w:ascii="Times New Roman" w:hAnsi="Times New Roman" w:cs="Times New Roman"/>
          <w:noProof/>
          <w:sz w:val="24"/>
        </w:rPr>
        <w:t xml:space="preserve">s and advertising service providers also responded to the consultation. </w:t>
      </w:r>
    </w:p>
    <w:p w:rsidR="00EB6A7B" w:rsidRDefault="001E7ACC">
      <w:pPr>
        <w:jc w:val="both"/>
        <w:rPr>
          <w:rFonts w:ascii="Times New Roman" w:hAnsi="Times New Roman" w:cs="Times New Roman"/>
          <w:noProof/>
          <w:sz w:val="24"/>
        </w:rPr>
      </w:pPr>
      <w:r>
        <w:rPr>
          <w:rFonts w:ascii="Times New Roman" w:hAnsi="Times New Roman" w:cs="Times New Roman"/>
          <w:noProof/>
          <w:sz w:val="24"/>
        </w:rPr>
        <w:t xml:space="preserve">Finally, </w:t>
      </w:r>
      <w:r>
        <w:rPr>
          <w:rFonts w:ascii="Times New Roman" w:hAnsi="Times New Roman" w:cs="Times New Roman"/>
          <w:b/>
          <w:noProof/>
          <w:sz w:val="24"/>
        </w:rPr>
        <w:t>public</w:t>
      </w:r>
      <w:r>
        <w:rPr>
          <w:rFonts w:ascii="Times New Roman" w:hAnsi="Times New Roman" w:cs="Times New Roman"/>
          <w:noProof/>
          <w:sz w:val="24"/>
        </w:rPr>
        <w:t xml:space="preserve"> </w:t>
      </w:r>
      <w:r>
        <w:rPr>
          <w:rFonts w:ascii="Times New Roman" w:hAnsi="Times New Roman" w:cs="Times New Roman"/>
          <w:b/>
          <w:noProof/>
          <w:sz w:val="24"/>
        </w:rPr>
        <w:t>authorities</w:t>
      </w:r>
      <w:r>
        <w:rPr>
          <w:rFonts w:ascii="Times New Roman" w:hAnsi="Times New Roman" w:cs="Times New Roman"/>
          <w:noProof/>
          <w:sz w:val="24"/>
        </w:rPr>
        <w:t xml:space="preserve"> responsible for intellectual property policy, in particular for IPR enforcement, and other enforcement authorities from 17 Member States contributed to the</w:t>
      </w:r>
      <w:r>
        <w:rPr>
          <w:rFonts w:ascii="Times New Roman" w:hAnsi="Times New Roman" w:cs="Times New Roman"/>
          <w:noProof/>
          <w:sz w:val="24"/>
        </w:rPr>
        <w:t xml:space="preserve"> public consultation. </w:t>
      </w:r>
    </w:p>
    <w:p w:rsidR="00EB6A7B" w:rsidRDefault="001E7ACC">
      <w:pPr>
        <w:jc w:val="both"/>
        <w:rPr>
          <w:rFonts w:ascii="Times New Roman" w:hAnsi="Times New Roman" w:cs="Times New Roman"/>
          <w:b/>
          <w:i/>
          <w:noProof/>
          <w:sz w:val="24"/>
        </w:rPr>
      </w:pPr>
      <w:r>
        <w:rPr>
          <w:rFonts w:ascii="Times New Roman" w:hAnsi="Times New Roman" w:cs="Times New Roman"/>
          <w:b/>
          <w:i/>
          <w:noProof/>
          <w:sz w:val="24"/>
        </w:rPr>
        <w:t>Main findings</w:t>
      </w:r>
    </w:p>
    <w:p w:rsidR="00EB6A7B" w:rsidRDefault="001E7ACC">
      <w:pPr>
        <w:jc w:val="both"/>
        <w:rPr>
          <w:rFonts w:ascii="Times New Roman" w:hAnsi="Times New Roman" w:cs="Times New Roman"/>
          <w:noProof/>
          <w:sz w:val="24"/>
        </w:rPr>
      </w:pPr>
      <w:r>
        <w:rPr>
          <w:rFonts w:ascii="Times New Roman" w:hAnsi="Times New Roman" w:cs="Times New Roman"/>
          <w:noProof/>
          <w:sz w:val="24"/>
        </w:rPr>
        <w:t>The contributions to the public consultation confirmed that the infringement of IPR is a major problem. More than three quarters of the responding rightholders and public authorities reported that IPR infringements have</w:t>
      </w:r>
      <w:r>
        <w:rPr>
          <w:rFonts w:ascii="Times New Roman" w:hAnsi="Times New Roman" w:cs="Times New Roman"/>
          <w:noProof/>
          <w:sz w:val="24"/>
        </w:rPr>
        <w:t xml:space="preserve"> increased over the last 10 years. Rightholders submitted that IPR infringements not only have a negative overall financial impact on their turnover but also cause reputational damage and generate high monitoring and enforcement costs. Public authorities c</w:t>
      </w:r>
      <w:r>
        <w:rPr>
          <w:rFonts w:ascii="Times New Roman" w:hAnsi="Times New Roman" w:cs="Times New Roman"/>
          <w:noProof/>
          <w:sz w:val="24"/>
        </w:rPr>
        <w:t>onsider the negative impact on tax revenues, health, safety, SMEs and competitiveness to be very significant.</w:t>
      </w:r>
    </w:p>
    <w:p w:rsidR="00EB6A7B" w:rsidRDefault="001E7ACC">
      <w:pPr>
        <w:jc w:val="both"/>
        <w:rPr>
          <w:rFonts w:ascii="Times New Roman" w:hAnsi="Times New Roman" w:cs="Times New Roman"/>
          <w:noProof/>
          <w:sz w:val="24"/>
        </w:rPr>
      </w:pPr>
      <w:r>
        <w:rPr>
          <w:rFonts w:ascii="Times New Roman" w:hAnsi="Times New Roman" w:cs="Times New Roman"/>
          <w:noProof/>
          <w:sz w:val="24"/>
        </w:rPr>
        <w:t>While the majority of respondents felt that the existing rules have helped effectively in protecting IP and preventing IP infringements, many righ</w:t>
      </w:r>
      <w:r>
        <w:rPr>
          <w:rFonts w:ascii="Times New Roman" w:hAnsi="Times New Roman" w:cs="Times New Roman"/>
          <w:noProof/>
          <w:sz w:val="24"/>
        </w:rPr>
        <w:t>tholders and intermediaries in particular consider that the measures and remedies provided for by the Directive are not applied in a homogeneous manner across the Member States. This could result in different levels of protection in the Member States and s</w:t>
      </w:r>
      <w:r>
        <w:rPr>
          <w:rFonts w:ascii="Times New Roman" w:hAnsi="Times New Roman" w:cs="Times New Roman"/>
          <w:noProof/>
          <w:sz w:val="24"/>
        </w:rPr>
        <w:t xml:space="preserve">uggests that the Directive did not fully eliminate disparities at national level as regards the means of enforcing IPR. </w:t>
      </w:r>
    </w:p>
    <w:p w:rsidR="00EB6A7B" w:rsidRDefault="001E7ACC">
      <w:pPr>
        <w:jc w:val="both"/>
        <w:rPr>
          <w:rFonts w:ascii="Times New Roman" w:hAnsi="Times New Roman" w:cs="Times New Roman"/>
          <w:noProof/>
          <w:sz w:val="24"/>
        </w:rPr>
      </w:pPr>
      <w:r>
        <w:rPr>
          <w:rFonts w:ascii="Times New Roman" w:hAnsi="Times New Roman" w:cs="Times New Roman"/>
          <w:noProof/>
          <w:sz w:val="24"/>
        </w:rPr>
        <w:t>More than three quarters of citizens felt that procedural and fundamental rights are not well respected in the application of the Direc</w:t>
      </w:r>
      <w:r>
        <w:rPr>
          <w:rFonts w:ascii="Times New Roman" w:hAnsi="Times New Roman" w:cs="Times New Roman"/>
          <w:noProof/>
          <w:sz w:val="24"/>
        </w:rPr>
        <w:t xml:space="preserve">tive. </w:t>
      </w:r>
    </w:p>
    <w:p w:rsidR="00EB6A7B" w:rsidRDefault="001E7ACC">
      <w:pPr>
        <w:jc w:val="both"/>
        <w:rPr>
          <w:rFonts w:ascii="Times New Roman" w:hAnsi="Times New Roman" w:cs="Times New Roman"/>
          <w:noProof/>
          <w:sz w:val="24"/>
        </w:rPr>
      </w:pPr>
      <w:r>
        <w:rPr>
          <w:rFonts w:ascii="Times New Roman" w:hAnsi="Times New Roman" w:cs="Times New Roman"/>
          <w:noProof/>
          <w:sz w:val="24"/>
        </w:rPr>
        <w:t>The main reasons for rightholders not to seek civil redress in cases of IPR infringement are lawyers’ fees and other costs related to litigation, length of procedure, low probability of obtaining appropriate compensation for the damages suffered and</w:t>
      </w:r>
      <w:r>
        <w:rPr>
          <w:rFonts w:ascii="Times New Roman" w:hAnsi="Times New Roman" w:cs="Times New Roman"/>
          <w:noProof/>
          <w:sz w:val="24"/>
        </w:rPr>
        <w:t xml:space="preserve"> low probability of obtaining appropriate compensation of legal costs and other expenses. This seems to indicate not only that the measures provided for by the Directive do not deliver the expected results but also that national civil enforcement systems i</w:t>
      </w:r>
      <w:r>
        <w:rPr>
          <w:rFonts w:ascii="Times New Roman" w:hAnsi="Times New Roman" w:cs="Times New Roman"/>
          <w:noProof/>
          <w:sz w:val="24"/>
        </w:rPr>
        <w:t xml:space="preserve">n general do not ensure sufficient access to justice. </w:t>
      </w:r>
    </w:p>
    <w:p w:rsidR="00EB6A7B" w:rsidRDefault="001E7ACC">
      <w:pPr>
        <w:jc w:val="both"/>
        <w:rPr>
          <w:rFonts w:ascii="Times New Roman" w:hAnsi="Times New Roman" w:cs="Times New Roman"/>
          <w:noProof/>
          <w:sz w:val="24"/>
        </w:rPr>
      </w:pPr>
      <w:r>
        <w:rPr>
          <w:rFonts w:ascii="Times New Roman" w:hAnsi="Times New Roman" w:cs="Times New Roman"/>
          <w:noProof/>
          <w:sz w:val="24"/>
        </w:rPr>
        <w:t xml:space="preserve">A significant number of respondents identified a need to adjust the measures, procedures and remedies provided for by the Directive, in order to ensure legal certainty and enhance their effectiveness: </w:t>
      </w:r>
    </w:p>
    <w:p w:rsidR="00EB6A7B" w:rsidRDefault="001E7ACC">
      <w:pPr>
        <w:numPr>
          <w:ilvl w:val="0"/>
          <w:numId w:val="51"/>
        </w:numPr>
        <w:jc w:val="both"/>
        <w:rPr>
          <w:rFonts w:ascii="Times New Roman" w:hAnsi="Times New Roman" w:cs="Times New Roman"/>
          <w:noProof/>
          <w:sz w:val="24"/>
        </w:rPr>
      </w:pPr>
      <w:r>
        <w:rPr>
          <w:rFonts w:ascii="Times New Roman" w:hAnsi="Times New Roman" w:cs="Times New Roman"/>
          <w:noProof/>
          <w:sz w:val="24"/>
        </w:rPr>
        <w:t>All stakeholder groups identified a need to adjust the rules on evidence. Many respondents felt that the rules were not effective enough, in particular with regard to the preservation of evidence in the digital environment and the presentation of evidence</w:t>
      </w:r>
      <w:r>
        <w:rPr>
          <w:rFonts w:ascii="Times New Roman" w:hAnsi="Times New Roman" w:cs="Times New Roman"/>
          <w:noProof/>
          <w:sz w:val="24"/>
        </w:rPr>
        <w:t xml:space="preserve"> obtained in another jurisdiction. </w:t>
      </w:r>
    </w:p>
    <w:p w:rsidR="00EB6A7B" w:rsidRDefault="001E7ACC">
      <w:pPr>
        <w:numPr>
          <w:ilvl w:val="0"/>
          <w:numId w:val="51"/>
        </w:numPr>
        <w:jc w:val="both"/>
        <w:rPr>
          <w:rFonts w:ascii="Times New Roman" w:hAnsi="Times New Roman" w:cs="Times New Roman"/>
          <w:noProof/>
          <w:sz w:val="24"/>
        </w:rPr>
      </w:pPr>
      <w:r>
        <w:rPr>
          <w:rFonts w:ascii="Times New Roman" w:hAnsi="Times New Roman" w:cs="Times New Roman"/>
          <w:noProof/>
          <w:sz w:val="24"/>
        </w:rPr>
        <w:t>All stakeholder groups apart from intermediaries saw a need to adjust the right of information. Many are concerned that the right balance is not being struck between the right to property and the right to judicial review</w:t>
      </w:r>
      <w:r>
        <w:rPr>
          <w:rFonts w:ascii="Times New Roman" w:hAnsi="Times New Roman" w:cs="Times New Roman"/>
          <w:noProof/>
          <w:sz w:val="24"/>
        </w:rPr>
        <w:t xml:space="preserve"> on the one hand and the right to respect for private life and/or the right to protection of personal data on the other. </w:t>
      </w:r>
    </w:p>
    <w:p w:rsidR="00EB6A7B" w:rsidRDefault="001E7ACC">
      <w:pPr>
        <w:numPr>
          <w:ilvl w:val="0"/>
          <w:numId w:val="51"/>
        </w:numPr>
        <w:jc w:val="both"/>
        <w:rPr>
          <w:rFonts w:ascii="Times New Roman" w:hAnsi="Times New Roman" w:cs="Times New Roman"/>
          <w:noProof/>
          <w:sz w:val="24"/>
        </w:rPr>
      </w:pPr>
      <w:r>
        <w:rPr>
          <w:rFonts w:ascii="Times New Roman" w:hAnsi="Times New Roman" w:cs="Times New Roman"/>
          <w:noProof/>
          <w:sz w:val="24"/>
        </w:rPr>
        <w:t>Rightholders, the judiciary and legal profession and citizens called for an adjustment of the rules for setting damages. Respondents d</w:t>
      </w:r>
      <w:r>
        <w:rPr>
          <w:rFonts w:ascii="Times New Roman" w:hAnsi="Times New Roman" w:cs="Times New Roman"/>
          <w:noProof/>
          <w:sz w:val="24"/>
        </w:rPr>
        <w:t xml:space="preserve">o not only seek more legal clarity on the calculation of damages but also a fairer allocation. </w:t>
      </w:r>
    </w:p>
    <w:p w:rsidR="00EB6A7B" w:rsidRDefault="001E7ACC">
      <w:pPr>
        <w:numPr>
          <w:ilvl w:val="0"/>
          <w:numId w:val="51"/>
        </w:numPr>
        <w:jc w:val="both"/>
        <w:rPr>
          <w:rFonts w:ascii="Times New Roman" w:hAnsi="Times New Roman" w:cs="Times New Roman"/>
          <w:noProof/>
          <w:sz w:val="24"/>
        </w:rPr>
      </w:pPr>
      <w:r>
        <w:rPr>
          <w:rFonts w:ascii="Times New Roman" w:hAnsi="Times New Roman" w:cs="Times New Roman"/>
          <w:noProof/>
          <w:sz w:val="24"/>
        </w:rPr>
        <w:t>All respondents except the Member States identified a need to adjust the rules on the reimbursement of costs. Respondents called for adjustments in order to enh</w:t>
      </w:r>
      <w:r>
        <w:rPr>
          <w:rFonts w:ascii="Times New Roman" w:hAnsi="Times New Roman" w:cs="Times New Roman"/>
          <w:noProof/>
          <w:sz w:val="24"/>
        </w:rPr>
        <w:t>ance the level of reimbursement and to provide for a uniform interpretation and application of the rules.</w:t>
      </w:r>
    </w:p>
    <w:p w:rsidR="00EB6A7B" w:rsidRDefault="001E7ACC">
      <w:pPr>
        <w:numPr>
          <w:ilvl w:val="0"/>
          <w:numId w:val="51"/>
        </w:numPr>
        <w:jc w:val="both"/>
        <w:rPr>
          <w:rFonts w:ascii="Times New Roman" w:hAnsi="Times New Roman" w:cs="Times New Roman"/>
          <w:noProof/>
          <w:sz w:val="24"/>
        </w:rPr>
      </w:pPr>
      <w:r>
        <w:rPr>
          <w:rFonts w:ascii="Times New Roman" w:hAnsi="Times New Roman" w:cs="Times New Roman"/>
          <w:noProof/>
          <w:sz w:val="24"/>
        </w:rPr>
        <w:t>Rightholders and the judiciary and legal profession see a need to adjust the rules for provisional and precautionary measures and for injunctions, cal</w:t>
      </w:r>
      <w:r>
        <w:rPr>
          <w:rFonts w:ascii="Times New Roman" w:hAnsi="Times New Roman" w:cs="Times New Roman"/>
          <w:noProof/>
          <w:sz w:val="24"/>
        </w:rPr>
        <w:t>ling for a clarification of the scope of injunctions, in particular with regard to intermediaries.</w:t>
      </w:r>
    </w:p>
    <w:p w:rsidR="00EB6A7B" w:rsidRDefault="001E7ACC">
      <w:pPr>
        <w:jc w:val="both"/>
        <w:rPr>
          <w:rFonts w:ascii="Times New Roman" w:hAnsi="Times New Roman" w:cs="Times New Roman"/>
          <w:noProof/>
          <w:sz w:val="24"/>
        </w:rPr>
      </w:pPr>
      <w:r>
        <w:rPr>
          <w:rFonts w:ascii="Times New Roman" w:hAnsi="Times New Roman" w:cs="Times New Roman"/>
          <w:noProof/>
          <w:sz w:val="24"/>
        </w:rPr>
        <w:t>The consultation also addressed a number of issues which are currently not dealt with by the Directive but might be taken up in any future initiative in orde</w:t>
      </w:r>
      <w:r>
        <w:rPr>
          <w:rFonts w:ascii="Times New Roman" w:hAnsi="Times New Roman" w:cs="Times New Roman"/>
          <w:noProof/>
          <w:sz w:val="24"/>
        </w:rPr>
        <w:t>r to modernise the enforcement of IPR. Looking at the role, responsibility and scope of engagement of intermediaries in IP enforcement, Member States and rightholders believed that intermediaries should play an important role in enforcing IPR, whereas inte</w:t>
      </w:r>
      <w:r>
        <w:rPr>
          <w:rFonts w:ascii="Times New Roman" w:hAnsi="Times New Roman" w:cs="Times New Roman"/>
          <w:noProof/>
          <w:sz w:val="24"/>
        </w:rPr>
        <w:t>rmediaries and citizens did not believe so. Statutory cooperation or co-regulation is considered to be more efficient than voluntary cooperation. All stakeholder groups were of the opinion that legal action in a court specialised in IPR matters provides an</w:t>
      </w:r>
      <w:r>
        <w:rPr>
          <w:rFonts w:ascii="Times New Roman" w:hAnsi="Times New Roman" w:cs="Times New Roman"/>
          <w:noProof/>
          <w:sz w:val="24"/>
        </w:rPr>
        <w:t xml:space="preserve"> added value compared to legal action in non-specialised courts. The key advantages are perceived to be the shorter length of proceedings, more fit-for-purpose proceedings and better quality judgments.</w:t>
      </w:r>
    </w:p>
    <w:p w:rsidR="00EB6A7B" w:rsidRDefault="001E7ACC">
      <w:pPr>
        <w:jc w:val="both"/>
        <w:rPr>
          <w:rFonts w:ascii="Times New Roman" w:hAnsi="Times New Roman" w:cs="Times New Roman"/>
          <w:noProof/>
          <w:sz w:val="24"/>
        </w:rPr>
      </w:pPr>
      <w:r>
        <w:rPr>
          <w:rFonts w:ascii="Times New Roman" w:hAnsi="Times New Roman" w:cs="Times New Roman"/>
          <w:noProof/>
          <w:sz w:val="24"/>
        </w:rPr>
        <w:t>Finally, the consultation encouraged participants to r</w:t>
      </w:r>
      <w:r>
        <w:rPr>
          <w:rFonts w:ascii="Times New Roman" w:hAnsi="Times New Roman" w:cs="Times New Roman"/>
          <w:noProof/>
          <w:sz w:val="24"/>
        </w:rPr>
        <w:t xml:space="preserve">aise any other issue outside the scope of the current legal framework that could be considered in view of the intention to modernise the enforcement of IPR. The responses suggest that there are a number of issues outside the scope of the Directive and its </w:t>
      </w:r>
      <w:r>
        <w:rPr>
          <w:rFonts w:ascii="Times New Roman" w:hAnsi="Times New Roman" w:cs="Times New Roman"/>
          <w:noProof/>
          <w:sz w:val="24"/>
        </w:rPr>
        <w:t>current revision that are very relevant for the efficient enforcement of IPR:</w:t>
      </w:r>
    </w:p>
    <w:p w:rsidR="00EB6A7B" w:rsidRDefault="001E7ACC">
      <w:pPr>
        <w:numPr>
          <w:ilvl w:val="0"/>
          <w:numId w:val="52"/>
        </w:numPr>
        <w:jc w:val="both"/>
        <w:rPr>
          <w:rFonts w:ascii="Times New Roman" w:hAnsi="Times New Roman" w:cs="Times New Roman"/>
          <w:noProof/>
          <w:sz w:val="24"/>
        </w:rPr>
      </w:pPr>
      <w:r>
        <w:rPr>
          <w:rFonts w:ascii="Times New Roman" w:hAnsi="Times New Roman" w:cs="Times New Roman"/>
          <w:noProof/>
          <w:sz w:val="24"/>
        </w:rPr>
        <w:t>The cumbersome procedure for obtaining provisional and precautionary measures or injunctions for the same infringements against similar addressees in more than one jurisdiction i</w:t>
      </w:r>
      <w:r>
        <w:rPr>
          <w:rFonts w:ascii="Times New Roman" w:hAnsi="Times New Roman" w:cs="Times New Roman"/>
          <w:noProof/>
          <w:sz w:val="24"/>
        </w:rPr>
        <w:t>n the EU was an issue particularly raised by copyright holders.</w:t>
      </w:r>
    </w:p>
    <w:p w:rsidR="00EB6A7B" w:rsidRDefault="001E7ACC">
      <w:pPr>
        <w:numPr>
          <w:ilvl w:val="0"/>
          <w:numId w:val="52"/>
        </w:numPr>
        <w:jc w:val="both"/>
        <w:rPr>
          <w:rFonts w:ascii="Times New Roman" w:hAnsi="Times New Roman" w:cs="Times New Roman"/>
          <w:noProof/>
          <w:sz w:val="24"/>
        </w:rPr>
      </w:pPr>
      <w:r>
        <w:rPr>
          <w:rFonts w:ascii="Times New Roman" w:hAnsi="Times New Roman" w:cs="Times New Roman"/>
          <w:noProof/>
          <w:sz w:val="24"/>
        </w:rPr>
        <w:t>The lack of harmonisation of substantive IP rules is an issue adding to the challenges of cross-border enforcement. The application of the relevant rules on jurisdiction and the recognition an</w:t>
      </w:r>
      <w:r>
        <w:rPr>
          <w:rFonts w:ascii="Times New Roman" w:hAnsi="Times New Roman" w:cs="Times New Roman"/>
          <w:noProof/>
          <w:sz w:val="24"/>
        </w:rPr>
        <w:t>d enforcement of judgments in civil and commercial matters and on the law applicable to non-contractual obligations in cross-border cases seems to result unavoidably in the competence of different national courts and the application of different national l</w:t>
      </w:r>
      <w:r>
        <w:rPr>
          <w:rFonts w:ascii="Times New Roman" w:hAnsi="Times New Roman" w:cs="Times New Roman"/>
          <w:noProof/>
          <w:sz w:val="24"/>
        </w:rPr>
        <w:t>aws.</w:t>
      </w:r>
    </w:p>
    <w:p w:rsidR="00EB6A7B" w:rsidRDefault="001E7ACC">
      <w:pPr>
        <w:numPr>
          <w:ilvl w:val="0"/>
          <w:numId w:val="52"/>
        </w:numPr>
        <w:jc w:val="both"/>
        <w:rPr>
          <w:rFonts w:ascii="Times New Roman" w:hAnsi="Times New Roman" w:cs="Times New Roman"/>
          <w:noProof/>
          <w:sz w:val="24"/>
        </w:rPr>
      </w:pPr>
      <w:r>
        <w:rPr>
          <w:rFonts w:ascii="Times New Roman" w:hAnsi="Times New Roman" w:cs="Times New Roman"/>
          <w:noProof/>
          <w:sz w:val="24"/>
        </w:rPr>
        <w:t>Many rightholders also highlighted the application of the e-commerce framework as an issue, on the one hand with regard to the provisions on the liability of intermediary service providers, on the other hand stressing the need for a proper enforcement</w:t>
      </w:r>
      <w:r>
        <w:rPr>
          <w:rFonts w:ascii="Times New Roman" w:hAnsi="Times New Roman" w:cs="Times New Roman"/>
          <w:noProof/>
          <w:sz w:val="24"/>
        </w:rPr>
        <w:t xml:space="preserve"> of the transparency requirements foreseen in that framework.</w:t>
      </w:r>
    </w:p>
    <w:p w:rsidR="00EB6A7B" w:rsidRDefault="001E7ACC">
      <w:pPr>
        <w:numPr>
          <w:ilvl w:val="0"/>
          <w:numId w:val="52"/>
        </w:numPr>
        <w:jc w:val="both"/>
        <w:rPr>
          <w:rFonts w:ascii="Times New Roman" w:hAnsi="Times New Roman" w:cs="Times New Roman"/>
          <w:noProof/>
          <w:sz w:val="24"/>
        </w:rPr>
      </w:pPr>
      <w:r>
        <w:rPr>
          <w:rFonts w:ascii="Times New Roman" w:hAnsi="Times New Roman" w:cs="Times New Roman"/>
          <w:noProof/>
          <w:sz w:val="24"/>
        </w:rPr>
        <w:t>Technological developments were seen to create major challenges for the enforcement of IPR, for example the use of anonymisation services on the internet or the covering-up of illegal activities</w:t>
      </w:r>
      <w:r>
        <w:rPr>
          <w:rFonts w:ascii="Times New Roman" w:hAnsi="Times New Roman" w:cs="Times New Roman"/>
          <w:noProof/>
          <w:sz w:val="24"/>
        </w:rPr>
        <w:t xml:space="preserve"> behind legitimate e-commerce businesses. The enforcement of IPR in the digital environment also poses particular questions for internet governance and the allocation and use of domain names. </w:t>
      </w:r>
    </w:p>
    <w:p w:rsidR="00EB6A7B" w:rsidRDefault="001E7ACC">
      <w:pPr>
        <w:numPr>
          <w:ilvl w:val="0"/>
          <w:numId w:val="52"/>
        </w:numPr>
        <w:jc w:val="both"/>
        <w:rPr>
          <w:rFonts w:ascii="Times New Roman" w:hAnsi="Times New Roman" w:cs="Times New Roman"/>
          <w:noProof/>
          <w:sz w:val="24"/>
        </w:rPr>
      </w:pPr>
      <w:r>
        <w:rPr>
          <w:rFonts w:ascii="Times New Roman" w:hAnsi="Times New Roman" w:cs="Times New Roman"/>
          <w:noProof/>
          <w:sz w:val="24"/>
        </w:rPr>
        <w:t xml:space="preserve">The development of an attractive legal offer is another issue. </w:t>
      </w:r>
      <w:r>
        <w:rPr>
          <w:rFonts w:ascii="Times New Roman" w:hAnsi="Times New Roman" w:cs="Times New Roman"/>
          <w:noProof/>
          <w:sz w:val="24"/>
        </w:rPr>
        <w:t xml:space="preserve">Users seek attractive offers and will not always, or are not able to, distinguish between legal and illegal offers, in particular if the legal offer is not available or unattractive from a consumer perspective. </w:t>
      </w:r>
    </w:p>
    <w:p w:rsidR="00EB6A7B" w:rsidRDefault="001E7ACC">
      <w:pPr>
        <w:numPr>
          <w:ilvl w:val="0"/>
          <w:numId w:val="52"/>
        </w:numPr>
        <w:jc w:val="both"/>
        <w:rPr>
          <w:rFonts w:ascii="Times New Roman" w:hAnsi="Times New Roman" w:cs="Times New Roman"/>
          <w:noProof/>
          <w:sz w:val="24"/>
        </w:rPr>
      </w:pPr>
      <w:r>
        <w:rPr>
          <w:rFonts w:ascii="Times New Roman" w:hAnsi="Times New Roman" w:cs="Times New Roman"/>
          <w:noProof/>
          <w:sz w:val="24"/>
        </w:rPr>
        <w:t xml:space="preserve">Many respondents also characterised commercial-scale IPR infringement as a global business and consider that efficient enforcement will only be possible if all relevant stakeholders across the global supply web are involved. </w:t>
      </w:r>
    </w:p>
    <w:p w:rsidR="00EB6A7B" w:rsidRDefault="001E7ACC">
      <w:pPr>
        <w:numPr>
          <w:ilvl w:val="0"/>
          <w:numId w:val="52"/>
        </w:numPr>
        <w:jc w:val="both"/>
        <w:rPr>
          <w:rFonts w:ascii="Times New Roman" w:hAnsi="Times New Roman" w:cs="Times New Roman"/>
          <w:noProof/>
          <w:sz w:val="24"/>
        </w:rPr>
      </w:pPr>
      <w:r>
        <w:rPr>
          <w:rFonts w:ascii="Times New Roman" w:hAnsi="Times New Roman" w:cs="Times New Roman"/>
          <w:noProof/>
          <w:sz w:val="24"/>
        </w:rPr>
        <w:t>Finally many respondents claim</w:t>
      </w:r>
      <w:r>
        <w:rPr>
          <w:rFonts w:ascii="Times New Roman" w:hAnsi="Times New Roman" w:cs="Times New Roman"/>
          <w:noProof/>
          <w:sz w:val="24"/>
        </w:rPr>
        <w:t>ed that the disparities between the national systems of criminal sanctions make it difficult to combat counterfeiting and piracy effectively.</w:t>
      </w:r>
    </w:p>
    <w:p w:rsidR="00EB6A7B" w:rsidRDefault="00EB6A7B">
      <w:pPr>
        <w:jc w:val="both"/>
        <w:rPr>
          <w:rFonts w:ascii="Times New Roman" w:hAnsi="Times New Roman" w:cs="Times New Roman"/>
          <w:noProof/>
          <w:sz w:val="24"/>
        </w:rPr>
      </w:pPr>
    </w:p>
    <w:p w:rsidR="00EB6A7B" w:rsidRDefault="00EB6A7B">
      <w:pPr>
        <w:jc w:val="both"/>
        <w:rPr>
          <w:rFonts w:ascii="Times New Roman" w:hAnsi="Times New Roman" w:cs="Times New Roman"/>
          <w:noProof/>
          <w:sz w:val="24"/>
        </w:rPr>
      </w:pPr>
    </w:p>
    <w:p w:rsidR="00EB6A7B" w:rsidRDefault="00EB6A7B">
      <w:pPr>
        <w:jc w:val="both"/>
        <w:rPr>
          <w:rFonts w:ascii="Times New Roman" w:hAnsi="Times New Roman" w:cs="Times New Roman"/>
          <w:noProof/>
          <w:sz w:val="24"/>
        </w:rPr>
      </w:pPr>
    </w:p>
    <w:p w:rsidR="00EB6A7B" w:rsidRDefault="00EB6A7B">
      <w:pPr>
        <w:jc w:val="both"/>
        <w:rPr>
          <w:rFonts w:ascii="Times New Roman" w:hAnsi="Times New Roman" w:cs="Times New Roman"/>
          <w:noProof/>
          <w:sz w:val="24"/>
        </w:rPr>
      </w:pPr>
    </w:p>
    <w:p w:rsidR="00EB6A7B" w:rsidRDefault="00EB6A7B">
      <w:pPr>
        <w:jc w:val="both"/>
        <w:rPr>
          <w:rFonts w:ascii="Times New Roman" w:hAnsi="Times New Roman" w:cs="Times New Roman"/>
          <w:noProof/>
          <w:sz w:val="24"/>
        </w:rPr>
      </w:pPr>
    </w:p>
    <w:p w:rsidR="00EB6A7B" w:rsidRDefault="001E7ACC">
      <w:pPr>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2)</w:t>
      </w:r>
      <w:r>
        <w:rPr>
          <w:rFonts w:ascii="Times New Roman" w:hAnsi="Times New Roman" w:cs="Times New Roman"/>
          <w:noProof/>
        </w:rPr>
        <w:t xml:space="preserve"> </w:t>
      </w:r>
      <w:r>
        <w:rPr>
          <w:rFonts w:ascii="Times New Roman" w:eastAsia="Times New Roman" w:hAnsi="Times New Roman" w:cs="Times New Roman"/>
          <w:b/>
          <w:bCs/>
          <w:smallCaps/>
          <w:noProof/>
          <w:sz w:val="24"/>
          <w:szCs w:val="24"/>
        </w:rPr>
        <w:t>STAKEHOLDER CONSULTATION</w:t>
      </w:r>
    </w:p>
    <w:p w:rsidR="00EB6A7B" w:rsidRDefault="001E7ACC">
      <w:pPr>
        <w:jc w:val="both"/>
        <w:rPr>
          <w:rFonts w:ascii="Times New Roman" w:hAnsi="Times New Roman" w:cs="Times New Roman"/>
          <w:noProof/>
          <w:color w:val="000000"/>
          <w:sz w:val="23"/>
          <w:szCs w:val="23"/>
        </w:rPr>
      </w:pPr>
      <w:r>
        <w:rPr>
          <w:rFonts w:ascii="Times New Roman" w:hAnsi="Times New Roman" w:cs="Times New Roman"/>
          <w:noProof/>
          <w:sz w:val="24"/>
        </w:rPr>
        <w:t xml:space="preserve">An online public consultation on the efficiency of proceedings and accessibility </w:t>
      </w:r>
      <w:r>
        <w:rPr>
          <w:rFonts w:ascii="Times New Roman" w:hAnsi="Times New Roman" w:cs="Times New Roman"/>
          <w:noProof/>
          <w:sz w:val="24"/>
        </w:rPr>
        <w:t>of measures for the civil enforcement of intellectual property rights was launched on 30 November 2012 and closed on 30 March 2013. The survey aimed at gathering specific information on the efficiency of proceedings and accessibility of measures used in th</w:t>
      </w:r>
      <w:r>
        <w:rPr>
          <w:rFonts w:ascii="Times New Roman" w:hAnsi="Times New Roman" w:cs="Times New Roman"/>
          <w:noProof/>
          <w:sz w:val="24"/>
        </w:rPr>
        <w:t>e context of civil enforcement of intellectual property rights. The data gathered was meant to enable the Commission to conduct a comprehensive assessment of the functionality of civil enforcement systems put in place in the Member States in order to impro</w:t>
      </w:r>
      <w:r>
        <w:rPr>
          <w:rFonts w:ascii="Times New Roman" w:hAnsi="Times New Roman" w:cs="Times New Roman"/>
          <w:noProof/>
          <w:sz w:val="24"/>
        </w:rPr>
        <w:t>ve the situation of all the actors active in the innovative sectors of European economy.</w:t>
      </w:r>
    </w:p>
    <w:p w:rsidR="00EB6A7B" w:rsidRDefault="001E7ACC">
      <w:pPr>
        <w:jc w:val="both"/>
        <w:rPr>
          <w:rFonts w:ascii="Times New Roman" w:hAnsi="Times New Roman" w:cs="Times New Roman"/>
          <w:b/>
          <w:i/>
          <w:noProof/>
          <w:sz w:val="24"/>
        </w:rPr>
      </w:pPr>
      <w:r>
        <w:rPr>
          <w:rFonts w:ascii="Times New Roman" w:hAnsi="Times New Roman" w:cs="Times New Roman"/>
          <w:b/>
          <w:i/>
          <w:noProof/>
          <w:sz w:val="24"/>
        </w:rPr>
        <w:t>Responses to the consultation</w:t>
      </w:r>
    </w:p>
    <w:p w:rsidR="00EB6A7B" w:rsidRDefault="001E7ACC">
      <w:pPr>
        <w:jc w:val="both"/>
        <w:rPr>
          <w:rFonts w:ascii="Times New Roman" w:hAnsi="Times New Roman" w:cs="Times New Roman"/>
          <w:noProof/>
          <w:sz w:val="24"/>
        </w:rPr>
      </w:pPr>
      <w:r>
        <w:rPr>
          <w:rFonts w:ascii="Times New Roman" w:hAnsi="Times New Roman" w:cs="Times New Roman"/>
          <w:noProof/>
          <w:sz w:val="24"/>
        </w:rPr>
        <w:t>The Commission received 282 responses to the public consultation. The largest share of replies (57%) was submitted by individual citizens</w:t>
      </w:r>
      <w:r>
        <w:rPr>
          <w:rFonts w:ascii="Times New Roman" w:hAnsi="Times New Roman" w:cs="Times New Roman"/>
          <w:noProof/>
          <w:sz w:val="24"/>
        </w:rPr>
        <w:t xml:space="preserve"> (two thirds of who declared themselves as being rightholders). Responses were furthermore received from undertakings holding intellectual property rights (including trade and business associations and anti-counterfeiting/piracy organisations), internet se</w:t>
      </w:r>
      <w:r>
        <w:rPr>
          <w:rFonts w:ascii="Times New Roman" w:hAnsi="Times New Roman" w:cs="Times New Roman"/>
          <w:noProof/>
          <w:sz w:val="24"/>
        </w:rPr>
        <w:t xml:space="preserve">rvice providers, telecommunications operators, collecting societies and public authorities. Among undertakings or associations, around 8% declared being classified as a SME. </w:t>
      </w:r>
    </w:p>
    <w:p w:rsidR="00EB6A7B" w:rsidRDefault="00EB6A7B">
      <w:pPr>
        <w:jc w:val="both"/>
        <w:rPr>
          <w:rFonts w:ascii="Times New Roman" w:hAnsi="Times New Roman" w:cs="Times New Roman"/>
          <w:noProof/>
          <w:sz w:val="24"/>
        </w:rPr>
      </w:pPr>
    </w:p>
    <w:p w:rsidR="00EB6A7B" w:rsidRDefault="001E7ACC">
      <w:pPr>
        <w:jc w:val="both"/>
        <w:rPr>
          <w:rFonts w:ascii="Times New Roman" w:hAnsi="Times New Roman" w:cs="Times New Roman"/>
          <w:noProof/>
          <w:sz w:val="24"/>
        </w:rPr>
      </w:pPr>
      <w:r>
        <w:rPr>
          <w:rFonts w:ascii="Times New Roman" w:hAnsi="Times New Roman" w:cs="Times New Roman"/>
          <w:noProof/>
          <w:sz w:val="24"/>
        </w:rPr>
        <w:t xml:space="preserve">                                  </w:t>
      </w:r>
      <w:r>
        <w:rPr>
          <w:rFonts w:ascii="Times New Roman" w:hAnsi="Times New Roman" w:cs="Times New Roman"/>
          <w:noProof/>
          <w:sz w:val="24"/>
          <w:lang w:eastAsia="en-GB"/>
        </w:rPr>
        <w:drawing>
          <wp:inline distT="0" distB="0" distL="0" distR="0">
            <wp:extent cx="2990850" cy="2181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89861" cy="2180504"/>
                    </a:xfrm>
                    <a:prstGeom prst="rect">
                      <a:avLst/>
                    </a:prstGeom>
                    <a:noFill/>
                    <a:ln>
                      <a:noFill/>
                    </a:ln>
                  </pic:spPr>
                </pic:pic>
              </a:graphicData>
            </a:graphic>
          </wp:inline>
        </w:drawing>
      </w:r>
      <w:r>
        <w:rPr>
          <w:rFonts w:ascii="Times New Roman" w:hAnsi="Times New Roman" w:cs="Times New Roman"/>
          <w:noProof/>
          <w:sz w:val="24"/>
        </w:rPr>
        <w:t xml:space="preserve">                                             </w:t>
      </w:r>
    </w:p>
    <w:p w:rsidR="00EB6A7B" w:rsidRDefault="001E7ACC">
      <w:pPr>
        <w:jc w:val="both"/>
        <w:rPr>
          <w:rFonts w:ascii="Times New Roman" w:hAnsi="Times New Roman" w:cs="Times New Roman"/>
          <w:noProof/>
          <w:sz w:val="24"/>
        </w:rPr>
      </w:pPr>
      <w:r>
        <w:rPr>
          <w:rFonts w:ascii="Times New Roman" w:hAnsi="Times New Roman" w:cs="Times New Roman"/>
          <w:noProof/>
          <w:sz w:val="24"/>
        </w:rPr>
        <w:t>There was a wide geographical coverage in terms of responses received, with respondents from 24 EU Member States. No response originating from Cyprus, Slovakia and Malta was received. A significant number of responses were also submitted by European and i</w:t>
      </w:r>
      <w:r>
        <w:rPr>
          <w:rFonts w:ascii="Times New Roman" w:hAnsi="Times New Roman" w:cs="Times New Roman"/>
          <w:noProof/>
          <w:sz w:val="24"/>
        </w:rPr>
        <w:t xml:space="preserve">nternational bodies and associations.                 </w:t>
      </w:r>
    </w:p>
    <w:p w:rsidR="00EB6A7B" w:rsidRDefault="001E7ACC">
      <w:pPr>
        <w:jc w:val="both"/>
        <w:rPr>
          <w:rFonts w:ascii="Times New Roman" w:hAnsi="Times New Roman" w:cs="Times New Roman"/>
          <w:b/>
          <w:i/>
          <w:noProof/>
          <w:sz w:val="24"/>
        </w:rPr>
      </w:pPr>
      <w:r>
        <w:rPr>
          <w:rFonts w:ascii="Times New Roman" w:hAnsi="Times New Roman" w:cs="Times New Roman"/>
          <w:b/>
          <w:i/>
          <w:noProof/>
          <w:sz w:val="24"/>
        </w:rPr>
        <w:t xml:space="preserve">Main findings                       </w:t>
      </w:r>
    </w:p>
    <w:p w:rsidR="00EB6A7B" w:rsidRDefault="001E7ACC">
      <w:pPr>
        <w:autoSpaceDE w:val="0"/>
        <w:autoSpaceDN w:val="0"/>
        <w:adjustRightInd w:val="0"/>
        <w:spacing w:after="0"/>
        <w:jc w:val="both"/>
        <w:rPr>
          <w:rFonts w:ascii="Times New Roman" w:hAnsi="Times New Roman" w:cs="Times New Roman"/>
          <w:noProof/>
          <w:color w:val="000000"/>
          <w:sz w:val="23"/>
          <w:szCs w:val="23"/>
        </w:rPr>
      </w:pPr>
      <w:r>
        <w:rPr>
          <w:rFonts w:ascii="Times New Roman" w:hAnsi="Times New Roman" w:cs="Times New Roman"/>
          <w:noProof/>
          <w:sz w:val="24"/>
        </w:rPr>
        <w:t>More than two thirds of the respondents (70 %) have answered the question about the significance of their IPR on their performance and growth. It seems however diff</w:t>
      </w:r>
      <w:r>
        <w:rPr>
          <w:rFonts w:ascii="Times New Roman" w:hAnsi="Times New Roman" w:cs="Times New Roman"/>
          <w:noProof/>
          <w:sz w:val="24"/>
        </w:rPr>
        <w:t>icult to present the responses about the importance for each IP right since they do not correspond to the figures provided in the initial question (for example, one contributor declared holding geographical indications rights but 37 contributors declared t</w:t>
      </w:r>
      <w:r>
        <w:rPr>
          <w:rFonts w:ascii="Times New Roman" w:hAnsi="Times New Roman" w:cs="Times New Roman"/>
          <w:noProof/>
          <w:sz w:val="24"/>
        </w:rPr>
        <w:t>heir geographical indication rights had no significance for their performance and growth). It seems however that among the various intellectual property rights,</w:t>
      </w:r>
      <w:r>
        <w:rPr>
          <w:rFonts w:ascii="Times New Roman" w:hAnsi="Times New Roman" w:cs="Times New Roman"/>
          <w:noProof/>
          <w:color w:val="000000"/>
          <w:sz w:val="23"/>
          <w:szCs w:val="23"/>
        </w:rPr>
        <w:t xml:space="preserve"> </w:t>
      </w:r>
      <w:r>
        <w:rPr>
          <w:rFonts w:ascii="Times New Roman" w:hAnsi="Times New Roman" w:cs="Times New Roman"/>
          <w:noProof/>
          <w:sz w:val="24"/>
        </w:rPr>
        <w:t>more respondents holding copyrights or rights related to copyright (50%) consider as crucial th</w:t>
      </w:r>
      <w:r>
        <w:rPr>
          <w:rFonts w:ascii="Times New Roman" w:hAnsi="Times New Roman" w:cs="Times New Roman"/>
          <w:noProof/>
          <w:sz w:val="24"/>
        </w:rPr>
        <w:t>e significance of their right for their businesses.</w:t>
      </w:r>
    </w:p>
    <w:p w:rsidR="00EB6A7B" w:rsidRDefault="00EB6A7B">
      <w:pPr>
        <w:autoSpaceDE w:val="0"/>
        <w:autoSpaceDN w:val="0"/>
        <w:adjustRightInd w:val="0"/>
        <w:spacing w:after="0"/>
        <w:rPr>
          <w:rFonts w:ascii="Times New Roman" w:hAnsi="Times New Roman" w:cs="Times New Roman"/>
          <w:noProof/>
          <w:color w:val="000000"/>
          <w:sz w:val="23"/>
          <w:szCs w:val="23"/>
        </w:rPr>
      </w:pPr>
    </w:p>
    <w:p w:rsidR="00EB6A7B" w:rsidRDefault="001E7ACC">
      <w:pPr>
        <w:autoSpaceDE w:val="0"/>
        <w:autoSpaceDN w:val="0"/>
        <w:adjustRightInd w:val="0"/>
        <w:spacing w:after="0"/>
        <w:jc w:val="both"/>
        <w:rPr>
          <w:rFonts w:ascii="Times New Roman" w:hAnsi="Times New Roman" w:cs="Times New Roman"/>
          <w:noProof/>
          <w:sz w:val="24"/>
        </w:rPr>
      </w:pPr>
      <w:r>
        <w:rPr>
          <w:rFonts w:ascii="Times New Roman" w:hAnsi="Times New Roman" w:cs="Times New Roman"/>
          <w:noProof/>
          <w:sz w:val="24"/>
        </w:rPr>
        <w:t>Less than 15% percent of the respondents have answered the questions regarding the importance of licensing intellectual property rights from other entities or to other entities. Among those, 69% found th</w:t>
      </w:r>
      <w:r>
        <w:rPr>
          <w:rFonts w:ascii="Times New Roman" w:hAnsi="Times New Roman" w:cs="Times New Roman"/>
          <w:noProof/>
          <w:sz w:val="24"/>
        </w:rPr>
        <w:t>at licensing is either crucial or of high economic importance for their businesses. Respondents from the pharmaceutical sector emphasized that the majority of their cooperation with research firms or universities is done via various license agreements, the</w:t>
      </w:r>
      <w:r>
        <w:rPr>
          <w:rFonts w:ascii="Times New Roman" w:hAnsi="Times New Roman" w:cs="Times New Roman"/>
          <w:noProof/>
          <w:sz w:val="24"/>
        </w:rPr>
        <w:t xml:space="preserve">refore enforceability of those agreements is crucial. Respondents from the audio visual industry also pointed out the high importance of licensing in their industry as well as the significant economic damage caused by infringements. </w:t>
      </w:r>
    </w:p>
    <w:p w:rsidR="00EB6A7B" w:rsidRDefault="00EB6A7B">
      <w:pPr>
        <w:autoSpaceDE w:val="0"/>
        <w:autoSpaceDN w:val="0"/>
        <w:adjustRightInd w:val="0"/>
        <w:spacing w:after="0"/>
        <w:jc w:val="both"/>
        <w:rPr>
          <w:rFonts w:ascii="Times New Roman" w:hAnsi="Times New Roman" w:cs="Times New Roman"/>
          <w:noProof/>
          <w:sz w:val="24"/>
        </w:rPr>
      </w:pPr>
    </w:p>
    <w:p w:rsidR="00EB6A7B" w:rsidRDefault="001E7ACC">
      <w:pPr>
        <w:autoSpaceDE w:val="0"/>
        <w:autoSpaceDN w:val="0"/>
        <w:adjustRightInd w:val="0"/>
        <w:spacing w:after="0"/>
        <w:jc w:val="both"/>
        <w:rPr>
          <w:rFonts w:ascii="Times New Roman" w:hAnsi="Times New Roman" w:cs="Times New Roman"/>
          <w:noProof/>
          <w:sz w:val="24"/>
        </w:rPr>
      </w:pPr>
      <w:r>
        <w:rPr>
          <w:rFonts w:ascii="Times New Roman" w:hAnsi="Times New Roman" w:cs="Times New Roman"/>
          <w:noProof/>
          <w:sz w:val="24"/>
        </w:rPr>
        <w:t>If around 100 contrib</w:t>
      </w:r>
      <w:r>
        <w:rPr>
          <w:rFonts w:ascii="Times New Roman" w:hAnsi="Times New Roman" w:cs="Times New Roman"/>
          <w:noProof/>
          <w:sz w:val="24"/>
        </w:rPr>
        <w:t>utors responded to the question concerning the value of their IPR portfolio, few indications were given as to its exact value and the way it is calculated. Some respondents referred to their annual turnover or explained that there is no reasonable method t</w:t>
      </w:r>
      <w:r>
        <w:rPr>
          <w:rFonts w:ascii="Times New Roman" w:hAnsi="Times New Roman" w:cs="Times New Roman"/>
          <w:noProof/>
          <w:sz w:val="24"/>
        </w:rPr>
        <w:t xml:space="preserve">o properly determine the value of their portfolio. </w:t>
      </w:r>
    </w:p>
    <w:p w:rsidR="00EB6A7B" w:rsidRDefault="00EB6A7B">
      <w:pPr>
        <w:autoSpaceDE w:val="0"/>
        <w:autoSpaceDN w:val="0"/>
        <w:adjustRightInd w:val="0"/>
        <w:spacing w:after="0"/>
        <w:jc w:val="both"/>
        <w:rPr>
          <w:rFonts w:ascii="Times New Roman" w:hAnsi="Times New Roman" w:cs="Times New Roman"/>
          <w:noProof/>
          <w:sz w:val="24"/>
        </w:rPr>
      </w:pPr>
    </w:p>
    <w:p w:rsidR="00EB6A7B" w:rsidRDefault="001E7ACC">
      <w:pPr>
        <w:autoSpaceDE w:val="0"/>
        <w:autoSpaceDN w:val="0"/>
        <w:adjustRightInd w:val="0"/>
        <w:spacing w:after="0"/>
        <w:jc w:val="both"/>
        <w:rPr>
          <w:rFonts w:ascii="Times New Roman" w:hAnsi="Times New Roman" w:cs="Times New Roman"/>
          <w:noProof/>
          <w:sz w:val="24"/>
        </w:rPr>
      </w:pPr>
      <w:r>
        <w:rPr>
          <w:rFonts w:ascii="Times New Roman" w:hAnsi="Times New Roman" w:cs="Times New Roman"/>
          <w:noProof/>
          <w:sz w:val="24"/>
        </w:rPr>
        <w:t>The vast majority of respondents indicated that infringements have a negative impact on their IPR portfolio. For the audio visual industry, it is considered that unpaid license fees are the greatest part of their loss (between 20 and 70 % of the annual inc</w:t>
      </w:r>
      <w:r>
        <w:rPr>
          <w:rFonts w:ascii="Times New Roman" w:hAnsi="Times New Roman" w:cs="Times New Roman"/>
          <w:noProof/>
          <w:sz w:val="24"/>
        </w:rPr>
        <w:t>ome) costing ca 500 million euros per year. Other than the representatives of the music and film industries, the representatives of the plant breeding and seed trading industry suggested the highest damage from infringing activities (claiming that around 5</w:t>
      </w:r>
      <w:r>
        <w:rPr>
          <w:rFonts w:ascii="Times New Roman" w:hAnsi="Times New Roman" w:cs="Times New Roman"/>
          <w:noProof/>
          <w:sz w:val="24"/>
        </w:rPr>
        <w:t xml:space="preserve">0% of farmers use counterfeit products). </w:t>
      </w:r>
    </w:p>
    <w:p w:rsidR="00EB6A7B" w:rsidRDefault="001E7ACC">
      <w:pPr>
        <w:jc w:val="both"/>
        <w:rPr>
          <w:rFonts w:ascii="Times New Roman" w:hAnsi="Times New Roman" w:cs="Times New Roman"/>
          <w:noProof/>
          <w:sz w:val="24"/>
        </w:rPr>
      </w:pPr>
      <w:r>
        <w:rPr>
          <w:rFonts w:ascii="Times New Roman" w:hAnsi="Times New Roman" w:cs="Times New Roman"/>
          <w:noProof/>
          <w:sz w:val="24"/>
        </w:rPr>
        <w:t>Nevertheless, some respondents, especially from the audio visual industry claim that infringements have a positive effect on their IPR portfolio, increasing the awareness of their works.</w:t>
      </w:r>
    </w:p>
    <w:p w:rsidR="00EB6A7B" w:rsidRDefault="00EB6A7B">
      <w:pPr>
        <w:rPr>
          <w:rFonts w:ascii="Times New Roman" w:eastAsia="Times New Roman" w:hAnsi="Times New Roman" w:cs="Times New Roman"/>
          <w:b/>
          <w:bCs/>
          <w:smallCaps/>
          <w:noProof/>
          <w:sz w:val="24"/>
          <w:szCs w:val="24"/>
        </w:rPr>
      </w:pPr>
    </w:p>
    <w:p w:rsidR="00EB6A7B" w:rsidRDefault="001E7ACC">
      <w:pPr>
        <w:autoSpaceDE w:val="0"/>
        <w:autoSpaceDN w:val="0"/>
        <w:adjustRightInd w:val="0"/>
        <w:spacing w:after="0"/>
        <w:jc w:val="both"/>
        <w:rPr>
          <w:rFonts w:ascii="Times New Roman" w:hAnsi="Times New Roman" w:cs="Times New Roman"/>
          <w:noProof/>
          <w:sz w:val="24"/>
        </w:rPr>
      </w:pPr>
      <w:r>
        <w:rPr>
          <w:rFonts w:ascii="Times New Roman" w:hAnsi="Times New Roman" w:cs="Times New Roman"/>
          <w:noProof/>
          <w:sz w:val="24"/>
        </w:rPr>
        <w:t xml:space="preserve">3) </w:t>
      </w:r>
      <w:r>
        <w:rPr>
          <w:rFonts w:ascii="Times New Roman" w:eastAsia="Times New Roman" w:hAnsi="Times New Roman" w:cs="Times New Roman"/>
          <w:b/>
          <w:bCs/>
          <w:smallCaps/>
          <w:noProof/>
          <w:sz w:val="24"/>
          <w:szCs w:val="24"/>
        </w:rPr>
        <w:t>STAKEHOLDER CONSULTATIO</w:t>
      </w:r>
      <w:r>
        <w:rPr>
          <w:rFonts w:ascii="Times New Roman" w:eastAsia="Times New Roman" w:hAnsi="Times New Roman" w:cs="Times New Roman"/>
          <w:b/>
          <w:bCs/>
          <w:smallCaps/>
          <w:noProof/>
          <w:sz w:val="24"/>
          <w:szCs w:val="24"/>
        </w:rPr>
        <w:t>N</w:t>
      </w:r>
      <w:r>
        <w:rPr>
          <w:rFonts w:ascii="Times New Roman" w:hAnsi="Times New Roman" w:cs="Times New Roman"/>
          <w:noProof/>
          <w:sz w:val="24"/>
        </w:rPr>
        <w:t xml:space="preserve"> </w:t>
      </w:r>
    </w:p>
    <w:p w:rsidR="00EB6A7B" w:rsidRDefault="00EB6A7B">
      <w:pPr>
        <w:autoSpaceDE w:val="0"/>
        <w:autoSpaceDN w:val="0"/>
        <w:adjustRightInd w:val="0"/>
        <w:spacing w:after="0"/>
        <w:jc w:val="both"/>
        <w:rPr>
          <w:rFonts w:ascii="Times New Roman" w:hAnsi="Times New Roman" w:cs="Times New Roman"/>
          <w:noProof/>
          <w:sz w:val="24"/>
        </w:rPr>
      </w:pPr>
    </w:p>
    <w:p w:rsidR="00EB6A7B" w:rsidRDefault="001E7ACC">
      <w:pPr>
        <w:autoSpaceDE w:val="0"/>
        <w:autoSpaceDN w:val="0"/>
        <w:adjustRightInd w:val="0"/>
        <w:spacing w:after="0"/>
        <w:jc w:val="both"/>
        <w:rPr>
          <w:rFonts w:ascii="Times New Roman" w:hAnsi="Times New Roman" w:cs="Times New Roman"/>
          <w:noProof/>
          <w:sz w:val="24"/>
        </w:rPr>
      </w:pPr>
      <w:r>
        <w:rPr>
          <w:rFonts w:ascii="Times New Roman" w:hAnsi="Times New Roman" w:cs="Times New Roman"/>
          <w:noProof/>
          <w:sz w:val="24"/>
        </w:rPr>
        <w:t>On 22 December 2010, the Commission adopted its "Report on the application of Directive 2004/48/EC on the enforcement of intellectual property rights"</w:t>
      </w:r>
      <w:r>
        <w:rPr>
          <w:rFonts w:ascii="Times New Roman" w:hAnsi="Times New Roman" w:cs="Times New Roman"/>
          <w:noProof/>
          <w:sz w:val="24"/>
          <w:vertAlign w:val="superscript"/>
        </w:rPr>
        <w:footnoteReference w:id="118"/>
      </w:r>
      <w:r>
        <w:rPr>
          <w:rFonts w:ascii="Times New Roman" w:hAnsi="Times New Roman" w:cs="Times New Roman"/>
          <w:noProof/>
          <w:sz w:val="24"/>
        </w:rPr>
        <w:t>. The Report was accompanied by a Commission Staff Working Paper containing an article-by-article ana</w:t>
      </w:r>
      <w:r>
        <w:rPr>
          <w:rFonts w:ascii="Times New Roman" w:hAnsi="Times New Roman" w:cs="Times New Roman"/>
          <w:noProof/>
          <w:sz w:val="24"/>
        </w:rPr>
        <w:t>lysis of the application of the Directive in the Member States</w:t>
      </w:r>
      <w:r>
        <w:rPr>
          <w:rFonts w:ascii="Times New Roman" w:hAnsi="Times New Roman" w:cs="Times New Roman"/>
          <w:noProof/>
          <w:sz w:val="24"/>
          <w:vertAlign w:val="superscript"/>
        </w:rPr>
        <w:footnoteReference w:id="119"/>
      </w:r>
      <w:r>
        <w:rPr>
          <w:rFonts w:ascii="Times New Roman" w:hAnsi="Times New Roman" w:cs="Times New Roman"/>
          <w:noProof/>
          <w:sz w:val="24"/>
        </w:rPr>
        <w:t xml:space="preserve">. </w:t>
      </w:r>
    </w:p>
    <w:p w:rsidR="00EB6A7B" w:rsidRDefault="00EB6A7B">
      <w:pPr>
        <w:autoSpaceDE w:val="0"/>
        <w:autoSpaceDN w:val="0"/>
        <w:adjustRightInd w:val="0"/>
        <w:spacing w:after="0"/>
        <w:jc w:val="both"/>
        <w:rPr>
          <w:rFonts w:ascii="Times New Roman" w:hAnsi="Times New Roman" w:cs="Times New Roman"/>
          <w:noProof/>
          <w:sz w:val="24"/>
        </w:rPr>
      </w:pPr>
    </w:p>
    <w:p w:rsidR="00EB6A7B" w:rsidRDefault="001E7ACC">
      <w:pPr>
        <w:autoSpaceDE w:val="0"/>
        <w:autoSpaceDN w:val="0"/>
        <w:adjustRightInd w:val="0"/>
        <w:spacing w:after="0"/>
        <w:jc w:val="both"/>
        <w:rPr>
          <w:rFonts w:ascii="Times New Roman" w:hAnsi="Times New Roman" w:cs="Times New Roman"/>
          <w:noProof/>
          <w:sz w:val="24"/>
        </w:rPr>
      </w:pPr>
      <w:r>
        <w:rPr>
          <w:rFonts w:ascii="Times New Roman" w:hAnsi="Times New Roman" w:cs="Times New Roman"/>
          <w:noProof/>
          <w:sz w:val="24"/>
        </w:rPr>
        <w:t>With the adoption, the Commission launched a public consultation on the Report, from 11 January 2011 to 31 March 2011, with the aim to verify the information provided in the report and to i</w:t>
      </w:r>
      <w:r>
        <w:rPr>
          <w:rFonts w:ascii="Times New Roman" w:hAnsi="Times New Roman" w:cs="Times New Roman"/>
          <w:noProof/>
          <w:sz w:val="24"/>
        </w:rPr>
        <w:t>dentify additional issues that should be addressed in the context of a possible review of the Directive.</w:t>
      </w:r>
    </w:p>
    <w:p w:rsidR="00EB6A7B" w:rsidRDefault="001E7ACC">
      <w:pPr>
        <w:jc w:val="both"/>
        <w:rPr>
          <w:rFonts w:ascii="Times New Roman" w:hAnsi="Times New Roman" w:cs="Times New Roman"/>
          <w:b/>
          <w:i/>
          <w:noProof/>
          <w:sz w:val="24"/>
        </w:rPr>
      </w:pPr>
      <w:r>
        <w:rPr>
          <w:rFonts w:ascii="Times New Roman" w:hAnsi="Times New Roman" w:cs="Times New Roman"/>
          <w:b/>
          <w:i/>
          <w:noProof/>
          <w:sz w:val="24"/>
        </w:rPr>
        <w:t>Responses to the consultation</w:t>
      </w:r>
    </w:p>
    <w:p w:rsidR="00EB6A7B" w:rsidRDefault="001E7ACC">
      <w:pPr>
        <w:autoSpaceDE w:val="0"/>
        <w:autoSpaceDN w:val="0"/>
        <w:adjustRightInd w:val="0"/>
        <w:spacing w:after="0"/>
        <w:jc w:val="both"/>
        <w:rPr>
          <w:rFonts w:ascii="Times New Roman" w:hAnsi="Times New Roman" w:cs="Times New Roman"/>
          <w:noProof/>
          <w:sz w:val="24"/>
        </w:rPr>
      </w:pPr>
      <w:r>
        <w:rPr>
          <w:rFonts w:ascii="Times New Roman" w:hAnsi="Times New Roman" w:cs="Times New Roman"/>
          <w:noProof/>
          <w:sz w:val="24"/>
        </w:rPr>
        <w:t>A total of 380 contributions were received by the services of DG Internal Market and Services (hereunder DG MARKT) from a</w:t>
      </w:r>
      <w:r>
        <w:rPr>
          <w:rFonts w:ascii="Times New Roman" w:hAnsi="Times New Roman" w:cs="Times New Roman"/>
          <w:noProof/>
          <w:sz w:val="24"/>
        </w:rPr>
        <w:t xml:space="preserve"> broad range of relevant associations and organisations, parties and professions. The largest share of replies was submitted by individual citizens (most of them internet users resident in France) who focused their comments on the issues related to the dig</w:t>
      </w:r>
      <w:r>
        <w:rPr>
          <w:rFonts w:ascii="Times New Roman" w:hAnsi="Times New Roman" w:cs="Times New Roman"/>
          <w:noProof/>
          <w:sz w:val="24"/>
        </w:rPr>
        <w:t>ital environment. Responses were furthermore received from rightholders (including trade and business associations and anti-counterfeiting/piracy organisations), consumer organisations (in particular internet user organisations), internet service providers</w:t>
      </w:r>
      <w:r>
        <w:rPr>
          <w:rFonts w:ascii="Times New Roman" w:hAnsi="Times New Roman" w:cs="Times New Roman"/>
          <w:noProof/>
          <w:sz w:val="24"/>
        </w:rPr>
        <w:t xml:space="preserve">, telecommunication operators, academics, carriers, collecting societies and public authorities. Among these public authorities, there were 20 Member States' governments that provided replies. </w:t>
      </w:r>
    </w:p>
    <w:p w:rsidR="00EB6A7B" w:rsidRDefault="00EB6A7B">
      <w:pPr>
        <w:autoSpaceDE w:val="0"/>
        <w:autoSpaceDN w:val="0"/>
        <w:adjustRightInd w:val="0"/>
        <w:spacing w:after="0"/>
        <w:jc w:val="both"/>
        <w:rPr>
          <w:rFonts w:ascii="Times New Roman" w:hAnsi="Times New Roman" w:cs="Times New Roman"/>
          <w:noProof/>
          <w:sz w:val="24"/>
        </w:rPr>
      </w:pPr>
    </w:p>
    <w:p w:rsidR="00EB6A7B" w:rsidRDefault="001E7ACC">
      <w:pPr>
        <w:autoSpaceDE w:val="0"/>
        <w:autoSpaceDN w:val="0"/>
        <w:adjustRightInd w:val="0"/>
        <w:spacing w:after="0"/>
        <w:jc w:val="both"/>
        <w:rPr>
          <w:rFonts w:ascii="Times New Roman" w:hAnsi="Times New Roman" w:cs="Times New Roman"/>
          <w:noProof/>
          <w:sz w:val="24"/>
        </w:rPr>
      </w:pPr>
      <w:r>
        <w:rPr>
          <w:rFonts w:ascii="Times New Roman" w:hAnsi="Times New Roman" w:cs="Times New Roman"/>
          <w:noProof/>
          <w:sz w:val="24"/>
        </w:rPr>
        <w:t xml:space="preserve">There was a wide geographical coverage in terms of responses </w:t>
      </w:r>
      <w:r>
        <w:rPr>
          <w:rFonts w:ascii="Times New Roman" w:hAnsi="Times New Roman" w:cs="Times New Roman"/>
          <w:noProof/>
          <w:sz w:val="24"/>
        </w:rPr>
        <w:t>received, with respondents originating from 25 EU Member States, and only Cyprus and Luxembourg not being represented in the replies. A significant number of responses were also submitted by European and international bodies and associations. Finally, ther</w:t>
      </w:r>
      <w:r>
        <w:rPr>
          <w:rFonts w:ascii="Times New Roman" w:hAnsi="Times New Roman" w:cs="Times New Roman"/>
          <w:noProof/>
          <w:sz w:val="24"/>
        </w:rPr>
        <w:t>e were 54 replies from citizens who did not provide any information on their Member State of residence.</w:t>
      </w:r>
    </w:p>
    <w:p w:rsidR="00EB6A7B" w:rsidRDefault="00EB6A7B">
      <w:pPr>
        <w:autoSpaceDE w:val="0"/>
        <w:autoSpaceDN w:val="0"/>
        <w:adjustRightInd w:val="0"/>
        <w:spacing w:after="0"/>
        <w:rPr>
          <w:rFonts w:ascii="Times New Roman" w:hAnsi="Times New Roman" w:cs="Times New Roman"/>
          <w:noProof/>
          <w:sz w:val="24"/>
          <w:szCs w:val="24"/>
        </w:rPr>
      </w:pPr>
    </w:p>
    <w:p w:rsidR="00EB6A7B" w:rsidRDefault="001E7ACC">
      <w:pPr>
        <w:autoSpaceDE w:val="0"/>
        <w:autoSpaceDN w:val="0"/>
        <w:adjustRightInd w:val="0"/>
        <w:spacing w:after="0"/>
        <w:rPr>
          <w:rFonts w:ascii="Times New Roman" w:hAnsi="Times New Roman" w:cs="Times New Roman"/>
          <w:b/>
          <w:i/>
          <w:noProof/>
          <w:sz w:val="24"/>
        </w:rPr>
      </w:pPr>
      <w:r>
        <w:rPr>
          <w:rFonts w:ascii="Times New Roman" w:hAnsi="Times New Roman" w:cs="Times New Roman"/>
          <w:b/>
          <w:i/>
          <w:noProof/>
          <w:sz w:val="24"/>
        </w:rPr>
        <w:t>Main findings</w:t>
      </w:r>
    </w:p>
    <w:p w:rsidR="00EB6A7B" w:rsidRDefault="00EB6A7B">
      <w:pPr>
        <w:autoSpaceDE w:val="0"/>
        <w:autoSpaceDN w:val="0"/>
        <w:adjustRightInd w:val="0"/>
        <w:spacing w:after="0"/>
        <w:rPr>
          <w:rFonts w:ascii="Times New Roman" w:hAnsi="Times New Roman" w:cs="Times New Roman"/>
          <w:b/>
          <w:i/>
          <w:noProof/>
          <w:sz w:val="24"/>
        </w:rPr>
      </w:pPr>
    </w:p>
    <w:p w:rsidR="00EB6A7B" w:rsidRDefault="001E7ACC">
      <w:pPr>
        <w:autoSpaceDE w:val="0"/>
        <w:autoSpaceDN w:val="0"/>
        <w:adjustRightInd w:val="0"/>
        <w:spacing w:after="0"/>
        <w:jc w:val="both"/>
        <w:rPr>
          <w:rFonts w:ascii="Times New Roman" w:hAnsi="Times New Roman" w:cs="Times New Roman"/>
          <w:noProof/>
          <w:sz w:val="24"/>
        </w:rPr>
      </w:pPr>
      <w:r>
        <w:rPr>
          <w:rFonts w:ascii="Times New Roman" w:hAnsi="Times New Roman" w:cs="Times New Roman"/>
          <w:noProof/>
          <w:sz w:val="24"/>
        </w:rPr>
        <w:t xml:space="preserve">The issue as to whether the current IPR Enforcement Directive is fit to encounter the challenges posed by the digital environment </w:t>
      </w:r>
      <w:r>
        <w:rPr>
          <w:rFonts w:ascii="Times New Roman" w:hAnsi="Times New Roman" w:cs="Times New Roman"/>
          <w:noProof/>
          <w:sz w:val="24"/>
        </w:rPr>
        <w:t xml:space="preserve">triggered responses from more than 70% of the stakeholders with very different points of view. These came from rightholders and collecting societies on the one hand and ISPs, telecommunication operators and – to a large extent – individual citizens on the </w:t>
      </w:r>
      <w:r>
        <w:rPr>
          <w:rFonts w:ascii="Times New Roman" w:hAnsi="Times New Roman" w:cs="Times New Roman"/>
          <w:noProof/>
          <w:sz w:val="24"/>
        </w:rPr>
        <w:t>other.</w:t>
      </w:r>
    </w:p>
    <w:p w:rsidR="00EB6A7B" w:rsidRDefault="00EB6A7B">
      <w:pPr>
        <w:autoSpaceDE w:val="0"/>
        <w:autoSpaceDN w:val="0"/>
        <w:adjustRightInd w:val="0"/>
        <w:spacing w:after="0"/>
        <w:jc w:val="both"/>
        <w:rPr>
          <w:rFonts w:ascii="Times New Roman" w:hAnsi="Times New Roman" w:cs="Times New Roman"/>
          <w:noProof/>
          <w:sz w:val="24"/>
        </w:rPr>
      </w:pPr>
    </w:p>
    <w:p w:rsidR="00EB6A7B" w:rsidRDefault="001E7ACC">
      <w:pPr>
        <w:autoSpaceDE w:val="0"/>
        <w:autoSpaceDN w:val="0"/>
        <w:adjustRightInd w:val="0"/>
        <w:spacing w:after="0"/>
        <w:jc w:val="both"/>
        <w:rPr>
          <w:rFonts w:ascii="Times New Roman" w:hAnsi="Times New Roman" w:cs="Times New Roman"/>
          <w:noProof/>
          <w:sz w:val="24"/>
        </w:rPr>
      </w:pPr>
      <w:r>
        <w:rPr>
          <w:rFonts w:ascii="Times New Roman" w:hAnsi="Times New Roman" w:cs="Times New Roman"/>
          <w:noProof/>
          <w:sz w:val="24"/>
        </w:rPr>
        <w:t>Rightholders and collecting societies almost unanimously criticized the shortcomings of the current legal regime as transposed into national law especially in terms of how it frames the role of intermediaries as well as its perceived failure to ste</w:t>
      </w:r>
      <w:r>
        <w:rPr>
          <w:rFonts w:ascii="Times New Roman" w:hAnsi="Times New Roman" w:cs="Times New Roman"/>
          <w:noProof/>
          <w:sz w:val="24"/>
        </w:rPr>
        <w:t>m the increase in online copyright infringements, whereas ISPs, telecommunication operators and individual citizens consistently stressed that there was no need for changing the current Directive. Some ISPs stated that there were not enough statistics to p</w:t>
      </w:r>
      <w:r>
        <w:rPr>
          <w:rFonts w:ascii="Times New Roman" w:hAnsi="Times New Roman" w:cs="Times New Roman"/>
          <w:noProof/>
          <w:sz w:val="24"/>
        </w:rPr>
        <w:t>rove that internet causes serious problems in terms of counterfeiting.</w:t>
      </w:r>
    </w:p>
    <w:p w:rsidR="00EB6A7B" w:rsidRDefault="00EB6A7B">
      <w:pPr>
        <w:autoSpaceDE w:val="0"/>
        <w:autoSpaceDN w:val="0"/>
        <w:adjustRightInd w:val="0"/>
        <w:spacing w:after="0"/>
        <w:jc w:val="both"/>
        <w:rPr>
          <w:rFonts w:ascii="Times New Roman" w:hAnsi="Times New Roman" w:cs="Times New Roman"/>
          <w:noProof/>
          <w:sz w:val="24"/>
        </w:rPr>
      </w:pPr>
    </w:p>
    <w:p w:rsidR="00EB6A7B" w:rsidRDefault="001E7ACC">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rPr>
        <w:t>However, a clear majority of stakeholders who advocated a change of the current legal regime requested that such change should be in accordance with the already existing legal framewor</w:t>
      </w:r>
      <w:r>
        <w:rPr>
          <w:rFonts w:ascii="Times New Roman" w:hAnsi="Times New Roman" w:cs="Times New Roman"/>
          <w:noProof/>
          <w:sz w:val="24"/>
        </w:rPr>
        <w:t xml:space="preserve">k at EU-level, especially to ensure coherence with the provisions and </w:t>
      </w:r>
      <w:r>
        <w:rPr>
          <w:rFonts w:ascii="Times New Roman" w:hAnsi="Times New Roman" w:cs="Times New Roman"/>
          <w:noProof/>
          <w:sz w:val="24"/>
          <w:szCs w:val="24"/>
        </w:rPr>
        <w:t xml:space="preserve">definitions of the E-Commerce Directive. </w:t>
      </w:r>
    </w:p>
    <w:p w:rsidR="00EB6A7B" w:rsidRDefault="00EB6A7B">
      <w:pPr>
        <w:autoSpaceDE w:val="0"/>
        <w:autoSpaceDN w:val="0"/>
        <w:adjustRightInd w:val="0"/>
        <w:spacing w:after="0"/>
        <w:jc w:val="both"/>
        <w:rPr>
          <w:rFonts w:ascii="Times New Roman" w:hAnsi="Times New Roman" w:cs="Times New Roman"/>
          <w:noProof/>
          <w:sz w:val="24"/>
          <w:szCs w:val="24"/>
        </w:rPr>
      </w:pPr>
    </w:p>
    <w:p w:rsidR="00EB6A7B" w:rsidRDefault="001E7ACC">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In particular, citizens expressed anxiety that a revision of the current Enforcement Directive would lead to stricter rules which would interfe</w:t>
      </w:r>
      <w:r>
        <w:rPr>
          <w:rFonts w:ascii="Times New Roman" w:hAnsi="Times New Roman" w:cs="Times New Roman"/>
          <w:noProof/>
          <w:sz w:val="24"/>
          <w:szCs w:val="24"/>
        </w:rPr>
        <w:t>re with net neutrality and the freedom of speech. As for the Member States, only two saw the current regime as sufficient and suited to combat online IPR infringement. The majority of the Member States considered the Directive partly inapt to solve IPR pro</w:t>
      </w:r>
      <w:r>
        <w:rPr>
          <w:rFonts w:ascii="Times New Roman" w:hAnsi="Times New Roman" w:cs="Times New Roman"/>
          <w:noProof/>
          <w:sz w:val="24"/>
          <w:szCs w:val="24"/>
        </w:rPr>
        <w:t xml:space="preserve">blems of the digital age. </w:t>
      </w:r>
    </w:p>
    <w:p w:rsidR="00EB6A7B" w:rsidRDefault="00EB6A7B">
      <w:pPr>
        <w:autoSpaceDE w:val="0"/>
        <w:autoSpaceDN w:val="0"/>
        <w:adjustRightInd w:val="0"/>
        <w:spacing w:after="0"/>
        <w:rPr>
          <w:rFonts w:ascii="Times New Roman" w:hAnsi="Times New Roman" w:cs="Times New Roman"/>
          <w:noProof/>
          <w:sz w:val="24"/>
          <w:szCs w:val="24"/>
        </w:rPr>
      </w:pPr>
    </w:p>
    <w:p w:rsidR="00EB6A7B" w:rsidRDefault="001E7ACC">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b/>
          <w:bCs/>
          <w:noProof/>
          <w:sz w:val="24"/>
          <w:szCs w:val="24"/>
        </w:rPr>
        <w:t xml:space="preserve">Those respondents in favour of amending the current Directive </w:t>
      </w:r>
      <w:r>
        <w:rPr>
          <w:rFonts w:ascii="Times New Roman" w:hAnsi="Times New Roman" w:cs="Times New Roman"/>
          <w:noProof/>
          <w:sz w:val="24"/>
          <w:szCs w:val="24"/>
        </w:rPr>
        <w:t>specifically stressed the following issues:</w:t>
      </w:r>
    </w:p>
    <w:p w:rsidR="00EB6A7B" w:rsidRDefault="00EB6A7B">
      <w:pPr>
        <w:autoSpaceDE w:val="0"/>
        <w:autoSpaceDN w:val="0"/>
        <w:adjustRightInd w:val="0"/>
        <w:spacing w:after="0"/>
        <w:jc w:val="both"/>
        <w:rPr>
          <w:rFonts w:ascii="Times New Roman" w:hAnsi="Times New Roman" w:cs="Times New Roman"/>
          <w:noProof/>
          <w:sz w:val="24"/>
          <w:szCs w:val="24"/>
        </w:rPr>
      </w:pPr>
    </w:p>
    <w:p w:rsidR="00EB6A7B" w:rsidRDefault="001E7ACC">
      <w:pPr>
        <w:autoSpaceDE w:val="0"/>
        <w:autoSpaceDN w:val="0"/>
        <w:adjustRightInd w:val="0"/>
        <w:spacing w:after="0"/>
        <w:jc w:val="both"/>
        <w:rPr>
          <w:rFonts w:ascii="Times New Roman" w:hAnsi="Times New Roman" w:cs="Times New Roman"/>
          <w:bCs/>
          <w:noProof/>
          <w:sz w:val="24"/>
          <w:szCs w:val="24"/>
        </w:rPr>
      </w:pPr>
      <w:r>
        <w:rPr>
          <w:rFonts w:ascii="Times New Roman" w:hAnsi="Times New Roman" w:cs="Times New Roman"/>
          <w:bCs/>
          <w:noProof/>
          <w:sz w:val="24"/>
          <w:szCs w:val="24"/>
        </w:rPr>
        <w:t>(1) Need for rules on the role of intermediaries</w:t>
      </w:r>
    </w:p>
    <w:p w:rsidR="00EB6A7B" w:rsidRDefault="001E7ACC">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The majority of rightholders and collecting societies demanded a greater</w:t>
      </w:r>
      <w:r>
        <w:rPr>
          <w:rFonts w:ascii="Times New Roman" w:hAnsi="Times New Roman" w:cs="Times New Roman"/>
          <w:noProof/>
          <w:sz w:val="24"/>
          <w:szCs w:val="24"/>
        </w:rPr>
        <w:t xml:space="preserve"> involvement of internet service providers and other intermediaries, identifying them as key actors in combating IPR infringements in the digital world. While most of the rightholders were calling for a closer cooperation with intermediaries, only a few of</w:t>
      </w:r>
      <w:r>
        <w:rPr>
          <w:rFonts w:ascii="Times New Roman" w:hAnsi="Times New Roman" w:cs="Times New Roman"/>
          <w:noProof/>
          <w:sz w:val="24"/>
          <w:szCs w:val="24"/>
        </w:rPr>
        <w:t xml:space="preserve"> them actively advocated the implementation of filtering / monitoring technologies or a duty of care principle (e.g. for intermediaries that actively use, present, organise or modify third parties' content for commercial purposes).</w:t>
      </w:r>
    </w:p>
    <w:p w:rsidR="00EB6A7B" w:rsidRDefault="00EB6A7B">
      <w:pPr>
        <w:autoSpaceDE w:val="0"/>
        <w:autoSpaceDN w:val="0"/>
        <w:adjustRightInd w:val="0"/>
        <w:spacing w:after="0"/>
        <w:jc w:val="both"/>
        <w:rPr>
          <w:rFonts w:ascii="Times New Roman" w:hAnsi="Times New Roman" w:cs="Times New Roman"/>
          <w:noProof/>
          <w:sz w:val="24"/>
          <w:szCs w:val="24"/>
        </w:rPr>
      </w:pPr>
    </w:p>
    <w:p w:rsidR="00EB6A7B" w:rsidRDefault="001E7ACC">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As for the separate iss</w:t>
      </w:r>
      <w:r>
        <w:rPr>
          <w:rFonts w:ascii="Times New Roman" w:hAnsi="Times New Roman" w:cs="Times New Roman"/>
          <w:noProof/>
          <w:sz w:val="24"/>
          <w:szCs w:val="24"/>
        </w:rPr>
        <w:t>ue of the liability of intermediaries, the vast majority of the stakeholders in favour of amending the IPR Enforcement Directive emphasized the need to keep the current liability-regime established by the E-Commerce Directive. Only a few (mostly rightholde</w:t>
      </w:r>
      <w:r>
        <w:rPr>
          <w:rFonts w:ascii="Times New Roman" w:hAnsi="Times New Roman" w:cs="Times New Roman"/>
          <w:noProof/>
          <w:sz w:val="24"/>
          <w:szCs w:val="24"/>
        </w:rPr>
        <w:t xml:space="preserve">rs) demanded for a stricter liability regime and a reform of the safe-harbour principles. A problem that was identified with regard to online-piracy as well as the sale of counterfeit goods on internet-platforms was the issue of anonymity of users and the </w:t>
      </w:r>
      <w:r>
        <w:rPr>
          <w:rFonts w:ascii="Times New Roman" w:hAnsi="Times New Roman" w:cs="Times New Roman"/>
          <w:noProof/>
          <w:sz w:val="24"/>
          <w:szCs w:val="24"/>
        </w:rPr>
        <w:t>perceived lack of verification, by ISPs, of information provided by subscribers/customers, both of which were claimed to facilitate infringements these customers and thus and hinder enforcement.</w:t>
      </w:r>
    </w:p>
    <w:p w:rsidR="00EB6A7B" w:rsidRDefault="00EB6A7B">
      <w:pPr>
        <w:autoSpaceDE w:val="0"/>
        <w:autoSpaceDN w:val="0"/>
        <w:adjustRightInd w:val="0"/>
        <w:spacing w:after="0"/>
        <w:jc w:val="both"/>
        <w:rPr>
          <w:rFonts w:ascii="Times New Roman" w:hAnsi="Times New Roman" w:cs="Times New Roman"/>
          <w:noProof/>
          <w:sz w:val="24"/>
          <w:szCs w:val="24"/>
        </w:rPr>
      </w:pPr>
    </w:p>
    <w:p w:rsidR="00EB6A7B" w:rsidRDefault="001E7ACC">
      <w:pPr>
        <w:autoSpaceDE w:val="0"/>
        <w:autoSpaceDN w:val="0"/>
        <w:adjustRightInd w:val="0"/>
        <w:spacing w:after="0"/>
        <w:jc w:val="both"/>
        <w:rPr>
          <w:rFonts w:ascii="Times New Roman" w:hAnsi="Times New Roman" w:cs="Times New Roman"/>
          <w:bCs/>
          <w:noProof/>
          <w:sz w:val="24"/>
          <w:szCs w:val="24"/>
        </w:rPr>
      </w:pPr>
      <w:r>
        <w:rPr>
          <w:rFonts w:ascii="Times New Roman" w:hAnsi="Times New Roman" w:cs="Times New Roman"/>
          <w:bCs/>
          <w:noProof/>
          <w:sz w:val="24"/>
          <w:szCs w:val="24"/>
        </w:rPr>
        <w:t>(2) Need for stricter rules on copyright infringement and fi</w:t>
      </w:r>
      <w:r>
        <w:rPr>
          <w:rFonts w:ascii="Times New Roman" w:hAnsi="Times New Roman" w:cs="Times New Roman"/>
          <w:bCs/>
          <w:noProof/>
          <w:sz w:val="24"/>
          <w:szCs w:val="24"/>
        </w:rPr>
        <w:t>le-sharing</w:t>
      </w:r>
    </w:p>
    <w:p w:rsidR="00EB6A7B" w:rsidRDefault="001E7ACC">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The overwhelming majority of rightholders and a number of collecting societies called for stricter rules on online copyright-infringement and peer-to-peer file sharing, claiming that the current Directive does not provide effective and expeditio</w:t>
      </w:r>
      <w:r>
        <w:rPr>
          <w:rFonts w:ascii="Times New Roman" w:hAnsi="Times New Roman" w:cs="Times New Roman"/>
          <w:noProof/>
          <w:sz w:val="24"/>
          <w:szCs w:val="24"/>
        </w:rPr>
        <w:t>us measures to tackle online-piracy and that this deficiency in the legal framework was jeopardizing investment and innovation. An issue that was raised by several rightholders and a few MS was the need for improved cross-border enforcement.</w:t>
      </w:r>
    </w:p>
    <w:p w:rsidR="00EB6A7B" w:rsidRDefault="00EB6A7B">
      <w:pPr>
        <w:autoSpaceDE w:val="0"/>
        <w:autoSpaceDN w:val="0"/>
        <w:adjustRightInd w:val="0"/>
        <w:spacing w:after="0"/>
        <w:jc w:val="both"/>
        <w:rPr>
          <w:rFonts w:ascii="Times New Roman" w:hAnsi="Times New Roman" w:cs="Times New Roman"/>
          <w:noProof/>
          <w:sz w:val="24"/>
          <w:szCs w:val="24"/>
        </w:rPr>
      </w:pPr>
    </w:p>
    <w:p w:rsidR="00EB6A7B" w:rsidRDefault="001E7ACC">
      <w:pPr>
        <w:autoSpaceDE w:val="0"/>
        <w:autoSpaceDN w:val="0"/>
        <w:adjustRightInd w:val="0"/>
        <w:spacing w:after="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(3) Need for </w:t>
      </w:r>
      <w:r>
        <w:rPr>
          <w:rFonts w:ascii="Times New Roman" w:hAnsi="Times New Roman" w:cs="Times New Roman"/>
          <w:bCs/>
          <w:noProof/>
          <w:sz w:val="24"/>
          <w:szCs w:val="24"/>
        </w:rPr>
        <w:t>a level playing field for legal digital content</w:t>
      </w:r>
    </w:p>
    <w:p w:rsidR="00EB6A7B" w:rsidRDefault="001E7ACC">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Rightholders, while acknowledging that the supply of licit offers is a key factor in combating online-piracy, claimed that such services cannot be developed as long as IPRs are not sufficiently protected in t</w:t>
      </w:r>
      <w:r>
        <w:rPr>
          <w:rFonts w:ascii="Times New Roman" w:hAnsi="Times New Roman" w:cs="Times New Roman"/>
          <w:noProof/>
          <w:sz w:val="24"/>
          <w:szCs w:val="24"/>
        </w:rPr>
        <w:t>he online world. In particular broadcasting Rightholders rejected the idea that the current lack of licit offer was the main cause of digital piracy, arguing that most of their content was consumed illegally despite existing and easily accessible legal alt</w:t>
      </w:r>
      <w:r>
        <w:rPr>
          <w:rFonts w:ascii="Times New Roman" w:hAnsi="Times New Roman" w:cs="Times New Roman"/>
          <w:noProof/>
          <w:sz w:val="24"/>
          <w:szCs w:val="24"/>
        </w:rPr>
        <w:t>ernatives.</w:t>
      </w:r>
    </w:p>
    <w:p w:rsidR="00EB6A7B" w:rsidRDefault="00EB6A7B">
      <w:pPr>
        <w:autoSpaceDE w:val="0"/>
        <w:autoSpaceDN w:val="0"/>
        <w:adjustRightInd w:val="0"/>
        <w:spacing w:after="0"/>
        <w:jc w:val="both"/>
        <w:rPr>
          <w:rFonts w:ascii="Times New Roman" w:hAnsi="Times New Roman" w:cs="Times New Roman"/>
          <w:noProof/>
          <w:sz w:val="24"/>
          <w:szCs w:val="24"/>
        </w:rPr>
      </w:pPr>
    </w:p>
    <w:p w:rsidR="00EB6A7B" w:rsidRDefault="001E7ACC">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b/>
          <w:noProof/>
          <w:sz w:val="24"/>
          <w:szCs w:val="24"/>
        </w:rPr>
        <w:t>Contributors opposing changes</w:t>
      </w:r>
      <w:r>
        <w:rPr>
          <w:rFonts w:ascii="Times New Roman" w:hAnsi="Times New Roman" w:cs="Times New Roman"/>
          <w:noProof/>
          <w:sz w:val="24"/>
          <w:szCs w:val="24"/>
        </w:rPr>
        <w:t xml:space="preserve"> to the current legal regime brought forward in particular the following the arguments:</w:t>
      </w:r>
    </w:p>
    <w:p w:rsidR="00EB6A7B" w:rsidRDefault="00EB6A7B">
      <w:pPr>
        <w:autoSpaceDE w:val="0"/>
        <w:autoSpaceDN w:val="0"/>
        <w:adjustRightInd w:val="0"/>
        <w:spacing w:after="0"/>
        <w:jc w:val="both"/>
        <w:rPr>
          <w:rFonts w:ascii="Times New Roman" w:hAnsi="Times New Roman" w:cs="Times New Roman"/>
          <w:noProof/>
          <w:sz w:val="24"/>
          <w:szCs w:val="24"/>
        </w:rPr>
      </w:pPr>
    </w:p>
    <w:p w:rsidR="00EB6A7B" w:rsidRDefault="001E7ACC">
      <w:pPr>
        <w:autoSpaceDE w:val="0"/>
        <w:autoSpaceDN w:val="0"/>
        <w:adjustRightInd w:val="0"/>
        <w:spacing w:after="0"/>
        <w:jc w:val="both"/>
        <w:rPr>
          <w:rFonts w:ascii="Times New Roman" w:hAnsi="Times New Roman" w:cs="Times New Roman"/>
          <w:bCs/>
          <w:noProof/>
          <w:sz w:val="24"/>
          <w:szCs w:val="24"/>
        </w:rPr>
      </w:pPr>
      <w:r>
        <w:rPr>
          <w:rFonts w:ascii="Times New Roman" w:hAnsi="Times New Roman" w:cs="Times New Roman"/>
          <w:bCs/>
          <w:noProof/>
          <w:sz w:val="24"/>
          <w:szCs w:val="24"/>
        </w:rPr>
        <w:t>(1) Lack of sufficient data for evaluation</w:t>
      </w:r>
    </w:p>
    <w:p w:rsidR="00EB6A7B" w:rsidRDefault="001E7ACC">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 significant number of stakeholders, in particular ISPs, telecommunication </w:t>
      </w:r>
      <w:r>
        <w:rPr>
          <w:rFonts w:ascii="Times New Roman" w:hAnsi="Times New Roman" w:cs="Times New Roman"/>
          <w:noProof/>
          <w:sz w:val="24"/>
          <w:szCs w:val="24"/>
        </w:rPr>
        <w:t>operators and certain Member States, took the view that due to the limited experience with the implementation of the Directive as well as the lack of statistical data and evidence, it is too early to review and amend the Directive at this stage. Especially</w:t>
      </w:r>
      <w:r>
        <w:rPr>
          <w:rFonts w:ascii="Times New Roman" w:hAnsi="Times New Roman" w:cs="Times New Roman"/>
          <w:noProof/>
          <w:sz w:val="24"/>
          <w:szCs w:val="24"/>
        </w:rPr>
        <w:t xml:space="preserve"> ISPs argued that a premature introduction of stricter enforcement rules would have a chilling effect on innovation and undermine consumers' confidence in digital products.</w:t>
      </w:r>
    </w:p>
    <w:p w:rsidR="00EB6A7B" w:rsidRDefault="00EB6A7B">
      <w:pPr>
        <w:autoSpaceDE w:val="0"/>
        <w:autoSpaceDN w:val="0"/>
        <w:adjustRightInd w:val="0"/>
        <w:spacing w:after="0"/>
        <w:jc w:val="both"/>
        <w:rPr>
          <w:rFonts w:ascii="Arial" w:hAnsi="Arial" w:cs="Arial"/>
          <w:noProof/>
          <w:sz w:val="16"/>
          <w:szCs w:val="16"/>
        </w:rPr>
      </w:pPr>
    </w:p>
    <w:p w:rsidR="00EB6A7B" w:rsidRDefault="001E7ACC">
      <w:pPr>
        <w:autoSpaceDE w:val="0"/>
        <w:autoSpaceDN w:val="0"/>
        <w:adjustRightInd w:val="0"/>
        <w:spacing w:after="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 (2) Increase in legal uncertainty</w:t>
      </w:r>
    </w:p>
    <w:p w:rsidR="00EB6A7B" w:rsidRDefault="001E7ACC">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In particular ISPs and other online intermediar</w:t>
      </w:r>
      <w:r>
        <w:rPr>
          <w:rFonts w:ascii="Times New Roman" w:hAnsi="Times New Roman" w:cs="Times New Roman"/>
          <w:noProof/>
          <w:sz w:val="24"/>
          <w:szCs w:val="24"/>
        </w:rPr>
        <w:t>ies emphasized that any potential revision or reopening of the IPR Enforcement Directive would jeopardize the existing balance between the interests of rightholders, users and intermediaries and create legal uncertainties. They claimed that the relationshi</w:t>
      </w:r>
      <w:r>
        <w:rPr>
          <w:rFonts w:ascii="Times New Roman" w:hAnsi="Times New Roman" w:cs="Times New Roman"/>
          <w:noProof/>
          <w:sz w:val="24"/>
          <w:szCs w:val="24"/>
        </w:rPr>
        <w:t>p between enforcement provisions against infringements on the one hand and the limited liability regime and the prohibition of general monitoring obligations enshrined in the E-Commerce Directive on the other would risk becoming unclear. This view was to s</w:t>
      </w:r>
      <w:r>
        <w:rPr>
          <w:rFonts w:ascii="Times New Roman" w:hAnsi="Times New Roman" w:cs="Times New Roman"/>
          <w:noProof/>
          <w:sz w:val="24"/>
          <w:szCs w:val="24"/>
        </w:rPr>
        <w:t>ome extent shared by a number of Member States who argued that no new liability regime and no new definitions in the IPR Enforcement Directive were needed and that establishing more precise legal requirements for the enforcement of IPR would cause uncertai</w:t>
      </w:r>
      <w:r>
        <w:rPr>
          <w:rFonts w:ascii="Times New Roman" w:hAnsi="Times New Roman" w:cs="Times New Roman"/>
          <w:noProof/>
          <w:sz w:val="24"/>
          <w:szCs w:val="24"/>
        </w:rPr>
        <w:t xml:space="preserve">nty for the actors involved. </w:t>
      </w:r>
    </w:p>
    <w:p w:rsidR="00EB6A7B" w:rsidRDefault="00EB6A7B">
      <w:pPr>
        <w:autoSpaceDE w:val="0"/>
        <w:autoSpaceDN w:val="0"/>
        <w:adjustRightInd w:val="0"/>
        <w:spacing w:after="0"/>
        <w:jc w:val="both"/>
        <w:rPr>
          <w:rFonts w:ascii="Times New Roman" w:hAnsi="Times New Roman" w:cs="Times New Roman"/>
          <w:noProof/>
          <w:sz w:val="24"/>
          <w:szCs w:val="24"/>
        </w:rPr>
      </w:pPr>
    </w:p>
    <w:p w:rsidR="00EB6A7B" w:rsidRDefault="001E7ACC">
      <w:pPr>
        <w:autoSpaceDE w:val="0"/>
        <w:autoSpaceDN w:val="0"/>
        <w:adjustRightInd w:val="0"/>
        <w:spacing w:after="0"/>
        <w:jc w:val="both"/>
        <w:rPr>
          <w:rFonts w:ascii="Times New Roman" w:hAnsi="Times New Roman" w:cs="Times New Roman"/>
          <w:bCs/>
          <w:noProof/>
          <w:sz w:val="24"/>
          <w:szCs w:val="24"/>
        </w:rPr>
      </w:pPr>
      <w:r>
        <w:rPr>
          <w:rFonts w:ascii="Times New Roman" w:hAnsi="Times New Roman" w:cs="Times New Roman"/>
          <w:bCs/>
          <w:noProof/>
          <w:sz w:val="24"/>
          <w:szCs w:val="24"/>
        </w:rPr>
        <w:t>(3) Shortcomings of current licit offer</w:t>
      </w:r>
    </w:p>
    <w:p w:rsidR="00EB6A7B" w:rsidRDefault="001E7ACC">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Many stakeholders who opposed amending the current IPR Enforcement Directive, including ISPs, telecommunication operators and a majority of individual contributors, viewed the lack of a</w:t>
      </w:r>
      <w:r>
        <w:rPr>
          <w:rFonts w:ascii="Times New Roman" w:hAnsi="Times New Roman" w:cs="Times New Roman"/>
          <w:noProof/>
          <w:sz w:val="24"/>
          <w:szCs w:val="24"/>
        </w:rPr>
        <w:t>vailable and attractive licit offer as one of the main causes for online piracy. They considered that increasing such service offers would constitute a feasible alternative to imposing more detailed enforcement measures. It was suggested that an appropriat</w:t>
      </w:r>
      <w:r>
        <w:rPr>
          <w:rFonts w:ascii="Times New Roman" w:hAnsi="Times New Roman" w:cs="Times New Roman"/>
          <w:noProof/>
          <w:sz w:val="24"/>
          <w:szCs w:val="24"/>
        </w:rPr>
        <w:t>e role for the Commission might be to look at ways of encouraging discussions regarding pan-European licensing of content and market-driven private agreements related to development and implementation of technological solutions, such as those that exist to</w:t>
      </w:r>
      <w:r>
        <w:rPr>
          <w:rFonts w:ascii="Times New Roman" w:hAnsi="Times New Roman" w:cs="Times New Roman"/>
          <w:noProof/>
          <w:sz w:val="24"/>
          <w:szCs w:val="24"/>
        </w:rPr>
        <w:t>day to protect premium content from unauthorized use, copying and distribution.</w:t>
      </w:r>
    </w:p>
    <w:p w:rsidR="00EB6A7B" w:rsidRDefault="00EB6A7B">
      <w:pPr>
        <w:autoSpaceDE w:val="0"/>
        <w:autoSpaceDN w:val="0"/>
        <w:adjustRightInd w:val="0"/>
        <w:spacing w:after="0"/>
        <w:jc w:val="both"/>
        <w:rPr>
          <w:rFonts w:ascii="Times New Roman" w:hAnsi="Times New Roman" w:cs="Times New Roman"/>
          <w:noProof/>
          <w:sz w:val="24"/>
          <w:szCs w:val="24"/>
        </w:rPr>
      </w:pPr>
    </w:p>
    <w:p w:rsidR="00EB6A7B" w:rsidRDefault="001E7ACC">
      <w:pPr>
        <w:autoSpaceDE w:val="0"/>
        <w:autoSpaceDN w:val="0"/>
        <w:adjustRightInd w:val="0"/>
        <w:spacing w:after="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 (4) Safeguarding the freedom (and free exchange) of information</w:t>
      </w:r>
    </w:p>
    <w:p w:rsidR="00EB6A7B" w:rsidRDefault="001E7ACC">
      <w:pPr>
        <w:autoSpaceDE w:val="0"/>
        <w:autoSpaceDN w:val="0"/>
        <w:adjustRightInd w:val="0"/>
        <w:spacing w:after="0"/>
        <w:jc w:val="both"/>
        <w:rPr>
          <w:rFonts w:ascii="Times New Roman" w:hAnsi="Times New Roman" w:cs="Times New Roman"/>
          <w:noProof/>
        </w:rPr>
      </w:pPr>
      <w:r>
        <w:rPr>
          <w:rFonts w:ascii="Times New Roman" w:hAnsi="Times New Roman" w:cs="Times New Roman"/>
          <w:noProof/>
          <w:sz w:val="24"/>
          <w:szCs w:val="24"/>
        </w:rPr>
        <w:t>The overwhelming majority of individual citizens, consumer protection organisations and academics strongly arg</w:t>
      </w:r>
      <w:r>
        <w:rPr>
          <w:rFonts w:ascii="Times New Roman" w:hAnsi="Times New Roman" w:cs="Times New Roman"/>
          <w:noProof/>
          <w:sz w:val="24"/>
          <w:szCs w:val="24"/>
        </w:rPr>
        <w:t xml:space="preserve">ued against any further (over)regulation of IPR infringements, especially in the context of the online world. Filtering of content and monitoring traffic on the internet were perceived as threats to fundamental rights (freedom of speech, right to privacy) </w:t>
      </w:r>
      <w:r>
        <w:rPr>
          <w:rFonts w:ascii="Times New Roman" w:hAnsi="Times New Roman" w:cs="Times New Roman"/>
          <w:noProof/>
          <w:sz w:val="24"/>
          <w:szCs w:val="24"/>
        </w:rPr>
        <w:t>or even censorship and therefore clearly rejected. Amendments to the current Directive were viewed by individuals as aimed at limiting citizens' basic freedoms.</w:t>
      </w:r>
      <w:r>
        <w:rPr>
          <w:rFonts w:ascii="Times New Roman" w:hAnsi="Times New Roman" w:cs="Times New Roman"/>
          <w:noProof/>
        </w:rPr>
        <w:br w:type="page"/>
      </w:r>
    </w:p>
    <w:p w:rsidR="00EB6A7B" w:rsidRDefault="001E7ACC">
      <w:pPr>
        <w:pStyle w:val="Heading1"/>
        <w:numPr>
          <w:ilvl w:val="0"/>
          <w:numId w:val="0"/>
        </w:numPr>
        <w:spacing w:line="276" w:lineRule="auto"/>
        <w:rPr>
          <w:noProof/>
        </w:rPr>
      </w:pPr>
      <w:bookmarkStart w:id="136" w:name="_Toc498521079"/>
      <w:r>
        <w:rPr>
          <w:noProof/>
        </w:rPr>
        <w:t>Annex III: Practical examples and illustrations</w:t>
      </w:r>
      <w:bookmarkEnd w:id="136"/>
    </w:p>
    <w:p w:rsidR="00EB6A7B" w:rsidRDefault="00EB6A7B">
      <w:pPr>
        <w:autoSpaceDE w:val="0"/>
        <w:autoSpaceDN w:val="0"/>
        <w:adjustRightInd w:val="0"/>
        <w:spacing w:after="0"/>
        <w:rPr>
          <w:rFonts w:ascii="Times New Roman" w:hAnsi="Times New Roman" w:cs="Times New Roman"/>
          <w:b/>
          <w:bCs/>
          <w:noProof/>
          <w:sz w:val="24"/>
          <w:szCs w:val="24"/>
        </w:rPr>
      </w:pPr>
    </w:p>
    <w:p w:rsidR="00EB6A7B" w:rsidRDefault="001E7ACC">
      <w:pPr>
        <w:autoSpaceDE w:val="0"/>
        <w:autoSpaceDN w:val="0"/>
        <w:adjustRightInd w:val="0"/>
        <w:spacing w:after="0"/>
        <w:rPr>
          <w:rFonts w:ascii="Times New Roman" w:hAnsi="Times New Roman" w:cs="Times New Roman"/>
          <w:b/>
          <w:bCs/>
          <w:noProof/>
          <w:sz w:val="24"/>
          <w:szCs w:val="24"/>
        </w:rPr>
      </w:pPr>
      <w:r>
        <w:rPr>
          <w:rFonts w:ascii="Times New Roman" w:hAnsi="Times New Roman" w:cs="Times New Roman"/>
          <w:b/>
          <w:bCs/>
          <w:noProof/>
          <w:sz w:val="24"/>
          <w:szCs w:val="24"/>
        </w:rPr>
        <w:t xml:space="preserve">Illustration: variety of practices for awarding moral damages. </w:t>
      </w:r>
    </w:p>
    <w:p w:rsidR="00EB6A7B" w:rsidRDefault="00EB6A7B">
      <w:pPr>
        <w:autoSpaceDE w:val="0"/>
        <w:autoSpaceDN w:val="0"/>
        <w:adjustRightInd w:val="0"/>
        <w:spacing w:after="0"/>
        <w:rPr>
          <w:rFonts w:ascii="Times New Roman" w:hAnsi="Times New Roman" w:cs="Times New Roman"/>
          <w:bCs/>
          <w:noProof/>
          <w:sz w:val="24"/>
          <w:szCs w:val="24"/>
        </w:rPr>
      </w:pPr>
    </w:p>
    <w:p w:rsidR="00EB6A7B" w:rsidRDefault="001E7ACC">
      <w:pPr>
        <w:autoSpaceDE w:val="0"/>
        <w:autoSpaceDN w:val="0"/>
        <w:adjustRightInd w:val="0"/>
        <w:spacing w:after="0"/>
        <w:rPr>
          <w:rFonts w:ascii="Times New Roman" w:hAnsi="Times New Roman" w:cs="Times New Roman"/>
          <w:bCs/>
          <w:noProof/>
          <w:sz w:val="24"/>
          <w:szCs w:val="24"/>
        </w:rPr>
      </w:pPr>
      <w:r>
        <w:rPr>
          <w:rFonts w:ascii="Times New Roman" w:hAnsi="Times New Roman" w:cs="Times New Roman"/>
          <w:bCs/>
          <w:noProof/>
          <w:sz w:val="24"/>
          <w:szCs w:val="24"/>
        </w:rPr>
        <w:t>From the report of the European Observatory on Counterfeiting and Piracy we observe different practices for awarding moral damages</w:t>
      </w:r>
      <w:r>
        <w:rPr>
          <w:rStyle w:val="FootnoteReference"/>
          <w:rFonts w:ascii="Times New Roman" w:hAnsi="Times New Roman" w:cs="Times New Roman"/>
          <w:bCs/>
          <w:noProof/>
          <w:sz w:val="24"/>
          <w:szCs w:val="24"/>
        </w:rPr>
        <w:footnoteReference w:id="120"/>
      </w:r>
      <w:r>
        <w:rPr>
          <w:rFonts w:ascii="Times New Roman" w:hAnsi="Times New Roman" w:cs="Times New Roman"/>
          <w:bCs/>
          <w:noProof/>
          <w:sz w:val="24"/>
          <w:szCs w:val="24"/>
        </w:rPr>
        <w:t>:</w:t>
      </w:r>
    </w:p>
    <w:p w:rsidR="00EB6A7B" w:rsidRDefault="00EB6A7B">
      <w:pPr>
        <w:autoSpaceDE w:val="0"/>
        <w:autoSpaceDN w:val="0"/>
        <w:adjustRightInd w:val="0"/>
        <w:spacing w:after="0"/>
        <w:rPr>
          <w:rFonts w:ascii="Times New Roman" w:hAnsi="Times New Roman" w:cs="Times New Roman"/>
          <w:bCs/>
          <w:noProof/>
          <w:sz w:val="24"/>
          <w:szCs w:val="24"/>
        </w:rPr>
      </w:pPr>
    </w:p>
    <w:p w:rsidR="00EB6A7B" w:rsidRDefault="001E7ACC">
      <w:pPr>
        <w:autoSpaceDE w:val="0"/>
        <w:autoSpaceDN w:val="0"/>
        <w:adjustRightInd w:val="0"/>
        <w:spacing w:after="0"/>
        <w:jc w:val="both"/>
        <w:rPr>
          <w:rFonts w:ascii="Times New Roman" w:hAnsi="Times New Roman" w:cs="Times New Roman"/>
          <w:i/>
          <w:noProof/>
          <w:sz w:val="24"/>
          <w:szCs w:val="24"/>
        </w:rPr>
      </w:pPr>
      <w:r>
        <w:rPr>
          <w:rFonts w:ascii="Times New Roman" w:hAnsi="Times New Roman" w:cs="Times New Roman"/>
          <w:bCs/>
          <w:i/>
          <w:noProof/>
          <w:sz w:val="24"/>
          <w:szCs w:val="24"/>
        </w:rPr>
        <w:t>“</w:t>
      </w:r>
      <w:r>
        <w:rPr>
          <w:rFonts w:ascii="Times New Roman" w:hAnsi="Times New Roman" w:cs="Times New Roman"/>
          <w:i/>
          <w:noProof/>
          <w:sz w:val="24"/>
          <w:szCs w:val="24"/>
        </w:rPr>
        <w:t xml:space="preserve">In </w:t>
      </w:r>
      <w:r>
        <w:rPr>
          <w:rFonts w:ascii="Times New Roman" w:hAnsi="Times New Roman" w:cs="Times New Roman"/>
          <w:b/>
          <w:bCs/>
          <w:i/>
          <w:noProof/>
          <w:sz w:val="24"/>
          <w:szCs w:val="24"/>
        </w:rPr>
        <w:t>Poland</w:t>
      </w:r>
      <w:r>
        <w:rPr>
          <w:rFonts w:ascii="Times New Roman" w:hAnsi="Times New Roman" w:cs="Times New Roman"/>
          <w:i/>
          <w:noProof/>
          <w:sz w:val="24"/>
          <w:szCs w:val="24"/>
        </w:rPr>
        <w:t>, it appears that moral damages may not attract</w:t>
      </w:r>
      <w:r>
        <w:rPr>
          <w:rFonts w:ascii="Times New Roman" w:hAnsi="Times New Roman" w:cs="Times New Roman"/>
          <w:i/>
          <w:noProof/>
          <w:sz w:val="24"/>
          <w:szCs w:val="24"/>
        </w:rPr>
        <w:t xml:space="preserve"> monetary awards. Examples where moral damages have been claimed include in particular where there has been injury to the rightholder's reputation, emotional distress, suffering caused by an infringement, etc. Damages for moral prejudice tend to be general</w:t>
      </w:r>
      <w:r>
        <w:rPr>
          <w:rFonts w:ascii="Times New Roman" w:hAnsi="Times New Roman" w:cs="Times New Roman"/>
          <w:i/>
          <w:noProof/>
          <w:sz w:val="24"/>
          <w:szCs w:val="24"/>
        </w:rPr>
        <w:t>ly rather low. In some countries, it seems that damages for moral prejudice may only be granted in copyright cases (excluding owners of industrial property rights) and/or to physical persons (excluding legal entities). Some countries do not explicitly ment</w:t>
      </w:r>
      <w:r>
        <w:rPr>
          <w:rFonts w:ascii="Times New Roman" w:hAnsi="Times New Roman" w:cs="Times New Roman"/>
          <w:i/>
          <w:noProof/>
          <w:sz w:val="24"/>
          <w:szCs w:val="24"/>
        </w:rPr>
        <w:t>ion the possibility of granting moral damages, although that does not automatically mean that these are not available.</w:t>
      </w:r>
    </w:p>
    <w:p w:rsidR="00EB6A7B" w:rsidRDefault="001E7ACC">
      <w:pPr>
        <w:autoSpaceDE w:val="0"/>
        <w:autoSpaceDN w:val="0"/>
        <w:adjustRightInd w:val="0"/>
        <w:jc w:val="both"/>
        <w:rPr>
          <w:rFonts w:ascii="Times New Roman" w:hAnsi="Times New Roman" w:cs="Times New Roman"/>
          <w:i/>
          <w:noProof/>
          <w:sz w:val="24"/>
          <w:szCs w:val="24"/>
        </w:rPr>
      </w:pPr>
      <w:r>
        <w:rPr>
          <w:rFonts w:ascii="Times New Roman" w:hAnsi="Times New Roman" w:cs="Times New Roman"/>
          <w:i/>
          <w:noProof/>
          <w:sz w:val="24"/>
          <w:szCs w:val="24"/>
        </w:rPr>
        <w:t xml:space="preserve"> In other countries, even if moral damages are allowed, there have been only a few instances where moral damage has been taken into consi</w:t>
      </w:r>
      <w:r>
        <w:rPr>
          <w:rFonts w:ascii="Times New Roman" w:hAnsi="Times New Roman" w:cs="Times New Roman"/>
          <w:i/>
          <w:noProof/>
          <w:sz w:val="24"/>
          <w:szCs w:val="24"/>
        </w:rPr>
        <w:t>deration (</w:t>
      </w:r>
      <w:r>
        <w:rPr>
          <w:rFonts w:ascii="Times New Roman" w:hAnsi="Times New Roman" w:cs="Times New Roman"/>
          <w:b/>
          <w:bCs/>
          <w:i/>
          <w:noProof/>
          <w:sz w:val="24"/>
          <w:szCs w:val="24"/>
        </w:rPr>
        <w:t>Malta</w:t>
      </w:r>
      <w:r>
        <w:rPr>
          <w:rFonts w:ascii="Times New Roman" w:hAnsi="Times New Roman" w:cs="Times New Roman"/>
          <w:i/>
          <w:noProof/>
          <w:sz w:val="24"/>
          <w:szCs w:val="24"/>
        </w:rPr>
        <w:t>). In some countries, moral damages are available only in cases of intentional or negligent infringements (</w:t>
      </w:r>
      <w:r>
        <w:rPr>
          <w:rFonts w:ascii="Times New Roman" w:hAnsi="Times New Roman" w:cs="Times New Roman"/>
          <w:b/>
          <w:bCs/>
          <w:i/>
          <w:noProof/>
          <w:sz w:val="24"/>
          <w:szCs w:val="24"/>
        </w:rPr>
        <w:t>Finland</w:t>
      </w:r>
      <w:r>
        <w:rPr>
          <w:rFonts w:ascii="Times New Roman" w:hAnsi="Times New Roman" w:cs="Times New Roman"/>
          <w:i/>
          <w:noProof/>
          <w:sz w:val="24"/>
          <w:szCs w:val="24"/>
        </w:rPr>
        <w:t xml:space="preserve">). In </w:t>
      </w:r>
      <w:r>
        <w:rPr>
          <w:rFonts w:ascii="Times New Roman" w:hAnsi="Times New Roman" w:cs="Times New Roman"/>
          <w:b/>
          <w:bCs/>
          <w:i/>
          <w:noProof/>
          <w:sz w:val="24"/>
          <w:szCs w:val="24"/>
        </w:rPr>
        <w:t>Greece</w:t>
      </w:r>
      <w:r>
        <w:rPr>
          <w:rFonts w:ascii="Times New Roman" w:hAnsi="Times New Roman" w:cs="Times New Roman"/>
          <w:i/>
          <w:noProof/>
          <w:sz w:val="24"/>
          <w:szCs w:val="24"/>
        </w:rPr>
        <w:t xml:space="preserve">, moral damages are the only compensation that can realistically be awarded in trademark cases. It appears that in </w:t>
      </w:r>
      <w:r>
        <w:rPr>
          <w:rFonts w:ascii="Times New Roman" w:hAnsi="Times New Roman" w:cs="Times New Roman"/>
          <w:i/>
          <w:noProof/>
          <w:sz w:val="24"/>
          <w:szCs w:val="24"/>
        </w:rPr>
        <w:t>one country (</w:t>
      </w:r>
      <w:r>
        <w:rPr>
          <w:rFonts w:ascii="Times New Roman" w:hAnsi="Times New Roman" w:cs="Times New Roman"/>
          <w:b/>
          <w:bCs/>
          <w:i/>
          <w:noProof/>
          <w:sz w:val="24"/>
          <w:szCs w:val="24"/>
        </w:rPr>
        <w:t>Slovenia</w:t>
      </w:r>
      <w:r>
        <w:rPr>
          <w:rFonts w:ascii="Times New Roman" w:hAnsi="Times New Roman" w:cs="Times New Roman"/>
          <w:i/>
          <w:noProof/>
          <w:sz w:val="24"/>
          <w:szCs w:val="24"/>
        </w:rPr>
        <w:t>) moral damages may be granted even if no material damages have been suffered (e.g. for mental distress)".</w:t>
      </w:r>
    </w:p>
    <w:p w:rsidR="00EB6A7B" w:rsidRDefault="001E7ACC">
      <w:pPr>
        <w:rPr>
          <w:rFonts w:ascii="Times New Roman" w:hAnsi="Times New Roman" w:cs="Times New Roman"/>
          <w:b/>
          <w:noProof/>
          <w:sz w:val="24"/>
          <w:szCs w:val="24"/>
        </w:rPr>
      </w:pPr>
      <w:r>
        <w:rPr>
          <w:rFonts w:ascii="Times New Roman" w:hAnsi="Times New Roman" w:cs="Times New Roman"/>
          <w:b/>
          <w:noProof/>
          <w:sz w:val="24"/>
          <w:szCs w:val="24"/>
        </w:rPr>
        <w:t>Examples on difficulties for collecting evidence needed to calculate damages</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 xml:space="preserve">Germany - Trademarks: </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German law requires claimant to provide facts proving that in the normal course of business or in special circumstances, there is the probability that without the infringement his sales or turnover would have increased. That requires for the plaintiff to d</w:t>
      </w:r>
      <w:r>
        <w:rPr>
          <w:rFonts w:ascii="Times New Roman" w:hAnsi="Times New Roman" w:cs="Times New Roman"/>
          <w:noProof/>
          <w:sz w:val="24"/>
          <w:szCs w:val="24"/>
        </w:rPr>
        <w:t xml:space="preserve">isclose internal figures and data which allows the court to make the causal link between the presumed infringement and the business profit. However, most rightholders are reluctant to disclose these internal figures. </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 xml:space="preserve">On the other hand, requesting damages </w:t>
      </w:r>
      <w:r>
        <w:rPr>
          <w:rFonts w:ascii="Times New Roman" w:hAnsi="Times New Roman" w:cs="Times New Roman"/>
          <w:noProof/>
          <w:sz w:val="24"/>
          <w:szCs w:val="24"/>
        </w:rPr>
        <w:t>on basis of the infringer´s profits is equally burdensome. The scope of the damages is limited by the net profit that the infringer has made as result of this illegal activity. For this, the plaintiff has the burden of proof to first justify that the infri</w:t>
      </w:r>
      <w:r>
        <w:rPr>
          <w:rFonts w:ascii="Times New Roman" w:hAnsi="Times New Roman" w:cs="Times New Roman"/>
          <w:noProof/>
          <w:sz w:val="24"/>
          <w:szCs w:val="24"/>
        </w:rPr>
        <w:t>nger has made some net earnings, relying on the information that the potential infringer will be obliged to provide. Secondly, the court will deduce from this sum the earnings which have been incurred by the infringer, such as production costs or marketing</w:t>
      </w:r>
      <w:r>
        <w:rPr>
          <w:rFonts w:ascii="Times New Roman" w:hAnsi="Times New Roman" w:cs="Times New Roman"/>
          <w:noProof/>
          <w:sz w:val="24"/>
          <w:szCs w:val="24"/>
        </w:rPr>
        <w:t>, or other expenses which could have been derived from technical characteristics of the product which differ from the original one. The infringer often presents a poor situation of his commercial situation by stating low profits or even losses due to the i</w:t>
      </w:r>
      <w:r>
        <w:rPr>
          <w:rFonts w:ascii="Times New Roman" w:hAnsi="Times New Roman" w:cs="Times New Roman"/>
          <w:noProof/>
          <w:sz w:val="24"/>
          <w:szCs w:val="24"/>
        </w:rPr>
        <w:t xml:space="preserve">nfringement, which results in low level of damages awards to the right owner. </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In view of these difficulties, the most popular method for awarding damages in Germany is the lump sum method, since they require no figures to be presented to the court, but on</w:t>
      </w:r>
      <w:r>
        <w:rPr>
          <w:rFonts w:ascii="Times New Roman" w:hAnsi="Times New Roman" w:cs="Times New Roman"/>
          <w:noProof/>
          <w:sz w:val="24"/>
          <w:szCs w:val="24"/>
        </w:rPr>
        <w:t>ly confirmation of the infringement. The court estimates the amount of royalties that would have been agreed between parties by taking into account a relevant set of factors such as reputation of the infringed IP, intensity, duration and extent of infringe</w:t>
      </w:r>
      <w:r>
        <w:rPr>
          <w:rFonts w:ascii="Times New Roman" w:hAnsi="Times New Roman" w:cs="Times New Roman"/>
          <w:noProof/>
          <w:sz w:val="24"/>
          <w:szCs w:val="24"/>
        </w:rPr>
        <w:t xml:space="preserve">ment, and degree of confusion. However, lump sums in Germany range between 1-5% of the total turnover of the infringer which can be attributed to the infringer product. </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 xml:space="preserve">France – Trademarks: </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 xml:space="preserve">One of the main reasons for French courts not to increase the </w:t>
      </w:r>
      <w:r>
        <w:rPr>
          <w:rFonts w:ascii="Times New Roman" w:hAnsi="Times New Roman" w:cs="Times New Roman"/>
          <w:noProof/>
          <w:sz w:val="24"/>
          <w:szCs w:val="24"/>
        </w:rPr>
        <w:t>award of damages is the inability of rightholders to establish their damages and to provide evidence.</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Even though since 2007 the infringer´s unfair profits can be taken into account for assessing the negative impact of an infringement, in practice, very fe</w:t>
      </w:r>
      <w:r>
        <w:rPr>
          <w:rFonts w:ascii="Times New Roman" w:hAnsi="Times New Roman" w:cs="Times New Roman"/>
          <w:noProof/>
          <w:sz w:val="24"/>
          <w:szCs w:val="24"/>
        </w:rPr>
        <w:t>w times they have been considered for assessing damages (see Paris Court of Appeal in Baccarat v Delsey). The main difficulty, again, is for the rightholder to establish a causal link between the net profit and the infringement. On the other side, lump sum</w:t>
      </w:r>
      <w:r>
        <w:rPr>
          <w:rFonts w:ascii="Times New Roman" w:hAnsi="Times New Roman" w:cs="Times New Roman"/>
          <w:noProof/>
          <w:sz w:val="24"/>
          <w:szCs w:val="24"/>
        </w:rPr>
        <w:t>s methods spare the necessity to collect evidence and elements of proof, as required by the other methods.</w:t>
      </w:r>
    </w:p>
    <w:p w:rsidR="00EB6A7B" w:rsidRDefault="001E7ACC">
      <w:pPr>
        <w:spacing w:before="200"/>
        <w:jc w:val="both"/>
        <w:rPr>
          <w:rFonts w:ascii="Times New Roman" w:hAnsi="Times New Roman" w:cs="Times New Roman"/>
          <w:noProof/>
          <w:sz w:val="24"/>
        </w:rPr>
      </w:pPr>
      <w:r>
        <w:rPr>
          <w:rFonts w:ascii="Times New Roman" w:hAnsi="Times New Roman" w:cs="Times New Roman"/>
          <w:noProof/>
          <w:sz w:val="24"/>
        </w:rPr>
        <w:t xml:space="preserve">France – </w:t>
      </w:r>
      <w:r>
        <w:rPr>
          <w:rFonts w:ascii="Times New Roman" w:hAnsi="Times New Roman" w:cs="Times New Roman"/>
          <w:i/>
          <w:noProof/>
          <w:sz w:val="24"/>
        </w:rPr>
        <w:t>saisie contrefaçon</w:t>
      </w:r>
    </w:p>
    <w:p w:rsidR="00EB6A7B" w:rsidRDefault="001E7ACC">
      <w:pPr>
        <w:spacing w:before="200"/>
        <w:jc w:val="both"/>
        <w:rPr>
          <w:rFonts w:ascii="Times New Roman" w:hAnsi="Times New Roman" w:cs="Times New Roman"/>
          <w:noProof/>
          <w:sz w:val="24"/>
        </w:rPr>
      </w:pPr>
      <w:r>
        <w:rPr>
          <w:rFonts w:ascii="Times New Roman" w:hAnsi="Times New Roman" w:cs="Times New Roman"/>
          <w:noProof/>
          <w:sz w:val="24"/>
        </w:rPr>
        <w:t xml:space="preserve">In France, the procedure of descriptive seizure serves an important twofold purpose, resulting in significant amendments </w:t>
      </w:r>
      <w:r>
        <w:rPr>
          <w:rFonts w:ascii="Times New Roman" w:hAnsi="Times New Roman" w:cs="Times New Roman"/>
          <w:noProof/>
          <w:sz w:val="24"/>
        </w:rPr>
        <w:t>to the procedure of “seizure for counterfeit” (</w:t>
      </w:r>
      <w:r>
        <w:rPr>
          <w:rFonts w:ascii="Times New Roman" w:hAnsi="Times New Roman" w:cs="Times New Roman"/>
          <w:i/>
          <w:noProof/>
          <w:sz w:val="24"/>
        </w:rPr>
        <w:t>saisie contrefaçon</w:t>
      </w:r>
      <w:r>
        <w:rPr>
          <w:rFonts w:ascii="Times New Roman" w:hAnsi="Times New Roman" w:cs="Times New Roman"/>
          <w:noProof/>
          <w:sz w:val="24"/>
        </w:rPr>
        <w:t xml:space="preserve">). Through this procedure, infringers are prohibited to discard the allegedly counterfeited objects, for a custodian to be appointed, for the objects to be placed under judicial seal, or for </w:t>
      </w:r>
      <w:r>
        <w:rPr>
          <w:rFonts w:ascii="Times New Roman" w:hAnsi="Times New Roman" w:cs="Times New Roman"/>
          <w:noProof/>
          <w:sz w:val="24"/>
        </w:rPr>
        <w:t>the income associated with the alleged counterfeit to be made the object of a conservatory seizure. Thus, through the first phase of description, this procedure gives the rightholder the possibility to obtain proof of the existence and extent of the counte</w:t>
      </w:r>
      <w:r>
        <w:rPr>
          <w:rFonts w:ascii="Times New Roman" w:hAnsi="Times New Roman" w:cs="Times New Roman"/>
          <w:noProof/>
          <w:sz w:val="24"/>
        </w:rPr>
        <w:t>rfeit, whereas the second phase of optional seizure has the purpose of safeguarding the rights of the holder and of avoiding an aggravation of the damage pending a judgment on the merits of the case.</w:t>
      </w:r>
    </w:p>
    <w:p w:rsidR="00EB6A7B" w:rsidRDefault="00EB6A7B">
      <w:pPr>
        <w:jc w:val="both"/>
        <w:rPr>
          <w:rFonts w:ascii="Times New Roman" w:hAnsi="Times New Roman" w:cs="Times New Roman"/>
          <w:noProof/>
          <w:sz w:val="24"/>
          <w:szCs w:val="24"/>
        </w:rPr>
      </w:pPr>
    </w:p>
    <w:p w:rsidR="00EB6A7B" w:rsidRDefault="001E7ACC">
      <w:pPr>
        <w:jc w:val="both"/>
        <w:rPr>
          <w:rFonts w:ascii="Times New Roman" w:hAnsi="Times New Roman" w:cs="Times New Roman"/>
          <w:b/>
          <w:noProof/>
          <w:sz w:val="24"/>
          <w:szCs w:val="24"/>
        </w:rPr>
      </w:pPr>
      <w:r>
        <w:rPr>
          <w:rFonts w:ascii="Times New Roman" w:hAnsi="Times New Roman" w:cs="Times New Roman"/>
          <w:b/>
          <w:noProof/>
          <w:sz w:val="24"/>
          <w:szCs w:val="24"/>
        </w:rPr>
        <w:t>Illustration for insufficient compensation: Gap between</w:t>
      </w:r>
      <w:r>
        <w:rPr>
          <w:rFonts w:ascii="Times New Roman" w:hAnsi="Times New Roman" w:cs="Times New Roman"/>
          <w:b/>
          <w:noProof/>
          <w:sz w:val="24"/>
          <w:szCs w:val="24"/>
        </w:rPr>
        <w:t xml:space="preserve"> awarded and requested damages</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Darts-ip data show</w:t>
      </w:r>
      <w:r>
        <w:rPr>
          <w:rFonts w:ascii="Times New Roman" w:hAnsi="Times New Roman" w:cs="Times New Roman"/>
          <w:noProof/>
          <w:sz w:val="24"/>
          <w:szCs w:val="24"/>
          <w:vertAlign w:val="superscript"/>
        </w:rPr>
        <w:footnoteReference w:id="121"/>
      </w:r>
      <w:r>
        <w:rPr>
          <w:rFonts w:ascii="Times New Roman" w:hAnsi="Times New Roman" w:cs="Times New Roman"/>
          <w:noProof/>
          <w:sz w:val="24"/>
          <w:szCs w:val="24"/>
        </w:rPr>
        <w:t xml:space="preserve"> significant differences across Member States and IP titles between the amount requested for damages and the final amount awarded. This difference is significantly pronounced for IP on design. Court cases l</w:t>
      </w:r>
      <w:r>
        <w:rPr>
          <w:rFonts w:ascii="Times New Roman" w:hAnsi="Times New Roman" w:cs="Times New Roman"/>
          <w:noProof/>
          <w:sz w:val="24"/>
          <w:szCs w:val="24"/>
        </w:rPr>
        <w:t>itigated in France and the Netherlands only recovered, on average, 25% and 30% of the amount requested for damages respectively. Compared to the Netherlands and Germany, France presents a considerably low level of awarded damages, especially for Trademarks</w:t>
      </w:r>
      <w:r>
        <w:rPr>
          <w:rFonts w:ascii="Times New Roman" w:hAnsi="Times New Roman" w:cs="Times New Roman"/>
          <w:noProof/>
          <w:sz w:val="24"/>
          <w:szCs w:val="24"/>
        </w:rPr>
        <w:t xml:space="preserve"> and Design titles.</w:t>
      </w:r>
      <w:r>
        <w:rPr>
          <w:rFonts w:ascii="Times New Roman" w:hAnsi="Times New Roman" w:cs="Times New Roman"/>
          <w:noProof/>
          <w:sz w:val="24"/>
          <w:szCs w:val="24"/>
          <w:vertAlign w:val="superscript"/>
        </w:rPr>
        <w:footnoteReference w:id="122"/>
      </w:r>
      <w:r>
        <w:rPr>
          <w:rFonts w:ascii="Times New Roman" w:hAnsi="Times New Roman" w:cs="Times New Roman"/>
          <w:noProof/>
          <w:sz w:val="24"/>
          <w:szCs w:val="24"/>
        </w:rPr>
        <w:t xml:space="preserve"> It’s interesting to note that in Germany, across the 3 different IPRs considered for the analysis, court cases recovered, on average, a significant share of the initial requested amount. </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The (limited) data seems to confirm the problem</w:t>
      </w:r>
      <w:r>
        <w:rPr>
          <w:rFonts w:ascii="Times New Roman" w:hAnsi="Times New Roman" w:cs="Times New Roman"/>
          <w:noProof/>
          <w:sz w:val="24"/>
          <w:szCs w:val="24"/>
        </w:rPr>
        <w:t>s identified by the stakeholders. There is a substantial difference between requested and awarded damages.</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 xml:space="preserve">From Darts-ip data we also observe that the usage of lump sums is one of the most frequent methodologies to request and award damages in Germany and </w:t>
      </w:r>
      <w:r>
        <w:rPr>
          <w:rFonts w:ascii="Times New Roman" w:hAnsi="Times New Roman" w:cs="Times New Roman"/>
          <w:noProof/>
          <w:sz w:val="24"/>
          <w:szCs w:val="24"/>
        </w:rPr>
        <w:t xml:space="preserve">Denmark. The relevance of lump sums is especially acute for trademarks, where this methodology was applied 83% and 50% of the times in Germany and Denmark respectively. </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Gap between awarded and requested damages</w:t>
      </w:r>
    </w:p>
    <w:p w:rsidR="00EB6A7B" w:rsidRDefault="001E7ACC">
      <w:pPr>
        <w:jc w:val="center"/>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3888188" cy="1749287"/>
            <wp:effectExtent l="0" t="0" r="17145" b="2286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B6A7B" w:rsidRDefault="001E7ACC">
      <w:pPr>
        <w:jc w:val="center"/>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3888188" cy="1534602"/>
            <wp:effectExtent l="0" t="0" r="17145" b="2794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B6A7B" w:rsidRDefault="001E7ACC">
      <w:pPr>
        <w:jc w:val="center"/>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3888188" cy="1749287"/>
            <wp:effectExtent l="0" t="0" r="17145" b="2286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 xml:space="preserve">Moral damages seem not to be used for </w:t>
      </w:r>
      <w:r>
        <w:rPr>
          <w:rFonts w:ascii="Times New Roman" w:hAnsi="Times New Roman" w:cs="Times New Roman"/>
          <w:noProof/>
          <w:sz w:val="24"/>
          <w:szCs w:val="24"/>
        </w:rPr>
        <w:t>any IPR in Germany or the Netherlands. Only in France, were the negative impact of infringements, including moral harm to rightholders, is transposed and recognised by the law since 2007 (Article 716-14), non-material damages are frequently used, especiall</w:t>
      </w:r>
      <w:r>
        <w:rPr>
          <w:rFonts w:ascii="Times New Roman" w:hAnsi="Times New Roman" w:cs="Times New Roman"/>
          <w:noProof/>
          <w:sz w:val="24"/>
          <w:szCs w:val="24"/>
        </w:rPr>
        <w:t>y for trademarks and design rights (non-material used  52% and 69% of the times respectively).</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Frequency of use</w:t>
      </w:r>
    </w:p>
    <w:p w:rsidR="00EB6A7B" w:rsidRDefault="001E7ACC">
      <w:pPr>
        <w:jc w:val="center"/>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4436827" cy="2122998"/>
            <wp:effectExtent l="0" t="0" r="20955" b="1079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B6A7B" w:rsidRDefault="001E7ACC">
      <w:pPr>
        <w:jc w:val="center"/>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4436828" cy="2639833"/>
            <wp:effectExtent l="0" t="0" r="20955" b="2730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B6A7B" w:rsidRDefault="001E7ACC">
      <w:pPr>
        <w:jc w:val="center"/>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4436828" cy="2289976"/>
            <wp:effectExtent l="0" t="0" r="20955" b="1524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Darts-ip data show that, non-material damages, which include moral damages, present one of the biggest difference between the quantities requested for damages and the total awarded (73%). This seems to indicate that even though moral damages are frequently</w:t>
      </w:r>
      <w:r>
        <w:rPr>
          <w:rFonts w:ascii="Times New Roman" w:hAnsi="Times New Roman" w:cs="Times New Roman"/>
          <w:noProof/>
          <w:sz w:val="24"/>
          <w:szCs w:val="24"/>
        </w:rPr>
        <w:t xml:space="preserve"> used in France, there are still problems on the quantification of this methodology.   </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Other categories, such as reasonable royalties (lump sums) and loss of profits also present big differences: on average, 59% and 58% of damages requested were rejected.</w:t>
      </w:r>
      <w:r>
        <w:rPr>
          <w:rFonts w:ascii="Times New Roman" w:hAnsi="Times New Roman" w:cs="Times New Roman"/>
          <w:noProof/>
          <w:sz w:val="24"/>
          <w:szCs w:val="24"/>
        </w:rPr>
        <w:t xml:space="preserve"> Loss of profits is the methodology which shows the smallest gap, even though the rejection rate is not still quite significant: on average, 46% of the requested damages were rejected by the court. </w:t>
      </w:r>
    </w:p>
    <w:p w:rsidR="00EB6A7B" w:rsidRDefault="001E7ACC">
      <w:pPr>
        <w:jc w:val="both"/>
        <w:rPr>
          <w:rFonts w:ascii="Times New Roman" w:hAnsi="Times New Roman" w:cs="Times New Roman"/>
          <w:noProof/>
          <w:sz w:val="24"/>
          <w:szCs w:val="24"/>
        </w:rPr>
      </w:pPr>
      <w:r>
        <w:rPr>
          <w:rFonts w:ascii="Times New Roman" w:hAnsi="Times New Roman" w:cs="Times New Roman"/>
          <w:noProof/>
          <w:sz w:val="24"/>
          <w:szCs w:val="24"/>
        </w:rPr>
        <w:t>Gap between awarded and requested damages, by methodology</w:t>
      </w:r>
    </w:p>
    <w:p w:rsidR="00EB6A7B" w:rsidRDefault="001E7ACC">
      <w:pPr>
        <w:jc w:val="center"/>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4158532" cy="2250219"/>
            <wp:effectExtent l="0" t="0" r="13970" b="1714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B6A7B" w:rsidRDefault="001E7ACC">
      <w:pPr>
        <w:rPr>
          <w:rFonts w:ascii="Times New Roman" w:hAnsi="Times New Roman" w:cs="Times New Roman"/>
          <w:noProof/>
        </w:rPr>
      </w:pPr>
      <w:r>
        <w:rPr>
          <w:rFonts w:ascii="Times New Roman" w:hAnsi="Times New Roman" w:cs="Times New Roman"/>
          <w:noProof/>
        </w:rPr>
        <w:t>Illustration on the different approaches to cost reimbursement:</w:t>
      </w:r>
    </w:p>
    <w:p w:rsidR="00EB6A7B" w:rsidRDefault="001E7ACC">
      <w:pPr>
        <w:pStyle w:val="ListParagraph"/>
        <w:numPr>
          <w:ilvl w:val="0"/>
          <w:numId w:val="56"/>
        </w:numPr>
        <w:spacing w:before="200"/>
        <w:jc w:val="both"/>
        <w:rPr>
          <w:rFonts w:ascii="Times New Roman" w:hAnsi="Times New Roman" w:cs="Times New Roman"/>
          <w:bCs/>
          <w:noProof/>
          <w:sz w:val="24"/>
        </w:rPr>
      </w:pPr>
      <w:r>
        <w:rPr>
          <w:rFonts w:ascii="Times New Roman" w:hAnsi="Times New Roman" w:cs="Times New Roman"/>
          <w:bCs/>
          <w:noProof/>
          <w:sz w:val="24"/>
        </w:rPr>
        <w:t>According to expert opinion, the following estimates were made of the average proportion of actual costs that are recovered in civil IPR cases: 10-50% (Denmark), only a small percentage (Gr</w:t>
      </w:r>
      <w:r>
        <w:rPr>
          <w:rFonts w:ascii="Times New Roman" w:hAnsi="Times New Roman" w:cs="Times New Roman"/>
          <w:bCs/>
          <w:noProof/>
          <w:sz w:val="24"/>
        </w:rPr>
        <w:t>eece), 30% (Italy), between 10-30% (Luxembourg), 50% (Cyprus), 66%-100% (Romania), very low (Spain), approx. 75% (Sweden), 50-70% (Austria), and 80% (Ireland)</w:t>
      </w:r>
      <w:r>
        <w:rPr>
          <w:rFonts w:ascii="Times New Roman" w:hAnsi="Times New Roman" w:cs="Times New Roman"/>
          <w:noProof/>
          <w:vertAlign w:val="superscript"/>
        </w:rPr>
        <w:footnoteReference w:id="123"/>
      </w:r>
      <w:r>
        <w:rPr>
          <w:rFonts w:ascii="Times New Roman" w:hAnsi="Times New Roman" w:cs="Times New Roman"/>
          <w:bCs/>
          <w:noProof/>
          <w:sz w:val="24"/>
        </w:rPr>
        <w:t>.</w:t>
      </w:r>
    </w:p>
    <w:p w:rsidR="00EB6A7B" w:rsidRDefault="001E7ACC">
      <w:pPr>
        <w:pStyle w:val="ListParagraph"/>
        <w:numPr>
          <w:ilvl w:val="0"/>
          <w:numId w:val="56"/>
        </w:numPr>
        <w:spacing w:before="200"/>
        <w:jc w:val="both"/>
        <w:rPr>
          <w:rFonts w:ascii="Times New Roman" w:hAnsi="Times New Roman" w:cs="Times New Roman"/>
          <w:bCs/>
          <w:noProof/>
          <w:sz w:val="24"/>
        </w:rPr>
      </w:pPr>
      <w:r>
        <w:rPr>
          <w:rFonts w:ascii="Times New Roman" w:hAnsi="Times New Roman" w:cs="Times New Roman"/>
          <w:bCs/>
          <w:noProof/>
          <w:sz w:val="24"/>
        </w:rPr>
        <w:t>In the UK, only about 70% of a successful party’s actual costs are reimbursed on average, apply</w:t>
      </w:r>
      <w:r>
        <w:rPr>
          <w:rFonts w:ascii="Times New Roman" w:hAnsi="Times New Roman" w:cs="Times New Roman"/>
          <w:bCs/>
          <w:noProof/>
          <w:sz w:val="24"/>
        </w:rPr>
        <w:t xml:space="preserve">ing also a cap in the Intellectual Property Enterprise Court (IPEC) by stage of litigation with the overall amount of costs that can be recovered capped at £50.000 (about €57.000). </w:t>
      </w:r>
    </w:p>
    <w:p w:rsidR="00EB6A7B" w:rsidRDefault="001E7ACC">
      <w:pPr>
        <w:pStyle w:val="ListParagraph"/>
        <w:numPr>
          <w:ilvl w:val="0"/>
          <w:numId w:val="56"/>
        </w:numPr>
        <w:spacing w:before="200"/>
        <w:jc w:val="both"/>
        <w:rPr>
          <w:rFonts w:ascii="Times New Roman" w:hAnsi="Times New Roman" w:cs="Times New Roman"/>
          <w:bCs/>
          <w:noProof/>
          <w:sz w:val="24"/>
        </w:rPr>
      </w:pPr>
      <w:r>
        <w:rPr>
          <w:rFonts w:ascii="Times New Roman" w:hAnsi="Times New Roman" w:cs="Times New Roman"/>
          <w:bCs/>
          <w:noProof/>
          <w:sz w:val="24"/>
        </w:rPr>
        <w:t>In France the amounts allocated to claimants range on average from €10.000</w:t>
      </w:r>
      <w:r>
        <w:rPr>
          <w:rFonts w:ascii="Times New Roman" w:hAnsi="Times New Roman" w:cs="Times New Roman"/>
          <w:bCs/>
          <w:noProof/>
          <w:sz w:val="24"/>
        </w:rPr>
        <w:t xml:space="preserve"> to €30.000</w:t>
      </w:r>
      <w:r>
        <w:rPr>
          <w:rFonts w:ascii="Times New Roman" w:hAnsi="Times New Roman" w:cs="Times New Roman"/>
          <w:noProof/>
          <w:vertAlign w:val="superscript"/>
        </w:rPr>
        <w:footnoteReference w:id="124"/>
      </w:r>
      <w:r>
        <w:rPr>
          <w:rFonts w:ascii="Times New Roman" w:hAnsi="Times New Roman" w:cs="Times New Roman"/>
          <w:bCs/>
          <w:noProof/>
          <w:sz w:val="24"/>
        </w:rPr>
        <w:t xml:space="preserve">, on average inferior from what is requested. </w:t>
      </w:r>
    </w:p>
    <w:p w:rsidR="00EB6A7B" w:rsidRDefault="001E7ACC">
      <w:pPr>
        <w:pStyle w:val="ListParagraph"/>
        <w:numPr>
          <w:ilvl w:val="0"/>
          <w:numId w:val="56"/>
        </w:numPr>
        <w:spacing w:before="200"/>
        <w:jc w:val="both"/>
        <w:rPr>
          <w:rFonts w:ascii="Times New Roman" w:hAnsi="Times New Roman" w:cs="Times New Roman"/>
          <w:bCs/>
          <w:noProof/>
          <w:sz w:val="24"/>
        </w:rPr>
      </w:pPr>
      <w:r>
        <w:rPr>
          <w:rFonts w:ascii="Times New Roman" w:hAnsi="Times New Roman" w:cs="Times New Roman"/>
          <w:bCs/>
          <w:noProof/>
          <w:sz w:val="24"/>
        </w:rPr>
        <w:t xml:space="preserve">In Cyprus, the expenses of any civil procedure will be upon the discretionary power of the court and the court has full power to decide which party will pay which amount (while Article 14 of the Directive established the loser pays principle). </w:t>
      </w:r>
    </w:p>
    <w:p w:rsidR="00EB6A7B" w:rsidRDefault="001E7ACC">
      <w:pPr>
        <w:pStyle w:val="ListParagraph"/>
        <w:numPr>
          <w:ilvl w:val="0"/>
          <w:numId w:val="56"/>
        </w:numPr>
        <w:spacing w:before="200"/>
        <w:jc w:val="both"/>
        <w:rPr>
          <w:rFonts w:ascii="Times New Roman" w:hAnsi="Times New Roman" w:cs="Times New Roman"/>
          <w:bCs/>
          <w:noProof/>
          <w:sz w:val="24"/>
        </w:rPr>
      </w:pPr>
      <w:r>
        <w:rPr>
          <w:rFonts w:ascii="Times New Roman" w:hAnsi="Times New Roman" w:cs="Times New Roman"/>
          <w:bCs/>
          <w:noProof/>
          <w:sz w:val="24"/>
        </w:rPr>
        <w:t>Spain provi</w:t>
      </w:r>
      <w:r>
        <w:rPr>
          <w:rFonts w:ascii="Times New Roman" w:hAnsi="Times New Roman" w:cs="Times New Roman"/>
          <w:bCs/>
          <w:noProof/>
          <w:sz w:val="24"/>
        </w:rPr>
        <w:t xml:space="preserve">des for full reimbursement. Spanish law distinguishes however between statutory (e.g. attorneys’ fees established by law and court costs) and non-statutory costs (e.g. expert costs). The rule for full reimbursement applies only to the statutory costs. </w:t>
      </w:r>
    </w:p>
    <w:p w:rsidR="00EB6A7B" w:rsidRDefault="001E7ACC">
      <w:pPr>
        <w:rPr>
          <w:rFonts w:ascii="Times New Roman" w:hAnsi="Times New Roman" w:cs="Times New Roman"/>
          <w:noProof/>
        </w:rPr>
      </w:pPr>
      <w:r>
        <w:rPr>
          <w:rFonts w:ascii="Times New Roman" w:hAnsi="Times New Roman" w:cs="Times New Roman"/>
          <w:noProof/>
        </w:rPr>
        <w:br w:type="page"/>
      </w:r>
    </w:p>
    <w:p w:rsidR="00EB6A7B" w:rsidRDefault="001E7ACC">
      <w:pPr>
        <w:pStyle w:val="Heading1"/>
        <w:numPr>
          <w:ilvl w:val="0"/>
          <w:numId w:val="0"/>
        </w:numPr>
        <w:spacing w:line="276" w:lineRule="auto"/>
        <w:ind w:left="1134" w:hanging="1134"/>
        <w:rPr>
          <w:noProof/>
        </w:rPr>
      </w:pPr>
      <w:bookmarkStart w:id="137" w:name="_Toc498521080"/>
      <w:r>
        <w:rPr>
          <w:noProof/>
        </w:rPr>
        <w:t>A</w:t>
      </w:r>
      <w:r>
        <w:rPr>
          <w:noProof/>
        </w:rPr>
        <w:t>NNEX IV: CONTEXT</w:t>
      </w:r>
      <w:bookmarkEnd w:id="137"/>
    </w:p>
    <w:p w:rsidR="00EB6A7B" w:rsidRDefault="001E7ACC">
      <w:pPr>
        <w:pStyle w:val="ListParagraph"/>
        <w:numPr>
          <w:ilvl w:val="0"/>
          <w:numId w:val="60"/>
        </w:numPr>
        <w:spacing w:before="120" w:after="120"/>
        <w:ind w:left="284" w:hanging="284"/>
        <w:contextualSpacing w:val="0"/>
        <w:jc w:val="both"/>
        <w:rPr>
          <w:rFonts w:ascii="Times New Roman" w:hAnsi="Times New Roman" w:cs="Times New Roman"/>
          <w:b/>
          <w:bCs/>
          <w:noProof/>
          <w:sz w:val="24"/>
          <w:szCs w:val="24"/>
        </w:rPr>
      </w:pPr>
      <w:bookmarkStart w:id="138" w:name="JD_EU011_103_1"/>
      <w:bookmarkStart w:id="139" w:name="JD_EU011_104_1"/>
      <w:bookmarkStart w:id="140" w:name="JD_EU011_104_2"/>
      <w:bookmarkStart w:id="141" w:name="_Toc482863551"/>
      <w:bookmarkStart w:id="142" w:name="_Toc482871892"/>
      <w:bookmarkStart w:id="143" w:name="_Toc482871889"/>
      <w:bookmarkEnd w:id="138"/>
      <w:bookmarkEnd w:id="139"/>
      <w:bookmarkEnd w:id="140"/>
      <w:bookmarkEnd w:id="141"/>
      <w:bookmarkEnd w:id="142"/>
      <w:r>
        <w:rPr>
          <w:rFonts w:ascii="Times New Roman" w:hAnsi="Times New Roman" w:cs="Times New Roman"/>
          <w:b/>
          <w:bCs/>
          <w:noProof/>
          <w:sz w:val="24"/>
          <w:szCs w:val="24"/>
        </w:rPr>
        <w:t>Legal context</w:t>
      </w:r>
      <w:bookmarkEnd w:id="143"/>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current EU regulatory framework provides for a number of instruments for the enforcement of IPR. </w:t>
      </w:r>
    </w:p>
    <w:p w:rsidR="00EB6A7B" w:rsidRDefault="001E7ACC">
      <w:pPr>
        <w:spacing w:before="120" w:after="120"/>
        <w:jc w:val="both"/>
        <w:rPr>
          <w:rFonts w:ascii="Times New Roman" w:hAnsi="Times New Roman" w:cs="Times New Roman"/>
          <w:b/>
          <w:bCs/>
          <w:i/>
          <w:noProof/>
          <w:sz w:val="24"/>
          <w:szCs w:val="24"/>
        </w:rPr>
      </w:pPr>
      <w:bookmarkStart w:id="144" w:name="_Toc482871890"/>
      <w:r>
        <w:rPr>
          <w:rFonts w:ascii="Times New Roman" w:hAnsi="Times New Roman" w:cs="Times New Roman"/>
          <w:b/>
          <w:bCs/>
          <w:i/>
          <w:noProof/>
          <w:sz w:val="24"/>
          <w:szCs w:val="24"/>
        </w:rPr>
        <w:t>Directive on the enforcement of intellectual property rights</w:t>
      </w:r>
      <w:bookmarkEnd w:id="144"/>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Directive on the enforcement of intellectual property </w:t>
      </w:r>
      <w:r>
        <w:rPr>
          <w:rFonts w:ascii="Times New Roman" w:hAnsi="Times New Roman" w:cs="Times New Roman"/>
          <w:noProof/>
          <w:sz w:val="24"/>
          <w:szCs w:val="24"/>
        </w:rPr>
        <w:t>rights ("Directive", "Enforcement Directive")</w:t>
      </w:r>
      <w:r>
        <w:rPr>
          <w:rFonts w:ascii="Times New Roman" w:hAnsi="Times New Roman" w:cs="Times New Roman"/>
          <w:noProof/>
          <w:sz w:val="24"/>
          <w:szCs w:val="24"/>
          <w:vertAlign w:val="superscript"/>
        </w:rPr>
        <w:footnoteReference w:id="125"/>
      </w:r>
      <w:r>
        <w:rPr>
          <w:rFonts w:ascii="Times New Roman" w:hAnsi="Times New Roman" w:cs="Times New Roman"/>
          <w:noProof/>
          <w:sz w:val="24"/>
          <w:szCs w:val="24"/>
        </w:rPr>
        <w:t xml:space="preserve"> provides for measures, procedures and remedies for the enforcement of IPR in civil law proceedings (civil remedies) and covers all types of IPR provided for by EU law and/or by the national law of the Member S</w:t>
      </w:r>
      <w:r>
        <w:rPr>
          <w:rFonts w:ascii="Times New Roman" w:hAnsi="Times New Roman" w:cs="Times New Roman"/>
          <w:noProof/>
          <w:sz w:val="24"/>
          <w:szCs w:val="24"/>
        </w:rPr>
        <w:t>tate</w:t>
      </w:r>
      <w:r>
        <w:rPr>
          <w:rFonts w:ascii="Times New Roman" w:hAnsi="Times New Roman" w:cs="Times New Roman"/>
          <w:noProof/>
          <w:sz w:val="24"/>
          <w:szCs w:val="24"/>
          <w:vertAlign w:val="superscript"/>
        </w:rPr>
        <w:footnoteReference w:id="126"/>
      </w:r>
      <w:r>
        <w:rPr>
          <w:rFonts w:ascii="Times New Roman" w:hAnsi="Times New Roman" w:cs="Times New Roman"/>
          <w:noProof/>
          <w:sz w:val="24"/>
          <w:szCs w:val="24"/>
        </w:rPr>
        <w:t>. While the objective of the Directive is to approximate legislative systems so as to ensure a high, equivalent and homogeneous level of protection in the internal market (Recital 10), it only contains minimum harmonisation rules, in the sense that th</w:t>
      </w:r>
      <w:r>
        <w:rPr>
          <w:rFonts w:ascii="Times New Roman" w:hAnsi="Times New Roman" w:cs="Times New Roman"/>
          <w:noProof/>
          <w:sz w:val="24"/>
          <w:szCs w:val="24"/>
        </w:rPr>
        <w:t>e Directive is without prejudice to the means which are or may be provided for in EU or national legislation, in so far as those means may be more favourable for rightholders (Article 2(1)). Within this context the Directive aims to approximate the measure</w:t>
      </w:r>
      <w:r>
        <w:rPr>
          <w:rFonts w:ascii="Times New Roman" w:hAnsi="Times New Roman" w:cs="Times New Roman"/>
          <w:noProof/>
          <w:sz w:val="24"/>
          <w:szCs w:val="24"/>
        </w:rPr>
        <w:t>s, procedures and remedies necessary to ensure the enforcement of intellectual property rights (Article 1). This includes general obligations and specific provisions on legal standing, evidence, interlocutory measures, seizures and injunctions, damages and</w:t>
      </w:r>
      <w:r>
        <w:rPr>
          <w:rFonts w:ascii="Times New Roman" w:hAnsi="Times New Roman" w:cs="Times New Roman"/>
          <w:noProof/>
          <w:sz w:val="24"/>
          <w:szCs w:val="24"/>
        </w:rPr>
        <w:t xml:space="preserve"> legal costs and judicial publication.</w:t>
      </w:r>
    </w:p>
    <w:p w:rsidR="00EB6A7B" w:rsidRDefault="001E7ACC">
      <w:pPr>
        <w:spacing w:before="120" w:after="120"/>
        <w:jc w:val="both"/>
        <w:rPr>
          <w:rFonts w:ascii="Times New Roman" w:hAnsi="Times New Roman" w:cs="Times New Roman"/>
          <w:b/>
          <w:bCs/>
          <w:i/>
          <w:noProof/>
          <w:sz w:val="24"/>
          <w:szCs w:val="24"/>
        </w:rPr>
      </w:pPr>
      <w:bookmarkStart w:id="145" w:name="_Toc482871891"/>
      <w:r>
        <w:rPr>
          <w:rFonts w:ascii="Times New Roman" w:hAnsi="Times New Roman" w:cs="Times New Roman"/>
          <w:b/>
          <w:bCs/>
          <w:i/>
          <w:noProof/>
          <w:sz w:val="24"/>
          <w:szCs w:val="24"/>
        </w:rPr>
        <w:t>Other IP enforcement related instruments</w:t>
      </w:r>
      <w:bookmarkEnd w:id="145"/>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Secondly, instruments of substantive EU IP law can also contain enforcement-related provisions.</w:t>
      </w:r>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Directive complements Article 8 of the Information Society Directive</w:t>
      </w:r>
      <w:r>
        <w:rPr>
          <w:rFonts w:ascii="Times New Roman" w:hAnsi="Times New Roman" w:cs="Times New Roman"/>
          <w:noProof/>
          <w:sz w:val="24"/>
          <w:szCs w:val="24"/>
          <w:vertAlign w:val="superscript"/>
        </w:rPr>
        <w:footnoteReference w:id="127"/>
      </w:r>
      <w:r>
        <w:rPr>
          <w:rFonts w:ascii="Times New Roman" w:hAnsi="Times New Roman" w:cs="Times New Roman"/>
          <w:noProof/>
          <w:sz w:val="24"/>
          <w:szCs w:val="24"/>
        </w:rPr>
        <w:t xml:space="preserve"> as reg</w:t>
      </w:r>
      <w:r>
        <w:rPr>
          <w:rFonts w:ascii="Times New Roman" w:hAnsi="Times New Roman" w:cs="Times New Roman"/>
          <w:noProof/>
          <w:sz w:val="24"/>
          <w:szCs w:val="24"/>
        </w:rPr>
        <w:t xml:space="preserve">ards copyright, which sets out that Member States shall provide appropriate sanctions and remedies in respect of infringements of the rights and obligations set out in this Directive and shall take all the measures necessary to ensure that those sanctions </w:t>
      </w:r>
      <w:r>
        <w:rPr>
          <w:rFonts w:ascii="Times New Roman" w:hAnsi="Times New Roman" w:cs="Times New Roman"/>
          <w:noProof/>
          <w:sz w:val="24"/>
          <w:szCs w:val="24"/>
        </w:rPr>
        <w:t>and remedies are applied. The sanctions thus provided for shall be effective, proportionate and dissuasive. It also establishes that each Member State shall take the measures necessary to ensure that rightholders whose interests are affected by an infringi</w:t>
      </w:r>
      <w:r>
        <w:rPr>
          <w:rFonts w:ascii="Times New Roman" w:hAnsi="Times New Roman" w:cs="Times New Roman"/>
          <w:noProof/>
          <w:sz w:val="24"/>
          <w:szCs w:val="24"/>
        </w:rPr>
        <w:t>ng activity carried out on its territory can bring an action for damages and/or apply for an injunction and, where appropriate, for the seizure of infringing material, devices, products or components, and shall ensure that rightholders are in a position to</w:t>
      </w:r>
      <w:r>
        <w:rPr>
          <w:rFonts w:ascii="Times New Roman" w:hAnsi="Times New Roman" w:cs="Times New Roman"/>
          <w:noProof/>
          <w:sz w:val="24"/>
          <w:szCs w:val="24"/>
        </w:rPr>
        <w:t xml:space="preserve"> apply for an injunction against intermediaries whose services are used by a third party to infringe a copyright or related right.</w:t>
      </w:r>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Community Design Regulation</w:t>
      </w:r>
      <w:r>
        <w:rPr>
          <w:rStyle w:val="FootnoteReference"/>
          <w:rFonts w:ascii="Times New Roman" w:hAnsi="Times New Roman" w:cs="Times New Roman"/>
          <w:noProof/>
          <w:sz w:val="24"/>
          <w:szCs w:val="24"/>
        </w:rPr>
        <w:footnoteReference w:id="128"/>
      </w:r>
      <w:r>
        <w:rPr>
          <w:rFonts w:ascii="Times New Roman" w:hAnsi="Times New Roman" w:cs="Times New Roman"/>
          <w:noProof/>
          <w:sz w:val="24"/>
          <w:szCs w:val="24"/>
        </w:rPr>
        <w:t xml:space="preserve"> and the European Union Trade Mark Regulation</w:t>
      </w:r>
      <w:r>
        <w:rPr>
          <w:rFonts w:ascii="Times New Roman" w:hAnsi="Times New Roman" w:cs="Times New Roman"/>
          <w:noProof/>
          <w:sz w:val="24"/>
          <w:szCs w:val="24"/>
          <w:vertAlign w:val="superscript"/>
        </w:rPr>
        <w:footnoteReference w:id="129"/>
      </w:r>
      <w:r>
        <w:rPr>
          <w:rFonts w:ascii="Times New Roman" w:hAnsi="Times New Roman" w:cs="Times New Roman"/>
          <w:noProof/>
          <w:sz w:val="24"/>
          <w:szCs w:val="24"/>
        </w:rPr>
        <w:t xml:space="preserve"> contain rather detailed rules on the designati</w:t>
      </w:r>
      <w:r>
        <w:rPr>
          <w:rFonts w:ascii="Times New Roman" w:hAnsi="Times New Roman" w:cs="Times New Roman"/>
          <w:noProof/>
          <w:sz w:val="24"/>
          <w:szCs w:val="24"/>
        </w:rPr>
        <w:t xml:space="preserve">on of specialised national courts, applicable law, jurisdiction, sanctions and provisional and protective measures. </w:t>
      </w:r>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Official Food and Feed Control Regulation</w:t>
      </w:r>
      <w:r>
        <w:rPr>
          <w:rStyle w:val="FootnoteReference"/>
          <w:noProof/>
          <w:sz w:val="20"/>
          <w:szCs w:val="20"/>
        </w:rPr>
        <w:footnoteReference w:id="130"/>
      </w:r>
      <w:r>
        <w:rPr>
          <w:rFonts w:ascii="Times New Roman" w:hAnsi="Times New Roman" w:cs="Times New Roman"/>
          <w:noProof/>
          <w:sz w:val="24"/>
          <w:szCs w:val="24"/>
        </w:rPr>
        <w:t xml:space="preserve"> is relevant to the enforcement of GIs through market surveillance and controls on production</w:t>
      </w:r>
      <w:r>
        <w:rPr>
          <w:rFonts w:ascii="Times New Roman" w:hAnsi="Times New Roman" w:cs="Times New Roman"/>
          <w:noProof/>
          <w:sz w:val="24"/>
          <w:szCs w:val="24"/>
        </w:rPr>
        <w:t xml:space="preserve"> of agricultural products and foodstuffs, including correct deployment of GIs.</w:t>
      </w:r>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Council Regulation 2100/94 on community plant variety rights contains rules on the entitlement to bring an action for infringement and right of any person enjoying exploitation </w:t>
      </w:r>
      <w:r>
        <w:rPr>
          <w:rFonts w:ascii="Times New Roman" w:hAnsi="Times New Roman" w:cs="Times New Roman"/>
          <w:noProof/>
          <w:sz w:val="24"/>
          <w:szCs w:val="24"/>
        </w:rPr>
        <w:t>rights to intervene in an infringement action for the purpose of obtaining compensation for damage suffered. Pursuant to the implementing rules, there is, moreover, an obligation to pay damages covering at least a lump sum calculated on the basis of the qu</w:t>
      </w:r>
      <w:r>
        <w:rPr>
          <w:rFonts w:ascii="Times New Roman" w:hAnsi="Times New Roman" w:cs="Times New Roman"/>
          <w:noProof/>
          <w:sz w:val="24"/>
          <w:szCs w:val="24"/>
        </w:rPr>
        <w:t>adruple average amount charged for the licensed production of a corresponding quantity in certain cases of repeated and intentional non-compliance</w:t>
      </w:r>
      <w:r>
        <w:rPr>
          <w:rFonts w:ascii="Times New Roman" w:hAnsi="Times New Roman" w:cs="Times New Roman"/>
          <w:noProof/>
          <w:sz w:val="24"/>
          <w:szCs w:val="24"/>
          <w:vertAlign w:val="superscript"/>
        </w:rPr>
        <w:footnoteReference w:id="131"/>
      </w:r>
      <w:r>
        <w:rPr>
          <w:rFonts w:ascii="Times New Roman" w:hAnsi="Times New Roman" w:cs="Times New Roman"/>
          <w:noProof/>
          <w:sz w:val="24"/>
          <w:szCs w:val="24"/>
        </w:rPr>
        <w:t>.</w:t>
      </w:r>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Article 7 of the Directive 2009/24 on the legal protection of computer programs establishes that Member Sta</w:t>
      </w:r>
      <w:r>
        <w:rPr>
          <w:rFonts w:ascii="Times New Roman" w:hAnsi="Times New Roman" w:cs="Times New Roman"/>
          <w:noProof/>
          <w:sz w:val="24"/>
          <w:szCs w:val="24"/>
        </w:rPr>
        <w:t>tes shall provide, in accordance with their national legislation, appropriate remedies against a person committing certain acts related to the circulation or possession of infringing copies or means of technological circumvention of computer programs. The </w:t>
      </w:r>
      <w:r>
        <w:rPr>
          <w:rFonts w:ascii="Times New Roman" w:hAnsi="Times New Roman" w:cs="Times New Roman"/>
          <w:noProof/>
          <w:sz w:val="24"/>
          <w:szCs w:val="24"/>
        </w:rPr>
        <w:t xml:space="preserve">seizure of infringing copies of computer programs is also provided for in accordance with the legislation of the Member State concerned. </w:t>
      </w:r>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Article 12 of the Directive 96/9 on the legal protection of databases establishes that Member States shall provide app</w:t>
      </w:r>
      <w:r>
        <w:rPr>
          <w:rFonts w:ascii="Times New Roman" w:hAnsi="Times New Roman" w:cs="Times New Roman"/>
          <w:noProof/>
          <w:sz w:val="24"/>
          <w:szCs w:val="24"/>
        </w:rPr>
        <w:t>ropriate remedies in respect of infringements of the rights provided for in this Directive.</w:t>
      </w:r>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Directive should further be understood against the background of certain other provisions of EU law that can have an impact on the enforcement of intellectual p</w:t>
      </w:r>
      <w:r>
        <w:rPr>
          <w:rFonts w:ascii="Times New Roman" w:hAnsi="Times New Roman" w:cs="Times New Roman"/>
          <w:noProof/>
          <w:sz w:val="24"/>
          <w:szCs w:val="24"/>
        </w:rPr>
        <w:t>roperty rights. Regulation 608/2013</w:t>
      </w:r>
      <w:r>
        <w:rPr>
          <w:rFonts w:ascii="Times New Roman" w:hAnsi="Times New Roman" w:cs="Times New Roman"/>
          <w:noProof/>
          <w:sz w:val="24"/>
          <w:szCs w:val="24"/>
          <w:vertAlign w:val="superscript"/>
        </w:rPr>
        <w:footnoteReference w:id="132"/>
      </w:r>
      <w:r>
        <w:rPr>
          <w:rFonts w:ascii="Times New Roman" w:hAnsi="Times New Roman" w:cs="Times New Roman"/>
          <w:noProof/>
          <w:sz w:val="24"/>
          <w:szCs w:val="24"/>
        </w:rPr>
        <w:t xml:space="preserve"> (“Customs Enforcement Regulation”) provides, for instance, the basis for cooperation between private parties holding IPRs and the customs authorities of the Member States. The e-Commerce Directive</w:t>
      </w:r>
      <w:r>
        <w:rPr>
          <w:rFonts w:ascii="Times New Roman" w:hAnsi="Times New Roman" w:cs="Times New Roman"/>
          <w:noProof/>
          <w:sz w:val="24"/>
          <w:szCs w:val="24"/>
          <w:vertAlign w:val="superscript"/>
        </w:rPr>
        <w:footnoteReference w:id="133"/>
      </w:r>
      <w:r>
        <w:rPr>
          <w:rFonts w:ascii="Times New Roman" w:hAnsi="Times New Roman" w:cs="Times New Roman"/>
          <w:noProof/>
          <w:sz w:val="24"/>
          <w:szCs w:val="24"/>
        </w:rPr>
        <w:t xml:space="preserve"> also contains rules t</w:t>
      </w:r>
      <w:r>
        <w:rPr>
          <w:rFonts w:ascii="Times New Roman" w:hAnsi="Times New Roman" w:cs="Times New Roman"/>
          <w:noProof/>
          <w:sz w:val="24"/>
          <w:szCs w:val="24"/>
        </w:rPr>
        <w:t>hat can be relevant in the context of IPR enforcement, especially in relation to liability of online intermediaries in relation to IPRs' infringements.</w:t>
      </w:r>
    </w:p>
    <w:p w:rsidR="00EB6A7B" w:rsidRDefault="001E7ACC">
      <w:pPr>
        <w:spacing w:before="120" w:after="120"/>
        <w:jc w:val="both"/>
        <w:rPr>
          <w:rFonts w:ascii="Times New Roman" w:hAnsi="Times New Roman" w:cs="Times New Roman"/>
          <w:b/>
          <w:i/>
          <w:noProof/>
          <w:sz w:val="24"/>
          <w:szCs w:val="24"/>
        </w:rPr>
      </w:pPr>
      <w:r>
        <w:rPr>
          <w:rFonts w:ascii="Times New Roman" w:hAnsi="Times New Roman" w:cs="Times New Roman"/>
          <w:b/>
          <w:i/>
          <w:noProof/>
          <w:sz w:val="24"/>
          <w:szCs w:val="24"/>
        </w:rPr>
        <w:t>International context</w:t>
      </w:r>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It is necessary to take into account the international context for IPR </w:t>
      </w:r>
      <w:r>
        <w:rPr>
          <w:rFonts w:ascii="Times New Roman" w:hAnsi="Times New Roman" w:cs="Times New Roman"/>
          <w:noProof/>
          <w:sz w:val="24"/>
          <w:szCs w:val="24"/>
        </w:rPr>
        <w:t>enforcement, notably the work carried out by the Commission in the context of multilateral efforts to improve the international IPR framework, including by leveraging high-level trade and political dialogues to ensure progress on identified IPR issues, pro</w:t>
      </w:r>
      <w:r>
        <w:rPr>
          <w:rFonts w:ascii="Times New Roman" w:hAnsi="Times New Roman" w:cs="Times New Roman"/>
          <w:noProof/>
          <w:sz w:val="24"/>
          <w:szCs w:val="24"/>
        </w:rPr>
        <w:t>moting the ratification of relevant IPR treaties by all EU Member States and ensuring that the IPR chapters in bilateral trade agreements offer adequate and efficient protection for rightholders and address key weaknesses in partner Member States' IPR syst</w:t>
      </w:r>
      <w:r>
        <w:rPr>
          <w:rFonts w:ascii="Times New Roman" w:hAnsi="Times New Roman" w:cs="Times New Roman"/>
          <w:noProof/>
          <w:sz w:val="24"/>
          <w:szCs w:val="24"/>
        </w:rPr>
        <w:t>ems while calibrating commitments to third countries’ level of development.</w:t>
      </w:r>
    </w:p>
    <w:p w:rsidR="00EB6A7B" w:rsidRDefault="001E7ACC">
      <w:pPr>
        <w:jc w:val="both"/>
        <w:rPr>
          <w:rFonts w:ascii="Times New Roman" w:hAnsi="Times New Roman" w:cs="Times New Roman"/>
          <w:noProof/>
          <w:sz w:val="24"/>
          <w:szCs w:val="24"/>
          <w:lang w:val="en"/>
        </w:rPr>
      </w:pPr>
      <w:r>
        <w:rPr>
          <w:rFonts w:ascii="Times New Roman" w:hAnsi="Times New Roman" w:cs="Times New Roman"/>
          <w:noProof/>
          <w:sz w:val="24"/>
          <w:szCs w:val="24"/>
          <w:lang w:val="en"/>
        </w:rPr>
        <w:t>The substantive rules on the protection of specific intellectual property rights were introduced by number of international agreements such as the Conventions of Paris (1883), Bern</w:t>
      </w:r>
      <w:r>
        <w:rPr>
          <w:rFonts w:ascii="Times New Roman" w:hAnsi="Times New Roman" w:cs="Times New Roman"/>
          <w:noProof/>
          <w:sz w:val="24"/>
          <w:szCs w:val="24"/>
          <w:lang w:val="en"/>
        </w:rPr>
        <w:t>e (1886), and Rome (1961). Conventions containing provisions indirectly requiring appropriate enforcement measures in any country that is a party to these conventions. However, these conventions leave it basically to these countries to provide for enforcem</w:t>
      </w:r>
      <w:r>
        <w:rPr>
          <w:rFonts w:ascii="Times New Roman" w:hAnsi="Times New Roman" w:cs="Times New Roman"/>
          <w:noProof/>
          <w:sz w:val="24"/>
          <w:szCs w:val="24"/>
          <w:lang w:val="en"/>
        </w:rPr>
        <w:t>ent provisions.</w:t>
      </w:r>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Agreement on Trade-Related Aspects of Intellectual Property Rights (“TRIPS Agreement”) is especially relevant. This Agreement was concluded in the context of the WTO and is applicable to all WTO members, including the EU and all its Mem</w:t>
      </w:r>
      <w:r>
        <w:rPr>
          <w:rFonts w:ascii="Times New Roman" w:hAnsi="Times New Roman" w:cs="Times New Roman"/>
          <w:noProof/>
          <w:sz w:val="24"/>
          <w:szCs w:val="24"/>
        </w:rPr>
        <w:t>ber States. Apart from setting out general obligations and certain substantive rules on the protection of IPR, it also contains rules on the enforcement of IPR by private parties. The Directive is based on the TRIPS provisions, since it was one of the meas</w:t>
      </w:r>
      <w:r>
        <w:rPr>
          <w:rFonts w:ascii="Times New Roman" w:hAnsi="Times New Roman" w:cs="Times New Roman"/>
          <w:noProof/>
          <w:sz w:val="24"/>
          <w:szCs w:val="24"/>
        </w:rPr>
        <w:t>ures through which the EU gave effect to its obligations under the TRIPS Agreement and this connection was noted in the Commission's explanatory memorandum to its proposal of the Directive.</w:t>
      </w:r>
    </w:p>
    <w:p w:rsidR="00EB6A7B" w:rsidRDefault="001E7ACC">
      <w:pPr>
        <w:pStyle w:val="ListParagraph"/>
        <w:numPr>
          <w:ilvl w:val="0"/>
          <w:numId w:val="60"/>
        </w:numPr>
        <w:spacing w:before="120" w:after="120"/>
        <w:ind w:left="284" w:hanging="284"/>
        <w:contextualSpacing w:val="0"/>
        <w:jc w:val="both"/>
        <w:rPr>
          <w:rFonts w:ascii="Times New Roman" w:hAnsi="Times New Roman" w:cs="Times New Roman"/>
          <w:b/>
          <w:bCs/>
          <w:noProof/>
          <w:sz w:val="24"/>
          <w:szCs w:val="24"/>
        </w:rPr>
      </w:pPr>
      <w:r>
        <w:rPr>
          <w:rFonts w:ascii="Times New Roman" w:hAnsi="Times New Roman" w:cs="Times New Roman"/>
          <w:b/>
          <w:bCs/>
          <w:noProof/>
          <w:sz w:val="24"/>
          <w:szCs w:val="24"/>
        </w:rPr>
        <w:t>Economic context</w:t>
      </w:r>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Intellectual property rights in their different </w:t>
      </w:r>
      <w:r>
        <w:rPr>
          <w:rFonts w:ascii="Times New Roman" w:hAnsi="Times New Roman" w:cs="Times New Roman"/>
          <w:noProof/>
          <w:sz w:val="24"/>
          <w:szCs w:val="24"/>
        </w:rPr>
        <w:t>forms are important assets allowing the EU companies to grow. About half of the EU industries are IPR-intensive</w:t>
      </w:r>
      <w:r>
        <w:rPr>
          <w:rStyle w:val="FootnoteReference"/>
          <w:rFonts w:ascii="Times New Roman" w:hAnsi="Times New Roman" w:cs="Times New Roman"/>
          <w:noProof/>
          <w:sz w:val="24"/>
          <w:szCs w:val="24"/>
        </w:rPr>
        <w:footnoteReference w:id="134"/>
      </w:r>
      <w:r>
        <w:rPr>
          <w:rFonts w:ascii="Times New Roman" w:hAnsi="Times New Roman" w:cs="Times New Roman"/>
          <w:noProof/>
          <w:sz w:val="24"/>
          <w:szCs w:val="24"/>
        </w:rPr>
        <w:t>. The European Union Intellectual Property Office ("EUIPO") has estimated that IPR-intensive sectors account for 39% of EU GDP and 35% of all jo</w:t>
      </w:r>
      <w:r>
        <w:rPr>
          <w:rFonts w:ascii="Times New Roman" w:hAnsi="Times New Roman" w:cs="Times New Roman"/>
          <w:noProof/>
          <w:sz w:val="24"/>
          <w:szCs w:val="24"/>
        </w:rPr>
        <w:t>bs</w:t>
      </w:r>
      <w:r>
        <w:rPr>
          <w:rFonts w:ascii="Times New Roman" w:hAnsi="Times New Roman" w:cs="Times New Roman"/>
          <w:noProof/>
          <w:sz w:val="24"/>
          <w:szCs w:val="24"/>
          <w:vertAlign w:val="superscript"/>
        </w:rPr>
        <w:footnoteReference w:id="135"/>
      </w:r>
      <w:r>
        <w:rPr>
          <w:rFonts w:ascii="Times New Roman" w:hAnsi="Times New Roman" w:cs="Times New Roman"/>
          <w:noProof/>
          <w:sz w:val="24"/>
          <w:szCs w:val="24"/>
        </w:rPr>
        <w:t>. Companies that own IPRs perform better in economic terms than those that do not</w:t>
      </w:r>
      <w:r>
        <w:rPr>
          <w:rFonts w:ascii="Times New Roman" w:hAnsi="Times New Roman" w:cs="Times New Roman"/>
          <w:noProof/>
          <w:sz w:val="24"/>
          <w:szCs w:val="24"/>
          <w:vertAlign w:val="superscript"/>
        </w:rPr>
        <w:footnoteReference w:id="136"/>
      </w:r>
      <w:r>
        <w:rPr>
          <w:rFonts w:ascii="Times New Roman" w:hAnsi="Times New Roman" w:cs="Times New Roman"/>
          <w:noProof/>
          <w:sz w:val="24"/>
          <w:szCs w:val="24"/>
        </w:rPr>
        <w:t>. However, large companies are four times more likely to own IP rights than smaller companies; 40% of larger firms have registered rights, compared with 9% of SMEs</w:t>
      </w:r>
      <w:r>
        <w:rPr>
          <w:rStyle w:val="FootnoteReference"/>
          <w:rFonts w:ascii="Times New Roman" w:hAnsi="Times New Roman" w:cs="Times New Roman"/>
          <w:noProof/>
          <w:sz w:val="24"/>
          <w:szCs w:val="24"/>
        </w:rPr>
        <w:footnoteReference w:id="137"/>
      </w:r>
      <w:r>
        <w:rPr>
          <w:rFonts w:ascii="Times New Roman" w:hAnsi="Times New Roman" w:cs="Times New Roman"/>
          <w:noProof/>
          <w:sz w:val="24"/>
          <w:szCs w:val="24"/>
        </w:rPr>
        <w:t>. The r</w:t>
      </w:r>
      <w:r>
        <w:rPr>
          <w:rFonts w:ascii="Times New Roman" w:hAnsi="Times New Roman" w:cs="Times New Roman"/>
          <w:noProof/>
          <w:sz w:val="24"/>
          <w:szCs w:val="24"/>
        </w:rPr>
        <w:t xml:space="preserve">esults further demonstrate that businesses that own IPRs generate more revenue per employee than those that do not, have more employees and pay higher salaries to their workers and that this relationship is particularly strong for SMEs. </w:t>
      </w:r>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However, these pos</w:t>
      </w:r>
      <w:r>
        <w:rPr>
          <w:rFonts w:ascii="Times New Roman" w:hAnsi="Times New Roman" w:cs="Times New Roman"/>
          <w:noProof/>
          <w:sz w:val="24"/>
          <w:szCs w:val="24"/>
        </w:rPr>
        <w:t>itive achievements of IP need to be seen in the context of increasing levels of IPRs' infringements. IP-infringing activities, in particular those carried out on a commercial scale (where the infringer makes money on the back of the rightholder's investmen</w:t>
      </w:r>
      <w:r>
        <w:rPr>
          <w:rFonts w:ascii="Times New Roman" w:hAnsi="Times New Roman" w:cs="Times New Roman"/>
          <w:noProof/>
          <w:sz w:val="24"/>
          <w:szCs w:val="24"/>
        </w:rPr>
        <w:t>t), dissuade investment in innovation, undermine job creation and put consumers and businesses at risk. A recent study demonstrated that trade in counterfeit and pirated goods amounted to up to 2.5 % of world trade</w:t>
      </w:r>
      <w:r>
        <w:rPr>
          <w:rFonts w:ascii="Times New Roman" w:hAnsi="Times New Roman" w:cs="Times New Roman"/>
          <w:noProof/>
        </w:rPr>
        <w:t xml:space="preserve"> </w:t>
      </w:r>
      <w:r>
        <w:rPr>
          <w:rFonts w:ascii="Times New Roman" w:hAnsi="Times New Roman" w:cs="Times New Roman"/>
          <w:noProof/>
          <w:sz w:val="24"/>
          <w:szCs w:val="24"/>
        </w:rPr>
        <w:t>or as much as USD 461 billion in 2013 (co</w:t>
      </w:r>
      <w:r>
        <w:rPr>
          <w:rFonts w:ascii="Times New Roman" w:hAnsi="Times New Roman" w:cs="Times New Roman"/>
          <w:noProof/>
          <w:sz w:val="24"/>
          <w:szCs w:val="24"/>
        </w:rPr>
        <w:t>mpared with 1,9 % in 2009). This was even higher in the EU context where counterfeit and pirated goods amounted to up to 5 % of imports</w:t>
      </w:r>
      <w:r>
        <w:rPr>
          <w:rFonts w:ascii="Times New Roman" w:hAnsi="Times New Roman" w:cs="Times New Roman"/>
          <w:noProof/>
        </w:rPr>
        <w:t xml:space="preserve"> </w:t>
      </w:r>
      <w:r>
        <w:rPr>
          <w:rFonts w:ascii="Times New Roman" w:hAnsi="Times New Roman" w:cs="Times New Roman"/>
          <w:noProof/>
          <w:sz w:val="24"/>
          <w:szCs w:val="24"/>
        </w:rPr>
        <w:t>or as much as EUR 85 billion</w:t>
      </w:r>
      <w:r>
        <w:rPr>
          <w:rFonts w:ascii="Times New Roman" w:hAnsi="Times New Roman" w:cs="Times New Roman"/>
          <w:noProof/>
          <w:sz w:val="24"/>
          <w:szCs w:val="24"/>
          <w:vertAlign w:val="superscript"/>
        </w:rPr>
        <w:footnoteReference w:id="138"/>
      </w:r>
      <w:r>
        <w:rPr>
          <w:rFonts w:ascii="Times New Roman" w:hAnsi="Times New Roman" w:cs="Times New Roman"/>
          <w:noProof/>
          <w:sz w:val="24"/>
          <w:szCs w:val="24"/>
        </w:rPr>
        <w:t xml:space="preserve">. </w:t>
      </w:r>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Estimating the economic loss attributable to commercial scale IP infringement problem is</w:t>
      </w:r>
      <w:r>
        <w:rPr>
          <w:rFonts w:ascii="Times New Roman" w:hAnsi="Times New Roman" w:cs="Times New Roman"/>
          <w:noProof/>
          <w:sz w:val="24"/>
          <w:szCs w:val="24"/>
        </w:rPr>
        <w:t xml:space="preserve"> difficult, but this negative economic is widely recognised</w:t>
      </w:r>
      <w:r>
        <w:rPr>
          <w:rFonts w:ascii="Times New Roman" w:hAnsi="Times New Roman" w:cs="Times New Roman"/>
          <w:noProof/>
          <w:sz w:val="24"/>
          <w:szCs w:val="24"/>
          <w:vertAlign w:val="superscript"/>
        </w:rPr>
        <w:footnoteReference w:id="139"/>
      </w:r>
      <w:r>
        <w:rPr>
          <w:rFonts w:ascii="Times New Roman" w:hAnsi="Times New Roman" w:cs="Times New Roman"/>
          <w:noProof/>
          <w:sz w:val="24"/>
          <w:szCs w:val="24"/>
        </w:rPr>
        <w:t>. A recent update of a global fraud report surveying around 800 senior executives reported that 37% of their companies found themselves exposed to IP theft</w:t>
      </w:r>
      <w:r>
        <w:rPr>
          <w:rFonts w:ascii="Times New Roman" w:hAnsi="Times New Roman" w:cs="Times New Roman"/>
          <w:noProof/>
          <w:sz w:val="24"/>
          <w:szCs w:val="24"/>
          <w:vertAlign w:val="superscript"/>
        </w:rPr>
        <w:footnoteReference w:id="140"/>
      </w:r>
      <w:r>
        <w:rPr>
          <w:rFonts w:ascii="Times New Roman" w:hAnsi="Times New Roman" w:cs="Times New Roman"/>
          <w:noProof/>
          <w:sz w:val="24"/>
          <w:szCs w:val="24"/>
        </w:rPr>
        <w:t xml:space="preserve">. </w:t>
      </w:r>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At EU level, statistics recently </w:t>
      </w:r>
      <w:r>
        <w:rPr>
          <w:rFonts w:ascii="Times New Roman" w:hAnsi="Times New Roman" w:cs="Times New Roman"/>
          <w:noProof/>
          <w:sz w:val="24"/>
          <w:szCs w:val="24"/>
        </w:rPr>
        <w:t>published by the Commission show a continuation of the trend in the high number of shipments suspected of violating intellectual property rights. Customs authorities across the EU seized an estimated five million more counterfeit items in 2015 than the pre</w:t>
      </w:r>
      <w:r>
        <w:rPr>
          <w:rFonts w:ascii="Times New Roman" w:hAnsi="Times New Roman" w:cs="Times New Roman"/>
          <w:noProof/>
          <w:sz w:val="24"/>
          <w:szCs w:val="24"/>
        </w:rPr>
        <w:t>vious year. More than 40 million products suspected of violating an intellectual property right were detained at the EU's external borders, with a value of nearly €650 million</w:t>
      </w:r>
      <w:r>
        <w:rPr>
          <w:rFonts w:ascii="Times New Roman" w:hAnsi="Times New Roman" w:cs="Times New Roman"/>
          <w:noProof/>
          <w:sz w:val="24"/>
          <w:szCs w:val="24"/>
          <w:vertAlign w:val="superscript"/>
        </w:rPr>
        <w:footnoteReference w:id="141"/>
      </w:r>
      <w:r>
        <w:rPr>
          <w:rFonts w:ascii="Times New Roman" w:hAnsi="Times New Roman" w:cs="Times New Roman"/>
          <w:noProof/>
          <w:sz w:val="24"/>
          <w:szCs w:val="24"/>
        </w:rPr>
        <w:t>. An estimated five million more counterfeit items were detained in 2015 than th</w:t>
      </w:r>
      <w:r>
        <w:rPr>
          <w:rFonts w:ascii="Times New Roman" w:hAnsi="Times New Roman" w:cs="Times New Roman"/>
          <w:noProof/>
          <w:sz w:val="24"/>
          <w:szCs w:val="24"/>
        </w:rPr>
        <w:t>e previous year, meaning that the number of intercepted goods grew by 15% compared to 2014.</w:t>
      </w:r>
      <w:r>
        <w:rPr>
          <w:rFonts w:ascii="Times New Roman" w:hAnsi="Times New Roman" w:cs="Times New Roman"/>
          <w:noProof/>
          <w:sz w:val="24"/>
          <w:szCs w:val="24"/>
          <w:vertAlign w:val="superscript"/>
        </w:rPr>
        <w:footnoteReference w:id="142"/>
      </w:r>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Among SMEs that have registered at least one IPR, almost one in three (31 %) has suffered from IPR infringement. This proportion increases with the size of the SME</w:t>
      </w:r>
      <w:r>
        <w:rPr>
          <w:rFonts w:ascii="Times New Roman" w:hAnsi="Times New Roman" w:cs="Times New Roman"/>
          <w:noProof/>
          <w:sz w:val="24"/>
          <w:szCs w:val="24"/>
        </w:rPr>
        <w:t>, with medium-sized SMEs being affected most (39 %) and micro SMEs suffering least from IPR infringements (24 %).</w:t>
      </w:r>
      <w:r>
        <w:rPr>
          <w:rFonts w:ascii="Times New Roman" w:hAnsi="Times New Roman" w:cs="Times New Roman"/>
          <w:noProof/>
          <w:sz w:val="24"/>
          <w:szCs w:val="24"/>
          <w:vertAlign w:val="superscript"/>
        </w:rPr>
        <w:footnoteReference w:id="143"/>
      </w:r>
      <w:r>
        <w:rPr>
          <w:rFonts w:ascii="Times New Roman" w:hAnsi="Times New Roman" w:cs="Times New Roman"/>
          <w:noProof/>
          <w:sz w:val="24"/>
          <w:szCs w:val="24"/>
        </w:rPr>
        <w:t xml:space="preserve">  </w:t>
      </w:r>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EUIPO in a series of sectorial studies estimated the scope, scale and impact of IPR infringements in the EU</w:t>
      </w:r>
      <w:r>
        <w:rPr>
          <w:rFonts w:ascii="Times New Roman" w:hAnsi="Times New Roman" w:cs="Times New Roman"/>
          <w:noProof/>
          <w:sz w:val="24"/>
          <w:szCs w:val="24"/>
          <w:vertAlign w:val="superscript"/>
        </w:rPr>
        <w:footnoteReference w:id="144"/>
      </w:r>
      <w:r>
        <w:rPr>
          <w:rFonts w:ascii="Times New Roman" w:hAnsi="Times New Roman" w:cs="Times New Roman"/>
          <w:noProof/>
          <w:sz w:val="24"/>
          <w:szCs w:val="24"/>
        </w:rPr>
        <w:t>: More than 12% of sales ar</w:t>
      </w:r>
      <w:r>
        <w:rPr>
          <w:rFonts w:ascii="Times New Roman" w:hAnsi="Times New Roman" w:cs="Times New Roman"/>
          <w:noProof/>
          <w:sz w:val="24"/>
          <w:szCs w:val="24"/>
        </w:rPr>
        <w:t>e lost in sectors such as toys and games or handbags and luggage. The total sales lost due to IPR infringements in nine sectors analysed</w:t>
      </w:r>
      <w:r>
        <w:rPr>
          <w:rFonts w:ascii="Times New Roman" w:hAnsi="Times New Roman" w:cs="Times New Roman"/>
          <w:noProof/>
          <w:sz w:val="24"/>
          <w:szCs w:val="24"/>
          <w:vertAlign w:val="superscript"/>
        </w:rPr>
        <w:footnoteReference w:id="145"/>
      </w:r>
      <w:r>
        <w:rPr>
          <w:rFonts w:ascii="Times New Roman" w:hAnsi="Times New Roman" w:cs="Times New Roman"/>
          <w:noProof/>
          <w:sz w:val="24"/>
          <w:szCs w:val="24"/>
        </w:rPr>
        <w:t xml:space="preserve"> amounted to €35 billion including clothes, accessories and footwear sector sales loss of €17 billion. The damage suffe</w:t>
      </w:r>
      <w:r>
        <w:rPr>
          <w:rFonts w:ascii="Times New Roman" w:hAnsi="Times New Roman" w:cs="Times New Roman"/>
          <w:noProof/>
          <w:sz w:val="24"/>
          <w:szCs w:val="24"/>
        </w:rPr>
        <w:t>red by businesses because of counterfeiting and piracy also has a significant impact on the volume of employment they offer in the EU. According to the EUIPO estimates direct and indirect job losses in nine analysed sectors amounted to more than 786 thousa</w:t>
      </w:r>
      <w:r>
        <w:rPr>
          <w:rFonts w:ascii="Times New Roman" w:hAnsi="Times New Roman" w:cs="Times New Roman"/>
          <w:noProof/>
          <w:sz w:val="24"/>
          <w:szCs w:val="24"/>
        </w:rPr>
        <w:t>nd jobs lost. Counterfeiting and piracy and other IPR infringements also cost the state. First, such activity results in a loss of tax revenue and social contributions. The government revenue lost in the same nine sectors amounted to €14.4 billion.</w:t>
      </w:r>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Industr</w:t>
      </w:r>
      <w:r>
        <w:rPr>
          <w:rFonts w:ascii="Times New Roman" w:hAnsi="Times New Roman" w:cs="Times New Roman"/>
          <w:noProof/>
          <w:sz w:val="24"/>
          <w:szCs w:val="24"/>
        </w:rPr>
        <w:t>y has estimated that, in just one Member State (Spain), in 2016 there were 4.128 billion illegal accesses to content, with a value of 23.294 billion euros and a yearly increase of 6,8% in lost profits by the cultural and content industries amounting to 1.7</w:t>
      </w:r>
      <w:r>
        <w:rPr>
          <w:rFonts w:ascii="Times New Roman" w:hAnsi="Times New Roman" w:cs="Times New Roman"/>
          <w:noProof/>
          <w:sz w:val="24"/>
          <w:szCs w:val="24"/>
        </w:rPr>
        <w:t>83 billion euros</w:t>
      </w:r>
      <w:r>
        <w:rPr>
          <w:rFonts w:ascii="Times New Roman" w:hAnsi="Times New Roman" w:cs="Times New Roman"/>
          <w:noProof/>
          <w:sz w:val="24"/>
          <w:szCs w:val="24"/>
          <w:vertAlign w:val="superscript"/>
        </w:rPr>
        <w:footnoteReference w:id="146"/>
      </w:r>
      <w:r>
        <w:rPr>
          <w:rFonts w:ascii="Times New Roman" w:hAnsi="Times New Roman" w:cs="Times New Roman"/>
          <w:noProof/>
          <w:sz w:val="24"/>
          <w:szCs w:val="24"/>
        </w:rPr>
        <w:t>.</w:t>
      </w:r>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Among SMEs that have registered at least one IPR, almost one in three (31 %) has suffered from IPR infringement. This proportion increases with the size of the SME, with medium-sized SMEs being affected most (39 %) and micro SMEs sufferi</w:t>
      </w:r>
      <w:r>
        <w:rPr>
          <w:rFonts w:ascii="Times New Roman" w:hAnsi="Times New Roman" w:cs="Times New Roman"/>
          <w:noProof/>
          <w:sz w:val="24"/>
          <w:szCs w:val="24"/>
        </w:rPr>
        <w:t>ng least from IPR infringement (24 %).</w:t>
      </w:r>
      <w:r>
        <w:rPr>
          <w:rFonts w:ascii="Times New Roman" w:hAnsi="Times New Roman" w:cs="Times New Roman"/>
          <w:noProof/>
          <w:sz w:val="24"/>
          <w:szCs w:val="24"/>
          <w:vertAlign w:val="superscript"/>
        </w:rPr>
        <w:footnoteReference w:id="147"/>
      </w:r>
      <w:r>
        <w:rPr>
          <w:rFonts w:ascii="Times New Roman" w:hAnsi="Times New Roman" w:cs="Times New Roman"/>
          <w:noProof/>
          <w:sz w:val="24"/>
          <w:szCs w:val="24"/>
        </w:rPr>
        <w:t xml:space="preserve">  </w:t>
      </w:r>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conclusion, IPR infringing activities undermine growth and sustainable job creation by innovative and creative companies in the Internal Market. These same companies (including start-ups) are at the core of the </w:t>
      </w:r>
      <w:r>
        <w:rPr>
          <w:rFonts w:ascii="Times New Roman" w:hAnsi="Times New Roman" w:cs="Times New Roman"/>
          <w:noProof/>
          <w:sz w:val="24"/>
          <w:szCs w:val="24"/>
        </w:rPr>
        <w:t>EU's knowledge based economy and its future competitiveness on the world stage.</w:t>
      </w:r>
    </w:p>
    <w:p w:rsidR="00EB6A7B" w:rsidRDefault="001E7ACC">
      <w:pPr>
        <w:pStyle w:val="ListParagraph"/>
        <w:numPr>
          <w:ilvl w:val="0"/>
          <w:numId w:val="60"/>
        </w:numPr>
        <w:spacing w:before="120" w:after="120"/>
        <w:ind w:left="284" w:hanging="284"/>
        <w:contextualSpacing w:val="0"/>
        <w:jc w:val="both"/>
        <w:rPr>
          <w:rFonts w:ascii="Times New Roman" w:hAnsi="Times New Roman" w:cs="Times New Roman"/>
          <w:b/>
          <w:bCs/>
          <w:noProof/>
          <w:sz w:val="24"/>
          <w:szCs w:val="24"/>
        </w:rPr>
      </w:pPr>
      <w:r>
        <w:rPr>
          <w:rFonts w:ascii="Times New Roman" w:hAnsi="Times New Roman" w:cs="Times New Roman"/>
          <w:b/>
          <w:bCs/>
          <w:noProof/>
          <w:sz w:val="24"/>
          <w:szCs w:val="24"/>
        </w:rPr>
        <w:t>Policy context</w:t>
      </w:r>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Due to the late transposition of the Directive</w:t>
      </w:r>
      <w:r>
        <w:rPr>
          <w:rStyle w:val="FootnoteReference"/>
          <w:rFonts w:ascii="Times New Roman" w:hAnsi="Times New Roman" w:cs="Times New Roman"/>
          <w:noProof/>
          <w:sz w:val="24"/>
          <w:szCs w:val="24"/>
        </w:rPr>
        <w:footnoteReference w:id="148"/>
      </w:r>
      <w:r>
        <w:rPr>
          <w:rFonts w:ascii="Times New Roman" w:hAnsi="Times New Roman" w:cs="Times New Roman"/>
          <w:noProof/>
          <w:sz w:val="24"/>
          <w:szCs w:val="24"/>
        </w:rPr>
        <w:t>, its first evaluation took place in 2010. The 2010 Evaluation Report</w:t>
      </w:r>
      <w:r>
        <w:rPr>
          <w:rFonts w:ascii="Times New Roman" w:hAnsi="Times New Roman" w:cs="Times New Roman"/>
          <w:noProof/>
          <w:sz w:val="24"/>
          <w:szCs w:val="24"/>
          <w:vertAlign w:val="superscript"/>
        </w:rPr>
        <w:footnoteReference w:id="149"/>
      </w:r>
      <w:r>
        <w:rPr>
          <w:rFonts w:ascii="Times New Roman" w:hAnsi="Times New Roman" w:cs="Times New Roman"/>
          <w:noProof/>
          <w:sz w:val="24"/>
          <w:szCs w:val="24"/>
        </w:rPr>
        <w:t xml:space="preserve"> and its accompanying staff working document</w:t>
      </w:r>
      <w:r>
        <w:rPr>
          <w:rFonts w:ascii="Times New Roman" w:hAnsi="Times New Roman" w:cs="Times New Roman"/>
          <w:noProof/>
          <w:sz w:val="24"/>
          <w:szCs w:val="24"/>
          <w:vertAlign w:val="superscript"/>
        </w:rPr>
        <w:footnoteReference w:id="150"/>
      </w:r>
      <w:r>
        <w:rPr>
          <w:rFonts w:ascii="Times New Roman" w:hAnsi="Times New Roman" w:cs="Times New Roman"/>
          <w:noProof/>
          <w:sz w:val="24"/>
          <w:szCs w:val="24"/>
        </w:rPr>
        <w:t xml:space="preserve"> provided an initial indication on the functioning of the Directive. The main conclusion drawn from this first evaluation was that the Directive has had a substantial and positive effect on the protection of intellectual property rights by civil law in Eu</w:t>
      </w:r>
      <w:r>
        <w:rPr>
          <w:rFonts w:ascii="Times New Roman" w:hAnsi="Times New Roman" w:cs="Times New Roman"/>
          <w:noProof/>
          <w:sz w:val="24"/>
          <w:szCs w:val="24"/>
        </w:rPr>
        <w:t xml:space="preserve">rope. </w:t>
      </w:r>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However, the conclusions have also shown that certain provisions of the Directive were construed in different ways in different Member States and this had given rise to different interpretations and applications in practice. It has also become appar</w:t>
      </w:r>
      <w:r>
        <w:rPr>
          <w:rFonts w:ascii="Times New Roman" w:hAnsi="Times New Roman" w:cs="Times New Roman"/>
          <w:noProof/>
          <w:sz w:val="24"/>
          <w:szCs w:val="24"/>
        </w:rPr>
        <w:t>ent that the Directive was not designed with the challenge posed by the Internet to the enforcement of intellectual property rights in mind. In addition, several issues could deserve further attention. Among them, one could mention the use of provisional a</w:t>
      </w:r>
      <w:r>
        <w:rPr>
          <w:rFonts w:ascii="Times New Roman" w:hAnsi="Times New Roman" w:cs="Times New Roman"/>
          <w:noProof/>
          <w:sz w:val="24"/>
          <w:szCs w:val="24"/>
        </w:rPr>
        <w:t>nd precautionary measures such as injunctions, procedures to gather and preserve evidence (including the relationship between the right of information and protection of privacy), clarification of the meaning of various corrective measures, including the co</w:t>
      </w:r>
      <w:r>
        <w:rPr>
          <w:rFonts w:ascii="Times New Roman" w:hAnsi="Times New Roman" w:cs="Times New Roman"/>
          <w:noProof/>
          <w:sz w:val="24"/>
          <w:szCs w:val="24"/>
        </w:rPr>
        <w:t>sts of destruction, and calculation of damages.</w:t>
      </w:r>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With the adoption of the Report, the Commission launched a public consultation with a view to informing the Commission's decisions on any possible future measure and to feed the related impact assessment work</w:t>
      </w:r>
      <w:r>
        <w:rPr>
          <w:rFonts w:ascii="Times New Roman" w:hAnsi="Times New Roman" w:cs="Times New Roman"/>
          <w:noProof/>
          <w:sz w:val="24"/>
          <w:szCs w:val="24"/>
        </w:rPr>
        <w:t>. The deadline for the public consultation expired on 31 March 2011. A public hearing was held in June 2011 and a synthesis document on the responses to the public consultation published in July 2011</w:t>
      </w:r>
      <w:r>
        <w:rPr>
          <w:rStyle w:val="FootnoteReference"/>
          <w:rFonts w:ascii="Times New Roman" w:hAnsi="Times New Roman" w:cs="Times New Roman"/>
          <w:noProof/>
          <w:sz w:val="24"/>
          <w:szCs w:val="24"/>
        </w:rPr>
        <w:footnoteReference w:id="151"/>
      </w:r>
      <w:r>
        <w:rPr>
          <w:rFonts w:ascii="Times New Roman" w:hAnsi="Times New Roman" w:cs="Times New Roman"/>
          <w:noProof/>
          <w:sz w:val="24"/>
          <w:szCs w:val="24"/>
        </w:rPr>
        <w:t>. After this consultation, a conference for Member State</w:t>
      </w:r>
      <w:r>
        <w:rPr>
          <w:rFonts w:ascii="Times New Roman" w:hAnsi="Times New Roman" w:cs="Times New Roman"/>
          <w:noProof/>
          <w:sz w:val="24"/>
          <w:szCs w:val="24"/>
        </w:rPr>
        <w:t>s and stakeholders was held in April 2012, and a public consultation on the efficiency of proceedings and accessibility of measures for the civil enforcement of IPRs was held in 2013. In November 2013 the consultation on the review of the Copyright legal f</w:t>
      </w:r>
      <w:r>
        <w:rPr>
          <w:rFonts w:ascii="Times New Roman" w:hAnsi="Times New Roman" w:cs="Times New Roman"/>
          <w:noProof/>
          <w:sz w:val="24"/>
          <w:szCs w:val="24"/>
        </w:rPr>
        <w:t>ramework took place, and included several questions on enforcement</w:t>
      </w:r>
      <w:r>
        <w:rPr>
          <w:rStyle w:val="FootnoteReference"/>
          <w:rFonts w:ascii="Times New Roman" w:hAnsi="Times New Roman" w:cs="Times New Roman"/>
          <w:noProof/>
          <w:sz w:val="24"/>
          <w:szCs w:val="24"/>
        </w:rPr>
        <w:footnoteReference w:id="152"/>
      </w:r>
      <w:r>
        <w:rPr>
          <w:rFonts w:ascii="Times New Roman" w:hAnsi="Times New Roman" w:cs="Times New Roman"/>
          <w:noProof/>
          <w:sz w:val="24"/>
          <w:szCs w:val="24"/>
        </w:rPr>
        <w:t xml:space="preserve">. </w:t>
      </w:r>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As the above mentioned assessment of the Directive's functioning was being carried out, the Anti-Counterfeiting Trade Agreement (ACTA) was being negotiated. ACTA was a multinational trea</w:t>
      </w:r>
      <w:r>
        <w:rPr>
          <w:rFonts w:ascii="Times New Roman" w:hAnsi="Times New Roman" w:cs="Times New Roman"/>
          <w:noProof/>
          <w:sz w:val="24"/>
          <w:szCs w:val="24"/>
        </w:rPr>
        <w:t>ty on IPR enforcement the negotiation of which proved to be controversial, until first the European Parliament in July 2012 and then the European Commission in December 2012 decided that ACTA should not be signed by the EU. In the wake of these events, the</w:t>
      </w:r>
      <w:r>
        <w:rPr>
          <w:rFonts w:ascii="Times New Roman" w:hAnsi="Times New Roman" w:cs="Times New Roman"/>
          <w:noProof/>
          <w:sz w:val="24"/>
          <w:szCs w:val="24"/>
        </w:rPr>
        <w:t xml:space="preserve"> envisaged plans to review the Directive were postponed for the time being.</w:t>
      </w:r>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In July 2014 the Commission adopted the IPR enforcement Action Plan</w:t>
      </w:r>
      <w:r>
        <w:rPr>
          <w:rFonts w:ascii="Times New Roman" w:hAnsi="Times New Roman" w:cs="Times New Roman"/>
          <w:noProof/>
          <w:sz w:val="24"/>
          <w:szCs w:val="24"/>
          <w:vertAlign w:val="superscript"/>
        </w:rPr>
        <w:footnoteReference w:id="153"/>
      </w:r>
      <w:r>
        <w:rPr>
          <w:rFonts w:ascii="Times New Roman" w:hAnsi="Times New Roman" w:cs="Times New Roman"/>
          <w:noProof/>
          <w:sz w:val="24"/>
          <w:szCs w:val="24"/>
        </w:rPr>
        <w:t>, establishing a new consensus on the enforcement of IPRs through strictly non-legislative measures. With this A</w:t>
      </w:r>
      <w:r>
        <w:rPr>
          <w:rFonts w:ascii="Times New Roman" w:hAnsi="Times New Roman" w:cs="Times New Roman"/>
          <w:noProof/>
          <w:sz w:val="24"/>
          <w:szCs w:val="24"/>
        </w:rPr>
        <w:t>ction Plan the Commission re-orientated its policy for IP enforcement towards a better compliance of IPRs by all economic actors. Rather than penalising the citizen for infringing – often unknowingly – IPRs, the actions set out in this Action Plan pave the</w:t>
      </w:r>
      <w:r>
        <w:rPr>
          <w:rFonts w:ascii="Times New Roman" w:hAnsi="Times New Roman" w:cs="Times New Roman"/>
          <w:noProof/>
          <w:sz w:val="24"/>
          <w:szCs w:val="24"/>
        </w:rPr>
        <w:t xml:space="preserve"> way towards a “follow the money approach”, seeking to deprive commercial scale infringers of the revenue flows that draw them into such activities. However, notwithstanding these measures focusing on commercial scale infringements (such as the development</w:t>
      </w:r>
      <w:r>
        <w:rPr>
          <w:rFonts w:ascii="Times New Roman" w:hAnsi="Times New Roman" w:cs="Times New Roman"/>
          <w:noProof/>
          <w:sz w:val="24"/>
          <w:szCs w:val="24"/>
        </w:rPr>
        <w:t xml:space="preserve"> of voluntary agreements, as already foreseen in the Directive (Article 17)), the question of whether the EU legislative framework for the enforcement of IPR is still fit for purpose was left unanswered. </w:t>
      </w:r>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In response to the Action Plan, the other Instituti</w:t>
      </w:r>
      <w:r>
        <w:rPr>
          <w:rFonts w:ascii="Times New Roman" w:hAnsi="Times New Roman" w:cs="Times New Roman"/>
          <w:noProof/>
          <w:sz w:val="24"/>
          <w:szCs w:val="24"/>
        </w:rPr>
        <w:t>ons called on the Commission to look at this very question.</w:t>
      </w:r>
    </w:p>
    <w:p w:rsidR="00EB6A7B" w:rsidRDefault="001E7ACC">
      <w:pPr>
        <w:spacing w:before="120" w:after="120"/>
        <w:jc w:val="both"/>
        <w:rPr>
          <w:rFonts w:ascii="Times New Roman" w:hAnsi="Times New Roman" w:cs="Times New Roman"/>
          <w:bCs/>
          <w:noProof/>
          <w:sz w:val="24"/>
          <w:szCs w:val="24"/>
        </w:rPr>
      </w:pPr>
      <w:bookmarkStart w:id="146" w:name="_Toc472687408"/>
      <w:r>
        <w:rPr>
          <w:rFonts w:ascii="Times New Roman" w:hAnsi="Times New Roman" w:cs="Times New Roman"/>
          <w:bCs/>
          <w:noProof/>
          <w:sz w:val="24"/>
          <w:szCs w:val="24"/>
        </w:rPr>
        <w:t>The Council recalled</w:t>
      </w:r>
      <w:r>
        <w:rPr>
          <w:rFonts w:ascii="Times New Roman" w:hAnsi="Times New Roman" w:cs="Times New Roman"/>
          <w:bCs/>
          <w:noProof/>
          <w:sz w:val="24"/>
          <w:szCs w:val="24"/>
          <w:vertAlign w:val="superscript"/>
        </w:rPr>
        <w:footnoteReference w:id="154"/>
      </w:r>
      <w:r>
        <w:rPr>
          <w:rFonts w:ascii="Times New Roman" w:hAnsi="Times New Roman" w:cs="Times New Roman"/>
          <w:bCs/>
          <w:noProof/>
          <w:sz w:val="24"/>
          <w:szCs w:val="24"/>
        </w:rPr>
        <w:t xml:space="preserve"> that several other aspects of IPR enforcement not contained in the Action Plan raised questions, including the use of tools available to identify IPR infringers; the role of intermediaries in assisting the fight against IPR infringement; and the allocatio</w:t>
      </w:r>
      <w:r>
        <w:rPr>
          <w:rFonts w:ascii="Times New Roman" w:hAnsi="Times New Roman" w:cs="Times New Roman"/>
          <w:bCs/>
          <w:noProof/>
          <w:sz w:val="24"/>
          <w:szCs w:val="24"/>
        </w:rPr>
        <w:t>n of damages in IPR disputes. The Council encouraged the Commission to consider all possible options to address these matters.</w:t>
      </w:r>
      <w:bookmarkEnd w:id="146"/>
    </w:p>
    <w:p w:rsidR="00EB6A7B" w:rsidRDefault="001E7ACC">
      <w:pPr>
        <w:spacing w:before="120" w:after="120"/>
        <w:jc w:val="both"/>
        <w:rPr>
          <w:rFonts w:ascii="Times New Roman" w:hAnsi="Times New Roman" w:cs="Times New Roman"/>
          <w:bCs/>
          <w:noProof/>
          <w:sz w:val="24"/>
          <w:szCs w:val="24"/>
        </w:rPr>
      </w:pPr>
      <w:bookmarkStart w:id="147" w:name="_Toc472687409"/>
      <w:r>
        <w:rPr>
          <w:rFonts w:ascii="Times New Roman" w:hAnsi="Times New Roman" w:cs="Times New Roman"/>
          <w:bCs/>
          <w:noProof/>
          <w:sz w:val="24"/>
          <w:szCs w:val="24"/>
        </w:rPr>
        <w:t>The European Parliament called</w:t>
      </w:r>
      <w:r>
        <w:rPr>
          <w:rFonts w:ascii="Times New Roman" w:hAnsi="Times New Roman" w:cs="Times New Roman"/>
          <w:bCs/>
          <w:noProof/>
          <w:sz w:val="24"/>
          <w:szCs w:val="24"/>
          <w:vertAlign w:val="superscript"/>
        </w:rPr>
        <w:footnoteReference w:id="155"/>
      </w:r>
      <w:r>
        <w:rPr>
          <w:rFonts w:ascii="Times New Roman" w:hAnsi="Times New Roman" w:cs="Times New Roman"/>
          <w:bCs/>
          <w:noProof/>
          <w:sz w:val="24"/>
          <w:szCs w:val="24"/>
        </w:rPr>
        <w:t xml:space="preserve"> on the Commission to come up with a detailed assessment of the limitations of the current legal f</w:t>
      </w:r>
      <w:r>
        <w:rPr>
          <w:rFonts w:ascii="Times New Roman" w:hAnsi="Times New Roman" w:cs="Times New Roman"/>
          <w:bCs/>
          <w:noProof/>
          <w:sz w:val="24"/>
          <w:szCs w:val="24"/>
        </w:rPr>
        <w:t>ramework as regards online activities and, if appropriate, with proposals for adapting the EU legislative framework to the internet environment.</w:t>
      </w:r>
      <w:bookmarkEnd w:id="147"/>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May 2015 Digital Single Market Strategy (DSM)</w:t>
      </w:r>
      <w:r>
        <w:rPr>
          <w:rFonts w:ascii="Times New Roman" w:hAnsi="Times New Roman" w:cs="Times New Roman"/>
          <w:noProof/>
          <w:sz w:val="24"/>
          <w:szCs w:val="24"/>
          <w:vertAlign w:val="superscript"/>
        </w:rPr>
        <w:footnoteReference w:id="156"/>
      </w:r>
      <w:r>
        <w:rPr>
          <w:rFonts w:ascii="Times New Roman" w:hAnsi="Times New Roman" w:cs="Times New Roman"/>
          <w:noProof/>
          <w:sz w:val="24"/>
          <w:szCs w:val="24"/>
        </w:rPr>
        <w:t xml:space="preserve"> states that "the Commission will make legislative proposals </w:t>
      </w:r>
      <w:r>
        <w:rPr>
          <w:rFonts w:ascii="Times New Roman" w:hAnsi="Times New Roman" w:cs="Times New Roman"/>
          <w:noProof/>
          <w:sz w:val="24"/>
          <w:szCs w:val="24"/>
        </w:rPr>
        <w:t>[…] in 2016 […] modernising enforcement of intellectual property rights, focusing on commercial-scale infringements (the "follow the money" approach) as well as its cross-border applicability, notably with regard to copyright issues". Following the opinion</w:t>
      </w:r>
      <w:r>
        <w:rPr>
          <w:rFonts w:ascii="Times New Roman" w:hAnsi="Times New Roman" w:cs="Times New Roman"/>
          <w:noProof/>
          <w:sz w:val="24"/>
          <w:szCs w:val="24"/>
        </w:rPr>
        <w:t xml:space="preserve"> of the European Parliament, the Commission clarified its intention to modernise this framework in the Single Market Strategy of 28 October 2015</w:t>
      </w:r>
      <w:r>
        <w:rPr>
          <w:rFonts w:ascii="Times New Roman" w:hAnsi="Times New Roman" w:cs="Times New Roman"/>
          <w:i/>
          <w:iCs/>
          <w:noProof/>
          <w:sz w:val="24"/>
          <w:szCs w:val="24"/>
          <w:vertAlign w:val="superscript"/>
        </w:rPr>
        <w:footnoteReference w:id="157"/>
      </w:r>
      <w:r>
        <w:rPr>
          <w:rFonts w:ascii="Times New Roman" w:hAnsi="Times New Roman" w:cs="Times New Roman"/>
          <w:noProof/>
          <w:sz w:val="24"/>
          <w:szCs w:val="24"/>
        </w:rPr>
        <w:t>, making it clear that initiatives to modernise the intellectual property rights framework would be horizontal,</w:t>
      </w:r>
      <w:r>
        <w:rPr>
          <w:rFonts w:ascii="Times New Roman" w:hAnsi="Times New Roman" w:cs="Times New Roman"/>
          <w:noProof/>
          <w:sz w:val="24"/>
          <w:szCs w:val="24"/>
        </w:rPr>
        <w:t xml:space="preserve"> and encompass all types of IPRs privileging a "follow the money" approach to commercial-scale infringements, which would also contribute to promoting a fair Single Market and the fight against fraud.</w:t>
      </w:r>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This intention was also mentioned in the Communication </w:t>
      </w:r>
      <w:r>
        <w:rPr>
          <w:rFonts w:ascii="Times New Roman" w:hAnsi="Times New Roman" w:cs="Times New Roman"/>
          <w:noProof/>
          <w:sz w:val="24"/>
          <w:szCs w:val="24"/>
        </w:rPr>
        <w:t>on a modern, more European copyright framework</w:t>
      </w:r>
      <w:r>
        <w:rPr>
          <w:rFonts w:ascii="Times New Roman" w:hAnsi="Times New Roman" w:cs="Times New Roman"/>
          <w:noProof/>
          <w:sz w:val="24"/>
          <w:szCs w:val="24"/>
          <w:vertAlign w:val="superscript"/>
        </w:rPr>
        <w:footnoteReference w:id="158"/>
      </w:r>
      <w:r>
        <w:rPr>
          <w:rFonts w:ascii="Times New Roman" w:hAnsi="Times New Roman" w:cs="Times New Roman"/>
          <w:noProof/>
          <w:sz w:val="24"/>
          <w:szCs w:val="24"/>
        </w:rPr>
        <w:t xml:space="preserve"> and the Communication on a fair, efficient and competitive European copyright-based economy in the Digital Single Market</w:t>
      </w:r>
      <w:r>
        <w:rPr>
          <w:rFonts w:ascii="Times New Roman" w:hAnsi="Times New Roman" w:cs="Times New Roman"/>
          <w:noProof/>
          <w:sz w:val="24"/>
          <w:szCs w:val="24"/>
          <w:vertAlign w:val="superscript"/>
        </w:rPr>
        <w:footnoteReference w:id="159"/>
      </w:r>
      <w:r>
        <w:rPr>
          <w:rFonts w:ascii="Times New Roman" w:hAnsi="Times New Roman" w:cs="Times New Roman"/>
          <w:noProof/>
          <w:sz w:val="24"/>
          <w:szCs w:val="24"/>
        </w:rPr>
        <w:t>.</w:t>
      </w:r>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As a result, on 9 December 2015 the Commission has launched public consultation</w:t>
      </w:r>
      <w:r>
        <w:rPr>
          <w:rFonts w:ascii="Times New Roman" w:hAnsi="Times New Roman" w:cs="Times New Roman"/>
          <w:noProof/>
        </w:rPr>
        <w:t xml:space="preserve"> </w:t>
      </w:r>
      <w:r>
        <w:rPr>
          <w:rFonts w:ascii="Times New Roman" w:hAnsi="Times New Roman" w:cs="Times New Roman"/>
          <w:noProof/>
          <w:sz w:val="24"/>
          <w:szCs w:val="24"/>
        </w:rPr>
        <w:t>on th</w:t>
      </w:r>
      <w:r>
        <w:rPr>
          <w:rFonts w:ascii="Times New Roman" w:hAnsi="Times New Roman" w:cs="Times New Roman"/>
          <w:noProof/>
          <w:sz w:val="24"/>
          <w:szCs w:val="24"/>
        </w:rPr>
        <w:t>e evaluation and modernisation of the legal framework for the enforcement of intellectual property rights. An external study providing support for an ex-post evaluation of the Enforcement Directive ("Evaluation Study")</w:t>
      </w:r>
      <w:r>
        <w:rPr>
          <w:rFonts w:ascii="Times New Roman" w:hAnsi="Times New Roman" w:cs="Times New Roman"/>
          <w:noProof/>
          <w:sz w:val="24"/>
          <w:szCs w:val="24"/>
          <w:vertAlign w:val="superscript"/>
        </w:rPr>
        <w:footnoteReference w:id="160"/>
      </w:r>
      <w:r>
        <w:rPr>
          <w:rFonts w:ascii="Times New Roman" w:hAnsi="Times New Roman" w:cs="Times New Roman"/>
          <w:noProof/>
          <w:sz w:val="24"/>
          <w:szCs w:val="24"/>
        </w:rPr>
        <w:t>, was also commissioned.</w:t>
      </w:r>
    </w:p>
    <w:p w:rsidR="00EB6A7B" w:rsidRDefault="001E7AC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Conclusions </w:t>
      </w:r>
      <w:r>
        <w:rPr>
          <w:rFonts w:ascii="Times New Roman" w:hAnsi="Times New Roman" w:cs="Times New Roman"/>
          <w:noProof/>
          <w:sz w:val="24"/>
          <w:szCs w:val="24"/>
        </w:rPr>
        <w:t>from the public consultation and the Evaluation Study served as a basis for the Evaluation Report</w:t>
      </w:r>
      <w:r>
        <w:rPr>
          <w:rStyle w:val="FootnoteReference"/>
          <w:rFonts w:ascii="Times New Roman" w:hAnsi="Times New Roman" w:cs="Times New Roman"/>
          <w:noProof/>
          <w:sz w:val="24"/>
          <w:szCs w:val="24"/>
        </w:rPr>
        <w:footnoteReference w:id="161"/>
      </w:r>
      <w:r>
        <w:rPr>
          <w:rFonts w:ascii="Times New Roman" w:hAnsi="Times New Roman" w:cs="Times New Roman"/>
          <w:noProof/>
          <w:sz w:val="24"/>
          <w:szCs w:val="24"/>
        </w:rPr>
        <w:t xml:space="preserve"> prepared by the Commission.</w:t>
      </w:r>
    </w:p>
    <w:sectPr w:rsidR="00EB6A7B">
      <w:headerReference w:type="even" r:id="rId31"/>
      <w:headerReference w:type="default" r:id="rId32"/>
      <w:footerReference w:type="even" r:id="rId33"/>
      <w:footerReference w:type="default" r:id="rId34"/>
      <w:headerReference w:type="first" r:id="rId35"/>
      <w:footerReference w:type="first" r:id="rId36"/>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A7B" w:rsidRDefault="001E7ACC">
      <w:pPr>
        <w:spacing w:after="0" w:line="240" w:lineRule="auto"/>
      </w:pPr>
      <w:r>
        <w:separator/>
      </w:r>
    </w:p>
    <w:p w:rsidR="00EB6A7B" w:rsidRDefault="00EB6A7B"/>
    <w:p w:rsidR="00EB6A7B" w:rsidRDefault="00EB6A7B"/>
    <w:p w:rsidR="00EB6A7B" w:rsidRDefault="00EB6A7B"/>
  </w:endnote>
  <w:endnote w:type="continuationSeparator" w:id="0">
    <w:p w:rsidR="00EB6A7B" w:rsidRDefault="001E7ACC">
      <w:pPr>
        <w:spacing w:after="0" w:line="240" w:lineRule="auto"/>
      </w:pPr>
      <w:r>
        <w:continuationSeparator/>
      </w:r>
    </w:p>
    <w:p w:rsidR="00EB6A7B" w:rsidRDefault="00EB6A7B"/>
    <w:p w:rsidR="00EB6A7B" w:rsidRDefault="00EB6A7B"/>
    <w:p w:rsidR="00EB6A7B" w:rsidRDefault="00EB6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Times New Roman"/>
    <w:charset w:val="00"/>
    <w:family w:val="auto"/>
    <w:pitch w:val="variable"/>
    <w:sig w:usb0="A00002AF" w:usb1="5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w:charset w:val="00"/>
    <w:family w:val="auto"/>
    <w:pitch w:val="variable"/>
    <w:sig w:usb0="00000003" w:usb1="00000000" w:usb2="00000000" w:usb3="00000000" w:csb0="00000001" w:csb1="00000000"/>
  </w:font>
  <w:font w:name="EYInterstate">
    <w:altName w:val="Times New Roman"/>
    <w:charset w:val="00"/>
    <w:family w:val="auto"/>
    <w:pitch w:val="variable"/>
    <w:sig w:usb0="A00002AF" w:usb1="5000206A" w:usb2="00000000" w:usb3="00000000" w:csb0="0000009F" w:csb1="00000000"/>
  </w:font>
  <w:font w:name="HelveticaRounded LT Std Blk">
    <w:altName w:val="Georgia"/>
    <w:panose1 w:val="00000000000000000000"/>
    <w:charset w:val="00"/>
    <w:family w:val="swiss"/>
    <w:notTrueType/>
    <w:pitch w:val="default"/>
    <w:sig w:usb0="00000003" w:usb1="00000000" w:usb2="00000000" w:usb3="00000000" w:csb0="00000001" w:csb1="00000000"/>
  </w:font>
  <w:font w:name="Myriad Pro Con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A7B" w:rsidRDefault="00EB6A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A7B" w:rsidRDefault="001E7ACC">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A7B" w:rsidRDefault="00EB6A7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A7B" w:rsidRDefault="00EB6A7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589262"/>
      <w:docPartObj>
        <w:docPartGallery w:val="Page Numbers (Bottom of Page)"/>
        <w:docPartUnique/>
      </w:docPartObj>
    </w:sdtPr>
    <w:sdtEndPr>
      <w:rPr>
        <w:noProof/>
      </w:rPr>
    </w:sdtEndPr>
    <w:sdtContent>
      <w:p w:rsidR="00EB6A7B" w:rsidRDefault="001E7ACC">
        <w:pPr>
          <w:pStyle w:val="Footer"/>
          <w:jc w:val="center"/>
        </w:pPr>
        <w:r>
          <w:rPr>
            <w:szCs w:val="24"/>
          </w:rPr>
          <w:fldChar w:fldCharType="begin"/>
        </w:r>
        <w:r>
          <w:rPr>
            <w:szCs w:val="24"/>
          </w:rPr>
          <w:instrText xml:space="preserve"> PAGE   \* MERGEFORMAT </w:instrText>
        </w:r>
        <w:r>
          <w:rPr>
            <w:szCs w:val="24"/>
          </w:rPr>
          <w:fldChar w:fldCharType="separate"/>
        </w:r>
        <w:r>
          <w:rPr>
            <w:noProof/>
            <w:szCs w:val="24"/>
          </w:rPr>
          <w:t>1</w:t>
        </w:r>
        <w:r>
          <w:rPr>
            <w:noProof/>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A7B" w:rsidRDefault="00EB6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A7B" w:rsidRDefault="001E7ACC">
      <w:r>
        <w:separator/>
      </w:r>
    </w:p>
  </w:footnote>
  <w:footnote w:type="continuationSeparator" w:id="0">
    <w:p w:rsidR="00EB6A7B" w:rsidRDefault="001E7ACC">
      <w:r>
        <w:continuationSeparator/>
      </w:r>
    </w:p>
  </w:footnote>
  <w:footnote w:type="continuationNotice" w:id="1">
    <w:p w:rsidR="00EB6A7B" w:rsidRDefault="00EB6A7B">
      <w:pPr>
        <w:spacing w:after="0" w:line="240" w:lineRule="auto"/>
      </w:pPr>
    </w:p>
  </w:footnote>
  <w:footnote w:id="2">
    <w:p w:rsidR="00EB6A7B" w:rsidRDefault="001E7ACC">
      <w:pPr>
        <w:pStyle w:val="FootnoteText"/>
      </w:pPr>
      <w:r>
        <w:rPr>
          <w:rStyle w:val="FootnoteReference"/>
        </w:rPr>
        <w:footnoteRef/>
      </w:r>
      <w:r>
        <w:t xml:space="preserve"> Directive 2004/48/EC of the European Parliament and of the Council of 29 April 2004 on the enforcement of intellectual property rights, OJ L 157, 30.4.2004</w:t>
      </w:r>
    </w:p>
  </w:footnote>
  <w:footnote w:id="3">
    <w:p w:rsidR="00EB6A7B" w:rsidRDefault="001E7ACC">
      <w:pPr>
        <w:pStyle w:val="FootnoteText"/>
      </w:pPr>
      <w:r>
        <w:rPr>
          <w:rStyle w:val="FootnoteReference"/>
        </w:rPr>
        <w:footnoteRef/>
      </w:r>
      <w:r>
        <w:t xml:space="preserve"> Statement 2005/295/EC by the Commission concerning Article 2 of the Directive (OJ L 94 of 13.4.20</w:t>
      </w:r>
      <w:r>
        <w:t>05) provides a list of IPRs which the Commission considers at least to be covered by the scope of the Directive.</w:t>
      </w:r>
    </w:p>
  </w:footnote>
  <w:footnote w:id="4">
    <w:p w:rsidR="00EB6A7B" w:rsidRDefault="001E7ACC">
      <w:pPr>
        <w:pStyle w:val="FootnoteText"/>
      </w:pPr>
      <w:r>
        <w:rPr>
          <w:rStyle w:val="FootnoteReference"/>
        </w:rPr>
        <w:footnoteRef/>
      </w:r>
      <w:r>
        <w:t xml:space="preserve"> See </w:t>
      </w:r>
      <w:r>
        <w:rPr>
          <w:i/>
        </w:rPr>
        <w:t>"Support study for the ex-post evaluation and ex-ante impact analysis of the IPR enforcement directive (IPRED)"</w:t>
      </w:r>
      <w:r>
        <w:t>, Technopolis Group in a c</w:t>
      </w:r>
      <w:r>
        <w:t>onsortium with EY and Schalast Rechtsanwälte, 2017</w:t>
      </w:r>
      <w:r>
        <w:rPr>
          <w:i/>
        </w:rPr>
        <w:t xml:space="preserve"> </w:t>
      </w:r>
    </w:p>
  </w:footnote>
  <w:footnote w:id="5">
    <w:p w:rsidR="00EB6A7B" w:rsidRDefault="001E7ACC">
      <w:pPr>
        <w:pStyle w:val="FootnoteText"/>
      </w:pPr>
      <w:r>
        <w:rPr>
          <w:rStyle w:val="FootnoteReference"/>
        </w:rPr>
        <w:footnoteRef/>
      </w:r>
      <w:r>
        <w:t xml:space="preserve"> </w:t>
      </w:r>
      <w:r>
        <w:rPr>
          <w:rFonts w:cs="Times New Roman"/>
        </w:rPr>
        <w:t>Public consultation on the evaluation and modernisation of the legal framework for the enforcement of intellectual property rights launched on 9 December 2015, results available at http://ec.europa.eu/D</w:t>
      </w:r>
      <w:r>
        <w:rPr>
          <w:rFonts w:cs="Times New Roman"/>
        </w:rPr>
        <w:t>ocsRoom/documents/18661</w:t>
      </w:r>
    </w:p>
  </w:footnote>
  <w:footnote w:id="6">
    <w:p w:rsidR="00EB6A7B" w:rsidRDefault="001E7ACC">
      <w:pPr>
        <w:pStyle w:val="FootnoteText"/>
      </w:pPr>
      <w:r>
        <w:rPr>
          <w:rStyle w:val="FootnoteReference"/>
        </w:rPr>
        <w:footnoteRef/>
      </w:r>
      <w:r>
        <w:t xml:space="preserve"> See Annex II – Synopsis report.</w:t>
      </w:r>
    </w:p>
  </w:footnote>
  <w:footnote w:id="7">
    <w:p w:rsidR="00EB6A7B" w:rsidRDefault="001E7ACC">
      <w:pPr>
        <w:pStyle w:val="FootnoteText"/>
      </w:pPr>
      <w:r>
        <w:rPr>
          <w:rStyle w:val="FootnoteReference"/>
        </w:rPr>
        <w:footnoteRef/>
      </w:r>
      <w:r>
        <w:t xml:space="preserve"> See </w:t>
      </w:r>
      <w:r>
        <w:rPr>
          <w:i/>
        </w:rPr>
        <w:t>"Support study…"</w:t>
      </w:r>
    </w:p>
  </w:footnote>
  <w:footnote w:id="8">
    <w:p w:rsidR="00EB6A7B" w:rsidRDefault="001E7ACC">
      <w:pPr>
        <w:pStyle w:val="FootnoteText"/>
      </w:pPr>
      <w:r>
        <w:rPr>
          <w:rStyle w:val="FootnoteReference"/>
        </w:rPr>
        <w:footnoteRef/>
      </w:r>
      <w:r>
        <w:t xml:space="preserve"> </w:t>
      </w:r>
      <w:r>
        <w:rPr>
          <w:rFonts w:cs="Times New Roman"/>
        </w:rPr>
        <w:t>Public consultation on the evaluation and modernisation of the legal framework for the enforcement of intellectual property rights launched on 9 December 2015, results avail</w:t>
      </w:r>
      <w:r>
        <w:rPr>
          <w:rFonts w:cs="Times New Roman"/>
        </w:rPr>
        <w:t>able at http://ec.europa.eu/DocsRoom/documents/18661</w:t>
      </w:r>
    </w:p>
  </w:footnote>
  <w:footnote w:id="9">
    <w:p w:rsidR="00EB6A7B" w:rsidRDefault="001E7ACC">
      <w:pPr>
        <w:pStyle w:val="FootnoteText"/>
      </w:pPr>
      <w:r>
        <w:rPr>
          <w:rStyle w:val="FootnoteReference"/>
        </w:rPr>
        <w:footnoteRef/>
      </w:r>
      <w:r>
        <w:t xml:space="preserve"> See Annex II – Synopsis report.</w:t>
      </w:r>
    </w:p>
  </w:footnote>
  <w:footnote w:id="10">
    <w:p w:rsidR="00EB6A7B" w:rsidRDefault="001E7ACC">
      <w:pPr>
        <w:pStyle w:val="FootnoteText"/>
        <w:rPr>
          <w:rFonts w:cs="Times New Roman"/>
        </w:rPr>
      </w:pPr>
      <w:r>
        <w:rPr>
          <w:rStyle w:val="FootnoteReference"/>
          <w:rFonts w:cs="Times New Roman"/>
        </w:rPr>
        <w:footnoteRef/>
      </w:r>
      <w:r>
        <w:rPr>
          <w:rFonts w:cs="Times New Roman"/>
        </w:rPr>
        <w:t xml:space="preserve"> Report from the Commission </w:t>
      </w:r>
      <w:r>
        <w:rPr>
          <w:rFonts w:cs="Times New Roman"/>
          <w:i/>
        </w:rPr>
        <w:t>"Application of Directive 2004/48/EC of the European Parliament and the Council of 29 April 2004 on the enforcement of intellectual property</w:t>
      </w:r>
      <w:r>
        <w:rPr>
          <w:rFonts w:cs="Times New Roman"/>
          <w:i/>
        </w:rPr>
        <w:t xml:space="preserve"> rights"</w:t>
      </w:r>
      <w:r>
        <w:rPr>
          <w:rFonts w:cs="Times New Roman"/>
        </w:rPr>
        <w:t xml:space="preserve"> (COM(2010)0779 final)</w:t>
      </w:r>
    </w:p>
  </w:footnote>
  <w:footnote w:id="11">
    <w:p w:rsidR="00EB6A7B" w:rsidRDefault="001E7ACC">
      <w:pPr>
        <w:pStyle w:val="FootnoteText"/>
      </w:pPr>
      <w:r>
        <w:rPr>
          <w:rStyle w:val="FootnoteReference"/>
        </w:rPr>
        <w:footnoteRef/>
      </w:r>
      <w:r>
        <w:t xml:space="preserve"> http://ec.europa.eu/internal_market/consultations/2011/intellectual_property_rights_en.htm</w:t>
      </w:r>
    </w:p>
  </w:footnote>
  <w:footnote w:id="12">
    <w:p w:rsidR="00EB6A7B" w:rsidRDefault="001E7ACC">
      <w:pPr>
        <w:pStyle w:val="FootnoteText"/>
      </w:pPr>
      <w:r>
        <w:rPr>
          <w:rStyle w:val="FootnoteReference"/>
        </w:rPr>
        <w:footnoteRef/>
      </w:r>
      <w:r>
        <w:t xml:space="preserve"> http://ec.europa.eu/internal_market/consultations/2012/intellectual-property-rights_en.htm</w:t>
      </w:r>
    </w:p>
  </w:footnote>
  <w:footnote w:id="13">
    <w:p w:rsidR="00EB6A7B" w:rsidRDefault="001E7ACC">
      <w:pPr>
        <w:pStyle w:val="FootnoteText"/>
        <w:rPr>
          <w:rFonts w:cs="Times New Roman"/>
        </w:rPr>
      </w:pPr>
      <w:r>
        <w:rPr>
          <w:rStyle w:val="FootnoteReference"/>
          <w:rFonts w:cs="Times New Roman"/>
        </w:rPr>
        <w:footnoteRef/>
      </w:r>
      <w:r>
        <w:rPr>
          <w:rFonts w:cs="Times New Roman"/>
        </w:rPr>
        <w:t xml:space="preserve"> Commission Communication </w:t>
      </w:r>
      <w:r>
        <w:rPr>
          <w:rFonts w:cs="Times New Roman"/>
          <w:i/>
        </w:rPr>
        <w:t>"</w:t>
      </w:r>
      <w:r>
        <w:rPr>
          <w:rFonts w:cs="Times New Roman"/>
          <w:i/>
          <w:lang w:val="en"/>
        </w:rPr>
        <w:t>Towards a r</w:t>
      </w:r>
      <w:r>
        <w:rPr>
          <w:rFonts w:cs="Times New Roman"/>
          <w:i/>
          <w:lang w:val="en"/>
        </w:rPr>
        <w:t xml:space="preserve">enewed consensus on the enforcement of Intellectual Property Rights: An EU Action Plan", </w:t>
      </w:r>
      <w:r>
        <w:rPr>
          <w:rFonts w:cs="Times New Roman"/>
          <w:lang w:val="en"/>
        </w:rPr>
        <w:t xml:space="preserve">COM(2014) 392 final of 1.7.2014, </w:t>
      </w:r>
    </w:p>
  </w:footnote>
  <w:footnote w:id="14">
    <w:p w:rsidR="00EB6A7B" w:rsidRDefault="001E7ACC">
      <w:pPr>
        <w:pStyle w:val="FootnoteText"/>
      </w:pPr>
      <w:r>
        <w:rPr>
          <w:rStyle w:val="FootnoteReference"/>
        </w:rPr>
        <w:footnoteRef/>
      </w:r>
      <w:r>
        <w:t xml:space="preserve"> </w:t>
      </w:r>
      <w:r>
        <w:rPr>
          <w:rFonts w:cs="Times New Roman"/>
        </w:rPr>
        <w:t>Conclusions of the Council of the European Union of 5 December 2014 on IPR enforcement (15321/14)</w:t>
      </w:r>
    </w:p>
  </w:footnote>
  <w:footnote w:id="15">
    <w:p w:rsidR="00EB6A7B" w:rsidRDefault="001E7ACC">
      <w:pPr>
        <w:pStyle w:val="FootnoteText"/>
      </w:pPr>
      <w:r>
        <w:rPr>
          <w:rStyle w:val="FootnoteReference"/>
        </w:rPr>
        <w:footnoteRef/>
      </w:r>
      <w:r>
        <w:t xml:space="preserve"> Report of the European Parliame</w:t>
      </w:r>
      <w:r>
        <w:t xml:space="preserve">nt on </w:t>
      </w:r>
      <w:r>
        <w:rPr>
          <w:i/>
        </w:rPr>
        <w:t>"Towards a renewed consensus on the enforcement of Intellectual Property Rights: An EU Action Plan"</w:t>
      </w:r>
      <w:r>
        <w:t xml:space="preserve"> (2014/2151(INI)) of 18.5.2015</w:t>
      </w:r>
    </w:p>
  </w:footnote>
  <w:footnote w:id="16">
    <w:p w:rsidR="00EB6A7B" w:rsidRDefault="001E7ACC">
      <w:pPr>
        <w:pStyle w:val="FootnoteText"/>
      </w:pPr>
      <w:r>
        <w:rPr>
          <w:rStyle w:val="FootnoteReference"/>
        </w:rPr>
        <w:footnoteRef/>
      </w:r>
      <w:r>
        <w:t xml:space="preserve"> Communication from the Commission </w:t>
      </w:r>
      <w:r>
        <w:rPr>
          <w:i/>
        </w:rPr>
        <w:t>"A Digital Single Market Strategy for Europe"</w:t>
      </w:r>
      <w:r>
        <w:t xml:space="preserve"> (COM(2015) 192 final</w:t>
      </w:r>
    </w:p>
  </w:footnote>
  <w:footnote w:id="17">
    <w:p w:rsidR="00EB6A7B" w:rsidRDefault="001E7ACC">
      <w:pPr>
        <w:pStyle w:val="FootnoteText"/>
      </w:pPr>
      <w:r>
        <w:rPr>
          <w:rStyle w:val="FootnoteReference"/>
        </w:rPr>
        <w:footnoteRef/>
      </w:r>
      <w:r>
        <w:t xml:space="preserve"> Communication f</w:t>
      </w:r>
      <w:r>
        <w:t xml:space="preserve">rom the Commission </w:t>
      </w:r>
      <w:r>
        <w:rPr>
          <w:i/>
        </w:rPr>
        <w:t>"Upgrading the Single Market: more opportunities for people and business</w:t>
      </w:r>
      <w:r>
        <w:t>" (COM(2015) 550 final)</w:t>
      </w:r>
    </w:p>
  </w:footnote>
  <w:footnote w:id="18">
    <w:p w:rsidR="00EB6A7B" w:rsidRDefault="001E7ACC">
      <w:pPr>
        <w:pStyle w:val="FootnoteText"/>
        <w:rPr>
          <w:rFonts w:cs="Times New Roman"/>
        </w:rPr>
      </w:pPr>
      <w:r>
        <w:rPr>
          <w:rStyle w:val="FootnoteReference"/>
          <w:rFonts w:cs="Times New Roman"/>
        </w:rPr>
        <w:footnoteRef/>
      </w:r>
      <w:r>
        <w:rPr>
          <w:rFonts w:cs="Times New Roman"/>
        </w:rPr>
        <w:t xml:space="preserve"> Conformity Assessment of Directive 2004/48/EC, TIPIK 2012</w:t>
      </w:r>
    </w:p>
  </w:footnote>
  <w:footnote w:id="19">
    <w:p w:rsidR="00EB6A7B" w:rsidRDefault="001E7ACC">
      <w:pPr>
        <w:pStyle w:val="FootnoteText"/>
      </w:pPr>
      <w:r>
        <w:rPr>
          <w:rStyle w:val="FootnoteReference"/>
        </w:rPr>
        <w:footnoteRef/>
      </w:r>
      <w:r>
        <w:t xml:space="preserve"> See </w:t>
      </w:r>
      <w:r>
        <w:rPr>
          <w:i/>
        </w:rPr>
        <w:t>"Support study…"</w:t>
      </w:r>
    </w:p>
  </w:footnote>
  <w:footnote w:id="20">
    <w:p w:rsidR="00EB6A7B" w:rsidRDefault="001E7ACC">
      <w:pPr>
        <w:pStyle w:val="FootnoteText"/>
      </w:pPr>
      <w:r>
        <w:rPr>
          <w:rStyle w:val="FootnoteReference"/>
        </w:rPr>
        <w:footnoteRef/>
      </w:r>
      <w:r>
        <w:t xml:space="preserve"> Public consultation on the evaluation and modernisation of the legal framework for the enforcement of intellectual property rights, responses and summary available at </w:t>
      </w:r>
      <w:hyperlink r:id="rId1" w:history="1">
        <w:r>
          <w:rPr>
            <w:rStyle w:val="Hyperlink"/>
          </w:rPr>
          <w:t>http://ec.europa.eu/growth/tools-databases/newsroom/cf/itemdetail.cfm?item_id=8580</w:t>
        </w:r>
      </w:hyperlink>
    </w:p>
  </w:footnote>
  <w:footnote w:id="21">
    <w:p w:rsidR="00EB6A7B" w:rsidRDefault="001E7ACC">
      <w:pPr>
        <w:pStyle w:val="FootnoteText"/>
        <w:rPr>
          <w:rFonts w:cs="Times New Roman"/>
        </w:rPr>
      </w:pPr>
      <w:r>
        <w:rPr>
          <w:rStyle w:val="FootnoteReference"/>
          <w:rFonts w:cs="Times New Roman"/>
        </w:rPr>
        <w:footnoteRef/>
      </w:r>
      <w:r>
        <w:rPr>
          <w:rFonts w:cs="Times New Roman"/>
        </w:rPr>
        <w:t xml:space="preserve"> Expert Group on IPR enforcement meetings of 3 May 2016 and 3 April 2017</w:t>
      </w:r>
    </w:p>
  </w:footnote>
  <w:footnote w:id="22">
    <w:p w:rsidR="00EB6A7B" w:rsidRDefault="001E7ACC">
      <w:pPr>
        <w:pStyle w:val="FootnoteText"/>
      </w:pPr>
      <w:r>
        <w:rPr>
          <w:rStyle w:val="FootnoteReference"/>
        </w:rPr>
        <w:footnoteRef/>
      </w:r>
      <w:r>
        <w:t xml:space="preserve"> http://ec.europa.eu/growth/tools-databases/newsroom/cf/itemdetail.cfm?item_id=8730</w:t>
      </w:r>
    </w:p>
  </w:footnote>
  <w:footnote w:id="23">
    <w:p w:rsidR="00EB6A7B" w:rsidRDefault="001E7ACC">
      <w:pPr>
        <w:pStyle w:val="FootnoteText"/>
      </w:pPr>
      <w:r>
        <w:rPr>
          <w:rStyle w:val="FootnoteReference"/>
        </w:rPr>
        <w:footnoteRef/>
      </w:r>
      <w:r>
        <w:t xml:space="preserve"> See also under 5.3.2 </w:t>
      </w:r>
    </w:p>
  </w:footnote>
  <w:footnote w:id="24">
    <w:p w:rsidR="00EB6A7B" w:rsidRDefault="001E7ACC">
      <w:pPr>
        <w:pStyle w:val="FootnoteText"/>
      </w:pPr>
      <w:r>
        <w:rPr>
          <w:rStyle w:val="FootnoteReference"/>
        </w:rPr>
        <w:footnoteRef/>
      </w:r>
      <w:r>
        <w:t xml:space="preserve"> See Annex II – Synopsis report.</w:t>
      </w:r>
    </w:p>
  </w:footnote>
  <w:footnote w:id="25">
    <w:p w:rsidR="00EB6A7B" w:rsidRDefault="001E7ACC">
      <w:pPr>
        <w:pStyle w:val="FootnoteText"/>
      </w:pPr>
      <w:r>
        <w:rPr>
          <w:rStyle w:val="FootnoteReference"/>
        </w:rPr>
        <w:footnoteRef/>
      </w:r>
      <w:r>
        <w:t xml:space="preserve"> See </w:t>
      </w:r>
      <w:r>
        <w:rPr>
          <w:i/>
        </w:rPr>
        <w:t xml:space="preserve">"Support study…", </w:t>
      </w:r>
      <w:r>
        <w:t>p. 132</w:t>
      </w:r>
    </w:p>
  </w:footnote>
  <w:footnote w:id="26">
    <w:p w:rsidR="00EB6A7B" w:rsidRDefault="001E7ACC">
      <w:pPr>
        <w:pStyle w:val="FootnoteText"/>
      </w:pPr>
      <w:r>
        <w:rPr>
          <w:rStyle w:val="FootnoteReference"/>
        </w:rPr>
        <w:footnoteRef/>
      </w:r>
      <w:r>
        <w:t xml:space="preserve"> See </w:t>
      </w:r>
      <w:r>
        <w:rPr>
          <w:i/>
        </w:rPr>
        <w:t xml:space="preserve">"Support study…", </w:t>
      </w:r>
      <w:r>
        <w:t>p. 132</w:t>
      </w:r>
    </w:p>
  </w:footnote>
  <w:footnote w:id="27">
    <w:p w:rsidR="00EB6A7B" w:rsidRDefault="001E7ACC">
      <w:pPr>
        <w:pStyle w:val="FootnoteText"/>
      </w:pPr>
      <w:r>
        <w:rPr>
          <w:rStyle w:val="FootnoteReference"/>
        </w:rPr>
        <w:footnoteRef/>
      </w:r>
      <w:r>
        <w:t xml:space="preserve"> Patent litigation in Europe, Eur J Law Econ (2017) 44:1–44, available online under the following link: http://link.springer.com/article</w:t>
      </w:r>
      <w:r>
        <w:t>/10.1007/s10657-016-9529-0</w:t>
      </w:r>
    </w:p>
  </w:footnote>
  <w:footnote w:id="28">
    <w:p w:rsidR="00EB6A7B" w:rsidRDefault="001E7ACC">
      <w:pPr>
        <w:pStyle w:val="FootnoteText"/>
      </w:pPr>
      <w:r>
        <w:rPr>
          <w:rStyle w:val="FootnoteReference"/>
        </w:rPr>
        <w:footnoteRef/>
      </w:r>
      <w:r>
        <w:t xml:space="preserve"> See </w:t>
      </w:r>
      <w:r>
        <w:rPr>
          <w:i/>
        </w:rPr>
        <w:t xml:space="preserve">"Support study…", </w:t>
      </w:r>
      <w:r>
        <w:t>p.  251</w:t>
      </w:r>
    </w:p>
  </w:footnote>
  <w:footnote w:id="29">
    <w:p w:rsidR="00EB6A7B" w:rsidRDefault="001E7ACC">
      <w:pPr>
        <w:pStyle w:val="FootnoteText"/>
      </w:pPr>
      <w:r>
        <w:rPr>
          <w:rStyle w:val="FootnoteReference"/>
        </w:rPr>
        <w:footnoteRef/>
      </w:r>
      <w:r>
        <w:t xml:space="preserve"> In some Member States, such as Belgium or Romania, requests for information can only be made in the course of proceedings while in other, e.g. Germany, the use of the right of information may be </w:t>
      </w:r>
      <w:r>
        <w:t>exercised before the launch if special statutory requirements ('manifest infringement') are complied with.</w:t>
      </w:r>
    </w:p>
  </w:footnote>
  <w:footnote w:id="30">
    <w:p w:rsidR="00EB6A7B" w:rsidRDefault="001E7ACC">
      <w:pPr>
        <w:pStyle w:val="FootnoteText"/>
        <w:rPr>
          <w:i/>
        </w:rPr>
      </w:pPr>
      <w:r>
        <w:rPr>
          <w:rStyle w:val="FootnoteReference"/>
        </w:rPr>
        <w:footnoteRef/>
      </w:r>
      <w:r>
        <w:t xml:space="preserve"> Bulgaria, Cyprus, Croatia, Latvia, Lithuania, Malta, Slovakia and Slovenia. See </w:t>
      </w:r>
      <w:r>
        <w:rPr>
          <w:i/>
        </w:rPr>
        <w:t xml:space="preserve">"Support study…", </w:t>
      </w:r>
      <w:r>
        <w:t>p. xxx.</w:t>
      </w:r>
    </w:p>
  </w:footnote>
  <w:footnote w:id="31">
    <w:p w:rsidR="00EB6A7B" w:rsidRDefault="001E7ACC">
      <w:pPr>
        <w:pStyle w:val="FootnoteText"/>
        <w:rPr>
          <w:lang w:val="en-US"/>
        </w:rPr>
      </w:pPr>
      <w:r>
        <w:rPr>
          <w:rStyle w:val="FootnoteReference"/>
        </w:rPr>
        <w:footnoteRef/>
      </w:r>
      <w:r>
        <w:t xml:space="preserve"> Article 11: 'Member States shall ensure</w:t>
      </w:r>
      <w:r>
        <w:t xml:space="preserve"> that, where a judicial decision is taken finding an infringement of an intellectual property right, the judicial authorities may issue against the infringer an injunction aimed at prohibiting the continuation of the infringement. Where provided for by nat</w:t>
      </w:r>
      <w:r>
        <w:t>ional law, non-compliance with an injunction shall, where appropriate, be subject to a recurring penalty payment, with a view to ensuring compliance. Member States shall also ensure that rightholders are in a position to apply for an injunction against int</w:t>
      </w:r>
      <w:r>
        <w:t>ermediaries whose services are used by a third party to infringe an intellectual property right, without prejudice to Article 8(3) of Directive 2001/29/EC.'</w:t>
      </w:r>
    </w:p>
  </w:footnote>
  <w:footnote w:id="32">
    <w:p w:rsidR="00EB6A7B" w:rsidRDefault="001E7ACC">
      <w:pPr>
        <w:pStyle w:val="FootnoteText"/>
      </w:pPr>
      <w:r>
        <w:rPr>
          <w:rStyle w:val="FootnoteReference"/>
        </w:rPr>
        <w:footnoteRef/>
      </w:r>
      <w:r>
        <w:t xml:space="preserve"> See </w:t>
      </w:r>
      <w:r>
        <w:rPr>
          <w:i/>
        </w:rPr>
        <w:t>"Support study…"</w:t>
      </w:r>
      <w:r>
        <w:t>,  p. 78</w:t>
      </w:r>
    </w:p>
  </w:footnote>
  <w:footnote w:id="33">
    <w:p w:rsidR="00EB6A7B" w:rsidRDefault="001E7ACC">
      <w:pPr>
        <w:pStyle w:val="FootnoteText"/>
      </w:pPr>
      <w:r>
        <w:rPr>
          <w:rStyle w:val="FootnoteReference"/>
        </w:rPr>
        <w:footnoteRef/>
      </w:r>
      <w:r>
        <w:t xml:space="preserve"> E.g. "the one who delivers a counterfeiting service in the framewo</w:t>
      </w:r>
      <w:r>
        <w:t xml:space="preserve">rk of its counterfeiting activity in French territory’ (France) or "anyone who contributes to the infringement" (Sweden). </w:t>
      </w:r>
    </w:p>
  </w:footnote>
  <w:footnote w:id="34">
    <w:p w:rsidR="00EB6A7B" w:rsidRDefault="001E7ACC">
      <w:pPr>
        <w:pStyle w:val="FootnoteText"/>
      </w:pPr>
      <w:r>
        <w:rPr>
          <w:rStyle w:val="FootnoteReference"/>
        </w:rPr>
        <w:footnoteRef/>
      </w:r>
      <w:r>
        <w:t xml:space="preserve"> </w:t>
      </w:r>
      <w:r>
        <w:rPr>
          <w:i/>
        </w:rPr>
        <w:t>"National implementation of Enforcement Directive"</w:t>
      </w:r>
      <w:r>
        <w:t>, Union-ip, 2011</w:t>
      </w:r>
    </w:p>
  </w:footnote>
  <w:footnote w:id="35">
    <w:p w:rsidR="00EB6A7B" w:rsidRDefault="001E7ACC">
      <w:pPr>
        <w:pStyle w:val="FootnoteText"/>
      </w:pPr>
      <w:r>
        <w:rPr>
          <w:rStyle w:val="FootnoteReference"/>
        </w:rPr>
        <w:footnoteRef/>
      </w:r>
      <w:r>
        <w:t xml:space="preserve"> "serious questions to be tried", "interests of the IPR owner p</w:t>
      </w:r>
      <w:r>
        <w:t>revail over the interests of the alleged infringer" or "reasonable evidence that a favourable judgment will be granted to that applicant".</w:t>
      </w:r>
    </w:p>
  </w:footnote>
  <w:footnote w:id="36">
    <w:p w:rsidR="00EB6A7B" w:rsidRDefault="001E7ACC">
      <w:pPr>
        <w:pStyle w:val="FootnoteText"/>
      </w:pPr>
      <w:r>
        <w:rPr>
          <w:rStyle w:val="FootnoteReference"/>
        </w:rPr>
        <w:footnoteRef/>
      </w:r>
      <w:r>
        <w:t xml:space="preserve"> </w:t>
      </w:r>
      <w:r>
        <w:rPr>
          <w:i/>
        </w:rPr>
        <w:t>Ibid.</w:t>
      </w:r>
      <w:r>
        <w:t xml:space="preserve"> </w:t>
      </w:r>
    </w:p>
  </w:footnote>
  <w:footnote w:id="37">
    <w:p w:rsidR="00EB6A7B" w:rsidRDefault="001E7ACC">
      <w:pPr>
        <w:pStyle w:val="FootnoteText"/>
      </w:pPr>
      <w:r>
        <w:rPr>
          <w:rStyle w:val="FootnoteReference"/>
        </w:rPr>
        <w:footnoteRef/>
      </w:r>
      <w:r>
        <w:t xml:space="preserve"> E.g. in the UK injunctions can be granted against online and offline intermediaries and also to prevent fu</w:t>
      </w:r>
      <w:r>
        <w:t>ture infringements of the same kind whereas it seems not possible yet to have an injunction granted in Poland against an internet access provider to block access to an IP infringing website or in the Czech Republic to prevent the continuation of infringing</w:t>
      </w:r>
      <w:r>
        <w:t xml:space="preserve"> activities.</w:t>
      </w:r>
    </w:p>
  </w:footnote>
  <w:footnote w:id="38">
    <w:p w:rsidR="00EB6A7B" w:rsidRDefault="001E7ACC">
      <w:pPr>
        <w:pStyle w:val="FootnoteText"/>
      </w:pPr>
      <w:r>
        <w:rPr>
          <w:rStyle w:val="FootnoteReference"/>
        </w:rPr>
        <w:footnoteRef/>
      </w:r>
      <w:r>
        <w:t xml:space="preserve"> While in some jurisdictions catalogue- or repertoire-wide injunctions, i.e. injunctions requiring intermediaries to prevent further "infringements of all rights held by a rightholder or that are part of a licensee's catalogue or repertoire",</w:t>
      </w:r>
      <w:r>
        <w:t xml:space="preserve"> based on an established infringement of a sample of those rights, are available (e.g. Ireland and the UK), such broad injunctions are not available in others.</w:t>
      </w:r>
    </w:p>
  </w:footnote>
  <w:footnote w:id="39">
    <w:p w:rsidR="00EB6A7B" w:rsidRDefault="001E7ACC">
      <w:pPr>
        <w:pStyle w:val="FootnoteText"/>
      </w:pPr>
      <w:r>
        <w:rPr>
          <w:rStyle w:val="FootnoteReference"/>
        </w:rPr>
        <w:footnoteRef/>
      </w:r>
      <w:r>
        <w:t xml:space="preserve"> See </w:t>
      </w:r>
      <w:r>
        <w:rPr>
          <w:i/>
        </w:rPr>
        <w:t xml:space="preserve">"Support study…",  </w:t>
      </w:r>
      <w:r>
        <w:t>p. 205</w:t>
      </w:r>
    </w:p>
  </w:footnote>
  <w:footnote w:id="40">
    <w:p w:rsidR="00EB6A7B" w:rsidRDefault="001E7ACC">
      <w:pPr>
        <w:pStyle w:val="FootnoteText"/>
      </w:pPr>
      <w:r>
        <w:rPr>
          <w:rStyle w:val="FootnoteReference"/>
        </w:rPr>
        <w:footnoteRef/>
      </w:r>
      <w:r>
        <w:t xml:space="preserve"> See </w:t>
      </w:r>
      <w:r>
        <w:rPr>
          <w:i/>
        </w:rPr>
        <w:t xml:space="preserve">"Support study…", </w:t>
      </w:r>
      <w:r>
        <w:t>p. 65</w:t>
      </w:r>
    </w:p>
  </w:footnote>
  <w:footnote w:id="41">
    <w:p w:rsidR="00EB6A7B" w:rsidRDefault="001E7ACC">
      <w:pPr>
        <w:pStyle w:val="FootnoteText"/>
      </w:pPr>
      <w:r>
        <w:rPr>
          <w:rStyle w:val="FootnoteReference"/>
        </w:rPr>
        <w:footnoteRef/>
      </w:r>
      <w:r>
        <w:t xml:space="preserve"> "Damages in Intellectual Property Rights", European Commission, European Observatory on Infringements of Intellectual Property Rights, 2010</w:t>
      </w:r>
    </w:p>
  </w:footnote>
  <w:footnote w:id="42">
    <w:p w:rsidR="00EB6A7B" w:rsidRDefault="001E7ACC">
      <w:pPr>
        <w:pStyle w:val="FootnoteText"/>
      </w:pPr>
      <w:r>
        <w:rPr>
          <w:rStyle w:val="FootnoteReference"/>
        </w:rPr>
        <w:footnoteRef/>
      </w:r>
      <w:r>
        <w:t xml:space="preserve"> In the Netherlands, the calculation for loss of sale is based on the profit that the aggrieved party would have h</w:t>
      </w:r>
      <w:r>
        <w:t>ad in the absence of the infringement. There is no uniform calculation method for this and the indirect profit loss is difficult to prove.  In Spain, the basis for damages is ‘loss suffered’, which includes: opportunity costs (for example time spent by the</w:t>
      </w:r>
      <w:r>
        <w:t xml:space="preserve"> IP right owner’s personnel dedicate to the management of the procedure which would have been otherwise dedicated to the commercial activity of the company), communicating costs (informing the clients about the infringement), investigation costs; cost of p</w:t>
      </w:r>
      <w:r>
        <w:t xml:space="preserve">rejudicial actions and profit obtained by the infringer as a consequence of the illicit use. </w:t>
      </w:r>
    </w:p>
  </w:footnote>
  <w:footnote w:id="43">
    <w:p w:rsidR="00EB6A7B" w:rsidRDefault="001E7ACC">
      <w:pPr>
        <w:pStyle w:val="FootnoteText"/>
        <w:rPr>
          <w:rFonts w:cs="Times New Roman"/>
        </w:rPr>
      </w:pPr>
      <w:r>
        <w:rPr>
          <w:rStyle w:val="FootnoteReference"/>
          <w:rFonts w:cs="Times New Roman"/>
        </w:rPr>
        <w:footnoteRef/>
      </w:r>
      <w:r>
        <w:rPr>
          <w:rFonts w:cs="Times New Roman"/>
        </w:rPr>
        <w:t xml:space="preserve"> CSWD Analysis of the application of Directive 2004/48/EC of the European Parliament and the Council of 29 April 2004 on the enforcement of intellectual property</w:t>
      </w:r>
      <w:r>
        <w:rPr>
          <w:rFonts w:cs="Times New Roman"/>
        </w:rPr>
        <w:t xml:space="preserve"> rights in the Member States (SEC(2010) 1589), p. 23.</w:t>
      </w:r>
    </w:p>
  </w:footnote>
  <w:footnote w:id="44">
    <w:p w:rsidR="00EB6A7B" w:rsidRDefault="001E7ACC">
      <w:pPr>
        <w:pStyle w:val="FootnoteText"/>
      </w:pPr>
      <w:r>
        <w:rPr>
          <w:rStyle w:val="FootnoteReference"/>
          <w:rFonts w:cs="Times New Roman"/>
        </w:rPr>
        <w:footnoteRef/>
      </w:r>
      <w:hyperlink r:id="rId2" w:history="1">
        <w:r>
          <w:rPr>
            <w:rStyle w:val="Hyperlink"/>
            <w:rFonts w:cs="Times New Roman"/>
          </w:rPr>
          <w:t>https://euipo.europa.eu/tunnel-web</w:t>
        </w:r>
        <w:r>
          <w:rPr>
            <w:rStyle w:val="Hyperlink"/>
            <w:rFonts w:cs="Times New Roman"/>
          </w:rPr>
          <w:t>/secure/webdav/guest/document_library/observatory/documents/publications/Observatory+update+on+costs+and+damages.pdf</w:t>
        </w:r>
      </w:hyperlink>
    </w:p>
  </w:footnote>
  <w:footnote w:id="45">
    <w:p w:rsidR="00EB6A7B" w:rsidRDefault="001E7ACC">
      <w:pPr>
        <w:pStyle w:val="FootnoteText"/>
      </w:pPr>
      <w:r>
        <w:rPr>
          <w:rStyle w:val="FootnoteReference"/>
        </w:rPr>
        <w:footnoteRef/>
      </w:r>
      <w:r>
        <w:t xml:space="preserve"> See </w:t>
      </w:r>
      <w:r>
        <w:rPr>
          <w:i/>
        </w:rPr>
        <w:t xml:space="preserve">"Support study…", </w:t>
      </w:r>
      <w:r>
        <w:t>p. 67</w:t>
      </w:r>
    </w:p>
  </w:footnote>
  <w:footnote w:id="46">
    <w:p w:rsidR="00EB6A7B" w:rsidRDefault="001E7ACC">
      <w:pPr>
        <w:pStyle w:val="FootnoteText"/>
      </w:pPr>
      <w:r>
        <w:rPr>
          <w:rStyle w:val="FootnoteReference"/>
          <w:rFonts w:eastAsiaTheme="majorEastAsia"/>
        </w:rPr>
        <w:footnoteRef/>
      </w:r>
      <w:r>
        <w:t xml:space="preserve"> </w:t>
      </w:r>
      <w:r>
        <w:rPr>
          <w:i/>
        </w:rPr>
        <w:t>"Damages in Intellectual Property Rights"</w:t>
      </w:r>
      <w:r>
        <w:t>, European Commission, European Observatory on Infringements of In</w:t>
      </w:r>
      <w:r>
        <w:t>tellectual Property Rights, 2010</w:t>
      </w:r>
    </w:p>
  </w:footnote>
  <w:footnote w:id="47">
    <w:p w:rsidR="00EB6A7B" w:rsidRDefault="001E7ACC">
      <w:pPr>
        <w:pStyle w:val="FootnoteText"/>
      </w:pPr>
      <w:r>
        <w:rPr>
          <w:rStyle w:val="FootnoteReference"/>
          <w:rFonts w:eastAsiaTheme="majorEastAsia"/>
        </w:rPr>
        <w:footnoteRef/>
      </w:r>
      <w:r>
        <w:t xml:space="preserve"> Extensive infringing activities often make the branded goods lose their 'exclusivity', which leads to a decline in consumer demand, damage to goodwill etc. ("Analysis of the application of Directive 2004/48/EC of the Euro</w:t>
      </w:r>
      <w:r>
        <w:t>pean Parliament and of the Council of 29 April 2004 on the enforcement of intellectual property rights in the Member States", Commission Staff Working Document, SEC(2010)1589)</w:t>
      </w:r>
    </w:p>
  </w:footnote>
  <w:footnote w:id="48">
    <w:p w:rsidR="00EB6A7B" w:rsidRDefault="001E7ACC">
      <w:pPr>
        <w:pStyle w:val="FootnoteText"/>
      </w:pPr>
      <w:r>
        <w:rPr>
          <w:rStyle w:val="FootnoteReference"/>
          <w:rFonts w:eastAsiaTheme="majorEastAsia"/>
        </w:rPr>
        <w:footnoteRef/>
      </w:r>
      <w:r>
        <w:t xml:space="preserve"> Indeed, infringers may sometimes make higher profits with the infringing produ</w:t>
      </w:r>
      <w:r>
        <w:t>cts that the rightholders with their branded goods. Rightholders appear to find it very difficult to prove that they would have earned the same profits as the infringers, particularly where the infringers offer their products under conditions that signific</w:t>
      </w:r>
      <w:r>
        <w:t>antly differ from those of the legal channels (e.g. lower prices, lower manufacturing costs, absence of related services etc.)</w:t>
      </w:r>
    </w:p>
  </w:footnote>
  <w:footnote w:id="49">
    <w:p w:rsidR="00EB6A7B" w:rsidRDefault="001E7ACC">
      <w:pPr>
        <w:pStyle w:val="FootnoteText"/>
      </w:pPr>
      <w:r>
        <w:rPr>
          <w:rStyle w:val="FootnoteReference"/>
          <w:rFonts w:eastAsiaTheme="majorEastAsia"/>
        </w:rPr>
        <w:footnoteRef/>
      </w:r>
      <w:r>
        <w:t xml:space="preserve"> </w:t>
      </w:r>
      <w:r>
        <w:rPr>
          <w:i/>
        </w:rPr>
        <w:t>"Damages in Intellectual Property Rights",</w:t>
      </w:r>
      <w:r>
        <w:t xml:space="preserve"> European Commission, European Observatory on Infringements of Intellectual Property </w:t>
      </w:r>
      <w:r>
        <w:t>Rights, 2010</w:t>
      </w:r>
    </w:p>
  </w:footnote>
  <w:footnote w:id="50">
    <w:p w:rsidR="00EB6A7B" w:rsidRDefault="001E7ACC">
      <w:pPr>
        <w:pStyle w:val="FootnoteText"/>
        <w:rPr>
          <w:lang w:val="en-US"/>
        </w:rPr>
      </w:pPr>
      <w:r>
        <w:rPr>
          <w:rStyle w:val="FootnoteReference"/>
        </w:rPr>
        <w:footnoteRef/>
      </w:r>
      <w:r>
        <w:t xml:space="preserve"> See </w:t>
      </w:r>
      <w:r>
        <w:rPr>
          <w:lang w:val="en-US"/>
        </w:rPr>
        <w:t>Annex II – Synopsis report.</w:t>
      </w:r>
    </w:p>
  </w:footnote>
  <w:footnote w:id="51">
    <w:p w:rsidR="00EB6A7B" w:rsidRDefault="001E7ACC">
      <w:pPr>
        <w:pStyle w:val="FootnoteText"/>
        <w:rPr>
          <w:lang w:val="en-US"/>
        </w:rPr>
      </w:pPr>
      <w:r>
        <w:rPr>
          <w:rStyle w:val="FootnoteReference"/>
        </w:rPr>
        <w:footnoteRef/>
      </w:r>
      <w:r>
        <w:t xml:space="preserve"> See </w:t>
      </w:r>
      <w:r>
        <w:rPr>
          <w:i/>
        </w:rPr>
        <w:t xml:space="preserve">"Support study…", </w:t>
      </w:r>
      <w:r>
        <w:t>p. 69</w:t>
      </w:r>
    </w:p>
  </w:footnote>
  <w:footnote w:id="52">
    <w:p w:rsidR="00EB6A7B" w:rsidRDefault="001E7ACC">
      <w:pPr>
        <w:pStyle w:val="FootnoteText"/>
        <w:rPr>
          <w:lang w:val="en-US"/>
        </w:rPr>
      </w:pPr>
      <w:r>
        <w:rPr>
          <w:rStyle w:val="FootnoteReference"/>
        </w:rPr>
        <w:footnoteRef/>
      </w:r>
      <w:r>
        <w:t xml:space="preserve"> See </w:t>
      </w:r>
      <w:r>
        <w:rPr>
          <w:lang w:val="en-US"/>
        </w:rPr>
        <w:t>Annex II – Synopsis report.</w:t>
      </w:r>
    </w:p>
  </w:footnote>
  <w:footnote w:id="53">
    <w:p w:rsidR="00EB6A7B" w:rsidRDefault="001E7ACC">
      <w:pPr>
        <w:pStyle w:val="FootnoteText"/>
      </w:pPr>
      <w:r>
        <w:rPr>
          <w:rStyle w:val="FootnoteReference"/>
        </w:rPr>
        <w:footnoteRef/>
      </w:r>
      <w:r>
        <w:t xml:space="preserve"> See Annex IV.</w:t>
      </w:r>
    </w:p>
  </w:footnote>
  <w:footnote w:id="54">
    <w:p w:rsidR="00EB6A7B" w:rsidRDefault="001E7ACC">
      <w:pPr>
        <w:pStyle w:val="FootnoteText"/>
      </w:pPr>
      <w:r>
        <w:rPr>
          <w:rStyle w:val="FootnoteReference"/>
        </w:rPr>
        <w:footnoteRef/>
      </w:r>
      <w:r>
        <w:t xml:space="preserve"> </w:t>
      </w:r>
      <w:r>
        <w:rPr>
          <w:i/>
        </w:rPr>
        <w:t>"Intellectual Property SME Scoreboard 2016"</w:t>
      </w:r>
      <w:r>
        <w:t>, EUIPO, European Observatory on Infringements of Intellectual Property Rights, 2016</w:t>
      </w:r>
    </w:p>
  </w:footnote>
  <w:footnote w:id="55">
    <w:p w:rsidR="00EB6A7B" w:rsidRDefault="001E7ACC">
      <w:pPr>
        <w:pStyle w:val="FootnoteText"/>
      </w:pPr>
      <w:r>
        <w:rPr>
          <w:rStyle w:val="FootnoteReference"/>
        </w:rPr>
        <w:footnoteRef/>
      </w:r>
      <w:r>
        <w:t xml:space="preserve"> See </w:t>
      </w:r>
      <w:r>
        <w:rPr>
          <w:i/>
        </w:rPr>
        <w:t xml:space="preserve">"Support study…", </w:t>
      </w:r>
      <w:r>
        <w:t>p. 84</w:t>
      </w:r>
    </w:p>
  </w:footnote>
  <w:footnote w:id="56">
    <w:p w:rsidR="00EB6A7B" w:rsidRDefault="001E7ACC">
      <w:pPr>
        <w:pStyle w:val="FootnoteText"/>
      </w:pPr>
      <w:r>
        <w:rPr>
          <w:rStyle w:val="FootnoteReference"/>
        </w:rPr>
        <w:footnoteRef/>
      </w:r>
      <w:r>
        <w:t xml:space="preserve"> The main objectives of the Directive for this purpose are: 1) Achieving the internal market for IPR 2) Promote investment in innovation and business competitiveness 3) Ensuring fair and equal competition 4) Preserving emplo</w:t>
      </w:r>
      <w:r>
        <w:t>yment in Europe 5) Preventing tax losses and market destabilisation 6) Ensuring consumer protection.</w:t>
      </w:r>
    </w:p>
  </w:footnote>
  <w:footnote w:id="57">
    <w:p w:rsidR="00EB6A7B" w:rsidRDefault="001E7ACC">
      <w:pPr>
        <w:pStyle w:val="FootnoteText"/>
      </w:pPr>
      <w:r>
        <w:rPr>
          <w:rStyle w:val="FootnoteReference"/>
        </w:rPr>
        <w:footnoteRef/>
      </w:r>
      <w:r>
        <w:t xml:space="preserve"> See </w:t>
      </w:r>
      <w:r>
        <w:rPr>
          <w:i/>
        </w:rPr>
        <w:t xml:space="preserve">"Support study…", </w:t>
      </w:r>
      <w:r>
        <w:t>p. 60</w:t>
      </w:r>
    </w:p>
  </w:footnote>
  <w:footnote w:id="58">
    <w:p w:rsidR="00EB6A7B" w:rsidRDefault="001E7ACC">
      <w:pPr>
        <w:pStyle w:val="FootnoteText"/>
      </w:pPr>
      <w:r>
        <w:rPr>
          <w:rStyle w:val="FootnoteReference"/>
        </w:rPr>
        <w:footnoteRef/>
      </w:r>
      <w:r>
        <w:t xml:space="preserve"> Such procedures are also relevant in view of the liability regime of Articles 12-15 of the E-Commerce Directive</w:t>
      </w:r>
    </w:p>
  </w:footnote>
  <w:footnote w:id="59">
    <w:p w:rsidR="00EB6A7B" w:rsidRDefault="001E7ACC">
      <w:pPr>
        <w:pStyle w:val="FootnoteText"/>
      </w:pPr>
      <w:r>
        <w:rPr>
          <w:rStyle w:val="FootnoteReference"/>
        </w:rPr>
        <w:footnoteRef/>
      </w:r>
      <w:r>
        <w:t xml:space="preserve"> See </w:t>
      </w:r>
      <w:r>
        <w:rPr>
          <w:i/>
        </w:rPr>
        <w:t xml:space="preserve">"Support study…", </w:t>
      </w:r>
      <w:r>
        <w:t>p. 62</w:t>
      </w:r>
    </w:p>
  </w:footnote>
  <w:footnote w:id="60">
    <w:p w:rsidR="00EB6A7B" w:rsidRDefault="001E7ACC">
      <w:pPr>
        <w:pStyle w:val="FootnoteText"/>
      </w:pPr>
      <w:r>
        <w:rPr>
          <w:rStyle w:val="FootnoteReference"/>
        </w:rPr>
        <w:footnoteRef/>
      </w:r>
      <w:r>
        <w:t xml:space="preserve"> Darts-ip is a private firm which collects court cases information for the EU-MS and beyond. It was used in order to overcome the lack of quantitative data, to obtain more insights on the enforcement of IPR as provided for by the D</w:t>
      </w:r>
      <w:r>
        <w:t>irective.</w:t>
      </w:r>
    </w:p>
  </w:footnote>
  <w:footnote w:id="61">
    <w:p w:rsidR="00EB6A7B" w:rsidRDefault="001E7ACC">
      <w:pPr>
        <w:pStyle w:val="FootnoteText"/>
      </w:pPr>
      <w:r>
        <w:rPr>
          <w:rStyle w:val="FootnoteReference"/>
        </w:rPr>
        <w:footnoteRef/>
      </w:r>
      <w:r>
        <w:t xml:space="preserve"> </w:t>
      </w:r>
      <w:r>
        <w:rPr>
          <w:i/>
        </w:rPr>
        <w:t>"Evidence and right of information in intellectual property rights"</w:t>
      </w:r>
      <w:r>
        <w:t>, European Commission, European Observatory on Infringements of Intellectual Property Rights, 2010</w:t>
      </w:r>
    </w:p>
  </w:footnote>
  <w:footnote w:id="62">
    <w:p w:rsidR="00EB6A7B" w:rsidRDefault="001E7ACC">
      <w:pPr>
        <w:pStyle w:val="FootnoteText"/>
      </w:pPr>
      <w:r>
        <w:rPr>
          <w:rStyle w:val="FootnoteReference"/>
        </w:rPr>
        <w:footnoteRef/>
      </w:r>
      <w:r>
        <w:t xml:space="preserve"> </w:t>
      </w:r>
      <w:r>
        <w:rPr>
          <w:i/>
        </w:rPr>
        <w:t>"Injunctions in intellectual property"</w:t>
      </w:r>
      <w:r>
        <w:t>, European Commission, European Observ</w:t>
      </w:r>
      <w:r>
        <w:t>atory on Infringements of Intellectual Property Rights, 2011</w:t>
      </w:r>
    </w:p>
  </w:footnote>
  <w:footnote w:id="63">
    <w:p w:rsidR="00EB6A7B" w:rsidRDefault="001E7ACC">
      <w:pPr>
        <w:pStyle w:val="FootnoteText"/>
      </w:pPr>
      <w:r>
        <w:rPr>
          <w:rStyle w:val="FootnoteReference"/>
        </w:rPr>
        <w:footnoteRef/>
      </w:r>
      <w:r>
        <w:t xml:space="preserve"> See </w:t>
      </w:r>
      <w:r>
        <w:rPr>
          <w:i/>
        </w:rPr>
        <w:t xml:space="preserve">"Support study…", </w:t>
      </w:r>
      <w:r>
        <w:t>p. 93</w:t>
      </w:r>
    </w:p>
  </w:footnote>
  <w:footnote w:id="64">
    <w:p w:rsidR="00EB6A7B" w:rsidRDefault="001E7ACC">
      <w:pPr>
        <w:pStyle w:val="FootnoteText"/>
      </w:pPr>
      <w:r>
        <w:rPr>
          <w:rStyle w:val="FootnoteReference"/>
        </w:rPr>
        <w:footnoteRef/>
      </w:r>
      <w:hyperlink r:id="rId3" w:history="1">
        <w:r>
          <w:rPr>
            <w:rStyle w:val="Hyperlink"/>
          </w:rPr>
          <w:t>https://euipo.europa.eu/tunnel-web/secure/webdav/guest/document_library/observatory/documents/Research%20and%20sudies/study_voluntary_collaboration_practices_en.pdf</w:t>
        </w:r>
      </w:hyperlink>
      <w:r>
        <w:t xml:space="preserve"> </w:t>
      </w:r>
    </w:p>
  </w:footnote>
  <w:footnote w:id="65">
    <w:p w:rsidR="00EB6A7B" w:rsidRDefault="001E7ACC">
      <w:pPr>
        <w:pStyle w:val="FootnoteText"/>
      </w:pPr>
      <w:r>
        <w:rPr>
          <w:rStyle w:val="FootnoteReference"/>
        </w:rPr>
        <w:footnoteRef/>
      </w:r>
      <w:r>
        <w:t xml:space="preserve"> See </w:t>
      </w:r>
      <w:r>
        <w:rPr>
          <w:i/>
        </w:rPr>
        <w:t xml:space="preserve">"Support study…", </w:t>
      </w:r>
      <w:r>
        <w:t>p. 116</w:t>
      </w:r>
    </w:p>
  </w:footnote>
  <w:footnote w:id="66">
    <w:p w:rsidR="00EB6A7B" w:rsidRDefault="001E7ACC">
      <w:pPr>
        <w:pStyle w:val="FootnoteText"/>
      </w:pPr>
      <w:r>
        <w:rPr>
          <w:rStyle w:val="FootnoteReference"/>
        </w:rPr>
        <w:footnoteRef/>
      </w:r>
      <w:r>
        <w:t xml:space="preserve"> Memorandum of Understanding on the sale </w:t>
      </w:r>
      <w:r>
        <w:t>of counterfeit goods via the Internet, available at http://ec.europa.eu/DocsRoom/documents/18023/attachments/1/translations/</w:t>
      </w:r>
    </w:p>
  </w:footnote>
  <w:footnote w:id="67">
    <w:p w:rsidR="00EB6A7B" w:rsidRDefault="001E7ACC">
      <w:pPr>
        <w:pStyle w:val="FootnoteText"/>
      </w:pPr>
      <w:r>
        <w:rPr>
          <w:rStyle w:val="FootnoteReference"/>
        </w:rPr>
        <w:footnoteRef/>
      </w:r>
      <w:hyperlink r:id="rId4" w:history="1">
        <w:r>
          <w:rPr>
            <w:rStyle w:val="Hyperlink"/>
          </w:rPr>
          <w:t>https://publications.europa.eu/en/publication-detail/-/publication/18fbdb72-9a87-11e6-9bca-01aa75ed71a1/language-en</w:t>
        </w:r>
      </w:hyperlink>
      <w:r>
        <w:t xml:space="preserve">   </w:t>
      </w:r>
    </w:p>
  </w:footnote>
  <w:footnote w:id="68">
    <w:p w:rsidR="00EB6A7B" w:rsidRDefault="001E7ACC">
      <w:pPr>
        <w:pStyle w:val="FootnoteText"/>
      </w:pPr>
      <w:r>
        <w:rPr>
          <w:rStyle w:val="FootnoteReference"/>
        </w:rPr>
        <w:footnoteRef/>
      </w:r>
      <w:r>
        <w:t xml:space="preserve"> "Private costs of enforcement of IPR", EUIPO, European Observatory on Infringements of Intellectual Property Rights, 2017; based on a</w:t>
      </w:r>
      <w:r>
        <w:t xml:space="preserve"> survey of 1 291 companies in 14 EU Member States (these Member States account for 90 % of all companies in the EU).</w:t>
      </w:r>
    </w:p>
  </w:footnote>
  <w:footnote w:id="69">
    <w:p w:rsidR="00EB6A7B" w:rsidRDefault="001E7ACC">
      <w:pPr>
        <w:pStyle w:val="FootnoteText"/>
      </w:pPr>
      <w:r>
        <w:rPr>
          <w:rStyle w:val="FootnoteReference"/>
        </w:rPr>
        <w:footnoteRef/>
      </w:r>
      <w:r>
        <w:t xml:space="preserve"> "Costs and Funding of Civil Litigation: A Comparative Evaluation Study", Hodges, Vogenauer and Tulibacka, University of Oxford Legal Rese</w:t>
      </w:r>
      <w:r>
        <w:t>arch Paper Series, 2009.</w:t>
      </w:r>
    </w:p>
  </w:footnote>
  <w:footnote w:id="70">
    <w:p w:rsidR="00EB6A7B" w:rsidRDefault="001E7ACC">
      <w:pPr>
        <w:pStyle w:val="FootnoteText"/>
      </w:pPr>
      <w:r>
        <w:rPr>
          <w:rStyle w:val="FootnoteReference"/>
        </w:rPr>
        <w:footnoteRef/>
      </w:r>
      <w:r>
        <w:t xml:space="preserve"> See </w:t>
      </w:r>
      <w:r>
        <w:rPr>
          <w:i/>
        </w:rPr>
        <w:t xml:space="preserve">"Support study…",  </w:t>
      </w:r>
      <w:r>
        <w:t>p.</w:t>
      </w:r>
      <w:r>
        <w:rPr>
          <w:i/>
        </w:rPr>
        <w:t xml:space="preserve"> </w:t>
      </w:r>
      <w:r>
        <w:t xml:space="preserve"> 94</w:t>
      </w:r>
    </w:p>
  </w:footnote>
  <w:footnote w:id="71">
    <w:p w:rsidR="00EB6A7B" w:rsidRDefault="001E7ACC">
      <w:pPr>
        <w:pStyle w:val="FootnoteText"/>
      </w:pPr>
      <w:r>
        <w:rPr>
          <w:rStyle w:val="FootnoteReference"/>
        </w:rPr>
        <w:footnoteRef/>
      </w:r>
      <w:r>
        <w:t xml:space="preserve"> Directive 2000/31/EC of the European Parliament and of the Council of 8 June 2000 on certain legal aspects of information society services, in particular electronic commerce, in the Internal Market</w:t>
      </w:r>
      <w:r>
        <w:t xml:space="preserve"> (Directive on electronic commerce), OJ L 178, 17.07.2000.</w:t>
      </w:r>
    </w:p>
  </w:footnote>
  <w:footnote w:id="72">
    <w:p w:rsidR="00EB6A7B" w:rsidRDefault="001E7ACC">
      <w:pPr>
        <w:pStyle w:val="FootnoteText"/>
      </w:pPr>
      <w:r>
        <w:rPr>
          <w:rStyle w:val="FootnoteReference"/>
        </w:rPr>
        <w:footnoteRef/>
      </w:r>
      <w:r>
        <w:t xml:space="preserve"> Directive 2001/29/EC of the European Parliament and of the Council of 22 May 2001 on the harmonisation of certain aspects of copyright and related rights in the information society, OJ L 167, 22.</w:t>
      </w:r>
      <w:r>
        <w:t>06.2001.</w:t>
      </w:r>
    </w:p>
    <w:p w:rsidR="00EB6A7B" w:rsidRDefault="00EB6A7B">
      <w:pPr>
        <w:pStyle w:val="FootnoteText"/>
      </w:pPr>
    </w:p>
  </w:footnote>
  <w:footnote w:id="73">
    <w:p w:rsidR="00EB6A7B" w:rsidRDefault="001E7ACC">
      <w:pPr>
        <w:pStyle w:val="FootnoteText"/>
        <w:rPr>
          <w:lang w:val="en-US"/>
        </w:rPr>
      </w:pPr>
      <w:r>
        <w:rPr>
          <w:rStyle w:val="FootnoteReference"/>
        </w:rPr>
        <w:footnoteRef/>
      </w:r>
      <w:r>
        <w:t xml:space="preserve"> See </w:t>
      </w:r>
      <w:r>
        <w:rPr>
          <w:i/>
        </w:rPr>
        <w:t xml:space="preserve">"Support study…", </w:t>
      </w:r>
      <w:r>
        <w:t>p. 102</w:t>
      </w:r>
    </w:p>
  </w:footnote>
  <w:footnote w:id="74">
    <w:p w:rsidR="00EB6A7B" w:rsidRDefault="001E7ACC">
      <w:pPr>
        <w:pStyle w:val="FootnoteText"/>
      </w:pPr>
      <w:r>
        <w:rPr>
          <w:rStyle w:val="FootnoteReference"/>
        </w:rPr>
        <w:footnoteRef/>
      </w:r>
      <w:r>
        <w:t xml:space="preserve"> See </w:t>
      </w:r>
      <w:r>
        <w:rPr>
          <w:i/>
        </w:rPr>
        <w:t xml:space="preserve">"Support study…", </w:t>
      </w:r>
      <w:r>
        <w:t>p.</w:t>
      </w:r>
      <w:r>
        <w:rPr>
          <w:i/>
        </w:rPr>
        <w:t xml:space="preserve"> </w:t>
      </w:r>
      <w:r>
        <w:t xml:space="preserve"> 101</w:t>
      </w:r>
    </w:p>
  </w:footnote>
  <w:footnote w:id="75">
    <w:p w:rsidR="00EB6A7B" w:rsidRDefault="001E7ACC">
      <w:pPr>
        <w:pStyle w:val="FootnoteText"/>
      </w:pPr>
      <w:r>
        <w:rPr>
          <w:rStyle w:val="FootnoteReference"/>
        </w:rPr>
        <w:footnoteRef/>
      </w:r>
      <w:r>
        <w:t xml:space="preserve"> </w:t>
      </w:r>
      <w:hyperlink r:id="rId5" w:history="1">
        <w:r>
          <w:rPr>
            <w:rStyle w:val="Hyperlink"/>
          </w:rPr>
          <w:t>https://euipo.europa.eu/ohimportal/en/web/observatory/quantification-of-ipr-</w:t>
        </w:r>
        <w:r>
          <w:rPr>
            <w:rStyle w:val="Hyperlink"/>
          </w:rPr>
          <w:t>infringement</w:t>
        </w:r>
      </w:hyperlink>
      <w:r>
        <w:t xml:space="preserve"> </w:t>
      </w:r>
    </w:p>
  </w:footnote>
  <w:footnote w:id="76">
    <w:p w:rsidR="00EB6A7B" w:rsidRDefault="001E7ACC">
      <w:pPr>
        <w:pStyle w:val="FootnoteText"/>
      </w:pPr>
      <w:r>
        <w:rPr>
          <w:rStyle w:val="FootnoteReference"/>
        </w:rPr>
        <w:footnoteRef/>
      </w:r>
      <w:r>
        <w:t>https://euipo.europa.eu/tunnel-web/secure/webdav/guest/document_library/observatory/documents/Mapping_the_Economic_Impact_study/Mapping_the_Economic_Impact_en.pdf</w:t>
      </w:r>
    </w:p>
  </w:footnote>
  <w:footnote w:id="77">
    <w:p w:rsidR="00EB6A7B" w:rsidRDefault="001E7ACC">
      <w:pPr>
        <w:pStyle w:val="FootnoteText"/>
      </w:pPr>
      <w:r>
        <w:rPr>
          <w:rStyle w:val="FootnoteReference"/>
        </w:rPr>
        <w:footnoteRef/>
      </w:r>
      <w:r>
        <w:t xml:space="preserve"> See </w:t>
      </w:r>
      <w:r>
        <w:rPr>
          <w:i/>
        </w:rPr>
        <w:t xml:space="preserve">"Support study…", </w:t>
      </w:r>
      <w:r>
        <w:t>p. 101</w:t>
      </w:r>
    </w:p>
  </w:footnote>
  <w:footnote w:id="78">
    <w:p w:rsidR="00EB6A7B" w:rsidRDefault="001E7ACC">
      <w:pPr>
        <w:pStyle w:val="FootnoteText"/>
      </w:pPr>
      <w:r>
        <w:rPr>
          <w:rStyle w:val="FootnoteReference"/>
        </w:rPr>
        <w:footnoteRef/>
      </w:r>
      <w:r>
        <w:t xml:space="preserve"> </w:t>
      </w:r>
      <w:hyperlink r:id="rId6" w:history="1">
        <w:r>
          <w:rPr>
            <w:rStyle w:val="Hyperlink"/>
            <w:sz w:val="18"/>
            <w:szCs w:val="18"/>
          </w:rPr>
          <w:t>https://euipo.europa.eu/ohimportal/documents/11370/80606/Damages+in+intellectual+property+rights/b0d70979-2a</w:t>
        </w:r>
        <w:r>
          <w:rPr>
            <w:rStyle w:val="Hyperlink"/>
            <w:sz w:val="18"/>
            <w:szCs w:val="18"/>
          </w:rPr>
          <w:t>f3-48cf-870b-9ed1139d917a</w:t>
        </w:r>
      </w:hyperlink>
      <w:r>
        <w:rPr>
          <w:sz w:val="18"/>
          <w:szCs w:val="18"/>
        </w:rPr>
        <w:t xml:space="preserve"> </w:t>
      </w:r>
    </w:p>
  </w:footnote>
  <w:footnote w:id="79">
    <w:p w:rsidR="00EB6A7B" w:rsidRDefault="001E7ACC">
      <w:pPr>
        <w:pStyle w:val="FootnoteText"/>
      </w:pPr>
      <w:r>
        <w:rPr>
          <w:rStyle w:val="FootnoteReference"/>
        </w:rPr>
        <w:footnoteRef/>
      </w:r>
      <w:r>
        <w:t xml:space="preserve"> IP SME scoreboard, EUIPO 2016</w:t>
      </w:r>
    </w:p>
  </w:footnote>
  <w:footnote w:id="80">
    <w:p w:rsidR="00EB6A7B" w:rsidRDefault="001E7ACC">
      <w:pPr>
        <w:pStyle w:val="FootnoteText"/>
      </w:pPr>
      <w:r>
        <w:rPr>
          <w:rStyle w:val="FootnoteReference"/>
        </w:rPr>
        <w:footnoteRef/>
      </w:r>
      <w:r>
        <w:t xml:space="preserve"> IP SME scoreboard, EUIPO 2016</w:t>
      </w:r>
    </w:p>
  </w:footnote>
  <w:footnote w:id="81">
    <w:p w:rsidR="00EB6A7B" w:rsidRDefault="001E7ACC">
      <w:pPr>
        <w:pStyle w:val="FootnoteText"/>
        <w:rPr>
          <w:lang w:val="en-US"/>
        </w:rPr>
      </w:pPr>
      <w:r>
        <w:rPr>
          <w:rStyle w:val="FootnoteReference"/>
        </w:rPr>
        <w:footnoteRef/>
      </w:r>
      <w:r>
        <w:t xml:space="preserve"> See </w:t>
      </w:r>
      <w:r>
        <w:rPr>
          <w:i/>
        </w:rPr>
        <w:t xml:space="preserve">"Support study…", </w:t>
      </w:r>
      <w:r>
        <w:t>p.</w:t>
      </w:r>
      <w:r>
        <w:rPr>
          <w:i/>
        </w:rPr>
        <w:t xml:space="preserve"> </w:t>
      </w:r>
      <w:r>
        <w:t xml:space="preserve"> 104</w:t>
      </w:r>
    </w:p>
  </w:footnote>
  <w:footnote w:id="82">
    <w:p w:rsidR="00EB6A7B" w:rsidRDefault="001E7ACC">
      <w:pPr>
        <w:pStyle w:val="FootnoteText"/>
      </w:pPr>
      <w:r>
        <w:rPr>
          <w:rStyle w:val="FootnoteReference"/>
        </w:rPr>
        <w:footnoteRef/>
      </w:r>
      <w:r>
        <w:t xml:space="preserve"> </w:t>
      </w:r>
      <w:r>
        <w:rPr>
          <w:lang w:val="en-US"/>
        </w:rPr>
        <w:t xml:space="preserve">Fidal (2014): Comparative Study on damages allocated in the framework of counterfeiting procedures in France, UK and Germany”, </w:t>
      </w:r>
      <w:hyperlink r:id="rId7" w:history="1">
        <w:r>
          <w:rPr>
            <w:rStyle w:val="Hyperlink"/>
            <w:lang w:val="en-US"/>
          </w:rPr>
          <w:t>http://www.entreprises.gouv.fr/files/files/directions_services/etudes-et-statistiques/etudes/dommag</w:t>
        </w:r>
        <w:r>
          <w:rPr>
            <w:rStyle w:val="Hyperlink"/>
            <w:lang w:val="en-US"/>
          </w:rPr>
          <w:t>es-interets-dans-actions-en-contrefacon.pdf</w:t>
        </w:r>
      </w:hyperlink>
    </w:p>
  </w:footnote>
  <w:footnote w:id="83">
    <w:p w:rsidR="00EB6A7B" w:rsidRDefault="001E7ACC">
      <w:pPr>
        <w:pStyle w:val="FootnoteText"/>
      </w:pPr>
      <w:r>
        <w:rPr>
          <w:rStyle w:val="FootnoteReference"/>
        </w:rPr>
        <w:footnoteRef/>
      </w:r>
      <w:r>
        <w:t xml:space="preserve"> http://ec.europa.eu/internal_market/indprop/docs/patent/studies/litigation_system_en.pdf</w:t>
      </w:r>
    </w:p>
  </w:footnote>
  <w:footnote w:id="84">
    <w:p w:rsidR="00EB6A7B" w:rsidRDefault="001E7ACC">
      <w:pPr>
        <w:pStyle w:val="FootnoteText"/>
      </w:pPr>
      <w:r>
        <w:rPr>
          <w:rStyle w:val="FootnoteReference"/>
        </w:rPr>
        <w:footnoteRef/>
      </w:r>
      <w:r>
        <w:t xml:space="preserve"> See </w:t>
      </w:r>
      <w:r>
        <w:rPr>
          <w:i/>
        </w:rPr>
        <w:t xml:space="preserve">"Support study…", </w:t>
      </w:r>
      <w:r>
        <w:t>p. 106</w:t>
      </w:r>
    </w:p>
  </w:footnote>
  <w:footnote w:id="85">
    <w:p w:rsidR="00EB6A7B" w:rsidRDefault="001E7ACC">
      <w:pPr>
        <w:pStyle w:val="FootnoteText"/>
      </w:pPr>
      <w:r>
        <w:rPr>
          <w:rStyle w:val="FootnoteReference"/>
        </w:rPr>
        <w:footnoteRef/>
      </w:r>
      <w:r>
        <w:t xml:space="preserve"> See </w:t>
      </w:r>
      <w:r>
        <w:rPr>
          <w:i/>
        </w:rPr>
        <w:t xml:space="preserve">"Support study…", </w:t>
      </w:r>
      <w:r>
        <w:t>p. 106</w:t>
      </w:r>
    </w:p>
  </w:footnote>
  <w:footnote w:id="86">
    <w:p w:rsidR="00EB6A7B" w:rsidRDefault="001E7ACC">
      <w:pPr>
        <w:pStyle w:val="FootnoteText"/>
      </w:pPr>
      <w:r>
        <w:rPr>
          <w:rStyle w:val="FootnoteReference"/>
        </w:rPr>
        <w:footnoteRef/>
      </w:r>
      <w:r>
        <w:t xml:space="preserve"> See </w:t>
      </w:r>
      <w:r>
        <w:rPr>
          <w:i/>
        </w:rPr>
        <w:t xml:space="preserve">"Support study…", </w:t>
      </w:r>
      <w:r>
        <w:t>p. 107</w:t>
      </w:r>
    </w:p>
  </w:footnote>
  <w:footnote w:id="87">
    <w:p w:rsidR="00EB6A7B" w:rsidRDefault="001E7ACC">
      <w:pPr>
        <w:pStyle w:val="FootnoteText"/>
      </w:pPr>
      <w:r>
        <w:rPr>
          <w:rStyle w:val="FootnoteReference"/>
        </w:rPr>
        <w:footnoteRef/>
      </w:r>
      <w:r>
        <w:t xml:space="preserve"> See </w:t>
      </w:r>
      <w:r>
        <w:rPr>
          <w:i/>
        </w:rPr>
        <w:t xml:space="preserve">"Support study…", </w:t>
      </w:r>
      <w:r>
        <w:t>p. 1</w:t>
      </w:r>
      <w:r>
        <w:t>08</w:t>
      </w:r>
    </w:p>
  </w:footnote>
  <w:footnote w:id="88">
    <w:p w:rsidR="00EB6A7B" w:rsidRDefault="001E7ACC">
      <w:pPr>
        <w:pStyle w:val="FootnoteText"/>
      </w:pPr>
      <w:r>
        <w:rPr>
          <w:rStyle w:val="FootnoteReference"/>
        </w:rPr>
        <w:footnoteRef/>
      </w:r>
      <w:r>
        <w:t xml:space="preserve"> See </w:t>
      </w:r>
      <w:r>
        <w:rPr>
          <w:i/>
        </w:rPr>
        <w:t xml:space="preserve">"Support study…", </w:t>
      </w:r>
      <w:r>
        <w:t>p. 108</w:t>
      </w:r>
    </w:p>
  </w:footnote>
  <w:footnote w:id="89">
    <w:p w:rsidR="00EB6A7B" w:rsidRDefault="001E7ACC">
      <w:pPr>
        <w:pStyle w:val="FootnoteText"/>
      </w:pPr>
      <w:r>
        <w:rPr>
          <w:rStyle w:val="FootnoteReference"/>
        </w:rPr>
        <w:footnoteRef/>
      </w:r>
      <w:r>
        <w:t xml:space="preserve"> A recent study commissioned by the Observatory of the EUIPO (</w:t>
      </w:r>
      <w:hyperlink r:id="rId8" w:history="1">
        <w:r>
          <w:rPr>
            <w:rStyle w:val="Hyperlink"/>
          </w:rPr>
          <w:t>https://euipo.europa.eu/ohimportal/en/web/observatory/observator</w:t>
        </w:r>
        <w:r>
          <w:rPr>
            <w:rStyle w:val="Hyperlink"/>
          </w:rPr>
          <w:t>y-publications</w:t>
        </w:r>
      </w:hyperlink>
      <w:r>
        <w:t>) provides for an assessment of the availability, characteristics and quality of new business models for copyright-based creative industries in the EU. This study presents test cases carried out by a small panel of consumers with experience i</w:t>
      </w:r>
      <w:r>
        <w:t>n accessing digital content via online sources in a selection of EU Member States to see whether and how digital content is available via online sources in the different Member States and to what extent there is access to this content across borders. See a</w:t>
      </w:r>
      <w:r>
        <w:t>lso EUIPO/ EUROPOL, 2017 Situation Report on Counterfeiting and Piracy in the European Union – 2017; See WIPO paper "Copyright enforcement in the Digital age: empirical economic evidence and conclusions", WIPO/ACE/10/20, August 25, 2015;</w:t>
      </w:r>
    </w:p>
  </w:footnote>
  <w:footnote w:id="90">
    <w:p w:rsidR="00EB6A7B" w:rsidRDefault="001E7ACC">
      <w:pPr>
        <w:pStyle w:val="FootnoteText"/>
      </w:pPr>
      <w:r>
        <w:rPr>
          <w:rStyle w:val="FootnoteReference"/>
        </w:rPr>
        <w:footnoteRef/>
      </w:r>
      <w:r>
        <w:t xml:space="preserve"> Apart from the f</w:t>
      </w:r>
      <w:r>
        <w:t xml:space="preserve">act that for many users identifying whether a service provides legal access to content or not remains a challenge (for example the test case study quoted in fn 63 that a number of internet users in Europe take mistakenly the fact that a digital content is </w:t>
      </w:r>
      <w:r>
        <w:t>freely available online without the authorities having taken action as a sign that the service provides legal access to content),, piracy remains a critical challenge due not only to its negative impacts for right-holders (reduction in terms of revenues to</w:t>
      </w:r>
      <w:r>
        <w:t xml:space="preserve"> authors, performers and all those involved in producing creative works), but also because it inhibits the launch of new services, especially in countries with low enforcement and high piracy. It additionally limits the potential of existing businesses, ac</w:t>
      </w:r>
      <w:r>
        <w:t>ting as unfair competition.</w:t>
      </w:r>
      <w:r>
        <w:rPr>
          <w:sz w:val="24"/>
          <w:szCs w:val="22"/>
        </w:rPr>
        <w:t xml:space="preserve"> </w:t>
      </w:r>
      <w:r>
        <w:t>Infringements of IP protected digital content remain also an area of criminal threat against IPR holders, consumers and general societal interests, requiring a special attention of enforcement authorities, as also shown by the E</w:t>
      </w:r>
      <w:r>
        <w:t>UIPO/Europol joint 2017 situation report on counterfeiting and piracy in the European Union (see: https://euipo.europa.eu/tunnel-web/secure/webdav/guest/document_library/observatory/documents/reports/Executive%20Summary%20Situation%20Report%20EUIPO-Europol</w:t>
      </w:r>
      <w:r>
        <w:t xml:space="preserve">_en.pdf). </w:t>
      </w:r>
    </w:p>
    <w:p w:rsidR="00EB6A7B" w:rsidRDefault="00EB6A7B">
      <w:pPr>
        <w:pStyle w:val="FootnoteText"/>
      </w:pPr>
    </w:p>
  </w:footnote>
  <w:footnote w:id="91">
    <w:p w:rsidR="00EB6A7B" w:rsidRDefault="001E7ACC">
      <w:pPr>
        <w:pStyle w:val="FootnoteText"/>
      </w:pPr>
      <w:r>
        <w:rPr>
          <w:rStyle w:val="FootnoteReference"/>
        </w:rPr>
        <w:footnoteRef/>
      </w:r>
      <w:r>
        <w:t xml:space="preserve"> Lenient IPR enforcement in a country, on the contrary, is likely to make firms in IPR-sensitive sectors less eager to invest there. This is because of the vulnerability of proprietary processes to theft, and/ or that infringing products are m</w:t>
      </w:r>
      <w:r>
        <w:t xml:space="preserve">ore likely to displace sales of genuine products. By contrast, enforcing intellectual property rights can stimulate FDI, and through that channel improve welfare in the host country ("The economic impacts of counterfeiting and piracy", frontier economics, </w:t>
      </w:r>
      <w:r>
        <w:t>2017).</w:t>
      </w:r>
    </w:p>
    <w:p w:rsidR="00EB6A7B" w:rsidRDefault="00EB6A7B">
      <w:pPr>
        <w:pStyle w:val="FootnoteText"/>
      </w:pPr>
    </w:p>
  </w:footnote>
  <w:footnote w:id="92">
    <w:p w:rsidR="00EB6A7B" w:rsidRDefault="001E7ACC">
      <w:pPr>
        <w:pStyle w:val="FootnoteText"/>
      </w:pPr>
      <w:r>
        <w:rPr>
          <w:rStyle w:val="FootnoteReference"/>
        </w:rPr>
        <w:footnoteRef/>
      </w:r>
    </w:p>
    <w:p w:rsidR="00EB6A7B" w:rsidRDefault="001E7ACC">
      <w:pPr>
        <w:pStyle w:val="FootnoteText"/>
      </w:pPr>
      <w:hyperlink r:id="rId9" w:history="1">
        <w:r>
          <w:rPr>
            <w:rStyle w:val="Hyperlink"/>
          </w:rPr>
          <w:t>https://euipo.europa.eu/tunnel-web/secure/webdav/guest/document_library/observatory/documents/Research%20and%20sudies/study_voluntary_collaboration_practices_en.pdf</w:t>
        </w:r>
      </w:hyperlink>
      <w:r>
        <w:t xml:space="preserve"> </w:t>
      </w:r>
    </w:p>
  </w:footnote>
  <w:footnote w:id="93">
    <w:p w:rsidR="00EB6A7B" w:rsidRDefault="001E7ACC">
      <w:pPr>
        <w:pStyle w:val="FootnoteText"/>
      </w:pPr>
      <w:r>
        <w:rPr>
          <w:rStyle w:val="FootnoteReference"/>
        </w:rPr>
        <w:footnoteRef/>
      </w:r>
      <w:r>
        <w:t xml:space="preserve"> Roles and responsibilities of intermediaries, ICC and BASCAP, March 2015</w:t>
      </w:r>
    </w:p>
  </w:footnote>
  <w:footnote w:id="94">
    <w:p w:rsidR="00EB6A7B" w:rsidRDefault="001E7ACC">
      <w:pPr>
        <w:pStyle w:val="FootnoteText"/>
      </w:pPr>
      <w:r>
        <w:rPr>
          <w:rStyle w:val="FootnoteReference"/>
        </w:rPr>
        <w:footnoteRef/>
      </w:r>
      <w:r>
        <w:t xml:space="preserve"> Directive (EU</w:t>
      </w:r>
      <w:r>
        <w:t>) 2015/2436 of 16.12.2015.</w:t>
      </w:r>
    </w:p>
  </w:footnote>
  <w:footnote w:id="95">
    <w:p w:rsidR="00EB6A7B" w:rsidRDefault="001E7ACC">
      <w:pPr>
        <w:pStyle w:val="FootnoteText"/>
      </w:pPr>
      <w:r>
        <w:rPr>
          <w:rStyle w:val="FootnoteReference"/>
        </w:rPr>
        <w:footnoteRef/>
      </w:r>
      <w:r>
        <w:t xml:space="preserve"> Regulation (EU) 2017/1001 of 14.6.2017.</w:t>
      </w:r>
    </w:p>
  </w:footnote>
  <w:footnote w:id="96">
    <w:p w:rsidR="00EB6A7B" w:rsidRDefault="001E7ACC">
      <w:pPr>
        <w:pStyle w:val="FootnoteText"/>
      </w:pPr>
      <w:r>
        <w:rPr>
          <w:rStyle w:val="FootnoteReference"/>
        </w:rPr>
        <w:footnoteRef/>
      </w:r>
      <w:r>
        <w:t xml:space="preserve"> Directive 98/71/EC of 13.10.1998.</w:t>
      </w:r>
    </w:p>
  </w:footnote>
  <w:footnote w:id="97">
    <w:p w:rsidR="00EB6A7B" w:rsidRDefault="001E7ACC">
      <w:pPr>
        <w:pStyle w:val="FootnoteText"/>
      </w:pPr>
      <w:r>
        <w:rPr>
          <w:rStyle w:val="FootnoteReference"/>
        </w:rPr>
        <w:footnoteRef/>
      </w:r>
      <w:r>
        <w:t xml:space="preserve"> Council Regulation (EC) No 6/2002 of 12.12.2001.</w:t>
      </w:r>
    </w:p>
  </w:footnote>
  <w:footnote w:id="98">
    <w:p w:rsidR="00EB6A7B" w:rsidRDefault="001E7ACC">
      <w:pPr>
        <w:pStyle w:val="FootnoteText"/>
      </w:pPr>
      <w:r>
        <w:rPr>
          <w:rStyle w:val="FootnoteReference"/>
        </w:rPr>
        <w:footnoteRef/>
      </w:r>
      <w:r>
        <w:t>See e.g. Regulation (EU) No 1151/2012 of 21.11.2012. and Council Regulation (EC) No. 510/2006 of 20</w:t>
      </w:r>
      <w:r>
        <w:t>.3.2006.</w:t>
      </w:r>
    </w:p>
  </w:footnote>
  <w:footnote w:id="99">
    <w:p w:rsidR="00EB6A7B" w:rsidRDefault="001E7ACC">
      <w:pPr>
        <w:pStyle w:val="FootnoteText"/>
      </w:pPr>
      <w:r>
        <w:rPr>
          <w:rStyle w:val="FootnoteReference"/>
        </w:rPr>
        <w:footnoteRef/>
      </w:r>
      <w:r>
        <w:t xml:space="preserve"> Regulation (EU) 2017/625 of 15.3.2017.</w:t>
      </w:r>
    </w:p>
  </w:footnote>
  <w:footnote w:id="100">
    <w:p w:rsidR="00EB6A7B" w:rsidRDefault="001E7ACC">
      <w:pPr>
        <w:pStyle w:val="FootnoteText"/>
      </w:pPr>
      <w:r>
        <w:rPr>
          <w:rStyle w:val="FootnoteReference"/>
        </w:rPr>
        <w:footnoteRef/>
      </w:r>
      <w:r>
        <w:t xml:space="preserve"> E.g. Case C</w:t>
      </w:r>
      <w:r>
        <w:rPr>
          <w:rFonts w:ascii="MS Mincho" w:eastAsia="MS Mincho" w:hAnsi="MS Mincho" w:cs="MS Mincho"/>
        </w:rPr>
        <w:t>‑</w:t>
      </w:r>
      <w:r>
        <w:t xml:space="preserve">484/14, </w:t>
      </w:r>
      <w:r>
        <w:rPr>
          <w:i/>
        </w:rPr>
        <w:t>Mc Fadden</w:t>
      </w:r>
      <w:r>
        <w:t xml:space="preserve">; Case C-324/09, </w:t>
      </w:r>
      <w:r>
        <w:rPr>
          <w:i/>
        </w:rPr>
        <w:t>L’Oréal v. eBay</w:t>
      </w:r>
      <w:r>
        <w:t>.</w:t>
      </w:r>
    </w:p>
  </w:footnote>
  <w:footnote w:id="101">
    <w:p w:rsidR="00EB6A7B" w:rsidRDefault="001E7ACC">
      <w:pPr>
        <w:pStyle w:val="FootnoteText"/>
      </w:pPr>
      <w:r>
        <w:rPr>
          <w:rStyle w:val="FootnoteReference"/>
        </w:rPr>
        <w:footnoteRef/>
      </w:r>
      <w:r>
        <w:rPr>
          <w:lang w:val="es-ES"/>
        </w:rPr>
        <w:t xml:space="preserve"> E.g. </w:t>
      </w:r>
      <w:r>
        <w:rPr>
          <w:rFonts w:cs="Times New Roman"/>
          <w:lang w:val="es-ES"/>
        </w:rPr>
        <w:t xml:space="preserve">Judgment of the CJEU (Grand Chamber) of 29 January 2008, </w:t>
      </w:r>
      <w:hyperlink r:id="rId10" w:history="1">
        <w:r>
          <w:rPr>
            <w:rStyle w:val="Hyperlink"/>
            <w:rFonts w:cs="Times New Roman"/>
            <w:lang w:val="es-ES"/>
          </w:rPr>
          <w:t>C-275/06</w:t>
        </w:r>
      </w:hyperlink>
      <w:r>
        <w:rPr>
          <w:rFonts w:cs="Times New Roman"/>
          <w:lang w:val="es-ES"/>
        </w:rPr>
        <w:t xml:space="preserve">, </w:t>
      </w:r>
      <w:r>
        <w:rPr>
          <w:rFonts w:cs="Times New Roman"/>
          <w:i/>
          <w:lang w:val="es-ES"/>
        </w:rPr>
        <w:t>Productores de Música de España (Promusicae) v Telefónica de España SAU</w:t>
      </w:r>
      <w:r>
        <w:rPr>
          <w:rFonts w:cs="Times New Roman"/>
          <w:lang w:val="es-ES"/>
        </w:rPr>
        <w:t>, EU:C:2008:54, p</w:t>
      </w:r>
      <w:r>
        <w:rPr>
          <w:rFonts w:cs="Times New Roman"/>
          <w:lang w:val="es-ES"/>
        </w:rPr>
        <w:t xml:space="preserve">ara. </w:t>
      </w:r>
      <w:r>
        <w:rPr>
          <w:rFonts w:cs="Times New Roman"/>
        </w:rPr>
        <w:t>68.</w:t>
      </w:r>
    </w:p>
  </w:footnote>
  <w:footnote w:id="102">
    <w:p w:rsidR="00EB6A7B" w:rsidRDefault="001E7ACC">
      <w:pPr>
        <w:pStyle w:val="FootnoteText"/>
      </w:pPr>
      <w:r>
        <w:rPr>
          <w:rStyle w:val="FootnoteReference"/>
        </w:rPr>
        <w:footnoteRef/>
      </w:r>
      <w:r>
        <w:t xml:space="preserve"> See </w:t>
      </w:r>
      <w:r>
        <w:rPr>
          <w:i/>
        </w:rPr>
        <w:t xml:space="preserve">"Support study…", </w:t>
      </w:r>
      <w:r>
        <w:t>p. 130</w:t>
      </w:r>
    </w:p>
  </w:footnote>
  <w:footnote w:id="103">
    <w:p w:rsidR="00EB6A7B" w:rsidRDefault="001E7ACC">
      <w:pPr>
        <w:pStyle w:val="FootnoteText"/>
      </w:pPr>
      <w:r>
        <w:rPr>
          <w:rStyle w:val="FootnoteReference"/>
        </w:rPr>
        <w:footnoteRef/>
      </w:r>
      <w:r>
        <w:t xml:space="preserve"> </w:t>
      </w:r>
      <w:r>
        <w:rPr>
          <w:i/>
        </w:rPr>
        <w:t>Idem.</w:t>
      </w:r>
    </w:p>
  </w:footnote>
  <w:footnote w:id="104">
    <w:p w:rsidR="00EB6A7B" w:rsidRDefault="001E7ACC">
      <w:pPr>
        <w:pStyle w:val="FootnoteText"/>
      </w:pPr>
      <w:r>
        <w:rPr>
          <w:rStyle w:val="FootnoteReference"/>
        </w:rPr>
        <w:footnoteRef/>
      </w:r>
      <w:r>
        <w:t xml:space="preserve"> See EUIPO/Europol joint 2017 situation report on counterfeiting and piracy in the European Union (https://euipo.europa.eu/tunnel-web/secure/webdav/guest/document_library/observatory/documents/reports/Execut</w:t>
      </w:r>
      <w:r>
        <w:t>ive%20Summary%20Situation%20Report%20EUIPO-Europol_en.pdf)</w:t>
      </w:r>
    </w:p>
  </w:footnote>
  <w:footnote w:id="105">
    <w:p w:rsidR="00EB6A7B" w:rsidRDefault="001E7ACC">
      <w:pPr>
        <w:pStyle w:val="FootnoteText"/>
      </w:pPr>
      <w:r>
        <w:rPr>
          <w:rStyle w:val="FootnoteReference"/>
        </w:rPr>
        <w:footnoteRef/>
      </w:r>
      <w:r>
        <w:t xml:space="preserve"> </w:t>
      </w:r>
      <w:r>
        <w:tab/>
        <w:t>Communication from the Commission "A Digital Single Market Strategy for Europe" (COM(2015) 192 final)</w:t>
      </w:r>
    </w:p>
  </w:footnote>
  <w:footnote w:id="106">
    <w:p w:rsidR="00EB6A7B" w:rsidRDefault="001E7ACC">
      <w:pPr>
        <w:pStyle w:val="FootnoteText"/>
      </w:pPr>
      <w:r>
        <w:rPr>
          <w:rStyle w:val="FootnoteReference"/>
        </w:rPr>
        <w:footnoteRef/>
      </w:r>
      <w:r>
        <w:t xml:space="preserve"> </w:t>
      </w:r>
      <w:r>
        <w:tab/>
        <w:t xml:space="preserve">Communication from the Commission "Upgrading the Single Market: more opportunities for </w:t>
      </w:r>
      <w:r>
        <w:t>people and business" (COM(2015) 550 final)</w:t>
      </w:r>
    </w:p>
  </w:footnote>
  <w:footnote w:id="107">
    <w:p w:rsidR="00EB6A7B" w:rsidRDefault="001E7ACC">
      <w:pPr>
        <w:pStyle w:val="FootnoteText"/>
      </w:pPr>
      <w:r>
        <w:rPr>
          <w:rStyle w:val="FootnoteReference"/>
        </w:rPr>
        <w:footnoteRef/>
      </w:r>
      <w:r>
        <w:t xml:space="preserve"> </w:t>
      </w:r>
      <w:r>
        <w:tab/>
        <w:t>Report from the Commission "Application of Directive 2004/48/EC of the European Parliament and the Council of 29 April 2004 on the enforcement of intellectual property rights" (COM(2010)0779 final)</w:t>
      </w:r>
    </w:p>
  </w:footnote>
  <w:footnote w:id="108">
    <w:p w:rsidR="00EB6A7B" w:rsidRDefault="001E7ACC">
      <w:pPr>
        <w:pStyle w:val="FootnoteText"/>
      </w:pPr>
      <w:r>
        <w:rPr>
          <w:rStyle w:val="FootnoteReference"/>
        </w:rPr>
        <w:footnoteRef/>
      </w:r>
      <w:r>
        <w:t xml:space="preserve"> </w:t>
      </w:r>
      <w:r>
        <w:tab/>
        <w:t>Commissio</w:t>
      </w:r>
      <w:r>
        <w:t>n Staff Working Document "Analysis of the application of Directive 2004/48/EC of the European Parliament and the Council of 29 April 2004 on the enforcement of intellectual property rights in the Member States" (SEC(2010)1589 final)</w:t>
      </w:r>
    </w:p>
  </w:footnote>
  <w:footnote w:id="109">
    <w:p w:rsidR="00EB6A7B" w:rsidRDefault="001E7ACC">
      <w:pPr>
        <w:pStyle w:val="FootnoteText"/>
      </w:pPr>
      <w:r>
        <w:rPr>
          <w:rStyle w:val="FootnoteReference"/>
        </w:rPr>
        <w:footnoteRef/>
      </w:r>
      <w:r>
        <w:t xml:space="preserve"> </w:t>
      </w:r>
      <w:r>
        <w:tab/>
      </w:r>
      <w:hyperlink r:id="rId11" w:history="1">
        <w:r>
          <w:rPr>
            <w:rStyle w:val="Hyperlink"/>
          </w:rPr>
          <w:t>http://ec.europa.eu/internal_market/consultations/2011/intellectual_property_rights_en.htm</w:t>
        </w:r>
      </w:hyperlink>
      <w:r>
        <w:t xml:space="preserve"> </w:t>
      </w:r>
    </w:p>
  </w:footnote>
  <w:footnote w:id="110">
    <w:p w:rsidR="00EB6A7B" w:rsidRDefault="001E7ACC">
      <w:pPr>
        <w:pStyle w:val="FootnoteText"/>
      </w:pPr>
      <w:r>
        <w:rPr>
          <w:rStyle w:val="FootnoteReference"/>
        </w:rPr>
        <w:footnoteRef/>
      </w:r>
      <w:r>
        <w:t xml:space="preserve"> </w:t>
      </w:r>
      <w:r>
        <w:tab/>
      </w:r>
      <w:hyperlink r:id="rId12" w:history="1">
        <w:r>
          <w:rPr>
            <w:rStyle w:val="Hyperlink"/>
          </w:rPr>
          <w:t>http://ec.europa.eu/internal_market/iprenforcement/docs/conference20110607/hearing-report_en.pdf</w:t>
        </w:r>
      </w:hyperlink>
      <w:r>
        <w:t xml:space="preserve"> </w:t>
      </w:r>
    </w:p>
  </w:footnote>
  <w:footnote w:id="111">
    <w:p w:rsidR="00EB6A7B" w:rsidRDefault="001E7ACC">
      <w:pPr>
        <w:pStyle w:val="FootnoteText"/>
      </w:pPr>
      <w:r>
        <w:rPr>
          <w:rStyle w:val="FootnoteReference"/>
        </w:rPr>
        <w:footnoteRef/>
      </w:r>
      <w:r>
        <w:t xml:space="preserve"> </w:t>
      </w:r>
      <w:r>
        <w:tab/>
      </w:r>
      <w:hyperlink r:id="rId13" w:history="1">
        <w:r>
          <w:rPr>
            <w:rStyle w:val="Hyperlink"/>
          </w:rPr>
          <w:t>http://ec.europa.eu/internal_market/consultations/2012/intellectual-property-rights_en.htm</w:t>
        </w:r>
      </w:hyperlink>
      <w:r>
        <w:t xml:space="preserve"> </w:t>
      </w:r>
    </w:p>
  </w:footnote>
  <w:footnote w:id="112">
    <w:p w:rsidR="00EB6A7B" w:rsidRDefault="001E7ACC">
      <w:pPr>
        <w:pStyle w:val="FootnoteText"/>
      </w:pPr>
      <w:r>
        <w:rPr>
          <w:rStyle w:val="FootnoteReference"/>
        </w:rPr>
        <w:footnoteRef/>
      </w:r>
      <w:r>
        <w:t xml:space="preserve"> </w:t>
      </w:r>
      <w:r>
        <w:tab/>
      </w:r>
      <w:hyperlink r:id="rId14" w:history="1">
        <w:r>
          <w:rPr>
            <w:rStyle w:val="Hyperlink"/>
          </w:rPr>
          <w:t>http://ec.europa.eu/internal_market/consultations/2013/copyright-rules/index_en.htm</w:t>
        </w:r>
      </w:hyperlink>
      <w:r>
        <w:t xml:space="preserve"> </w:t>
      </w:r>
    </w:p>
  </w:footnote>
  <w:footnote w:id="113">
    <w:p w:rsidR="00EB6A7B" w:rsidRDefault="001E7ACC">
      <w:pPr>
        <w:pStyle w:val="FootnoteText"/>
      </w:pPr>
      <w:r>
        <w:rPr>
          <w:rStyle w:val="FootnoteReference"/>
        </w:rPr>
        <w:footnoteRef/>
      </w:r>
      <w:r>
        <w:t xml:space="preserve"> </w:t>
      </w:r>
      <w:r>
        <w:tab/>
      </w:r>
      <w:hyperlink r:id="rId15" w:history="1">
        <w:r>
          <w:rPr>
            <w:rStyle w:val="Hyperlink"/>
          </w:rPr>
          <w:t>https://euipo.europa.eu/ohimportal/en/web/observatory/observatory-publi</w:t>
        </w:r>
        <w:r>
          <w:rPr>
            <w:rStyle w:val="Hyperlink"/>
          </w:rPr>
          <w:t>cations</w:t>
        </w:r>
      </w:hyperlink>
      <w:r>
        <w:t xml:space="preserve"> </w:t>
      </w:r>
    </w:p>
  </w:footnote>
  <w:footnote w:id="114">
    <w:p w:rsidR="00EB6A7B" w:rsidRDefault="001E7ACC">
      <w:pPr>
        <w:pStyle w:val="FootnoteText"/>
      </w:pPr>
      <w:r>
        <w:rPr>
          <w:rStyle w:val="FootnoteReference"/>
        </w:rPr>
        <w:footnoteRef/>
      </w:r>
      <w:r>
        <w:t xml:space="preserve"> </w:t>
      </w:r>
      <w:r>
        <w:tab/>
      </w:r>
      <w:hyperlink r:id="rId16" w:history="1">
        <w:r>
          <w:rPr>
            <w:rStyle w:val="Hyperlink"/>
          </w:rPr>
          <w:t>http://ec.europa.eu/growth/tools-databases/newsroom/cf/itemdetail.cfm?item_id=8580</w:t>
        </w:r>
      </w:hyperlink>
    </w:p>
  </w:footnote>
  <w:footnote w:id="115">
    <w:p w:rsidR="00EB6A7B" w:rsidRDefault="001E7ACC">
      <w:pPr>
        <w:pStyle w:val="FootnoteText"/>
      </w:pPr>
      <w:r>
        <w:rPr>
          <w:rStyle w:val="FootnoteReference"/>
        </w:rPr>
        <w:footnoteRef/>
      </w:r>
      <w:r>
        <w:t xml:space="preserve"> </w:t>
      </w:r>
      <w:r>
        <w:tab/>
      </w:r>
      <w:hyperlink r:id="rId17" w:history="1">
        <w:r>
          <w:rPr>
            <w:rStyle w:val="Hyperlink"/>
          </w:rPr>
          <w:t>http://ec.europa.eu/transparency/regexpert/index.cfm?do=groupDetail.groupDetail&amp;groupID=3216</w:t>
        </w:r>
      </w:hyperlink>
      <w:r>
        <w:t xml:space="preserve"> </w:t>
      </w:r>
    </w:p>
  </w:footnote>
  <w:footnote w:id="116">
    <w:p w:rsidR="00EB6A7B" w:rsidRDefault="001E7ACC">
      <w:pPr>
        <w:pStyle w:val="FootnoteText"/>
      </w:pPr>
      <w:r>
        <w:rPr>
          <w:rStyle w:val="FootnoteReference"/>
        </w:rPr>
        <w:footnoteRef/>
      </w:r>
      <w:r>
        <w:t xml:space="preserve"> </w:t>
      </w:r>
      <w:r>
        <w:tab/>
        <w:t>[Reference and link to be added once the study is published]</w:t>
      </w:r>
    </w:p>
  </w:footnote>
  <w:footnote w:id="117">
    <w:p w:rsidR="00EB6A7B" w:rsidRDefault="001E7ACC">
      <w:pPr>
        <w:pStyle w:val="FootnoteText"/>
      </w:pPr>
      <w:r>
        <w:rPr>
          <w:rStyle w:val="FootnoteReference"/>
        </w:rPr>
        <w:footnoteRef/>
      </w:r>
      <w:r>
        <w:t xml:space="preserve"> </w:t>
      </w:r>
      <w:r>
        <w:tab/>
        <w:t>Available at http://ec.europa.eu/DocsRoom/doc</w:t>
      </w:r>
      <w:r>
        <w:t>uments/18661</w:t>
      </w:r>
    </w:p>
  </w:footnote>
  <w:footnote w:id="118">
    <w:p w:rsidR="00EB6A7B" w:rsidRDefault="001E7ACC">
      <w:pPr>
        <w:pStyle w:val="FootnoteText"/>
        <w:rPr>
          <w:lang w:val="pt-PT"/>
        </w:rPr>
      </w:pPr>
      <w:r>
        <w:rPr>
          <w:rStyle w:val="FootnoteReference"/>
        </w:rPr>
        <w:footnoteRef/>
      </w:r>
      <w:r>
        <w:rPr>
          <w:lang w:val="pt-PT"/>
        </w:rPr>
        <w:t xml:space="preserve"> </w:t>
      </w:r>
      <w:r>
        <w:rPr>
          <w:rFonts w:cs="Times New Roman"/>
          <w:lang w:val="pt-PT"/>
        </w:rPr>
        <w:t>(COM(2010)779 final)</w:t>
      </w:r>
    </w:p>
  </w:footnote>
  <w:footnote w:id="119">
    <w:p w:rsidR="00EB6A7B" w:rsidRDefault="001E7ACC">
      <w:pPr>
        <w:pStyle w:val="FootnoteText"/>
        <w:rPr>
          <w:lang w:val="pt-PT"/>
        </w:rPr>
      </w:pPr>
      <w:r>
        <w:rPr>
          <w:rStyle w:val="FootnoteReference"/>
        </w:rPr>
        <w:footnoteRef/>
      </w:r>
      <w:r>
        <w:rPr>
          <w:lang w:val="pt-PT"/>
        </w:rPr>
        <w:t xml:space="preserve"> </w:t>
      </w:r>
      <w:r>
        <w:rPr>
          <w:rFonts w:cs="Times New Roman"/>
          <w:lang w:val="pt-PT"/>
        </w:rPr>
        <w:t>(SEC(2010)1589)</w:t>
      </w:r>
    </w:p>
  </w:footnote>
  <w:footnote w:id="120">
    <w:p w:rsidR="00EB6A7B" w:rsidRDefault="001E7ACC">
      <w:pPr>
        <w:pStyle w:val="FootnoteText"/>
        <w:rPr>
          <w:lang w:val="pt-PT"/>
        </w:rPr>
      </w:pPr>
      <w:r>
        <w:rPr>
          <w:rStyle w:val="FootnoteReference"/>
        </w:rPr>
        <w:footnoteRef/>
      </w:r>
      <w:r>
        <w:rPr>
          <w:lang w:val="pt-PT"/>
        </w:rPr>
        <w:t xml:space="preserve"> http://ec.europa.eu/internal_market/iprenforcement/docs/damages_en.pdf (Page 4)</w:t>
      </w:r>
    </w:p>
  </w:footnote>
  <w:footnote w:id="121">
    <w:p w:rsidR="00EB6A7B" w:rsidRDefault="001E7ACC">
      <w:pPr>
        <w:pStyle w:val="ListParagraph"/>
        <w:spacing w:after="0" w:line="240" w:lineRule="auto"/>
        <w:ind w:left="0"/>
        <w:contextualSpacing w:val="0"/>
        <w:jc w:val="both"/>
        <w:rPr>
          <w:sz w:val="20"/>
        </w:rPr>
      </w:pPr>
      <w:r>
        <w:rPr>
          <w:rStyle w:val="FootnoteReference"/>
          <w:rFonts w:ascii="Times New Roman" w:hAnsi="Times New Roman" w:cs="Times New Roman"/>
          <w:sz w:val="20"/>
          <w:szCs w:val="16"/>
        </w:rPr>
        <w:footnoteRef/>
      </w:r>
      <w:r>
        <w:rPr>
          <w:rFonts w:ascii="Times New Roman" w:hAnsi="Times New Roman" w:cs="Times New Roman"/>
          <w:sz w:val="20"/>
          <w:szCs w:val="16"/>
        </w:rPr>
        <w:t xml:space="preserve"> Data considered for analysis includes information on 3 Member States, France, Germany and the Netherlands, and covers </w:t>
      </w:r>
      <w:r>
        <w:rPr>
          <w:rFonts w:ascii="Times New Roman" w:hAnsi="Times New Roman" w:cs="Times New Roman"/>
          <w:sz w:val="20"/>
          <w:szCs w:val="16"/>
        </w:rPr>
        <w:t xml:space="preserve">three different IPR: Patents, Design and Trademark. Only court cases which included both requested and awarded information, have been included in the analysis. </w:t>
      </w:r>
    </w:p>
  </w:footnote>
  <w:footnote w:id="122">
    <w:p w:rsidR="00EB6A7B" w:rsidRDefault="001E7ACC">
      <w:pPr>
        <w:pStyle w:val="FootnoteText"/>
      </w:pPr>
      <w:r>
        <w:rPr>
          <w:rStyle w:val="FootnoteReference"/>
          <w:rFonts w:cs="Times New Roman"/>
          <w:szCs w:val="16"/>
        </w:rPr>
        <w:footnoteRef/>
      </w:r>
      <w:r>
        <w:rPr>
          <w:rFonts w:cs="Times New Roman"/>
          <w:szCs w:val="16"/>
        </w:rPr>
        <w:t xml:space="preserve"> The mean (63%) of requested damages for patents cases in France is quite different from the m</w:t>
      </w:r>
      <w:r>
        <w:rPr>
          <w:rFonts w:cs="Times New Roman"/>
          <w:szCs w:val="16"/>
        </w:rPr>
        <w:t>edian (20%), probably because of extreme cases moving the average up. This difference seems to indicate that the gap between requested and awarded damages is also quite significant for patent court cases in France.</w:t>
      </w:r>
      <w:r>
        <w:rPr>
          <w:sz w:val="24"/>
        </w:rPr>
        <w:t xml:space="preserve"> </w:t>
      </w:r>
    </w:p>
  </w:footnote>
  <w:footnote w:id="123">
    <w:p w:rsidR="00EB6A7B" w:rsidRDefault="001E7ACC">
      <w:pPr>
        <w:pStyle w:val="FootnoteText"/>
      </w:pPr>
      <w:r>
        <w:rPr>
          <w:rStyle w:val="FootnoteReference"/>
        </w:rPr>
        <w:footnoteRef/>
      </w:r>
      <w:r>
        <w:t xml:space="preserve"> </w:t>
      </w:r>
      <w:r>
        <w:rPr>
          <w:i/>
        </w:rPr>
        <w:t xml:space="preserve">"Damages in Intellectual Property </w:t>
      </w:r>
      <w:r>
        <w:rPr>
          <w:i/>
        </w:rPr>
        <w:t>Rights"</w:t>
      </w:r>
      <w:r>
        <w:t>, European Commission, European Observatory on Infringements of Intellectual Property Rights, 2010</w:t>
      </w:r>
    </w:p>
  </w:footnote>
  <w:footnote w:id="124">
    <w:p w:rsidR="00EB6A7B" w:rsidRDefault="001E7ACC">
      <w:pPr>
        <w:pStyle w:val="FootnoteText"/>
      </w:pPr>
      <w:r>
        <w:rPr>
          <w:rStyle w:val="FootnoteReference"/>
        </w:rPr>
        <w:footnoteRef/>
      </w:r>
      <w:r>
        <w:t xml:space="preserve"> </w:t>
      </w:r>
      <w:r>
        <w:rPr>
          <w:i/>
        </w:rPr>
        <w:t>"Comparative Study on damages allocated in the framework of counterfeiting procedures in France, UK and Germany”</w:t>
      </w:r>
      <w:r>
        <w:t>, Fidal, 2014</w:t>
      </w:r>
    </w:p>
  </w:footnote>
  <w:footnote w:id="125">
    <w:p w:rsidR="00EB6A7B" w:rsidRDefault="00EB6A7B">
      <w:pPr>
        <w:pStyle w:val="FootnoteText"/>
        <w:rPr>
          <w:rFonts w:cs="Times New Roman"/>
        </w:rPr>
      </w:pPr>
    </w:p>
  </w:footnote>
  <w:footnote w:id="126">
    <w:p w:rsidR="00EB6A7B" w:rsidRDefault="001E7ACC">
      <w:pPr>
        <w:pStyle w:val="FootnoteText"/>
        <w:rPr>
          <w:rFonts w:cs="Times New Roman"/>
        </w:rPr>
      </w:pPr>
      <w:r>
        <w:rPr>
          <w:rStyle w:val="FootnoteReference"/>
        </w:rPr>
        <w:footnoteRef/>
      </w:r>
      <w:r>
        <w:rPr>
          <w:rStyle w:val="FootnoteReference"/>
        </w:rPr>
        <w:t xml:space="preserve"> </w:t>
      </w:r>
      <w:r>
        <w:rPr>
          <w:rFonts w:cs="Times New Roman"/>
        </w:rPr>
        <w:t xml:space="preserve">Cf. </w:t>
      </w:r>
      <w:r>
        <w:t xml:space="preserve">Statement </w:t>
      </w:r>
      <w:hyperlink r:id="rId18" w:history="1">
        <w:r>
          <w:t>2005/295/EC</w:t>
        </w:r>
      </w:hyperlink>
      <w:r>
        <w:t xml:space="preserve"> by the Commission concerning Article 2 of Directive 2004/48/EC of the European Parliament and of the Council on the enforcement of intellectual property rights (OJ </w:t>
      </w:r>
      <w:r>
        <w:t xml:space="preserve">L 94 of 13.4.2005) provides a list of IPRs </w:t>
      </w:r>
      <w:r>
        <w:rPr>
          <w:rFonts w:cs="Times New Roman"/>
        </w:rPr>
        <w:t>which the Commission considers at least to be covered by the scope of the Directive.</w:t>
      </w:r>
    </w:p>
  </w:footnote>
  <w:footnote w:id="127">
    <w:p w:rsidR="00EB6A7B" w:rsidRDefault="001E7ACC">
      <w:pPr>
        <w:pStyle w:val="FootnoteText"/>
        <w:rPr>
          <w:rFonts w:cs="Times New Roman"/>
        </w:rPr>
      </w:pPr>
      <w:r>
        <w:rPr>
          <w:rStyle w:val="FootnoteReference"/>
        </w:rPr>
        <w:footnoteRef/>
      </w:r>
      <w:r>
        <w:rPr>
          <w:rFonts w:cs="Times New Roman"/>
        </w:rPr>
        <w:t xml:space="preserve"> Directive 2001/29/EC on copyright and related rights in the information society</w:t>
      </w:r>
    </w:p>
  </w:footnote>
  <w:footnote w:id="128">
    <w:p w:rsidR="00EB6A7B" w:rsidRDefault="001E7ACC">
      <w:pPr>
        <w:pStyle w:val="FootnoteText"/>
      </w:pPr>
      <w:r>
        <w:rPr>
          <w:rStyle w:val="FootnoteReference"/>
        </w:rPr>
        <w:footnoteRef/>
      </w:r>
      <w:r>
        <w:rPr>
          <w:rFonts w:cs="Times New Roman"/>
        </w:rPr>
        <w:t xml:space="preserve"> Council Regulation (EC) No 6/2002 on Communi</w:t>
      </w:r>
      <w:r>
        <w:rPr>
          <w:rFonts w:cs="Times New Roman"/>
        </w:rPr>
        <w:t>ty designs</w:t>
      </w:r>
    </w:p>
  </w:footnote>
  <w:footnote w:id="129">
    <w:p w:rsidR="00EB6A7B" w:rsidRDefault="001E7ACC">
      <w:pPr>
        <w:pStyle w:val="FootnoteText"/>
        <w:rPr>
          <w:rFonts w:cs="Times New Roman"/>
        </w:rPr>
      </w:pPr>
      <w:r>
        <w:rPr>
          <w:rStyle w:val="FootnoteReference"/>
        </w:rPr>
        <w:footnoteRef/>
      </w:r>
      <w:r>
        <w:rPr>
          <w:rFonts w:cs="Times New Roman"/>
        </w:rPr>
        <w:t xml:space="preserve"> Regulation (EU) 2015/2424 of the European Parliament and of the Council of 16 December 2015 amending Council Regulation (EC) No 207/2009 on the EU trade mark and Commission Regulation (EC) No 2868/95 implementing Council Regulation (EC) No 40/</w:t>
      </w:r>
      <w:r>
        <w:rPr>
          <w:rFonts w:cs="Times New Roman"/>
        </w:rPr>
        <w:t>94 on the EU trade mark, and repealing Commission Regulation (EC) No 2869/95 on the fees payable to the Office for Harmonization in the Internal Market (Trade Marks and Designs)</w:t>
      </w:r>
    </w:p>
  </w:footnote>
  <w:footnote w:id="130">
    <w:p w:rsidR="00EB6A7B" w:rsidRDefault="001E7ACC">
      <w:pPr>
        <w:pStyle w:val="FootnoteText"/>
      </w:pPr>
      <w:r>
        <w:rPr>
          <w:rStyle w:val="FootnoteReference"/>
        </w:rPr>
        <w:footnoteRef/>
      </w:r>
      <w:r>
        <w:t xml:space="preserve"> Regulation (EU) 2017/625 of 15.3.2017.</w:t>
      </w:r>
    </w:p>
  </w:footnote>
  <w:footnote w:id="131">
    <w:p w:rsidR="00EB6A7B" w:rsidRDefault="001E7ACC">
      <w:pPr>
        <w:pStyle w:val="FootnoteText"/>
        <w:rPr>
          <w:rFonts w:cs="Times New Roman"/>
        </w:rPr>
      </w:pPr>
      <w:r>
        <w:rPr>
          <w:rStyle w:val="FootnoteReference"/>
        </w:rPr>
        <w:footnoteRef/>
      </w:r>
      <w:r>
        <w:rPr>
          <w:rStyle w:val="FootnoteReference"/>
        </w:rPr>
        <w:t xml:space="preserve"> </w:t>
      </w:r>
      <w:r>
        <w:rPr>
          <w:rFonts w:cs="Times New Roman"/>
        </w:rPr>
        <w:t>Art. 18(2) Commission Regulation (E</w:t>
      </w:r>
      <w:r>
        <w:rPr>
          <w:rFonts w:cs="Times New Roman"/>
        </w:rPr>
        <w:t>C) No 1768/95 implementing rules on the agricultural exemption provided for in Article 14(3) of Council Regulation (EC) No 2100/94 on Community plant variety rights</w:t>
      </w:r>
    </w:p>
  </w:footnote>
  <w:footnote w:id="132">
    <w:p w:rsidR="00EB6A7B" w:rsidRDefault="001E7ACC">
      <w:pPr>
        <w:pStyle w:val="FootnoteText"/>
        <w:rPr>
          <w:rFonts w:cs="Times New Roman"/>
        </w:rPr>
      </w:pPr>
      <w:r>
        <w:rPr>
          <w:rStyle w:val="FootnoteReference"/>
        </w:rPr>
        <w:footnoteRef/>
      </w:r>
      <w:r>
        <w:rPr>
          <w:rFonts w:cs="Times New Roman"/>
        </w:rPr>
        <w:t xml:space="preserve"> Regulation (EU) No 608/2013 concerning customs enforcement of intellectual property rights</w:t>
      </w:r>
    </w:p>
  </w:footnote>
  <w:footnote w:id="133">
    <w:p w:rsidR="00EB6A7B" w:rsidRDefault="001E7ACC">
      <w:pPr>
        <w:pStyle w:val="FootnoteText"/>
        <w:rPr>
          <w:rStyle w:val="FootnoteReference"/>
          <w:rFonts w:cs="Times New Roman"/>
          <w:sz w:val="24"/>
          <w:szCs w:val="22"/>
        </w:rPr>
      </w:pPr>
      <w:r>
        <w:rPr>
          <w:rStyle w:val="FootnoteReference"/>
        </w:rPr>
        <w:footnoteRef/>
      </w:r>
      <w:r>
        <w:t xml:space="preserve"> Directive 2000/31/EC of the European Parliament and of the Council of 8 June 2000 on certain legal aspects of information society services, in particular electron</w:t>
      </w:r>
      <w:r>
        <w:t>ic commerce, in the Internal Market</w:t>
      </w:r>
    </w:p>
  </w:footnote>
  <w:footnote w:id="134">
    <w:p w:rsidR="00EB6A7B" w:rsidRDefault="001E7ACC">
      <w:pPr>
        <w:pStyle w:val="FootnoteText"/>
        <w:rPr>
          <w:rFonts w:cs="Times New Roman"/>
        </w:rPr>
      </w:pPr>
      <w:r>
        <w:rPr>
          <w:rStyle w:val="FootnoteReference"/>
          <w:rFonts w:cs="Times New Roman"/>
        </w:rPr>
        <w:footnoteRef/>
      </w:r>
      <w:r>
        <w:rPr>
          <w:rFonts w:cs="Times New Roman"/>
        </w:rPr>
        <w:t xml:space="preserve"> This reflects the omnipresence of IPRs in the EU economy, with engineering activities, real estate activities, financial and insurance activities, manufacture of motor vehicles, retail, computer and pharmaceutical acti</w:t>
      </w:r>
      <w:r>
        <w:rPr>
          <w:rFonts w:cs="Times New Roman"/>
        </w:rPr>
        <w:t>vities among the 20 largest IPR-intensive industries in Europe.</w:t>
      </w:r>
    </w:p>
  </w:footnote>
  <w:footnote w:id="135">
    <w:p w:rsidR="00EB6A7B" w:rsidRDefault="001E7ACC">
      <w:pPr>
        <w:pStyle w:val="FootnoteText"/>
        <w:tabs>
          <w:tab w:val="left" w:pos="142"/>
          <w:tab w:val="left" w:pos="284"/>
        </w:tabs>
        <w:rPr>
          <w:rFonts w:cs="Times New Roman"/>
        </w:rPr>
      </w:pPr>
      <w:r>
        <w:rPr>
          <w:rStyle w:val="FootnoteReference"/>
          <w:rFonts w:cs="Times New Roman"/>
        </w:rPr>
        <w:footnoteRef/>
      </w:r>
      <w:r>
        <w:rPr>
          <w:rFonts w:cs="Times New Roman"/>
        </w:rPr>
        <w:t xml:space="preserve"> </w:t>
      </w:r>
      <w:r>
        <w:rPr>
          <w:rFonts w:cs="Times New Roman"/>
        </w:rPr>
        <w:tab/>
        <w:t>Study on the contribution made by IPR-intensive industries to the EU economy, EUIPO-EPO 2013</w:t>
      </w:r>
    </w:p>
  </w:footnote>
  <w:footnote w:id="136">
    <w:p w:rsidR="00EB6A7B" w:rsidRDefault="001E7ACC">
      <w:pPr>
        <w:pStyle w:val="FootnoteText"/>
        <w:tabs>
          <w:tab w:val="left" w:pos="142"/>
          <w:tab w:val="left" w:pos="284"/>
        </w:tabs>
        <w:rPr>
          <w:rFonts w:cs="Times New Roman"/>
        </w:rPr>
      </w:pPr>
      <w:r>
        <w:rPr>
          <w:rStyle w:val="FootnoteReference"/>
          <w:rFonts w:cs="Times New Roman"/>
        </w:rPr>
        <w:footnoteRef/>
      </w:r>
      <w:r>
        <w:rPr>
          <w:rFonts w:cs="Times New Roman"/>
        </w:rPr>
        <w:t xml:space="preserve"> </w:t>
      </w:r>
      <w:r>
        <w:rPr>
          <w:rFonts w:cs="Times New Roman"/>
        </w:rPr>
        <w:tab/>
        <w:t>Study on IPR and firm performance in Europe, EUIPO 2015</w:t>
      </w:r>
    </w:p>
  </w:footnote>
  <w:footnote w:id="137">
    <w:p w:rsidR="00EB6A7B" w:rsidRDefault="001E7ACC">
      <w:pPr>
        <w:pStyle w:val="FootnoteText"/>
      </w:pPr>
      <w:r>
        <w:rPr>
          <w:rStyle w:val="FootnoteReference"/>
        </w:rPr>
        <w:footnoteRef/>
      </w:r>
      <w:r>
        <w:t xml:space="preserve"> IP SME scoreboard, EUIPO 2016</w:t>
      </w:r>
    </w:p>
  </w:footnote>
  <w:footnote w:id="138">
    <w:p w:rsidR="00EB6A7B" w:rsidRDefault="001E7ACC">
      <w:pPr>
        <w:pStyle w:val="FootnoteText"/>
        <w:tabs>
          <w:tab w:val="left" w:pos="142"/>
          <w:tab w:val="left" w:pos="284"/>
        </w:tabs>
        <w:rPr>
          <w:rStyle w:val="FootnoteReference"/>
          <w:rFonts w:cs="Times New Roman"/>
        </w:rPr>
      </w:pPr>
      <w:r>
        <w:rPr>
          <w:rStyle w:val="FootnoteReference"/>
          <w:rFonts w:cs="Times New Roman"/>
        </w:rPr>
        <w:footnoteRef/>
      </w:r>
      <w:r>
        <w:rPr>
          <w:rStyle w:val="FootnoteReference"/>
          <w:rFonts w:cs="Times New Roman"/>
        </w:rPr>
        <w:t xml:space="preserve"> </w:t>
      </w:r>
      <w:r>
        <w:rPr>
          <w:rStyle w:val="FootnoteReference"/>
          <w:rFonts w:cs="Times New Roman"/>
        </w:rPr>
        <w:tab/>
      </w:r>
      <w:r>
        <w:rPr>
          <w:rFonts w:cs="Times New Roman"/>
          <w:i/>
        </w:rPr>
        <w:t>"T</w:t>
      </w:r>
      <w:r>
        <w:rPr>
          <w:rFonts w:cs="Times New Roman"/>
          <w:i/>
        </w:rPr>
        <w:t>rade in Counterfeit and Pirated Goods"</w:t>
      </w:r>
      <w:r>
        <w:rPr>
          <w:rFonts w:cs="Times New Roman"/>
        </w:rPr>
        <w:t>, OECD-EUIPO 2016</w:t>
      </w:r>
    </w:p>
  </w:footnote>
  <w:footnote w:id="139">
    <w:p w:rsidR="00EB6A7B" w:rsidRDefault="001E7ACC">
      <w:pPr>
        <w:pStyle w:val="FootnoteText"/>
        <w:tabs>
          <w:tab w:val="left" w:pos="142"/>
          <w:tab w:val="left" w:pos="284"/>
        </w:tabs>
        <w:rPr>
          <w:rFonts w:cs="Times New Roman"/>
        </w:rPr>
      </w:pPr>
      <w:r>
        <w:rPr>
          <w:rStyle w:val="FootnoteReference"/>
          <w:rFonts w:cs="Times New Roman"/>
        </w:rPr>
        <w:footnoteRef/>
      </w:r>
      <w:r>
        <w:rPr>
          <w:rFonts w:cs="Times New Roman"/>
        </w:rPr>
        <w:t xml:space="preserve"> </w:t>
      </w:r>
      <w:r>
        <w:rPr>
          <w:rFonts w:cs="Times New Roman"/>
        </w:rPr>
        <w:tab/>
        <w:t>Measuring IPR infringements in the Internal Market, "Development of a new approach to estimating the impact of infringements on sales", Rand 2013</w:t>
      </w:r>
    </w:p>
  </w:footnote>
  <w:footnote w:id="140">
    <w:p w:rsidR="00EB6A7B" w:rsidRDefault="001E7ACC">
      <w:pPr>
        <w:pStyle w:val="FootnoteText"/>
        <w:tabs>
          <w:tab w:val="left" w:pos="142"/>
          <w:tab w:val="left" w:pos="284"/>
        </w:tabs>
        <w:rPr>
          <w:rFonts w:cs="Times New Roman"/>
        </w:rPr>
      </w:pPr>
      <w:r>
        <w:rPr>
          <w:rStyle w:val="FootnoteReference"/>
          <w:rFonts w:cs="Times New Roman"/>
        </w:rPr>
        <w:footnoteRef/>
      </w:r>
      <w:r>
        <w:rPr>
          <w:rFonts w:cs="Times New Roman"/>
        </w:rPr>
        <w:t xml:space="preserve"> </w:t>
      </w:r>
      <w:r>
        <w:rPr>
          <w:rFonts w:cs="Times New Roman"/>
        </w:rPr>
        <w:tab/>
        <w:t>Kroll Global Fraud Report 2015-2016</w:t>
      </w:r>
    </w:p>
  </w:footnote>
  <w:footnote w:id="141">
    <w:p w:rsidR="00EB6A7B" w:rsidRDefault="001E7ACC">
      <w:pPr>
        <w:pStyle w:val="FootnoteText"/>
      </w:pPr>
      <w:r>
        <w:rPr>
          <w:rStyle w:val="FootnoteReference"/>
        </w:rPr>
        <w:footnoteRef/>
      </w:r>
      <w:r>
        <w:t xml:space="preserve"> Report on </w:t>
      </w:r>
      <w:r>
        <w:t>EU customs enforcement of intellectual property rights: results at the EU border 2015</w:t>
      </w:r>
    </w:p>
  </w:footnote>
  <w:footnote w:id="142">
    <w:p w:rsidR="00EB6A7B" w:rsidRDefault="001E7ACC">
      <w:pPr>
        <w:pStyle w:val="FootnoteText"/>
      </w:pPr>
      <w:r>
        <w:rPr>
          <w:rStyle w:val="FootnoteReference"/>
        </w:rPr>
        <w:footnoteRef/>
      </w:r>
      <w:r>
        <w:t xml:space="preserve"> </w:t>
      </w:r>
      <w:r>
        <w:rPr>
          <w:i/>
        </w:rPr>
        <w:t>Ibid.</w:t>
      </w:r>
    </w:p>
  </w:footnote>
  <w:footnote w:id="143">
    <w:p w:rsidR="00EB6A7B" w:rsidRDefault="001E7ACC">
      <w:pPr>
        <w:pStyle w:val="FootnoteText"/>
      </w:pPr>
      <w:r>
        <w:rPr>
          <w:rStyle w:val="FootnoteReference"/>
        </w:rPr>
        <w:footnoteRef/>
      </w:r>
      <w:r>
        <w:t xml:space="preserve"> </w:t>
      </w:r>
      <w:r>
        <w:tab/>
        <w:t>"Intellectual Property SME Scoreboard 2016", EUIPO, European Observatory on Infringements of Intellectual Property Rights, 2016</w:t>
      </w:r>
    </w:p>
  </w:footnote>
  <w:footnote w:id="144">
    <w:p w:rsidR="00EB6A7B" w:rsidRDefault="001E7ACC">
      <w:pPr>
        <w:pStyle w:val="FootnoteText"/>
      </w:pPr>
      <w:r>
        <w:rPr>
          <w:rStyle w:val="FootnoteReference"/>
        </w:rPr>
        <w:footnoteRef/>
      </w:r>
      <w:r>
        <w:rPr>
          <w:rStyle w:val="FootnoteReference"/>
        </w:rPr>
        <w:t xml:space="preserve"> </w:t>
      </w:r>
      <w:r>
        <w:tab/>
      </w:r>
      <w:hyperlink r:id="rId19" w:history="1">
        <w:r>
          <w:t>https://euipo.europa.eu/ohimportal/en/web/observatory/quantification-of-ipr-infringement</w:t>
        </w:r>
      </w:hyperlink>
      <w:r>
        <w:t xml:space="preserve"> </w:t>
      </w:r>
    </w:p>
  </w:footnote>
  <w:footnote w:id="145">
    <w:p w:rsidR="00EB6A7B" w:rsidRDefault="001E7ACC">
      <w:pPr>
        <w:pStyle w:val="FootnoteText"/>
      </w:pPr>
      <w:r>
        <w:rPr>
          <w:rStyle w:val="FootnoteReference"/>
        </w:rPr>
        <w:footnoteRef/>
      </w:r>
      <w:r>
        <w:t xml:space="preserve"> I.e. cosmetics and personal care, clothing, accessories and f</w:t>
      </w:r>
      <w:r>
        <w:t>ootwear, sports good, toys and games, handbag and luggage, jewellery and watches, recorded music, spirits and wine.</w:t>
      </w:r>
    </w:p>
  </w:footnote>
  <w:footnote w:id="146">
    <w:p w:rsidR="00EB6A7B" w:rsidRDefault="001E7ACC">
      <w:pPr>
        <w:pStyle w:val="FootnoteText"/>
      </w:pPr>
      <w:r>
        <w:rPr>
          <w:rStyle w:val="FootnoteReference"/>
        </w:rPr>
        <w:footnoteRef/>
      </w:r>
      <w:r>
        <w:t xml:space="preserve"> Piracy Observatory and Digital Contents Consumption Habits 2016 – GfK study available at http://lacoalicion.es/observatorio-de-la-pirateri</w:t>
      </w:r>
      <w:r>
        <w:t>a/observatorio-de-la-pirateria-2016/</w:t>
      </w:r>
    </w:p>
  </w:footnote>
  <w:footnote w:id="147">
    <w:p w:rsidR="00EB6A7B" w:rsidRDefault="001E7ACC">
      <w:pPr>
        <w:pStyle w:val="FootnoteText"/>
      </w:pPr>
      <w:r>
        <w:rPr>
          <w:rStyle w:val="FootnoteReference"/>
        </w:rPr>
        <w:footnoteRef/>
      </w:r>
      <w:r>
        <w:rPr>
          <w:rStyle w:val="FootnoteReference"/>
        </w:rPr>
        <w:t xml:space="preserve"> </w:t>
      </w:r>
      <w:r>
        <w:t>"Intellectual Property SME Scoreboard 2016", EUIPO, European Observatory on Infringements of Intellectual Property Rights, 2016</w:t>
      </w:r>
    </w:p>
  </w:footnote>
  <w:footnote w:id="148">
    <w:p w:rsidR="00EB6A7B" w:rsidRDefault="001E7ACC">
      <w:pPr>
        <w:pStyle w:val="FootnoteText"/>
      </w:pPr>
      <w:r>
        <w:rPr>
          <w:rStyle w:val="FootnoteReference"/>
          <w:rFonts w:cs="Times New Roman"/>
        </w:rPr>
        <w:footnoteRef/>
      </w:r>
      <w:r>
        <w:t xml:space="preserve"> While the Directive's implementation deadline was 29 April 2006, the Member States impl</w:t>
      </w:r>
      <w:r>
        <w:t>emented the Directive over a range of years up to 2009.</w:t>
      </w:r>
    </w:p>
  </w:footnote>
  <w:footnote w:id="149">
    <w:p w:rsidR="00EB6A7B" w:rsidRDefault="001E7ACC">
      <w:pPr>
        <w:pStyle w:val="FootnoteText"/>
      </w:pPr>
      <w:r>
        <w:rPr>
          <w:rStyle w:val="FootnoteReference"/>
          <w:rFonts w:cs="Times New Roman"/>
        </w:rPr>
        <w:footnoteRef/>
      </w:r>
      <w:r>
        <w:t xml:space="preserve"> Report from the Commission "Application of Directive 2004/48/EC of the European Parliament and the Council of 29 April 2004 on the enforcement of intellectual property rights" (COM(2010)0779 final)</w:t>
      </w:r>
    </w:p>
  </w:footnote>
  <w:footnote w:id="150">
    <w:p w:rsidR="00EB6A7B" w:rsidRDefault="001E7ACC">
      <w:pPr>
        <w:pStyle w:val="FootnoteText"/>
      </w:pPr>
      <w:r>
        <w:rPr>
          <w:rStyle w:val="FootnoteReference"/>
          <w:rFonts w:cs="Times New Roman"/>
        </w:rPr>
        <w:footnoteRef/>
      </w:r>
      <w:r>
        <w:rPr>
          <w:rStyle w:val="FootnoteReference"/>
          <w:rFonts w:cs="Times New Roman"/>
        </w:rPr>
        <w:t xml:space="preserve"> </w:t>
      </w:r>
      <w:r>
        <w:t>Analysis of the application of Directive 2004/48/EC on the enforcement of intellectual property rights in the Member States (SEC(2010)1589 final)</w:t>
      </w:r>
    </w:p>
  </w:footnote>
  <w:footnote w:id="151">
    <w:p w:rsidR="00EB6A7B" w:rsidRDefault="001E7ACC">
      <w:pPr>
        <w:pStyle w:val="FootnoteText"/>
      </w:pPr>
      <w:r>
        <w:rPr>
          <w:rStyle w:val="FootnoteReference"/>
          <w:rFonts w:cs="Times New Roman"/>
        </w:rPr>
        <w:footnoteRef/>
      </w:r>
      <w:r>
        <w:t xml:space="preserve">  Report from the Commission "Application of Directive 2004/48/EC of the European Parliament and the Counci</w:t>
      </w:r>
      <w:r>
        <w:t>l of 29 April 2004 on the enforcement of intellectual property rights" (COM(2010)0779 final)</w:t>
      </w:r>
    </w:p>
  </w:footnote>
  <w:footnote w:id="152">
    <w:p w:rsidR="00EB6A7B" w:rsidRDefault="001E7ACC">
      <w:pPr>
        <w:pStyle w:val="FootnoteText"/>
      </w:pPr>
      <w:r>
        <w:rPr>
          <w:rStyle w:val="FootnoteReference"/>
          <w:rFonts w:cs="Times New Roman"/>
        </w:rPr>
        <w:footnoteRef/>
      </w:r>
      <w:r>
        <w:rPr>
          <w:rStyle w:val="FootnoteReference"/>
          <w:rFonts w:cs="Times New Roman"/>
        </w:rPr>
        <w:t xml:space="preserve"> </w:t>
      </w:r>
      <w:r>
        <w:rPr>
          <w:rFonts w:cs="Times New Roman"/>
        </w:rPr>
        <w:t>Available at http://ec.europa.eu/internal_market/consultations/2013/copyright-rules/index_en.htm</w:t>
      </w:r>
    </w:p>
  </w:footnote>
  <w:footnote w:id="153">
    <w:p w:rsidR="00EB6A7B" w:rsidRDefault="001E7ACC">
      <w:pPr>
        <w:pStyle w:val="FootnoteText"/>
      </w:pPr>
      <w:r>
        <w:rPr>
          <w:rStyle w:val="FootnoteReference"/>
          <w:rFonts w:cs="Times New Roman"/>
        </w:rPr>
        <w:footnoteRef/>
      </w:r>
      <w:r>
        <w:rPr>
          <w:rStyle w:val="FootnoteReference"/>
          <w:rFonts w:cs="Times New Roman"/>
        </w:rPr>
        <w:t xml:space="preserve"> </w:t>
      </w:r>
      <w:r>
        <w:t>Communication from the Commission "Towards a renewed consensus</w:t>
      </w:r>
      <w:r>
        <w:t xml:space="preserve"> on the enforcement of Intellectual Property Rights: An EU Action Plan" (COM(2014)0392 final)</w:t>
      </w:r>
    </w:p>
  </w:footnote>
  <w:footnote w:id="154">
    <w:p w:rsidR="00EB6A7B" w:rsidRDefault="001E7ACC">
      <w:pPr>
        <w:pStyle w:val="FootnoteText"/>
        <w:rPr>
          <w:rStyle w:val="FootnoteReference"/>
        </w:rPr>
      </w:pPr>
      <w:r>
        <w:rPr>
          <w:rStyle w:val="FootnoteReference"/>
        </w:rPr>
        <w:footnoteRef/>
      </w:r>
      <w:r>
        <w:rPr>
          <w:rStyle w:val="FootnoteReference"/>
        </w:rPr>
        <w:t xml:space="preserve"> </w:t>
      </w:r>
      <w:r>
        <w:t>Conclusions of the Council of the European Union of 5 December 2014 on IPR enforcement (15321/14)</w:t>
      </w:r>
      <w:r>
        <w:rPr>
          <w:rStyle w:val="FootnoteReference"/>
        </w:rPr>
        <w:t xml:space="preserve"> </w:t>
      </w:r>
    </w:p>
  </w:footnote>
  <w:footnote w:id="155">
    <w:p w:rsidR="00EB6A7B" w:rsidRDefault="001E7ACC">
      <w:pPr>
        <w:pStyle w:val="FootnoteText"/>
        <w:rPr>
          <w:rStyle w:val="FootnoteReference"/>
        </w:rPr>
      </w:pPr>
      <w:r>
        <w:rPr>
          <w:rStyle w:val="FootnoteReference"/>
        </w:rPr>
        <w:footnoteRef/>
      </w:r>
      <w:r>
        <w:rPr>
          <w:rStyle w:val="FootnoteReference"/>
        </w:rPr>
        <w:t xml:space="preserve"> </w:t>
      </w:r>
      <w:r>
        <w:t>Report of the European Parliament of 9 June 2015 "Towards a</w:t>
      </w:r>
      <w:r>
        <w:t xml:space="preserve"> renewed consensus on the enforcement of Intellectual Property Rights: An EU Action Plan" (2014/2151(INI))</w:t>
      </w:r>
    </w:p>
  </w:footnote>
  <w:footnote w:id="156">
    <w:p w:rsidR="00EB6A7B" w:rsidRDefault="001E7ACC">
      <w:pPr>
        <w:pStyle w:val="FootnoteText"/>
        <w:rPr>
          <w:rStyle w:val="FootnoteReference"/>
        </w:rPr>
      </w:pPr>
      <w:r>
        <w:rPr>
          <w:rStyle w:val="FootnoteReference"/>
        </w:rPr>
        <w:footnoteRef/>
      </w:r>
      <w:r>
        <w:rPr>
          <w:rStyle w:val="FootnoteReference"/>
        </w:rPr>
        <w:t xml:space="preserve"> </w:t>
      </w:r>
      <w:r>
        <w:t>Communication from the Commission "A Digital Single Market Strategy for Europe" (COM(2015) 192 final)</w:t>
      </w:r>
    </w:p>
  </w:footnote>
  <w:footnote w:id="157">
    <w:p w:rsidR="00EB6A7B" w:rsidRDefault="001E7ACC">
      <w:pPr>
        <w:pStyle w:val="FootnoteText"/>
        <w:rPr>
          <w:rStyle w:val="FootnoteReference"/>
        </w:rPr>
      </w:pPr>
      <w:r>
        <w:rPr>
          <w:rStyle w:val="FootnoteReference"/>
        </w:rPr>
        <w:footnoteRef/>
      </w:r>
      <w:r>
        <w:rPr>
          <w:rStyle w:val="FootnoteReference"/>
        </w:rPr>
        <w:t xml:space="preserve"> </w:t>
      </w:r>
      <w:r>
        <w:t>Communication from the Commission "Upgradin</w:t>
      </w:r>
      <w:r>
        <w:t>g the Single Market: more opportunities for people and business" (COM(2015) 550 final)</w:t>
      </w:r>
    </w:p>
  </w:footnote>
  <w:footnote w:id="158">
    <w:p w:rsidR="00EB6A7B" w:rsidRDefault="001E7ACC">
      <w:pPr>
        <w:pStyle w:val="FootnoteText"/>
        <w:rPr>
          <w:rStyle w:val="FootnoteReference"/>
        </w:rPr>
      </w:pPr>
      <w:r>
        <w:rPr>
          <w:rStyle w:val="FootnoteReference"/>
        </w:rPr>
        <w:footnoteRef/>
      </w:r>
      <w:r>
        <w:rPr>
          <w:rStyle w:val="FootnoteReference"/>
        </w:rPr>
        <w:t xml:space="preserve"> </w:t>
      </w:r>
      <w:r>
        <w:t>Communication from the Commission "Towards a modern, more European copyright framework" (COM(2015)626)</w:t>
      </w:r>
    </w:p>
  </w:footnote>
  <w:footnote w:id="159">
    <w:p w:rsidR="00EB6A7B" w:rsidRDefault="001E7ACC">
      <w:pPr>
        <w:pStyle w:val="FootnoteText"/>
        <w:rPr>
          <w:rStyle w:val="FootnoteReference"/>
        </w:rPr>
      </w:pPr>
      <w:r>
        <w:rPr>
          <w:rStyle w:val="FootnoteReference"/>
        </w:rPr>
        <w:footnoteRef/>
      </w:r>
      <w:r>
        <w:rPr>
          <w:rStyle w:val="FootnoteReference"/>
        </w:rPr>
        <w:t xml:space="preserve"> </w:t>
      </w:r>
      <w:r>
        <w:t>Communication from the Commission "Promoting a fair, efficient</w:t>
      </w:r>
      <w:r>
        <w:t xml:space="preserve"> and competitive European copyright-based economy in the Digital Single Market" (COM(2016)592)</w:t>
      </w:r>
    </w:p>
  </w:footnote>
  <w:footnote w:id="160">
    <w:p w:rsidR="00EB6A7B" w:rsidRDefault="001E7ACC">
      <w:pPr>
        <w:pStyle w:val="FootnoteText"/>
        <w:rPr>
          <w:rStyle w:val="FootnoteReference"/>
        </w:rPr>
      </w:pPr>
      <w:r>
        <w:rPr>
          <w:rStyle w:val="FootnoteReference"/>
        </w:rPr>
        <w:footnoteRef/>
      </w:r>
      <w:r>
        <w:rPr>
          <w:rStyle w:val="FootnoteReference"/>
        </w:rPr>
        <w:t xml:space="preserve"> "</w:t>
      </w:r>
      <w:r>
        <w:t xml:space="preserve">Support study for the ex-post evaluation and ex-ante impact analysis of the IPR enforcement directive (IPRED)", Technopolis Group in a consortium with EY and </w:t>
      </w:r>
      <w:r>
        <w:t>Schalast Rechtsanwälte, 2017 [Add reference to the publication]</w:t>
      </w:r>
    </w:p>
  </w:footnote>
  <w:footnote w:id="161">
    <w:p w:rsidR="00EB6A7B" w:rsidRDefault="001E7ACC">
      <w:pPr>
        <w:pStyle w:val="FootnoteText"/>
        <w:rPr>
          <w:rStyle w:val="FootnoteReference"/>
        </w:rPr>
      </w:pPr>
      <w:r>
        <w:rPr>
          <w:rStyle w:val="FootnoteReference"/>
        </w:rPr>
        <w:footnoteRef/>
      </w:r>
      <w:r>
        <w:rPr>
          <w:rStyle w:val="FootnoteReference"/>
        </w:rPr>
        <w:t xml:space="preserve"> </w:t>
      </w:r>
      <w:r>
        <w:t xml:space="preserve">Commission Staff Working Document – Evaluation of the Directive 2004/48/EC of the European Parliament and of the Council of 29 April 2004 on the enforcement of intellectual property rights, </w:t>
      </w:r>
      <w:r>
        <w:t>COM(2017)xxx.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A7B" w:rsidRDefault="00EB6A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A7B" w:rsidRDefault="00EB6A7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A7B" w:rsidRDefault="00EB6A7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A7B" w:rsidRDefault="00EB6A7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A7B" w:rsidRDefault="00EB6A7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A7B" w:rsidRDefault="00EB6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3"/>
    <w:multiLevelType w:val="singleLevel"/>
    <w:tmpl w:val="08B43D4A"/>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2855906"/>
    <w:multiLevelType w:val="hybridMultilevel"/>
    <w:tmpl w:val="0554CDF8"/>
    <w:lvl w:ilvl="0" w:tplc="B1A417C8">
      <w:start w:val="1"/>
      <w:numFmt w:val="bullet"/>
      <w:pStyle w:val="Bullet1"/>
      <w:lvlText w:val=""/>
      <w:lvlJc w:val="left"/>
      <w:pPr>
        <w:tabs>
          <w:tab w:val="num" w:pos="360"/>
        </w:tabs>
        <w:ind w:left="360" w:hanging="360"/>
      </w:pPr>
      <w:rPr>
        <w:rFonts w:ascii="Symbol" w:hAnsi="Symbol" w:hint="default"/>
        <w:color w:val="4EAAE7"/>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062D2921"/>
    <w:multiLevelType w:val="hybridMultilevel"/>
    <w:tmpl w:val="12FA7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635400A"/>
    <w:multiLevelType w:val="hybridMultilevel"/>
    <w:tmpl w:val="F00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64D798C"/>
    <w:multiLevelType w:val="hybridMultilevel"/>
    <w:tmpl w:val="A6ACA0C4"/>
    <w:lvl w:ilvl="0" w:tplc="08090001">
      <w:start w:val="1"/>
      <w:numFmt w:val="bullet"/>
      <w:lvlText w:val=""/>
      <w:lvlJc w:val="left"/>
      <w:pPr>
        <w:ind w:left="360" w:hanging="360"/>
      </w:pPr>
      <w:rPr>
        <w:rFonts w:ascii="Symbol" w:hAnsi="Symbol" w:hint="default"/>
      </w:rPr>
    </w:lvl>
    <w:lvl w:ilvl="1" w:tplc="A404D1BC">
      <w:start w:val="2"/>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8640EA6"/>
    <w:multiLevelType w:val="multilevel"/>
    <w:tmpl w:val="00BEBFE4"/>
    <w:numStyleLink w:val="supNumTextListe"/>
  </w:abstractNum>
  <w:abstractNum w:abstractNumId="8">
    <w:nsid w:val="1048426E"/>
    <w:multiLevelType w:val="hybridMultilevel"/>
    <w:tmpl w:val="596AA792"/>
    <w:lvl w:ilvl="0" w:tplc="A0D46124">
      <w:start w:val="1"/>
      <w:numFmt w:val="bullet"/>
      <w:pStyle w:val="Bulletpoint1"/>
      <w:lvlText w:val=""/>
      <w:lvlJc w:val="left"/>
      <w:pPr>
        <w:ind w:left="928"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5E79EB"/>
    <w:multiLevelType w:val="hybridMultilevel"/>
    <w:tmpl w:val="F1CA8CC0"/>
    <w:lvl w:ilvl="0" w:tplc="3100354C">
      <w:start w:val="1"/>
      <w:numFmt w:val="bullet"/>
      <w:pStyle w:val="TableListBullet2"/>
      <w:lvlText w:val=""/>
      <w:lvlJc w:val="left"/>
      <w:pPr>
        <w:tabs>
          <w:tab w:val="num" w:pos="357"/>
        </w:tabs>
        <w:ind w:left="357" w:hanging="176"/>
      </w:pPr>
      <w:rPr>
        <w:rFonts w:ascii="Symbol" w:hAnsi="Symbol" w:hint="default"/>
        <w:color w:val="FF0000"/>
      </w:rPr>
    </w:lvl>
    <w:lvl w:ilvl="1" w:tplc="08090003" w:tentative="1">
      <w:start w:val="1"/>
      <w:numFmt w:val="bullet"/>
      <w:lvlText w:val="o"/>
      <w:lvlJc w:val="left"/>
      <w:pPr>
        <w:tabs>
          <w:tab w:val="num" w:pos="1440"/>
        </w:tabs>
        <w:ind w:left="1440" w:hanging="360"/>
      </w:pPr>
      <w:rPr>
        <w:rFonts w:ascii="Courier New" w:hAnsi="Courier New" w:cs="EYInterstate Ligh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EYInterstate Ligh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EYInterstate Ligh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5510B89"/>
    <w:multiLevelType w:val="hybridMultilevel"/>
    <w:tmpl w:val="7DA6C430"/>
    <w:lvl w:ilvl="0" w:tplc="0809000F">
      <w:start w:val="1"/>
      <w:numFmt w:val="decimal"/>
      <w:lvlText w:val="%1."/>
      <w:lvlJc w:val="left"/>
      <w:pPr>
        <w:ind w:left="1944" w:hanging="360"/>
      </w:pPr>
    </w:lvl>
    <w:lvl w:ilvl="1" w:tplc="08090019" w:tentative="1">
      <w:start w:val="1"/>
      <w:numFmt w:val="lowerLetter"/>
      <w:lvlText w:val="%2."/>
      <w:lvlJc w:val="left"/>
      <w:pPr>
        <w:ind w:left="2664" w:hanging="360"/>
      </w:pPr>
    </w:lvl>
    <w:lvl w:ilvl="2" w:tplc="0809001B" w:tentative="1">
      <w:start w:val="1"/>
      <w:numFmt w:val="lowerRoman"/>
      <w:lvlText w:val="%3."/>
      <w:lvlJc w:val="right"/>
      <w:pPr>
        <w:ind w:left="3384" w:hanging="180"/>
      </w:pPr>
    </w:lvl>
    <w:lvl w:ilvl="3" w:tplc="0809000F" w:tentative="1">
      <w:start w:val="1"/>
      <w:numFmt w:val="decimal"/>
      <w:lvlText w:val="%4."/>
      <w:lvlJc w:val="left"/>
      <w:pPr>
        <w:ind w:left="4104" w:hanging="360"/>
      </w:pPr>
    </w:lvl>
    <w:lvl w:ilvl="4" w:tplc="08090019" w:tentative="1">
      <w:start w:val="1"/>
      <w:numFmt w:val="lowerLetter"/>
      <w:lvlText w:val="%5."/>
      <w:lvlJc w:val="left"/>
      <w:pPr>
        <w:ind w:left="4824" w:hanging="360"/>
      </w:pPr>
    </w:lvl>
    <w:lvl w:ilvl="5" w:tplc="0809001B" w:tentative="1">
      <w:start w:val="1"/>
      <w:numFmt w:val="lowerRoman"/>
      <w:lvlText w:val="%6."/>
      <w:lvlJc w:val="right"/>
      <w:pPr>
        <w:ind w:left="5544" w:hanging="180"/>
      </w:pPr>
    </w:lvl>
    <w:lvl w:ilvl="6" w:tplc="0809000F" w:tentative="1">
      <w:start w:val="1"/>
      <w:numFmt w:val="decimal"/>
      <w:lvlText w:val="%7."/>
      <w:lvlJc w:val="left"/>
      <w:pPr>
        <w:ind w:left="6264" w:hanging="360"/>
      </w:pPr>
    </w:lvl>
    <w:lvl w:ilvl="7" w:tplc="08090019" w:tentative="1">
      <w:start w:val="1"/>
      <w:numFmt w:val="lowerLetter"/>
      <w:lvlText w:val="%8."/>
      <w:lvlJc w:val="left"/>
      <w:pPr>
        <w:ind w:left="6984" w:hanging="360"/>
      </w:pPr>
    </w:lvl>
    <w:lvl w:ilvl="8" w:tplc="0809001B" w:tentative="1">
      <w:start w:val="1"/>
      <w:numFmt w:val="lowerRoman"/>
      <w:lvlText w:val="%9."/>
      <w:lvlJc w:val="right"/>
      <w:pPr>
        <w:ind w:left="7704" w:hanging="180"/>
      </w:pPr>
    </w:lvl>
  </w:abstractNum>
  <w:abstractNum w:abstractNumId="11">
    <w:nsid w:val="185F34FE"/>
    <w:multiLevelType w:val="hybridMultilevel"/>
    <w:tmpl w:val="5A4ED58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A894033"/>
    <w:multiLevelType w:val="hybridMultilevel"/>
    <w:tmpl w:val="A03CA684"/>
    <w:lvl w:ilvl="0" w:tplc="AEBE5174">
      <w:start w:val="1"/>
      <w:numFmt w:val="bullet"/>
      <w:pStyle w:val="Listepuces1"/>
      <w:lvlText w:val="►"/>
      <w:lvlJc w:val="left"/>
      <w:pPr>
        <w:tabs>
          <w:tab w:val="num" w:pos="284"/>
        </w:tabs>
        <w:ind w:left="284" w:hanging="284"/>
      </w:pPr>
      <w:rPr>
        <w:rFonts w:ascii="Arial" w:hAnsi="Arial" w:hint="default"/>
        <w:b w:val="0"/>
        <w:i w:val="0"/>
        <w:color w:val="FFC000"/>
        <w:sz w:val="16"/>
        <w:szCs w:val="16"/>
      </w:rPr>
    </w:lvl>
    <w:lvl w:ilvl="1" w:tplc="FFFFFFFF">
      <w:start w:val="8"/>
      <w:numFmt w:val="bullet"/>
      <w:pStyle w:val="NumPar2"/>
      <w:lvlText w:val="-"/>
      <w:lvlJc w:val="left"/>
      <w:pPr>
        <w:tabs>
          <w:tab w:val="num" w:pos="1440"/>
        </w:tabs>
        <w:ind w:left="1440" w:hanging="360"/>
      </w:pPr>
      <w:rPr>
        <w:rFonts w:ascii="Times New Roman" w:eastAsia="Times New Roman" w:hAnsi="Times New Roman" w:cs="Times New Roman" w:hint="default"/>
        <w:b w:val="0"/>
        <w:i w:val="0"/>
        <w:sz w:val="16"/>
        <w:szCs w:val="16"/>
      </w:rPr>
    </w:lvl>
    <w:lvl w:ilvl="2" w:tplc="FFFFFFFF" w:tentative="1">
      <w:start w:val="1"/>
      <w:numFmt w:val="bullet"/>
      <w:pStyle w:val="NumPar3"/>
      <w:lvlText w:val=""/>
      <w:lvlJc w:val="left"/>
      <w:pPr>
        <w:tabs>
          <w:tab w:val="num" w:pos="2160"/>
        </w:tabs>
        <w:ind w:left="2160" w:hanging="360"/>
      </w:pPr>
      <w:rPr>
        <w:rFonts w:ascii="Wingdings" w:hAnsi="Wingdings" w:hint="default"/>
      </w:rPr>
    </w:lvl>
    <w:lvl w:ilvl="3" w:tplc="FFFFFFFF" w:tentative="1">
      <w:start w:val="1"/>
      <w:numFmt w:val="bullet"/>
      <w:pStyle w:val="NumPar4"/>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EYInterstate Light"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EYInterstate Light"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EE609D6"/>
    <w:multiLevelType w:val="hybridMultilevel"/>
    <w:tmpl w:val="1DA001B6"/>
    <w:lvl w:ilvl="0" w:tplc="93103E1C">
      <w:start w:val="1"/>
      <w:numFmt w:val="lowerRoman"/>
      <w:pStyle w:val="Tablenumber2"/>
      <w:lvlText w:val="%1)"/>
      <w:lvlJc w:val="left"/>
      <w:pPr>
        <w:ind w:left="180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250019" w:tentative="1">
      <w:start w:val="1"/>
      <w:numFmt w:val="lowerLetter"/>
      <w:lvlText w:val="%2."/>
      <w:lvlJc w:val="left"/>
      <w:pPr>
        <w:ind w:left="2520" w:hanging="360"/>
      </w:pPr>
    </w:lvl>
    <w:lvl w:ilvl="2" w:tplc="FAEAAD48">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15">
    <w:nsid w:val="20587D27"/>
    <w:multiLevelType w:val="hybridMultilevel"/>
    <w:tmpl w:val="BD341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082452F"/>
    <w:multiLevelType w:val="hybridMultilevel"/>
    <w:tmpl w:val="A8B6F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2DB5655"/>
    <w:multiLevelType w:val="hybridMultilevel"/>
    <w:tmpl w:val="65D87986"/>
    <w:lvl w:ilvl="0" w:tplc="B930F3DA">
      <w:numFmt w:val="bullet"/>
      <w:lvlText w:val="•"/>
      <w:lvlJc w:val="left"/>
      <w:pPr>
        <w:ind w:left="720" w:hanging="720"/>
      </w:pPr>
      <w:rPr>
        <w:rFonts w:ascii="Times New Roman" w:eastAsia="MS P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F96866"/>
    <w:multiLevelType w:val="hybridMultilevel"/>
    <w:tmpl w:val="1E5E73D8"/>
    <w:lvl w:ilvl="0" w:tplc="80C2F444">
      <w:start w:val="1"/>
      <w:numFmt w:val="decimal"/>
      <w:pStyle w:val="Title1"/>
      <w:lvlText w:val="%1."/>
      <w:lvlJc w:val="left"/>
      <w:pPr>
        <w:ind w:left="720" w:hanging="360"/>
      </w:pPr>
      <w:rPr>
        <w:i w:val="0"/>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8B311DD"/>
    <w:multiLevelType w:val="multilevel"/>
    <w:tmpl w:val="45900C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2AD971E8"/>
    <w:multiLevelType w:val="hybridMultilevel"/>
    <w:tmpl w:val="44BEB1A8"/>
    <w:lvl w:ilvl="0" w:tplc="CD6679BA">
      <w:start w:val="1"/>
      <w:numFmt w:val="lowerLetter"/>
      <w:pStyle w:val="Tablenumber3"/>
      <w:lvlText w:val="%1."/>
      <w:lvlJc w:val="left"/>
      <w:pPr>
        <w:ind w:left="1060" w:hanging="360"/>
      </w:pPr>
    </w:lvl>
    <w:lvl w:ilvl="1" w:tplc="04250019" w:tentative="1">
      <w:start w:val="1"/>
      <w:numFmt w:val="lowerLetter"/>
      <w:lvlText w:val="%2."/>
      <w:lvlJc w:val="left"/>
      <w:pPr>
        <w:ind w:left="1780" w:hanging="360"/>
      </w:pPr>
    </w:lvl>
    <w:lvl w:ilvl="2" w:tplc="0425001B" w:tentative="1">
      <w:start w:val="1"/>
      <w:numFmt w:val="lowerRoman"/>
      <w:lvlText w:val="%3."/>
      <w:lvlJc w:val="right"/>
      <w:pPr>
        <w:ind w:left="2500" w:hanging="180"/>
      </w:pPr>
    </w:lvl>
    <w:lvl w:ilvl="3" w:tplc="0425000F" w:tentative="1">
      <w:start w:val="1"/>
      <w:numFmt w:val="decimal"/>
      <w:lvlText w:val="%4."/>
      <w:lvlJc w:val="left"/>
      <w:pPr>
        <w:ind w:left="3220" w:hanging="360"/>
      </w:pPr>
    </w:lvl>
    <w:lvl w:ilvl="4" w:tplc="04250019" w:tentative="1">
      <w:start w:val="1"/>
      <w:numFmt w:val="lowerLetter"/>
      <w:lvlText w:val="%5."/>
      <w:lvlJc w:val="left"/>
      <w:pPr>
        <w:ind w:left="3940" w:hanging="360"/>
      </w:pPr>
    </w:lvl>
    <w:lvl w:ilvl="5" w:tplc="0425001B" w:tentative="1">
      <w:start w:val="1"/>
      <w:numFmt w:val="lowerRoman"/>
      <w:lvlText w:val="%6."/>
      <w:lvlJc w:val="right"/>
      <w:pPr>
        <w:ind w:left="4660" w:hanging="180"/>
      </w:pPr>
    </w:lvl>
    <w:lvl w:ilvl="6" w:tplc="0425000F" w:tentative="1">
      <w:start w:val="1"/>
      <w:numFmt w:val="decimal"/>
      <w:lvlText w:val="%7."/>
      <w:lvlJc w:val="left"/>
      <w:pPr>
        <w:ind w:left="5380" w:hanging="360"/>
      </w:pPr>
    </w:lvl>
    <w:lvl w:ilvl="7" w:tplc="04250019" w:tentative="1">
      <w:start w:val="1"/>
      <w:numFmt w:val="lowerLetter"/>
      <w:lvlText w:val="%8."/>
      <w:lvlJc w:val="left"/>
      <w:pPr>
        <w:ind w:left="6100" w:hanging="360"/>
      </w:pPr>
    </w:lvl>
    <w:lvl w:ilvl="8" w:tplc="0425001B" w:tentative="1">
      <w:start w:val="1"/>
      <w:numFmt w:val="lowerRoman"/>
      <w:lvlText w:val="%9."/>
      <w:lvlJc w:val="right"/>
      <w:pPr>
        <w:ind w:left="6820" w:hanging="180"/>
      </w:pPr>
    </w:lvl>
  </w:abstractNum>
  <w:abstractNum w:abstractNumId="2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3C0110E"/>
    <w:multiLevelType w:val="multilevel"/>
    <w:tmpl w:val="E7C4EE3C"/>
    <w:lvl w:ilvl="0">
      <w:start w:val="1"/>
      <w:numFmt w:val="upperLetter"/>
      <w:pStyle w:val="AppendixHeading1"/>
      <w:suff w:val="space"/>
      <w:lvlText w:val="Appendix %1"/>
      <w:lvlJc w:val="left"/>
      <w:pPr>
        <w:ind w:left="0" w:firstLine="0"/>
      </w:pPr>
      <w:rPr>
        <w:rFonts w:hint="default"/>
      </w:rPr>
    </w:lvl>
    <w:lvl w:ilvl="1">
      <w:start w:val="1"/>
      <w:numFmt w:val="decimal"/>
      <w:pStyle w:val="AppendixHeading2"/>
      <w:suff w:val="space"/>
      <w:lvlText w:val="%1.%2  "/>
      <w:lvlJc w:val="left"/>
      <w:pPr>
        <w:ind w:left="5954" w:firstLine="0"/>
      </w:pPr>
      <w:rPr>
        <w:rFonts w:hint="default"/>
      </w:rPr>
    </w:lvl>
    <w:lvl w:ilvl="2">
      <w:start w:val="1"/>
      <w:numFmt w:val="decimal"/>
      <w:pStyle w:val="AppendixHeading3"/>
      <w:suff w:val="space"/>
      <w:lvlText w:val="%1.%2.%3  "/>
      <w:lvlJc w:val="left"/>
      <w:pPr>
        <w:ind w:left="0" w:firstLine="0"/>
      </w:pPr>
      <w:rPr>
        <w:rFonts w:hint="default"/>
        <w:color w:val="333333"/>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FA4F1D"/>
    <w:multiLevelType w:val="multilevel"/>
    <w:tmpl w:val="ABA0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685ACA"/>
    <w:multiLevelType w:val="hybridMultilevel"/>
    <w:tmpl w:val="924CE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28937EC"/>
    <w:multiLevelType w:val="hybridMultilevel"/>
    <w:tmpl w:val="4DBC76F2"/>
    <w:lvl w:ilvl="0" w:tplc="FB546E12">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2975290"/>
    <w:multiLevelType w:val="hybridMultilevel"/>
    <w:tmpl w:val="3774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5B85C7E"/>
    <w:multiLevelType w:val="hybridMultilevel"/>
    <w:tmpl w:val="309A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5CC5750"/>
    <w:multiLevelType w:val="hybridMultilevel"/>
    <w:tmpl w:val="80C21054"/>
    <w:lvl w:ilvl="0" w:tplc="1A36050E">
      <w:start w:val="1"/>
      <w:numFmt w:val="lowerRoman"/>
      <w:pStyle w:val="TableListNumber2"/>
      <w:lvlText w:val="%1)"/>
      <w:lvlJc w:val="left"/>
      <w:pPr>
        <w:tabs>
          <w:tab w:val="num" w:pos="357"/>
        </w:tabs>
        <w:ind w:left="357" w:hanging="176"/>
      </w:pPr>
      <w:rPr>
        <w:rFonts w:hint="default"/>
      </w:rPr>
    </w:lvl>
    <w:lvl w:ilvl="1" w:tplc="44C21606" w:tentative="1">
      <w:start w:val="1"/>
      <w:numFmt w:val="lowerLetter"/>
      <w:lvlText w:val="%2."/>
      <w:lvlJc w:val="left"/>
      <w:pPr>
        <w:tabs>
          <w:tab w:val="num" w:pos="1440"/>
        </w:tabs>
        <w:ind w:left="1440" w:hanging="360"/>
      </w:pPr>
    </w:lvl>
    <w:lvl w:ilvl="2" w:tplc="6966E5D4" w:tentative="1">
      <w:start w:val="1"/>
      <w:numFmt w:val="lowerRoman"/>
      <w:lvlText w:val="%3."/>
      <w:lvlJc w:val="right"/>
      <w:pPr>
        <w:tabs>
          <w:tab w:val="num" w:pos="2160"/>
        </w:tabs>
        <w:ind w:left="2160" w:hanging="180"/>
      </w:pPr>
    </w:lvl>
    <w:lvl w:ilvl="3" w:tplc="B0E6002C" w:tentative="1">
      <w:start w:val="1"/>
      <w:numFmt w:val="decimal"/>
      <w:lvlText w:val="%4."/>
      <w:lvlJc w:val="left"/>
      <w:pPr>
        <w:tabs>
          <w:tab w:val="num" w:pos="2880"/>
        </w:tabs>
        <w:ind w:left="2880" w:hanging="360"/>
      </w:pPr>
    </w:lvl>
    <w:lvl w:ilvl="4" w:tplc="11A40D1A" w:tentative="1">
      <w:start w:val="1"/>
      <w:numFmt w:val="lowerLetter"/>
      <w:lvlText w:val="%5."/>
      <w:lvlJc w:val="left"/>
      <w:pPr>
        <w:tabs>
          <w:tab w:val="num" w:pos="3600"/>
        </w:tabs>
        <w:ind w:left="3600" w:hanging="360"/>
      </w:pPr>
    </w:lvl>
    <w:lvl w:ilvl="5" w:tplc="D88646BE" w:tentative="1">
      <w:start w:val="1"/>
      <w:numFmt w:val="lowerRoman"/>
      <w:lvlText w:val="%6."/>
      <w:lvlJc w:val="right"/>
      <w:pPr>
        <w:tabs>
          <w:tab w:val="num" w:pos="4320"/>
        </w:tabs>
        <w:ind w:left="4320" w:hanging="180"/>
      </w:pPr>
    </w:lvl>
    <w:lvl w:ilvl="6" w:tplc="40240BAE" w:tentative="1">
      <w:start w:val="1"/>
      <w:numFmt w:val="decimal"/>
      <w:lvlText w:val="%7."/>
      <w:lvlJc w:val="left"/>
      <w:pPr>
        <w:tabs>
          <w:tab w:val="num" w:pos="5040"/>
        </w:tabs>
        <w:ind w:left="5040" w:hanging="360"/>
      </w:pPr>
    </w:lvl>
    <w:lvl w:ilvl="7" w:tplc="772A18CC" w:tentative="1">
      <w:start w:val="1"/>
      <w:numFmt w:val="lowerLetter"/>
      <w:lvlText w:val="%8."/>
      <w:lvlJc w:val="left"/>
      <w:pPr>
        <w:tabs>
          <w:tab w:val="num" w:pos="5760"/>
        </w:tabs>
        <w:ind w:left="5760" w:hanging="360"/>
      </w:pPr>
    </w:lvl>
    <w:lvl w:ilvl="8" w:tplc="A5C29312" w:tentative="1">
      <w:start w:val="1"/>
      <w:numFmt w:val="lowerRoman"/>
      <w:lvlText w:val="%9."/>
      <w:lvlJc w:val="right"/>
      <w:pPr>
        <w:tabs>
          <w:tab w:val="num" w:pos="6480"/>
        </w:tabs>
        <w:ind w:left="6480" w:hanging="180"/>
      </w:pPr>
    </w:lvl>
  </w:abstractNum>
  <w:abstractNum w:abstractNumId="3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5">
    <w:nsid w:val="4AAD1EAD"/>
    <w:multiLevelType w:val="hybridMultilevel"/>
    <w:tmpl w:val="F3CCA0FA"/>
    <w:lvl w:ilvl="0" w:tplc="C826DE8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E893185"/>
    <w:multiLevelType w:val="multilevel"/>
    <w:tmpl w:val="844A9A42"/>
    <w:lvl w:ilvl="0">
      <w:start w:val="1"/>
      <w:numFmt w:val="decimal"/>
      <w:pStyle w:val="Heading1"/>
      <w:lvlText w:val="%1."/>
      <w:lvlJc w:val="left"/>
      <w:pPr>
        <w:ind w:left="1800" w:hanging="360"/>
      </w:pPr>
    </w:lvl>
    <w:lvl w:ilvl="1">
      <w:start w:val="1"/>
      <w:numFmt w:val="decimal"/>
      <w:pStyle w:val="Heading2"/>
      <w:lvlText w:val="%1.%2."/>
      <w:lvlJc w:val="left"/>
      <w:pPr>
        <w:ind w:left="2232" w:hanging="432"/>
      </w:pPr>
      <w:rPr>
        <w:rFonts w:hint="default"/>
      </w:rPr>
    </w:lvl>
    <w:lvl w:ilvl="2">
      <w:start w:val="1"/>
      <w:numFmt w:val="decimal"/>
      <w:pStyle w:val="Heading3"/>
      <w:lvlText w:val="%1.%2.%3."/>
      <w:lvlJc w:val="left"/>
      <w:pPr>
        <w:ind w:left="2664" w:hanging="504"/>
      </w:pPr>
    </w:lvl>
    <w:lvl w:ilvl="3">
      <w:start w:val="1"/>
      <w:numFmt w:val="decimal"/>
      <w:pStyle w:val="Heading4"/>
      <w:lvlText w:val="%1.%2.%3.%4."/>
      <w:lvlJc w:val="left"/>
      <w:pPr>
        <w:ind w:left="3168" w:hanging="648"/>
      </w:pPr>
    </w:lvl>
    <w:lvl w:ilvl="4">
      <w:start w:val="1"/>
      <w:numFmt w:val="decimal"/>
      <w:pStyle w:val="Heading5"/>
      <w:lvlText w:val="%1.%2.%3.%4.%5."/>
      <w:lvlJc w:val="left"/>
      <w:pPr>
        <w:ind w:left="3672" w:hanging="79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8">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3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nsid w:val="56820B42"/>
    <w:multiLevelType w:val="hybridMultilevel"/>
    <w:tmpl w:val="F448F16A"/>
    <w:lvl w:ilvl="0" w:tplc="01FC8516">
      <w:start w:val="1"/>
      <w:numFmt w:val="decimal"/>
      <w:pStyle w:val="1tabletbullet"/>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56DD1C1D"/>
    <w:multiLevelType w:val="hybridMultilevel"/>
    <w:tmpl w:val="309E939A"/>
    <w:lvl w:ilvl="0" w:tplc="E73223D6">
      <w:start w:val="1"/>
      <w:numFmt w:val="bullet"/>
      <w:pStyle w:val="Bullet3"/>
      <w:lvlText w:val=""/>
      <w:lvlJc w:val="left"/>
      <w:pPr>
        <w:ind w:left="720" w:hanging="360"/>
      </w:pPr>
      <w:rPr>
        <w:rFonts w:ascii="Symbol" w:hAnsi="Symbol" w:hint="default"/>
        <w:color w:val="FF000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58DC31B5"/>
    <w:multiLevelType w:val="hybridMultilevel"/>
    <w:tmpl w:val="5E1A980A"/>
    <w:lvl w:ilvl="0" w:tplc="A4BC683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59892313"/>
    <w:multiLevelType w:val="hybridMultilevel"/>
    <w:tmpl w:val="B1408C6A"/>
    <w:lvl w:ilvl="0" w:tplc="C826DE82">
      <w:start w:val="1"/>
      <w:numFmt w:val="bullet"/>
      <w:lvlText w:val=""/>
      <w:lvlJc w:val="left"/>
      <w:pPr>
        <w:ind w:left="360" w:hanging="360"/>
      </w:pPr>
      <w:rPr>
        <w:rFonts w:ascii="Symbol" w:hAnsi="Symbol" w:hint="default"/>
      </w:rPr>
    </w:lvl>
    <w:lvl w:ilvl="1" w:tplc="ED0C8BF6">
      <w:numFmt w:val="bullet"/>
      <w:lvlText w:val="-"/>
      <w:lvlJc w:val="left"/>
      <w:pPr>
        <w:ind w:left="1080" w:hanging="360"/>
      </w:pPr>
      <w:rPr>
        <w:rFonts w:ascii="Times New Roman" w:eastAsiaTheme="minorHAns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5BBE5E04"/>
    <w:multiLevelType w:val="multilevel"/>
    <w:tmpl w:val="00BEBFE4"/>
    <w:styleLink w:val="supNumTextListe"/>
    <w:lvl w:ilvl="0">
      <w:start w:val="1"/>
      <w:numFmt w:val="decimal"/>
      <w:pStyle w:val="supVertragNumtext1"/>
      <w:lvlText w:val="%1."/>
      <w:lvlJc w:val="left"/>
      <w:pPr>
        <w:ind w:left="851" w:hanging="851"/>
      </w:pPr>
      <w:rPr>
        <w:rFonts w:hint="default"/>
      </w:rPr>
    </w:lvl>
    <w:lvl w:ilvl="1">
      <w:start w:val="1"/>
      <w:numFmt w:val="decimal"/>
      <w:pStyle w:val="supVertragNumtext2"/>
      <w:lvlText w:val="%1.%2"/>
      <w:lvlJc w:val="left"/>
      <w:pPr>
        <w:ind w:left="851" w:hanging="851"/>
      </w:pPr>
      <w:rPr>
        <w:rFonts w:hint="default"/>
      </w:rPr>
    </w:lvl>
    <w:lvl w:ilvl="2">
      <w:start w:val="1"/>
      <w:numFmt w:val="decimal"/>
      <w:pStyle w:val="supVertragNumtext3"/>
      <w:lvlText w:val="%1.%2.%3"/>
      <w:lvlJc w:val="left"/>
      <w:pPr>
        <w:ind w:left="851" w:hanging="851"/>
      </w:pPr>
      <w:rPr>
        <w:rFonts w:hint="default"/>
      </w:rPr>
    </w:lvl>
    <w:lvl w:ilvl="3">
      <w:start w:val="1"/>
      <w:numFmt w:val="decimal"/>
      <w:pStyle w:val="supVertragNumtext4"/>
      <w:lvlText w:val="%1.%2.%3.%4"/>
      <w:lvlJc w:val="left"/>
      <w:pPr>
        <w:ind w:left="851" w:hanging="851"/>
      </w:pPr>
      <w:rPr>
        <w:rFonts w:hint="default"/>
      </w:rPr>
    </w:lvl>
    <w:lvl w:ilvl="4">
      <w:start w:val="1"/>
      <w:numFmt w:val="decimal"/>
      <w:pStyle w:val="supVertragNumtext5"/>
      <w:lvlText w:val="%1.%2.%3.%4.%5"/>
      <w:lvlJc w:val="left"/>
      <w:pPr>
        <w:ind w:left="992" w:hanging="992"/>
      </w:pPr>
      <w:rPr>
        <w:rFonts w:hint="default"/>
      </w:rPr>
    </w:lvl>
    <w:lvl w:ilvl="5">
      <w:start w:val="1"/>
      <w:numFmt w:val="decimal"/>
      <w:pStyle w:val="supVertragNumtext6"/>
      <w:lvlText w:val="%1.%2.%3.%4.%5.%6"/>
      <w:lvlJc w:val="left"/>
      <w:pPr>
        <w:ind w:left="992" w:hanging="992"/>
      </w:pPr>
      <w:rPr>
        <w:rFonts w:hint="default"/>
      </w:rPr>
    </w:lvl>
    <w:lvl w:ilvl="6">
      <w:start w:val="1"/>
      <w:numFmt w:val="decimal"/>
      <w:pStyle w:val="supVertragNumtext7"/>
      <w:lvlText w:val="%1.%2.%3.%4.%5.%6.%7"/>
      <w:lvlJc w:val="left"/>
      <w:pPr>
        <w:ind w:left="1276" w:hanging="1276"/>
      </w:pPr>
      <w:rPr>
        <w:rFonts w:hint="default"/>
      </w:rPr>
    </w:lvl>
    <w:lvl w:ilvl="7">
      <w:start w:val="1"/>
      <w:numFmt w:val="decimal"/>
      <w:pStyle w:val="supVertragNumtext8"/>
      <w:lvlText w:val="%1.%2.%3.%4.%5.%6.%7.%8"/>
      <w:lvlJc w:val="left"/>
      <w:pPr>
        <w:ind w:left="1418" w:hanging="1418"/>
      </w:pPr>
      <w:rPr>
        <w:rFonts w:hint="default"/>
      </w:rPr>
    </w:lvl>
    <w:lvl w:ilvl="8">
      <w:start w:val="1"/>
      <w:numFmt w:val="decimal"/>
      <w:pStyle w:val="supVertragNumtext9"/>
      <w:lvlText w:val="%1.%2.%3.%4.%5.%6.%7.%8.%9"/>
      <w:lvlJc w:val="left"/>
      <w:pPr>
        <w:ind w:left="1559" w:hanging="1559"/>
      </w:pPr>
      <w:rPr>
        <w:rFonts w:hint="default"/>
      </w:rPr>
    </w:lvl>
  </w:abstractNum>
  <w:abstractNum w:abstractNumId="45">
    <w:nsid w:val="5C4D3B6A"/>
    <w:multiLevelType w:val="hybridMultilevel"/>
    <w:tmpl w:val="29E80922"/>
    <w:lvl w:ilvl="0" w:tplc="B930F3DA">
      <w:numFmt w:val="bullet"/>
      <w:lvlText w:val="•"/>
      <w:lvlJc w:val="left"/>
      <w:pPr>
        <w:ind w:left="720" w:hanging="720"/>
      </w:pPr>
      <w:rPr>
        <w:rFonts w:ascii="Times New Roman" w:eastAsia="MS P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D3161C4"/>
    <w:multiLevelType w:val="hybridMultilevel"/>
    <w:tmpl w:val="B0A66F12"/>
    <w:lvl w:ilvl="0" w:tplc="C826DE82">
      <w:start w:val="1"/>
      <w:numFmt w:val="bullet"/>
      <w:lvlText w:val=""/>
      <w:lvlJc w:val="left"/>
      <w:pPr>
        <w:ind w:left="363" w:hanging="360"/>
      </w:pPr>
      <w:rPr>
        <w:rFonts w:ascii="Symbol" w:hAnsi="Symbol"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47">
    <w:nsid w:val="5D3A437B"/>
    <w:multiLevelType w:val="hybridMultilevel"/>
    <w:tmpl w:val="D1A8A2B6"/>
    <w:lvl w:ilvl="0" w:tplc="CF50E716">
      <w:start w:val="1"/>
      <w:numFmt w:val="bullet"/>
      <w:pStyle w:val="Style6"/>
      <w:lvlText w:val="►"/>
      <w:lvlJc w:val="left"/>
      <w:pPr>
        <w:ind w:left="360" w:hanging="360"/>
      </w:pPr>
      <w:rPr>
        <w:rFonts w:ascii="Arial" w:hAnsi="Arial" w:hint="default"/>
        <w:b w:val="0"/>
        <w:bCs w:val="0"/>
        <w:i w:val="0"/>
        <w:iCs w:val="0"/>
        <w:caps w:val="0"/>
        <w:strike w:val="0"/>
        <w:dstrike w:val="0"/>
        <w:vanish w:val="0"/>
        <w:color w:val="FFD400"/>
        <w:spacing w:val="0"/>
        <w:kern w:val="0"/>
        <w:position w:val="0"/>
        <w:sz w:val="20"/>
        <w:u w:val="none"/>
        <w:vertAlign w:val="baseline"/>
        <w:em w:val="none"/>
        <w:lang w:val="en-US"/>
      </w:rPr>
    </w:lvl>
    <w:lvl w:ilvl="1" w:tplc="C504E796">
      <w:start w:val="1"/>
      <w:numFmt w:val="bullet"/>
      <w:lvlText w:val="o"/>
      <w:lvlJc w:val="left"/>
      <w:pPr>
        <w:ind w:left="1440" w:hanging="360"/>
      </w:pPr>
      <w:rPr>
        <w:rFonts w:ascii="Courier New" w:hAnsi="Courier New" w:cs="EYInterstate Light" w:hint="default"/>
      </w:rPr>
    </w:lvl>
    <w:lvl w:ilvl="2" w:tplc="03202698">
      <w:start w:val="1"/>
      <w:numFmt w:val="bullet"/>
      <w:lvlText w:val=""/>
      <w:lvlJc w:val="left"/>
      <w:pPr>
        <w:ind w:left="2160" w:hanging="360"/>
      </w:pPr>
      <w:rPr>
        <w:rFonts w:ascii="Wingdings" w:hAnsi="Wingdings" w:hint="default"/>
      </w:rPr>
    </w:lvl>
    <w:lvl w:ilvl="3" w:tplc="1AD6EE30" w:tentative="1">
      <w:start w:val="1"/>
      <w:numFmt w:val="bullet"/>
      <w:lvlText w:val=""/>
      <w:lvlJc w:val="left"/>
      <w:pPr>
        <w:ind w:left="2880" w:hanging="360"/>
      </w:pPr>
      <w:rPr>
        <w:rFonts w:ascii="Symbol" w:hAnsi="Symbol" w:hint="default"/>
      </w:rPr>
    </w:lvl>
    <w:lvl w:ilvl="4" w:tplc="4ADAED4E" w:tentative="1">
      <w:start w:val="1"/>
      <w:numFmt w:val="bullet"/>
      <w:lvlText w:val="o"/>
      <w:lvlJc w:val="left"/>
      <w:pPr>
        <w:ind w:left="3600" w:hanging="360"/>
      </w:pPr>
      <w:rPr>
        <w:rFonts w:ascii="Courier New" w:hAnsi="Courier New" w:cs="EYInterstate Light" w:hint="default"/>
      </w:rPr>
    </w:lvl>
    <w:lvl w:ilvl="5" w:tplc="70E68E44" w:tentative="1">
      <w:start w:val="1"/>
      <w:numFmt w:val="bullet"/>
      <w:lvlText w:val=""/>
      <w:lvlJc w:val="left"/>
      <w:pPr>
        <w:ind w:left="4320" w:hanging="360"/>
      </w:pPr>
      <w:rPr>
        <w:rFonts w:ascii="Wingdings" w:hAnsi="Wingdings" w:hint="default"/>
      </w:rPr>
    </w:lvl>
    <w:lvl w:ilvl="6" w:tplc="37705216" w:tentative="1">
      <w:start w:val="1"/>
      <w:numFmt w:val="bullet"/>
      <w:lvlText w:val=""/>
      <w:lvlJc w:val="left"/>
      <w:pPr>
        <w:ind w:left="5040" w:hanging="360"/>
      </w:pPr>
      <w:rPr>
        <w:rFonts w:ascii="Symbol" w:hAnsi="Symbol" w:hint="default"/>
      </w:rPr>
    </w:lvl>
    <w:lvl w:ilvl="7" w:tplc="7E7846C0" w:tentative="1">
      <w:start w:val="1"/>
      <w:numFmt w:val="bullet"/>
      <w:lvlText w:val="o"/>
      <w:lvlJc w:val="left"/>
      <w:pPr>
        <w:ind w:left="5760" w:hanging="360"/>
      </w:pPr>
      <w:rPr>
        <w:rFonts w:ascii="Courier New" w:hAnsi="Courier New" w:cs="EYInterstate Light" w:hint="default"/>
      </w:rPr>
    </w:lvl>
    <w:lvl w:ilvl="8" w:tplc="B5ECA5C4" w:tentative="1">
      <w:start w:val="1"/>
      <w:numFmt w:val="bullet"/>
      <w:lvlText w:val=""/>
      <w:lvlJc w:val="left"/>
      <w:pPr>
        <w:ind w:left="6480" w:hanging="360"/>
      </w:pPr>
      <w:rPr>
        <w:rFonts w:ascii="Wingdings" w:hAnsi="Wingdings" w:hint="default"/>
      </w:rPr>
    </w:lvl>
  </w:abstractNum>
  <w:abstractNum w:abstractNumId="4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9">
    <w:nsid w:val="5F877660"/>
    <w:multiLevelType w:val="hybridMultilevel"/>
    <w:tmpl w:val="958814A2"/>
    <w:lvl w:ilvl="0" w:tplc="0409000F">
      <w:start w:val="1"/>
      <w:numFmt w:val="bullet"/>
      <w:pStyle w:val="SecondBullet"/>
      <w:lvlText w:val="-"/>
      <w:lvlJc w:val="left"/>
      <w:pPr>
        <w:tabs>
          <w:tab w:val="num" w:pos="720"/>
        </w:tabs>
        <w:ind w:left="720" w:hanging="360"/>
      </w:pPr>
      <w:rPr>
        <w:rFonts w:ascii="Georgia" w:hAnsi="Georgia" w:hint="default"/>
        <w:b w:val="0"/>
        <w:i w:val="0"/>
        <w:color w:val="4EAAE7"/>
        <w:sz w:val="20"/>
      </w:rPr>
    </w:lvl>
    <w:lvl w:ilvl="1" w:tplc="04090019" w:tentative="1">
      <w:start w:val="1"/>
      <w:numFmt w:val="bullet"/>
      <w:lvlText w:val="o"/>
      <w:lvlJc w:val="left"/>
      <w:pPr>
        <w:tabs>
          <w:tab w:val="num" w:pos="1440"/>
        </w:tabs>
        <w:ind w:left="1440" w:hanging="360"/>
      </w:pPr>
      <w:rPr>
        <w:rFonts w:ascii="Courier New" w:hAnsi="Courier New" w:cs="EYInterstate Light"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EYInterstate Light"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EYInterstate Light"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51">
    <w:nsid w:val="60B25E8C"/>
    <w:multiLevelType w:val="hybridMultilevel"/>
    <w:tmpl w:val="5C22072C"/>
    <w:lvl w:ilvl="0" w:tplc="22B62B0C">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nsid w:val="60BE250F"/>
    <w:multiLevelType w:val="hybridMultilevel"/>
    <w:tmpl w:val="D5187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61622946"/>
    <w:multiLevelType w:val="hybridMultilevel"/>
    <w:tmpl w:val="1766F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61B64986"/>
    <w:multiLevelType w:val="hybridMultilevel"/>
    <w:tmpl w:val="CBBC6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644C724C"/>
    <w:multiLevelType w:val="hybridMultilevel"/>
    <w:tmpl w:val="2FB49AB0"/>
    <w:lvl w:ilvl="0" w:tplc="D29E9C56">
      <w:start w:val="1"/>
      <w:numFmt w:val="decimal"/>
      <w:pStyle w:val="finding"/>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66824CD2"/>
    <w:multiLevelType w:val="hybridMultilevel"/>
    <w:tmpl w:val="3CBA1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67A57F18"/>
    <w:multiLevelType w:val="hybridMultilevel"/>
    <w:tmpl w:val="B5506A94"/>
    <w:lvl w:ilvl="0" w:tplc="3C38CA4C">
      <w:start w:val="1"/>
      <w:numFmt w:val="decimal"/>
      <w:pStyle w:val="TableListNumber"/>
      <w:lvlText w:val="%1."/>
      <w:lvlJc w:val="left"/>
      <w:pPr>
        <w:tabs>
          <w:tab w:val="num" w:pos="181"/>
        </w:tabs>
        <w:ind w:left="181" w:hanging="181"/>
      </w:pPr>
      <w:rPr>
        <w:rFonts w:hint="default"/>
      </w:rPr>
    </w:lvl>
    <w:lvl w:ilvl="1" w:tplc="C1A46540" w:tentative="1">
      <w:start w:val="1"/>
      <w:numFmt w:val="lowerLetter"/>
      <w:lvlText w:val="%2."/>
      <w:lvlJc w:val="left"/>
      <w:pPr>
        <w:tabs>
          <w:tab w:val="num" w:pos="1440"/>
        </w:tabs>
        <w:ind w:left="1440" w:hanging="360"/>
      </w:pPr>
    </w:lvl>
    <w:lvl w:ilvl="2" w:tplc="B2D03FDE" w:tentative="1">
      <w:start w:val="1"/>
      <w:numFmt w:val="lowerRoman"/>
      <w:lvlText w:val="%3."/>
      <w:lvlJc w:val="right"/>
      <w:pPr>
        <w:tabs>
          <w:tab w:val="num" w:pos="2160"/>
        </w:tabs>
        <w:ind w:left="2160" w:hanging="180"/>
      </w:pPr>
    </w:lvl>
    <w:lvl w:ilvl="3" w:tplc="13B24DC6" w:tentative="1">
      <w:start w:val="1"/>
      <w:numFmt w:val="decimal"/>
      <w:lvlText w:val="%4."/>
      <w:lvlJc w:val="left"/>
      <w:pPr>
        <w:tabs>
          <w:tab w:val="num" w:pos="2880"/>
        </w:tabs>
        <w:ind w:left="2880" w:hanging="360"/>
      </w:pPr>
    </w:lvl>
    <w:lvl w:ilvl="4" w:tplc="30880A44" w:tentative="1">
      <w:start w:val="1"/>
      <w:numFmt w:val="lowerLetter"/>
      <w:lvlText w:val="%5."/>
      <w:lvlJc w:val="left"/>
      <w:pPr>
        <w:tabs>
          <w:tab w:val="num" w:pos="3600"/>
        </w:tabs>
        <w:ind w:left="3600" w:hanging="360"/>
      </w:pPr>
    </w:lvl>
    <w:lvl w:ilvl="5" w:tplc="E1B62FEC" w:tentative="1">
      <w:start w:val="1"/>
      <w:numFmt w:val="lowerRoman"/>
      <w:lvlText w:val="%6."/>
      <w:lvlJc w:val="right"/>
      <w:pPr>
        <w:tabs>
          <w:tab w:val="num" w:pos="4320"/>
        </w:tabs>
        <w:ind w:left="4320" w:hanging="180"/>
      </w:pPr>
    </w:lvl>
    <w:lvl w:ilvl="6" w:tplc="47C48CCE" w:tentative="1">
      <w:start w:val="1"/>
      <w:numFmt w:val="decimal"/>
      <w:lvlText w:val="%7."/>
      <w:lvlJc w:val="left"/>
      <w:pPr>
        <w:tabs>
          <w:tab w:val="num" w:pos="5040"/>
        </w:tabs>
        <w:ind w:left="5040" w:hanging="360"/>
      </w:pPr>
    </w:lvl>
    <w:lvl w:ilvl="7" w:tplc="3D8E7C04" w:tentative="1">
      <w:start w:val="1"/>
      <w:numFmt w:val="lowerLetter"/>
      <w:lvlText w:val="%8."/>
      <w:lvlJc w:val="left"/>
      <w:pPr>
        <w:tabs>
          <w:tab w:val="num" w:pos="5760"/>
        </w:tabs>
        <w:ind w:left="5760" w:hanging="360"/>
      </w:pPr>
    </w:lvl>
    <w:lvl w:ilvl="8" w:tplc="D6FAEDDC" w:tentative="1">
      <w:start w:val="1"/>
      <w:numFmt w:val="lowerRoman"/>
      <w:lvlText w:val="%9."/>
      <w:lvlJc w:val="right"/>
      <w:pPr>
        <w:tabs>
          <w:tab w:val="num" w:pos="6480"/>
        </w:tabs>
        <w:ind w:left="6480" w:hanging="180"/>
      </w:pPr>
    </w:lvl>
  </w:abstractNum>
  <w:abstractNum w:abstractNumId="58">
    <w:nsid w:val="6B237679"/>
    <w:multiLevelType w:val="hybridMultilevel"/>
    <w:tmpl w:val="99109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6CD03643"/>
    <w:multiLevelType w:val="hybridMultilevel"/>
    <w:tmpl w:val="ECA29F86"/>
    <w:lvl w:ilvl="0" w:tplc="D36C655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pStyle w:val="Heading91"/>
      <w:lvlText w:val="%9."/>
      <w:lvlJc w:val="right"/>
      <w:pPr>
        <w:ind w:left="6480" w:hanging="180"/>
      </w:pPr>
    </w:lvl>
  </w:abstractNum>
  <w:abstractNum w:abstractNumId="6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61">
    <w:nsid w:val="71A4030A"/>
    <w:multiLevelType w:val="hybridMultilevel"/>
    <w:tmpl w:val="A7F01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7AB24E67"/>
    <w:multiLevelType w:val="hybridMultilevel"/>
    <w:tmpl w:val="F71EF012"/>
    <w:lvl w:ilvl="0" w:tplc="89F4C172">
      <w:start w:val="1"/>
      <w:numFmt w:val="bullet"/>
      <w:pStyle w:val="TableListBullet"/>
      <w:lvlText w:val=""/>
      <w:lvlJc w:val="left"/>
      <w:pPr>
        <w:tabs>
          <w:tab w:val="num" w:pos="181"/>
        </w:tabs>
        <w:ind w:left="181" w:hanging="181"/>
      </w:pPr>
      <w:rPr>
        <w:rFonts w:ascii="Symbol" w:hAnsi="Symbol" w:hint="default"/>
        <w:color w:val="FF0000"/>
      </w:rPr>
    </w:lvl>
    <w:lvl w:ilvl="1" w:tplc="B268EF60" w:tentative="1">
      <w:start w:val="1"/>
      <w:numFmt w:val="bullet"/>
      <w:lvlText w:val="o"/>
      <w:lvlJc w:val="left"/>
      <w:pPr>
        <w:tabs>
          <w:tab w:val="num" w:pos="1440"/>
        </w:tabs>
        <w:ind w:left="1440" w:hanging="360"/>
      </w:pPr>
      <w:rPr>
        <w:rFonts w:ascii="Courier New" w:hAnsi="Courier New" w:cs="EYInterstate Light" w:hint="default"/>
      </w:rPr>
    </w:lvl>
    <w:lvl w:ilvl="2" w:tplc="EBC80D14" w:tentative="1">
      <w:start w:val="1"/>
      <w:numFmt w:val="bullet"/>
      <w:lvlText w:val=""/>
      <w:lvlJc w:val="left"/>
      <w:pPr>
        <w:tabs>
          <w:tab w:val="num" w:pos="2160"/>
        </w:tabs>
        <w:ind w:left="2160" w:hanging="360"/>
      </w:pPr>
      <w:rPr>
        <w:rFonts w:ascii="Wingdings" w:hAnsi="Wingdings" w:hint="default"/>
      </w:rPr>
    </w:lvl>
    <w:lvl w:ilvl="3" w:tplc="FD10E3CA" w:tentative="1">
      <w:start w:val="1"/>
      <w:numFmt w:val="bullet"/>
      <w:lvlText w:val=""/>
      <w:lvlJc w:val="left"/>
      <w:pPr>
        <w:tabs>
          <w:tab w:val="num" w:pos="2880"/>
        </w:tabs>
        <w:ind w:left="2880" w:hanging="360"/>
      </w:pPr>
      <w:rPr>
        <w:rFonts w:ascii="Symbol" w:hAnsi="Symbol" w:hint="default"/>
      </w:rPr>
    </w:lvl>
    <w:lvl w:ilvl="4" w:tplc="82CEC25E" w:tentative="1">
      <w:start w:val="1"/>
      <w:numFmt w:val="bullet"/>
      <w:lvlText w:val="o"/>
      <w:lvlJc w:val="left"/>
      <w:pPr>
        <w:tabs>
          <w:tab w:val="num" w:pos="3600"/>
        </w:tabs>
        <w:ind w:left="3600" w:hanging="360"/>
      </w:pPr>
      <w:rPr>
        <w:rFonts w:ascii="Courier New" w:hAnsi="Courier New" w:cs="EYInterstate Light" w:hint="default"/>
      </w:rPr>
    </w:lvl>
    <w:lvl w:ilvl="5" w:tplc="22B0391E" w:tentative="1">
      <w:start w:val="1"/>
      <w:numFmt w:val="bullet"/>
      <w:lvlText w:val=""/>
      <w:lvlJc w:val="left"/>
      <w:pPr>
        <w:tabs>
          <w:tab w:val="num" w:pos="4320"/>
        </w:tabs>
        <w:ind w:left="4320" w:hanging="360"/>
      </w:pPr>
      <w:rPr>
        <w:rFonts w:ascii="Wingdings" w:hAnsi="Wingdings" w:hint="default"/>
      </w:rPr>
    </w:lvl>
    <w:lvl w:ilvl="6" w:tplc="995AAE64" w:tentative="1">
      <w:start w:val="1"/>
      <w:numFmt w:val="bullet"/>
      <w:lvlText w:val=""/>
      <w:lvlJc w:val="left"/>
      <w:pPr>
        <w:tabs>
          <w:tab w:val="num" w:pos="5040"/>
        </w:tabs>
        <w:ind w:left="5040" w:hanging="360"/>
      </w:pPr>
      <w:rPr>
        <w:rFonts w:ascii="Symbol" w:hAnsi="Symbol" w:hint="default"/>
      </w:rPr>
    </w:lvl>
    <w:lvl w:ilvl="7" w:tplc="D58A8958" w:tentative="1">
      <w:start w:val="1"/>
      <w:numFmt w:val="bullet"/>
      <w:lvlText w:val="o"/>
      <w:lvlJc w:val="left"/>
      <w:pPr>
        <w:tabs>
          <w:tab w:val="num" w:pos="5760"/>
        </w:tabs>
        <w:ind w:left="5760" w:hanging="360"/>
      </w:pPr>
      <w:rPr>
        <w:rFonts w:ascii="Courier New" w:hAnsi="Courier New" w:cs="EYInterstate Light" w:hint="default"/>
      </w:rPr>
    </w:lvl>
    <w:lvl w:ilvl="8" w:tplc="7456891E" w:tentative="1">
      <w:start w:val="1"/>
      <w:numFmt w:val="bullet"/>
      <w:lvlText w:val=""/>
      <w:lvlJc w:val="left"/>
      <w:pPr>
        <w:tabs>
          <w:tab w:val="num" w:pos="6480"/>
        </w:tabs>
        <w:ind w:left="6480" w:hanging="360"/>
      </w:pPr>
      <w:rPr>
        <w:rFonts w:ascii="Wingdings" w:hAnsi="Wingdings" w:hint="default"/>
      </w:rPr>
    </w:lvl>
  </w:abstractNum>
  <w:abstractNum w:abstractNumId="64">
    <w:nsid w:val="7AC359E9"/>
    <w:multiLevelType w:val="hybridMultilevel"/>
    <w:tmpl w:val="85F21242"/>
    <w:lvl w:ilvl="0" w:tplc="3FD41C2E">
      <w:start w:val="1"/>
      <w:numFmt w:val="decimal"/>
      <w:pStyle w:val="Tablenumber1"/>
      <w:lvlText w:val="%1."/>
      <w:lvlJc w:val="left"/>
      <w:pPr>
        <w:ind w:left="720" w:hanging="360"/>
      </w:pPr>
      <w:rPr>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9665096">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5">
    <w:nsid w:val="7E8215BD"/>
    <w:multiLevelType w:val="hybridMultilevel"/>
    <w:tmpl w:val="618A6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9"/>
  </w:num>
  <w:num w:numId="2">
    <w:abstractNumId w:val="42"/>
  </w:num>
  <w:num w:numId="3">
    <w:abstractNumId w:val="37"/>
  </w:num>
  <w:num w:numId="4">
    <w:abstractNumId w:val="6"/>
  </w:num>
  <w:num w:numId="5">
    <w:abstractNumId w:val="1"/>
  </w:num>
  <w:num w:numId="6">
    <w:abstractNumId w:val="0"/>
  </w:num>
  <w:num w:numId="7">
    <w:abstractNumId w:val="27"/>
  </w:num>
  <w:num w:numId="8">
    <w:abstractNumId w:val="22"/>
  </w:num>
  <w:num w:numId="9">
    <w:abstractNumId w:val="60"/>
  </w:num>
  <w:num w:numId="10">
    <w:abstractNumId w:val="25"/>
  </w:num>
  <w:num w:numId="11">
    <w:abstractNumId w:val="50"/>
  </w:num>
  <w:num w:numId="12">
    <w:abstractNumId w:val="48"/>
  </w:num>
  <w:num w:numId="13">
    <w:abstractNumId w:val="34"/>
  </w:num>
  <w:num w:numId="14">
    <w:abstractNumId w:val="39"/>
  </w:num>
  <w:num w:numId="15">
    <w:abstractNumId w:val="18"/>
  </w:num>
  <w:num w:numId="16">
    <w:abstractNumId w:val="26"/>
  </w:num>
  <w:num w:numId="17">
    <w:abstractNumId w:val="13"/>
  </w:num>
  <w:num w:numId="18">
    <w:abstractNumId w:val="23"/>
  </w:num>
  <w:num w:numId="19">
    <w:abstractNumId w:val="62"/>
  </w:num>
  <w:num w:numId="20">
    <w:abstractNumId w:val="36"/>
  </w:num>
  <w:num w:numId="21">
    <w:abstractNumId w:val="8"/>
  </w:num>
  <w:num w:numId="22">
    <w:abstractNumId w:val="38"/>
  </w:num>
  <w:num w:numId="23">
    <w:abstractNumId w:val="41"/>
  </w:num>
  <w:num w:numId="24">
    <w:abstractNumId w:val="55"/>
  </w:num>
  <w:num w:numId="25">
    <w:abstractNumId w:val="19"/>
  </w:num>
  <w:num w:numId="26">
    <w:abstractNumId w:val="24"/>
  </w:num>
  <w:num w:numId="27">
    <w:abstractNumId w:val="63"/>
  </w:num>
  <w:num w:numId="28">
    <w:abstractNumId w:val="9"/>
  </w:num>
  <w:num w:numId="29">
    <w:abstractNumId w:val="57"/>
  </w:num>
  <w:num w:numId="30">
    <w:abstractNumId w:val="33"/>
  </w:num>
  <w:num w:numId="31">
    <w:abstractNumId w:val="49"/>
  </w:num>
  <w:num w:numId="32">
    <w:abstractNumId w:val="3"/>
  </w:num>
  <w:num w:numId="33">
    <w:abstractNumId w:val="12"/>
  </w:num>
  <w:num w:numId="34">
    <w:abstractNumId w:val="47"/>
  </w:num>
  <w:num w:numId="35">
    <w:abstractNumId w:val="40"/>
  </w:num>
  <w:num w:numId="36">
    <w:abstractNumId w:val="64"/>
  </w:num>
  <w:num w:numId="37">
    <w:abstractNumId w:val="14"/>
  </w:num>
  <w:num w:numId="38">
    <w:abstractNumId w:val="21"/>
  </w:num>
  <w:num w:numId="39">
    <w:abstractNumId w:val="44"/>
  </w:num>
  <w:num w:numId="40">
    <w:abstractNumId w:val="7"/>
  </w:num>
  <w:num w:numId="41">
    <w:abstractNumId w:val="2"/>
  </w:num>
  <w:num w:numId="42">
    <w:abstractNumId w:val="15"/>
  </w:num>
  <w:num w:numId="43">
    <w:abstractNumId w:val="17"/>
  </w:num>
  <w:num w:numId="44">
    <w:abstractNumId w:val="32"/>
  </w:num>
  <w:num w:numId="45">
    <w:abstractNumId w:val="35"/>
  </w:num>
  <w:num w:numId="46">
    <w:abstractNumId w:val="61"/>
  </w:num>
  <w:num w:numId="47">
    <w:abstractNumId w:val="45"/>
  </w:num>
  <w:num w:numId="48">
    <w:abstractNumId w:val="58"/>
  </w:num>
  <w:num w:numId="49">
    <w:abstractNumId w:val="54"/>
  </w:num>
  <w:num w:numId="50">
    <w:abstractNumId w:val="65"/>
  </w:num>
  <w:num w:numId="51">
    <w:abstractNumId w:val="53"/>
  </w:num>
  <w:num w:numId="52">
    <w:abstractNumId w:val="56"/>
  </w:num>
  <w:num w:numId="53">
    <w:abstractNumId w:val="29"/>
  </w:num>
  <w:num w:numId="54">
    <w:abstractNumId w:val="4"/>
  </w:num>
  <w:num w:numId="55">
    <w:abstractNumId w:val="16"/>
  </w:num>
  <w:num w:numId="56">
    <w:abstractNumId w:val="52"/>
  </w:num>
  <w:num w:numId="57">
    <w:abstractNumId w:val="5"/>
  </w:num>
  <w:num w:numId="58">
    <w:abstractNumId w:val="43"/>
  </w:num>
  <w:num w:numId="59">
    <w:abstractNumId w:val="46"/>
  </w:num>
  <w:num w:numId="60">
    <w:abstractNumId w:val="11"/>
  </w:num>
  <w:num w:numId="61">
    <w:abstractNumId w:val="51"/>
  </w:num>
  <w:num w:numId="62">
    <w:abstractNumId w:val="31"/>
  </w:num>
  <w:num w:numId="63">
    <w:abstractNumId w:val="30"/>
  </w:num>
  <w:num w:numId="64">
    <w:abstractNumId w:val="10"/>
  </w:num>
  <w:num w:numId="65">
    <w:abstractNumId w:val="20"/>
  </w:num>
  <w:num w:numId="66">
    <w:abstractNumId w:val="37"/>
  </w:num>
  <w:num w:numId="67">
    <w:abstractNumId w:val="28"/>
  </w:num>
  <w:num w:numId="68">
    <w:abstractNumId w:val="3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6963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B15BF032-5820-42E9-8D73-3BFFF1434E9E"/>
    <w:docVar w:name="LW_COVERPAGE_TYPE" w:val="1"/>
    <w:docVar w:name="LW_CROSSREFERENCE" w:val="{COM(2017) 708 final}_x000b_{SWD(2017) 432 final}"/>
    <w:docVar w:name="LW_DocType" w:val="NORMAL"/>
    <w:docVar w:name="LW_EMISSION" w:val="29.11.2017"/>
    <w:docVar w:name="LW_EMISSION_ISODATE" w:val="2017-11-29"/>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Guidance on certain aspects of Directive 2004/48/EC of the European Parliament and of the Council on the enforcement of intellectual property rights"/>
    <w:docVar w:name="LW_PART_NBR" w:val="1"/>
    <w:docVar w:name="LW_PART_NBR_TOTAL" w:val="1"/>
    <w:docVar w:name="LW_REF.INST.NEW" w:val="SWD"/>
    <w:docVar w:name="LW_REF.INST.NEW_ADOPTED" w:val="final"/>
    <w:docVar w:name="LW_REF.INST.NEW_TEXT" w:val="(2017) 4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VALUATION"/>
    <w:docVar w:name="LW_TYPE.DOC.CP" w:val="COMMISSION STAFF WORKING DOCUMENT"/>
    <w:docVar w:name="LW_TYPEACTEPRINCIPAL.CP" w:val="COMMUNICATION FROM THE COMMISSION TO THE EUROPEAN PARLIAMENT, THE COUNCIL AND THE EUROPEAN ECONOMIC AND SOCIAL COMMITTEE"/>
  </w:docVars>
  <w:rsids>
    <w:rsidRoot w:val="00EB6A7B"/>
    <w:rsid w:val="001E7ACC"/>
    <w:rsid w:val="00EB6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index heading" w:uiPriority="0"/>
    <w:lsdException w:name="caption" w:uiPriority="0" w:qFormat="1"/>
    <w:lsdException w:name="envelope address" w:uiPriority="0"/>
    <w:lsdException w:name="envelope return" w:uiPriority="0"/>
    <w:lsdException w:name="footnote reference" w:qFormat="1"/>
    <w:lsdException w:name="page number" w:uiPriority="0"/>
    <w:lsdException w:name="table of authorities" w:uiPriority="0"/>
    <w:lsdException w:name="macro" w:uiPriority="0"/>
    <w:lsdException w:name="toa heading" w:uiPriority="0"/>
    <w:lsdException w:name="List" w:uiPriority="0"/>
    <w:lsdException w:name="List Number" w:qFormat="1"/>
    <w:lsdException w:name="List 2" w:uiPriority="0"/>
    <w:lsdException w:name="List 3" w:uiPriority="0"/>
    <w:lsdException w:name="List 4" w:uiPriority="0"/>
    <w:lsdException w:name="List 5" w:uiPriority="0"/>
    <w:lsdException w:name="List Bullet 4" w:uiPriority="0"/>
    <w:lsdException w:name="List Bullet 5" w:uiPriority="0"/>
    <w:lsdException w:name="List Number 2" w:qFormat="1"/>
    <w:lsdException w:name="List Number 3" w:qFormat="1"/>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3"/>
      </w:numPr>
      <w:spacing w:before="360" w:after="120" w:line="240" w:lineRule="auto"/>
      <w:jc w:val="both"/>
      <w:outlineLvl w:val="0"/>
    </w:pPr>
    <w:rPr>
      <w:rFonts w:ascii="Times New Roman" w:eastAsia="Times New Roman" w:hAnsi="Times New Roman" w:cs="Times New Roman"/>
      <w:b/>
      <w:bCs/>
      <w:smallCaps/>
      <w:sz w:val="24"/>
      <w:szCs w:val="24"/>
    </w:rPr>
  </w:style>
  <w:style w:type="paragraph" w:styleId="Heading2">
    <w:name w:val="heading 2"/>
    <w:basedOn w:val="Heading1"/>
    <w:link w:val="Heading2Char"/>
    <w:uiPriority w:val="9"/>
    <w:qFormat/>
    <w:pPr>
      <w:numPr>
        <w:ilvl w:val="1"/>
      </w:numPr>
      <w:ind w:left="1134" w:hanging="1134"/>
      <w:outlineLvl w:val="1"/>
    </w:pPr>
  </w:style>
  <w:style w:type="paragraph" w:styleId="Heading3">
    <w:name w:val="heading 3"/>
    <w:basedOn w:val="Heading2"/>
    <w:next w:val="Normal"/>
    <w:link w:val="Heading3Char"/>
    <w:unhideWhenUsed/>
    <w:qFormat/>
    <w:pPr>
      <w:numPr>
        <w:ilvl w:val="2"/>
      </w:numPr>
      <w:outlineLvl w:val="2"/>
    </w:pPr>
  </w:style>
  <w:style w:type="paragraph" w:styleId="Heading4">
    <w:name w:val="heading 4"/>
    <w:basedOn w:val="Heading3"/>
    <w:next w:val="Normal"/>
    <w:link w:val="Heading4Char"/>
    <w:unhideWhenUsed/>
    <w:qFormat/>
    <w:pPr>
      <w:numPr>
        <w:ilvl w:val="3"/>
      </w:numPr>
      <w:ind w:left="1134" w:hanging="1134"/>
      <w:outlineLvl w:val="3"/>
    </w:pPr>
    <w:rPr>
      <w:iCs/>
    </w:rPr>
  </w:style>
  <w:style w:type="paragraph" w:styleId="Heading5">
    <w:name w:val="heading 5"/>
    <w:basedOn w:val="Heading4"/>
    <w:next w:val="Normal"/>
    <w:link w:val="Heading5Char"/>
    <w:qFormat/>
    <w:pPr>
      <w:numPr>
        <w:ilvl w:val="4"/>
      </w:numPr>
      <w:ind w:left="1134" w:hanging="1134"/>
      <w:outlineLvl w:val="4"/>
    </w:p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4"/>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4"/>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4"/>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paragraph" w:styleId="FootnoteText">
    <w:name w:val="footnote text"/>
    <w:aliases w:val="footnote text,Footnote Text Char Char,Fußnote,single space,FOOTNOTES,fn,Char Char Char,Note de bas de page2,Footnotes Char,footnote text Char,Footnotes,Char Char Char Char Char Char,footnotes Char Char Char Char Char,Footno,Footn,Footnote"/>
    <w:basedOn w:val="Normal"/>
    <w:link w:val="FootnoteTextChar"/>
    <w:uiPriority w:val="99"/>
    <w:unhideWhenUsed/>
    <w:qFormat/>
    <w:pPr>
      <w:spacing w:after="0" w:line="240" w:lineRule="auto"/>
      <w:jc w:val="both"/>
    </w:pPr>
    <w:rPr>
      <w:rFonts w:ascii="Times New Roman" w:hAnsi="Times New Roman"/>
      <w:sz w:val="20"/>
      <w:szCs w:val="20"/>
    </w:rPr>
  </w:style>
  <w:style w:type="character" w:customStyle="1" w:styleId="FootnoteTextChar">
    <w:name w:val="Footnote Text Char"/>
    <w:aliases w:val="footnote text Char1,Footnote Text Char Char Char,Fußnote Char,single space Char,FOOTNOTES Char,fn Char,Char Char Char Char,Note de bas de page2 Char,Footnotes Char Char,footnote text Char Char,Footnotes Char1,Footno Char,Footn Char"/>
    <w:basedOn w:val="DefaultParagraphFont"/>
    <w:link w:val="FootnoteText"/>
    <w:uiPriority w:val="99"/>
    <w:rPr>
      <w:rFonts w:ascii="Times New Roman" w:hAnsi="Times New Roman"/>
      <w:sz w:val="20"/>
      <w:szCs w:val="20"/>
    </w:rPr>
  </w:style>
  <w:style w:type="character" w:styleId="FootnoteReference">
    <w:name w:val="footnote reference"/>
    <w:aliases w:val="stylish,Footnote Refernece,BVI fnr,Fußnotenzeichen_Raxen,callout,Footnote Reference Number, BVI fnr,Footnote Reference Superscript,Footnote symbol,Footnote reference number,Footnotemark,FR,Footnotemark1,Footnotemark2,FR1,Footnotemark3"/>
    <w:basedOn w:val="DefaultParagraphFont"/>
    <w:link w:val="FootnotesymbolCarZchn"/>
    <w:uiPriority w:val="99"/>
    <w:unhideWhenUsed/>
    <w:qFormat/>
    <w:rPr>
      <w:vertAlign w:val="superscript"/>
    </w:rPr>
  </w:style>
  <w:style w:type="paragraph" w:customStyle="1" w:styleId="CM48">
    <w:name w:val="CM48"/>
    <w:basedOn w:val="Normal"/>
    <w:next w:val="Normal"/>
    <w:uiPriority w:val="99"/>
    <w:pPr>
      <w:autoSpaceDE w:val="0"/>
      <w:autoSpaceDN w:val="0"/>
      <w:adjustRightInd w:val="0"/>
      <w:spacing w:after="0" w:line="240" w:lineRule="auto"/>
    </w:pPr>
    <w:rPr>
      <w:rFonts w:ascii="Verdana" w:hAnsi="Verdana"/>
      <w:sz w:val="24"/>
      <w:szCs w:val="24"/>
    </w:rPr>
  </w:style>
  <w:style w:type="paragraph" w:customStyle="1" w:styleId="Default">
    <w:name w:val="Default"/>
    <w:basedOn w:val="Normal"/>
    <w:pPr>
      <w:autoSpaceDE w:val="0"/>
      <w:autoSpaceDN w:val="0"/>
      <w:spacing w:after="0" w:line="240" w:lineRule="auto"/>
    </w:pPr>
    <w:rPr>
      <w:rFonts w:ascii="EUAlbertina" w:hAnsi="EUAlbertina" w:cs="Times New Roman"/>
      <w:color w:val="000000"/>
      <w:sz w:val="24"/>
      <w:szCs w:val="24"/>
      <w:lang w:eastAsia="en-GB"/>
    </w:rPr>
  </w:style>
  <w:style w:type="character" w:customStyle="1" w:styleId="Marker">
    <w:name w:val="Marker"/>
    <w:basedOn w:val="DefaultParagraphFont"/>
    <w:rPr>
      <w:color w:val="0000FF"/>
      <w:shd w:val="clear" w:color="auto" w:fill="auto"/>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 w:type="paragraph" w:customStyle="1" w:styleId="CM1">
    <w:name w:val="CM1"/>
    <w:basedOn w:val="Default"/>
    <w:next w:val="Default"/>
    <w:uiPriority w:val="99"/>
    <w:pPr>
      <w:adjustRightInd w:val="0"/>
    </w:pPr>
    <w:rPr>
      <w:rFonts w:cstheme="minorBidi"/>
      <w:color w:val="auto"/>
      <w:lang w:eastAsia="en-US"/>
    </w:rPr>
  </w:style>
  <w:style w:type="paragraph" w:customStyle="1" w:styleId="CM3">
    <w:name w:val="CM3"/>
    <w:basedOn w:val="Default"/>
    <w:next w:val="Default"/>
    <w:uiPriority w:val="99"/>
    <w:pPr>
      <w:adjustRightInd w:val="0"/>
    </w:pPr>
    <w:rPr>
      <w:rFonts w:cstheme="minorBidi"/>
      <w:color w:val="auto"/>
      <w:lang w:eastAsia="en-US"/>
    </w:rPr>
  </w:style>
  <w:style w:type="paragraph" w:customStyle="1" w:styleId="CM4">
    <w:name w:val="CM4"/>
    <w:basedOn w:val="Default"/>
    <w:next w:val="Default"/>
    <w:uiPriority w:val="99"/>
    <w:pPr>
      <w:adjustRightInd w:val="0"/>
    </w:pPr>
    <w:rPr>
      <w:rFonts w:cstheme="minorBidi"/>
      <w:color w:val="auto"/>
      <w:lang w:eastAsia="en-US"/>
    </w:rPr>
  </w:style>
  <w:style w:type="character" w:customStyle="1" w:styleId="Heading2Char">
    <w:name w:val="Heading 2 Char"/>
    <w:basedOn w:val="DefaultParagraphFont"/>
    <w:link w:val="Heading2"/>
    <w:uiPriority w:val="9"/>
    <w:rPr>
      <w:rFonts w:ascii="Times New Roman" w:eastAsia="Times New Roman" w:hAnsi="Times New Roman" w:cs="Times New Roman"/>
      <w:b/>
      <w:bCs/>
      <w:smallCaps/>
      <w:sz w:val="24"/>
      <w:szCs w:val="24"/>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rPr>
  </w:style>
  <w:style w:type="character" w:styleId="FollowedHyperlink">
    <w:name w:val="FollowedHyperlink"/>
    <w:basedOn w:val="DefaultParagraphFont"/>
    <w:uiPriority w:val="99"/>
    <w:unhideWhenUsed/>
    <w:rPr>
      <w:color w:val="800080" w:themeColor="followedHyperlink"/>
      <w:u w:val="single"/>
    </w:rPr>
  </w:style>
  <w:style w:type="paragraph" w:styleId="ListParagraph">
    <w:name w:val="List Paragraph"/>
    <w:aliases w:val="List Paragraph2,Numbered List,Bullet"/>
    <w:basedOn w:val="Normal"/>
    <w:qFormat/>
    <w:pPr>
      <w:ind w:left="720"/>
      <w:contextualSpacing/>
    </w:pPr>
  </w:style>
  <w:style w:type="character" w:customStyle="1" w:styleId="Heading3Char">
    <w:name w:val="Heading 3 Char"/>
    <w:basedOn w:val="DefaultParagraphFont"/>
    <w:link w:val="Heading3"/>
    <w:rPr>
      <w:rFonts w:ascii="Times New Roman" w:eastAsia="Times New Roman" w:hAnsi="Times New Roman" w:cs="Times New Roman"/>
      <w:b/>
      <w:bCs/>
      <w:smallCaps/>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paragraph" w:customStyle="1" w:styleId="Heading91">
    <w:name w:val="Heading 91"/>
    <w:basedOn w:val="Normal"/>
    <w:next w:val="Normal"/>
    <w:uiPriority w:val="9"/>
    <w:semiHidden/>
    <w:unhideWhenUsed/>
    <w:qFormat/>
    <w:pPr>
      <w:keepNext/>
      <w:keepLines/>
      <w:numPr>
        <w:ilvl w:val="8"/>
        <w:numId w:val="1"/>
      </w:numPr>
      <w:tabs>
        <w:tab w:val="num" w:pos="6480"/>
      </w:tabs>
      <w:spacing w:before="40" w:after="0" w:line="240" w:lineRule="auto"/>
      <w:ind w:left="1584" w:hanging="1584"/>
      <w:outlineLvl w:val="8"/>
    </w:pPr>
    <w:rPr>
      <w:rFonts w:ascii="Georgia" w:eastAsia="MS PGothic" w:hAnsi="Georgia" w:cs="Times New Roman"/>
      <w:i/>
      <w:iCs/>
      <w:color w:val="272727"/>
      <w:sz w:val="21"/>
      <w:szCs w:val="21"/>
      <w:lang w:val="en-US"/>
    </w:rPr>
  </w:style>
  <w:style w:type="paragraph" w:styleId="Revision">
    <w:name w:val="Revision"/>
    <w:hidden/>
    <w:pPr>
      <w:spacing w:after="0" w:line="240" w:lineRule="auto"/>
    </w:pPr>
  </w:style>
  <w:style w:type="character" w:customStyle="1" w:styleId="Heading4Char">
    <w:name w:val="Heading 4 Char"/>
    <w:basedOn w:val="DefaultParagraphFont"/>
    <w:link w:val="Heading4"/>
    <w:uiPriority w:val="9"/>
    <w:rPr>
      <w:rFonts w:ascii="Times New Roman" w:eastAsia="Times New Roman" w:hAnsi="Times New Roman" w:cs="Times New Roman"/>
      <w:b/>
      <w:bCs/>
      <w:iCs/>
      <w:smallCaps/>
      <w:sz w:val="24"/>
      <w:szCs w:val="24"/>
    </w:rPr>
  </w:style>
  <w:style w:type="paragraph" w:customStyle="1" w:styleId="BodyText">
    <w:name w:val="BodyText"/>
    <w:basedOn w:val="Normal"/>
    <w:link w:val="BodyTextChar"/>
    <w:qFormat/>
    <w:pPr>
      <w:spacing w:after="160" w:line="259" w:lineRule="auto"/>
      <w:jc w:val="both"/>
    </w:pPr>
    <w:rPr>
      <w:rFonts w:eastAsia="MS PGothic"/>
      <w:sz w:val="20"/>
    </w:rPr>
  </w:style>
  <w:style w:type="character" w:customStyle="1" w:styleId="BodyTextChar">
    <w:name w:val="BodyText Char"/>
    <w:basedOn w:val="DefaultParagraphFont"/>
    <w:link w:val="BodyText"/>
    <w:rPr>
      <w:rFonts w:eastAsia="MS PGothic"/>
      <w:sz w:val="20"/>
    </w:rPr>
  </w:style>
  <w:style w:type="table" w:customStyle="1" w:styleId="TechnopolisLight">
    <w:name w:val="Technopolis Light"/>
    <w:basedOn w:val="TableNormal"/>
    <w:uiPriority w:val="99"/>
    <w:pPr>
      <w:spacing w:before="60" w:after="60" w:line="240" w:lineRule="auto"/>
    </w:pPr>
    <w:rPr>
      <w:rFonts w:ascii="Georgia" w:eastAsia="MS PGothic" w:hAnsi="Georgia"/>
      <w:sz w:val="16"/>
      <w:lang w:val="en-US"/>
    </w:rPr>
    <w:tblPr>
      <w:tblBorders>
        <w:insideH w:val="single" w:sz="4" w:space="0" w:color="9D9D9D"/>
        <w:insideV w:val="single" w:sz="4" w:space="0" w:color="9D9D9D"/>
      </w:tblBorders>
      <w:tblCellMar>
        <w:top w:w="57" w:type="dxa"/>
        <w:bottom w:w="57" w:type="dxa"/>
      </w:tblCellMar>
    </w:tblPr>
    <w:tcPr>
      <w:vAlign w:val="center"/>
    </w:tcPr>
    <w:tblStylePr w:type="firstRow">
      <w:rPr>
        <w:i/>
      </w:rPr>
      <w:tblPr/>
      <w:tcPr>
        <w:tcBorders>
          <w:bottom w:val="single" w:sz="4" w:space="0" w:color="C3343E"/>
        </w:tcBorders>
      </w:tcPr>
    </w:tblStylePr>
  </w:style>
  <w:style w:type="paragraph" w:styleId="EndnoteText">
    <w:name w:val="endnote text"/>
    <w:basedOn w:val="Normal"/>
    <w:link w:val="EndnoteTextChar"/>
    <w:uiPriority w:val="99"/>
    <w:unhideWhenUsed/>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unhideWhenUsed/>
    <w:rPr>
      <w:vertAlign w:val="superscript"/>
    </w:rPr>
  </w:style>
  <w:style w:type="table" w:customStyle="1" w:styleId="TechnopolisTable">
    <w:name w:val="Technopolis Table"/>
    <w:basedOn w:val="TableGrid"/>
    <w:uiPriority w:val="99"/>
    <w:pPr>
      <w:jc w:val="both"/>
    </w:pPr>
    <w:rPr>
      <w:rFonts w:ascii="Georgia" w:eastAsia="Times New Roman" w:hAnsi="Georgia" w:cs="Times New Roman"/>
      <w:color w:val="000000"/>
      <w:sz w:val="18"/>
      <w:szCs w:val="24"/>
      <w:lang w:eastAsia="en-GB"/>
    </w:rPr>
    <w:tblPr/>
    <w:tcPr>
      <w:shd w:val="clear" w:color="auto" w:fill="F2F2F2"/>
    </w:tcPr>
    <w:tblStylePr w:type="firstRow">
      <w:pPr>
        <w:jc w:val="center"/>
      </w:pPr>
      <w:rPr>
        <w:rFonts w:ascii="Times New Roman" w:hAnsi="Times New Roman" w:cs="Times New Roman"/>
        <w:b/>
        <w:color w:val="333333"/>
        <w:sz w:val="18"/>
      </w:rPr>
      <w:tblPr/>
      <w:tcPr>
        <w:tcBorders>
          <w:bottom w:val="single" w:sz="6" w:space="0" w:color="FF0000"/>
        </w:tcBorders>
        <w:shd w:val="clear" w:color="auto" w:fill="00AEF0"/>
      </w:tcPr>
    </w:tblStylePr>
    <w:tblStylePr w:type="lastRow">
      <w:pPr>
        <w:jc w:val="left"/>
      </w:pPr>
      <w:rPr>
        <w:rFonts w:ascii="Times New Roman" w:hAnsi="Times New Roman" w:cs="Times New Roman"/>
        <w:b/>
        <w:sz w:val="18"/>
      </w:rPr>
    </w:tblStylePr>
    <w:tblStylePr w:type="firstCol">
      <w:pPr>
        <w:jc w:val="left"/>
      </w:pPr>
      <w:rPr>
        <w:rFonts w:ascii="Times New Roman" w:hAnsi="Times New Roman" w:cs="Times New Roman"/>
        <w:b/>
        <w:sz w:val="18"/>
      </w:rPr>
    </w:tblStylePr>
  </w:style>
  <w:style w:type="table" w:customStyle="1" w:styleId="TechnopolisLight1">
    <w:name w:val="Technopolis Light1"/>
    <w:basedOn w:val="TableNormal"/>
    <w:uiPriority w:val="99"/>
    <w:pPr>
      <w:spacing w:before="60" w:after="60" w:line="240" w:lineRule="auto"/>
    </w:pPr>
    <w:rPr>
      <w:rFonts w:ascii="Cambria" w:hAnsi="Cambria"/>
      <w:sz w:val="16"/>
      <w:lang w:val="en-US"/>
    </w:rPr>
    <w:tblPr>
      <w:tblBorders>
        <w:insideH w:val="single" w:sz="4" w:space="0" w:color="8064A2"/>
        <w:insideV w:val="single" w:sz="4" w:space="0" w:color="8064A2"/>
      </w:tblBorders>
      <w:tblCellMar>
        <w:top w:w="57" w:type="dxa"/>
        <w:bottom w:w="57" w:type="dxa"/>
      </w:tblCellMar>
    </w:tblPr>
    <w:tcPr>
      <w:vAlign w:val="center"/>
    </w:tcPr>
    <w:tblStylePr w:type="firstRow">
      <w:rPr>
        <w:i/>
      </w:rPr>
      <w:tblPr/>
      <w:tcPr>
        <w:tcBorders>
          <w:bottom w:val="single" w:sz="4" w:space="0" w:color="4F81BD"/>
        </w:tcBorders>
      </w:tcPr>
    </w:tblStyle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24"/>
    </w:rPr>
  </w:style>
  <w:style w:type="character" w:customStyle="1" w:styleId="Heading5Char">
    <w:name w:val="Heading 5 Char"/>
    <w:basedOn w:val="DefaultParagraphFont"/>
    <w:link w:val="Heading5"/>
    <w:uiPriority w:val="9"/>
    <w:rPr>
      <w:rFonts w:ascii="Times New Roman" w:eastAsia="Times New Roman" w:hAnsi="Times New Roman" w:cs="Times New Roman"/>
      <w:b/>
      <w:bCs/>
      <w:iCs/>
      <w:smallCaps/>
      <w:sz w:val="24"/>
      <w:szCs w:val="24"/>
    </w:rPr>
  </w:style>
  <w:style w:type="character" w:customStyle="1" w:styleId="Heading6Char">
    <w:name w:val="Heading 6 Char"/>
    <w:basedOn w:val="DefaultParagraphFont"/>
    <w:link w:val="Heading6"/>
    <w:uiPriority w:val="9"/>
    <w:rPr>
      <w:rFonts w:ascii="Arial" w:eastAsia="Times New Roman" w:hAnsi="Arial" w:cs="Times New Roman"/>
      <w:i/>
      <w:szCs w:val="24"/>
    </w:rPr>
  </w:style>
  <w:style w:type="character" w:customStyle="1" w:styleId="Heading7Char">
    <w:name w:val="Heading 7 Char"/>
    <w:basedOn w:val="DefaultParagraphFont"/>
    <w:link w:val="Heading7"/>
    <w:uiPriority w:val="9"/>
    <w:rPr>
      <w:rFonts w:ascii="Arial" w:eastAsia="Times New Roman" w:hAnsi="Arial" w:cs="Times New Roman"/>
      <w:sz w:val="20"/>
      <w:szCs w:val="24"/>
    </w:rPr>
  </w:style>
  <w:style w:type="character" w:customStyle="1" w:styleId="Heading8Char">
    <w:name w:val="Heading 8 Char"/>
    <w:basedOn w:val="DefaultParagraphFont"/>
    <w:link w:val="Heading8"/>
    <w:uiPriority w:val="9"/>
    <w:rPr>
      <w:rFonts w:ascii="Arial" w:eastAsia="Times New Roman" w:hAnsi="Arial" w:cs="Times New Roman"/>
      <w:i/>
      <w:sz w:val="20"/>
      <w:szCs w:val="24"/>
    </w:rPr>
  </w:style>
  <w:style w:type="character" w:customStyle="1" w:styleId="Heading9Char">
    <w:name w:val="Heading 9 Char"/>
    <w:basedOn w:val="DefaultParagraphFont"/>
    <w:link w:val="Heading9"/>
    <w:uiPriority w:val="9"/>
    <w:rPr>
      <w:rFonts w:ascii="Arial" w:eastAsia="Times New Roman" w:hAnsi="Arial" w:cs="Times New Roman"/>
      <w:i/>
      <w:sz w:val="18"/>
      <w:szCs w:val="24"/>
    </w:rPr>
  </w:style>
  <w:style w:type="numbering" w:customStyle="1" w:styleId="NoList1">
    <w:name w:val="No List1"/>
    <w:next w:val="NoList"/>
    <w:uiPriority w:val="99"/>
    <w:semiHidden/>
    <w:unhideWhenUsed/>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4"/>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4"/>
    </w:r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szCs w:val="24"/>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4"/>
    </w:rPr>
  </w:style>
  <w:style w:type="paragraph" w:customStyle="1" w:styleId="Address">
    <w:name w:val="Address"/>
    <w:basedOn w:val="Normal"/>
    <w:pPr>
      <w:spacing w:after="0" w:line="240" w:lineRule="auto"/>
    </w:pPr>
    <w:rPr>
      <w:rFonts w:ascii="Times New Roman" w:eastAsia="Times New Roman" w:hAnsi="Times New Roman" w:cs="Times New Roman"/>
      <w:sz w:val="24"/>
      <w:szCs w:val="24"/>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4"/>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4"/>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4"/>
    </w:rPr>
  </w:style>
  <w:style w:type="paragraph" w:styleId="BodyText0">
    <w:name w:val="Body Text"/>
    <w:aliases w:val="Document,Doc,Body Text2,doc,Standard paragraph, (Norm),Body Text 12,bt,gl,uvlaka 2,(Norm),heading3,Body Text - Level 2,1body,BodText,body text,Body Txt,Body Text-10,Body Text Char2,Text Char1,Τίτλος Μελέτης,- TF,Te,-,??t??? ?e??t??"/>
    <w:basedOn w:val="Normal"/>
    <w:link w:val="BodyTextChar0"/>
    <w:qFormat/>
    <w:pPr>
      <w:spacing w:after="120" w:line="240" w:lineRule="auto"/>
      <w:jc w:val="both"/>
    </w:pPr>
    <w:rPr>
      <w:rFonts w:ascii="Times New Roman" w:eastAsia="Times New Roman" w:hAnsi="Times New Roman" w:cs="Times New Roman"/>
      <w:sz w:val="24"/>
      <w:szCs w:val="24"/>
    </w:rPr>
  </w:style>
  <w:style w:type="character" w:customStyle="1" w:styleId="BodyTextChar0">
    <w:name w:val="Body Text Char"/>
    <w:aliases w:val="Document Char,Doc Char,Body Text2 Char,doc Char,Standard paragraph Char, (Norm) Char,Body Text 12 Char,bt Char,gl Char,uvlaka 2 Char,(Norm) Char,heading3 Char,Body Text - Level 2 Char,1body Char,BodText Char,body text Char,Body Txt Char"/>
    <w:basedOn w:val="DefaultParagraphFont"/>
    <w:link w:val="BodyText0"/>
    <w:rPr>
      <w:rFonts w:ascii="Times New Roman" w:eastAsia="Times New Roman" w:hAnsi="Times New Roman" w:cs="Times New Roman"/>
      <w:sz w:val="24"/>
      <w:szCs w:val="24"/>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4"/>
    </w:rPr>
  </w:style>
  <w:style w:type="character" w:customStyle="1" w:styleId="BodyText3Char">
    <w:name w:val="Body Text 3 Char"/>
    <w:basedOn w:val="DefaultParagraphFont"/>
    <w:link w:val="BodyText3"/>
    <w:rPr>
      <w:rFonts w:ascii="Times New Roman" w:eastAsia="Times New Roman" w:hAnsi="Times New Roman" w:cs="Times New Roman"/>
      <w:sz w:val="16"/>
      <w:szCs w:val="24"/>
    </w:rPr>
  </w:style>
  <w:style w:type="paragraph" w:styleId="BodyTextFirstIndent">
    <w:name w:val="Body Text First Indent"/>
    <w:basedOn w:val="BodyText0"/>
    <w:link w:val="BodyTextFirstIndentChar"/>
    <w:pPr>
      <w:ind w:firstLine="210"/>
    </w:pPr>
  </w:style>
  <w:style w:type="character" w:customStyle="1" w:styleId="BodyTextFirstIndentChar">
    <w:name w:val="Body Text First Indent Char"/>
    <w:basedOn w:val="BodyTextChar0"/>
    <w:link w:val="BodyTextFirstIndent"/>
    <w:rPr>
      <w:rFonts w:ascii="Times New Roman" w:eastAsia="Times New Roman" w:hAnsi="Times New Roman" w:cs="Times New Roman"/>
      <w:sz w:val="24"/>
      <w:szCs w:val="24"/>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4"/>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4"/>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4"/>
    </w:rPr>
  </w:style>
  <w:style w:type="paragraph" w:styleId="Caption">
    <w:name w:val="caption"/>
    <w:aliases w:val="Char Char,Caption1 Char Char Char Char Char Char Char Char Tegn Tegn Tegn Tegn Tegn,Caption1 Char Char Char Char Char Char Char Char Tegn Tegn Tegn,Caption1 Char Char Char Char Char Char Char Char Tegn Tegn,Char,Ch,C,Inscription"/>
    <w:basedOn w:val="Normal"/>
    <w:next w:val="Normal"/>
    <w:autoRedefine/>
    <w:qFormat/>
    <w:pPr>
      <w:spacing w:before="120" w:after="120" w:line="240" w:lineRule="auto"/>
      <w:jc w:val="both"/>
      <w:outlineLvl w:val="0"/>
    </w:pPr>
    <w:rPr>
      <w:rFonts w:ascii="Verdana" w:eastAsia="Times New Roman" w:hAnsi="Verdana" w:cs="Times New Roman"/>
      <w:b/>
      <w:sz w:val="18"/>
      <w:szCs w:val="18"/>
    </w:rPr>
  </w:style>
  <w:style w:type="paragraph" w:customStyle="1" w:styleId="ChapterTitle">
    <w:name w:val="ChapterTitle"/>
    <w:basedOn w:val="Normal"/>
    <w:next w:val="SectionTitle"/>
    <w:pPr>
      <w:keepNext/>
      <w:spacing w:after="480" w:line="240" w:lineRule="auto"/>
      <w:jc w:val="center"/>
    </w:pPr>
    <w:rPr>
      <w:rFonts w:ascii="Times New Roman" w:eastAsia="Times New Roman" w:hAnsi="Times New Roman" w:cs="Times New Roman"/>
      <w:b/>
      <w:sz w:val="32"/>
      <w:szCs w:val="24"/>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4"/>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4"/>
    </w:rPr>
  </w:style>
  <w:style w:type="character" w:customStyle="1" w:styleId="ClosingChar">
    <w:name w:val="Closing Char"/>
    <w:basedOn w:val="DefaultParagraphFont"/>
    <w:link w:val="Closing"/>
    <w:rPr>
      <w:rFonts w:ascii="Times New Roman" w:eastAsia="Times New Roman" w:hAnsi="Times New Roman" w:cs="Times New Roman"/>
      <w:sz w:val="24"/>
      <w:szCs w:val="24"/>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4"/>
    </w:rPr>
  </w:style>
  <w:style w:type="character" w:customStyle="1" w:styleId="DateChar">
    <w:name w:val="Date Char"/>
    <w:basedOn w:val="DefaultParagraphFont"/>
    <w:link w:val="Date"/>
    <w:rPr>
      <w:rFonts w:ascii="Times New Roman" w:eastAsia="Times New Roman" w:hAnsi="Times New Roman" w:cs="Times New Roman"/>
      <w:sz w:val="24"/>
      <w:szCs w:val="24"/>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4"/>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4"/>
    </w:rPr>
  </w:style>
  <w:style w:type="character" w:customStyle="1" w:styleId="DocumentMapChar">
    <w:name w:val="Document Map Char"/>
    <w:basedOn w:val="DefaultParagraphFont"/>
    <w:link w:val="DocumentMap"/>
    <w:rPr>
      <w:rFonts w:ascii="Tahoma" w:eastAsia="Times New Roman" w:hAnsi="Tahoma" w:cs="Times New Roman"/>
      <w:sz w:val="24"/>
      <w:szCs w:val="24"/>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4"/>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4"/>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4"/>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4"/>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4"/>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4"/>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4"/>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4"/>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4"/>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4"/>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4"/>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4"/>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4"/>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4"/>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4"/>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4"/>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4"/>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4"/>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4"/>
    </w:rPr>
  </w:style>
  <w:style w:type="paragraph" w:styleId="ListBullet">
    <w:name w:val="List Bullet"/>
    <w:aliases w:val="First Tier Bullet,résumé,UL,List Bullet2,List Bullet Char1 Char,List Bullet Char Char Char,List Bullet Char1 Char Char Char,List Bullet Char Char Char Char Char,List Bullet Char Char1"/>
    <w:basedOn w:val="Normal"/>
    <w:link w:val="ListBulletChar"/>
    <w:uiPriority w:val="99"/>
    <w:pPr>
      <w:numPr>
        <w:numId w:val="7"/>
      </w:numPr>
      <w:spacing w:after="240" w:line="240" w:lineRule="auto"/>
      <w:jc w:val="both"/>
    </w:pPr>
    <w:rPr>
      <w:rFonts w:ascii="Times New Roman" w:eastAsia="Times New Roman" w:hAnsi="Times New Roman" w:cs="Times New Roman"/>
      <w:sz w:val="24"/>
      <w:szCs w:val="24"/>
    </w:rPr>
  </w:style>
  <w:style w:type="character" w:customStyle="1" w:styleId="ListBulletChar">
    <w:name w:val="List Bullet Char"/>
    <w:aliases w:val="First Tier Bullet Char,résumé Char,UL Char,List Bullet2 Char,List Bullet Char1 Char Char,List Bullet Char Char Char Char,List Bullet Char1 Char Char Char Char,List Bullet Char Char Char Char Char Char,List Bullet Char Char1 Char"/>
    <w:basedOn w:val="DefaultParagraphFont"/>
    <w:link w:val="ListBullet"/>
    <w:uiPriority w:val="99"/>
    <w:rPr>
      <w:rFonts w:ascii="Times New Roman" w:eastAsia="Times New Roman" w:hAnsi="Times New Roman" w:cs="Times New Roman"/>
      <w:sz w:val="24"/>
      <w:szCs w:val="24"/>
    </w:rPr>
  </w:style>
  <w:style w:type="paragraph" w:styleId="ListBullet2">
    <w:name w:val="List Bullet 2"/>
    <w:basedOn w:val="Text2"/>
    <w:uiPriority w:val="99"/>
    <w:pPr>
      <w:numPr>
        <w:numId w:val="41"/>
      </w:numPr>
      <w:tabs>
        <w:tab w:val="clear" w:pos="643"/>
        <w:tab w:val="clear" w:pos="2302"/>
        <w:tab w:val="num" w:pos="1485"/>
      </w:tabs>
      <w:ind w:left="1485" w:hanging="283"/>
    </w:pPr>
  </w:style>
  <w:style w:type="paragraph" w:styleId="ListBullet3">
    <w:name w:val="List Bullet 3"/>
    <w:basedOn w:val="Text3"/>
    <w:uiPriority w:val="99"/>
    <w:pPr>
      <w:tabs>
        <w:tab w:val="clear" w:pos="2302"/>
        <w:tab w:val="num" w:pos="643"/>
      </w:tabs>
      <w:ind w:left="643" w:hanging="360"/>
    </w:pPr>
  </w:style>
  <w:style w:type="paragraph" w:styleId="ListBullet4">
    <w:name w:val="List Bullet 4"/>
    <w:basedOn w:val="Text4"/>
    <w:pPr>
      <w:numPr>
        <w:numId w:val="9"/>
      </w:numPr>
      <w:tabs>
        <w:tab w:val="clear" w:pos="2302"/>
      </w:tabs>
    </w:pPr>
  </w:style>
  <w:style w:type="paragraph" w:styleId="ListBullet5">
    <w:name w:val="List Bullet 5"/>
    <w:basedOn w:val="Normal"/>
    <w:autoRedefine/>
    <w:pPr>
      <w:numPr>
        <w:numId w:val="5"/>
      </w:numPr>
      <w:spacing w:after="240" w:line="240" w:lineRule="auto"/>
      <w:jc w:val="both"/>
    </w:pPr>
    <w:rPr>
      <w:rFonts w:ascii="Times New Roman" w:eastAsia="Times New Roman" w:hAnsi="Times New Roman" w:cs="Times New Roman"/>
      <w:sz w:val="24"/>
      <w:szCs w:val="24"/>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4"/>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4"/>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4"/>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4"/>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4"/>
    </w:rPr>
  </w:style>
  <w:style w:type="paragraph" w:styleId="ListNumber">
    <w:name w:val="List Number"/>
    <w:basedOn w:val="Normal"/>
    <w:uiPriority w:val="99"/>
    <w:qFormat/>
    <w:pPr>
      <w:numPr>
        <w:numId w:val="15"/>
      </w:numPr>
      <w:spacing w:after="240" w:line="240" w:lineRule="auto"/>
      <w:jc w:val="both"/>
    </w:pPr>
    <w:rPr>
      <w:rFonts w:ascii="Times New Roman" w:eastAsia="Times New Roman" w:hAnsi="Times New Roman" w:cs="Times New Roman"/>
      <w:sz w:val="24"/>
      <w:szCs w:val="24"/>
    </w:rPr>
  </w:style>
  <w:style w:type="paragraph" w:styleId="ListNumber2">
    <w:name w:val="List Number 2"/>
    <w:basedOn w:val="Text2"/>
    <w:uiPriority w:val="99"/>
    <w:qFormat/>
    <w:pPr>
      <w:numPr>
        <w:numId w:val="17"/>
      </w:numPr>
      <w:tabs>
        <w:tab w:val="clear" w:pos="2302"/>
      </w:tabs>
    </w:pPr>
  </w:style>
  <w:style w:type="paragraph" w:styleId="ListNumber3">
    <w:name w:val="List Number 3"/>
    <w:basedOn w:val="Text3"/>
    <w:uiPriority w:val="99"/>
    <w:qFormat/>
    <w:pPr>
      <w:numPr>
        <w:numId w:val="18"/>
      </w:numPr>
      <w:tabs>
        <w:tab w:val="clear" w:pos="2302"/>
      </w:tabs>
    </w:pPr>
  </w:style>
  <w:style w:type="paragraph" w:styleId="ListNumber4">
    <w:name w:val="List Number 4"/>
    <w:basedOn w:val="Text4"/>
    <w:pPr>
      <w:numPr>
        <w:numId w:val="19"/>
      </w:numPr>
      <w:tabs>
        <w:tab w:val="clear" w:pos="2302"/>
      </w:tabs>
    </w:pPr>
  </w:style>
  <w:style w:type="paragraph" w:styleId="ListNumber5">
    <w:name w:val="List Number 5"/>
    <w:basedOn w:val="Normal"/>
    <w:pPr>
      <w:numPr>
        <w:numId w:val="6"/>
      </w:numPr>
      <w:spacing w:after="240" w:line="240" w:lineRule="auto"/>
      <w:jc w:val="both"/>
    </w:pPr>
    <w:rPr>
      <w:rFonts w:ascii="Times New Roman" w:eastAsia="Times New Roman" w:hAnsi="Times New Roman" w:cs="Times New Roman"/>
      <w:sz w:val="24"/>
      <w:szCs w:val="24"/>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4"/>
      <w:szCs w:val="24"/>
    </w:rPr>
  </w:style>
  <w:style w:type="character" w:customStyle="1" w:styleId="MacroTextChar">
    <w:name w:val="Macro Text Char"/>
    <w:basedOn w:val="DefaultParagraphFont"/>
    <w:link w:val="MacroText"/>
    <w:rPr>
      <w:rFonts w:ascii="Courier New" w:eastAsia="Times New Roman" w:hAnsi="Courier New" w:cs="Times New Roman"/>
      <w:sz w:val="24"/>
      <w:szCs w:val="24"/>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4"/>
    </w:rPr>
  </w:style>
  <w:style w:type="character" w:customStyle="1" w:styleId="MessageHeaderChar">
    <w:name w:val="Message Header Char"/>
    <w:basedOn w:val="DefaultParagraphFont"/>
    <w:link w:val="MessageHeader"/>
    <w:rPr>
      <w:rFonts w:ascii="Arial" w:eastAsia="Times New Roman" w:hAnsi="Arial" w:cs="Times New Roman"/>
      <w:sz w:val="24"/>
      <w:szCs w:val="24"/>
      <w:shd w:val="pct20" w:color="auto" w:fill="auto"/>
    </w:rPr>
  </w:style>
  <w:style w:type="paragraph" w:styleId="NormalIndent">
    <w:name w:val="Normal Indent"/>
    <w:basedOn w:val="Normal"/>
    <w:link w:val="NormalIndentChar"/>
    <w:pPr>
      <w:spacing w:after="240" w:line="240" w:lineRule="auto"/>
      <w:ind w:left="720"/>
      <w:jc w:val="both"/>
    </w:pPr>
    <w:rPr>
      <w:rFonts w:ascii="Times New Roman" w:eastAsia="Times New Roman" w:hAnsi="Times New Roman" w:cs="Times New Roman"/>
      <w:sz w:val="24"/>
      <w:szCs w:val="24"/>
    </w:rPr>
  </w:style>
  <w:style w:type="character" w:customStyle="1" w:styleId="NormalIndentChar">
    <w:name w:val="Normal Indent Char"/>
    <w:link w:val="NormalIndent"/>
    <w:rPr>
      <w:rFonts w:ascii="Times New Roman" w:eastAsia="Times New Roman" w:hAnsi="Times New Roman" w:cs="Times New Roman"/>
      <w:sz w:val="24"/>
      <w:szCs w:val="24"/>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4"/>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4"/>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4"/>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4"/>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numPr>
        <w:numId w:val="33"/>
      </w:numPr>
      <w:spacing w:before="240" w:after="240"/>
      <w:outlineLvl w:val="9"/>
    </w:pPr>
    <w:rPr>
      <w:rFonts w:ascii="Verdana" w:hAnsi="Verdana"/>
      <w:b w:val="0"/>
      <w:bCs w:val="0"/>
      <w:i/>
      <w:sz w:val="20"/>
      <w:lang w:val="en-US"/>
    </w:rPr>
  </w:style>
  <w:style w:type="paragraph" w:customStyle="1" w:styleId="NumPar3">
    <w:name w:val="NumPar 3"/>
    <w:basedOn w:val="Heading3"/>
    <w:next w:val="Text3"/>
    <w:pPr>
      <w:numPr>
        <w:numId w:val="33"/>
      </w:numPr>
      <w:spacing w:before="240" w:after="60" w:line="259" w:lineRule="auto"/>
      <w:outlineLvl w:val="9"/>
    </w:pPr>
    <w:rPr>
      <w:rFonts w:ascii="Verdana" w:hAnsi="Verdana"/>
      <w:bCs w:val="0"/>
      <w:i/>
      <w:sz w:val="20"/>
      <w:lang w:val="en-US"/>
    </w:rPr>
  </w:style>
  <w:style w:type="paragraph" w:customStyle="1" w:styleId="NumPar4">
    <w:name w:val="NumPar 4"/>
    <w:basedOn w:val="Heading4"/>
    <w:next w:val="Text4"/>
    <w:pPr>
      <w:keepNext w:val="0"/>
      <w:numPr>
        <w:numId w:val="33"/>
      </w:numPr>
      <w:spacing w:before="160"/>
      <w:outlineLvl w:val="9"/>
    </w:pPr>
    <w:rPr>
      <w:rFonts w:ascii="Verdana" w:hAnsi="Verdana"/>
      <w:b w:val="0"/>
      <w:bCs w:val="0"/>
      <w:iCs w:val="0"/>
      <w:sz w:val="20"/>
      <w:lang w:val="en-US"/>
    </w:r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cs="Times New Roman"/>
      <w:b/>
      <w:sz w:val="36"/>
      <w:szCs w:val="24"/>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4"/>
    </w:rPr>
  </w:style>
  <w:style w:type="character" w:customStyle="1" w:styleId="PlainTextChar">
    <w:name w:val="Plain Text Char"/>
    <w:basedOn w:val="DefaultParagraphFont"/>
    <w:link w:val="PlainText"/>
    <w:rPr>
      <w:rFonts w:ascii="Courier New" w:eastAsia="Times New Roman" w:hAnsi="Courier New" w:cs="Times New Roman"/>
      <w:sz w:val="20"/>
      <w:szCs w:val="24"/>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Pr>
      <w:rFonts w:ascii="Times New Roman" w:eastAsia="Times New Roman" w:hAnsi="Times New Roman" w:cs="Times New Roman"/>
      <w:sz w:val="24"/>
      <w:szCs w:val="24"/>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Pr>
      <w:rFonts w:ascii="Times New Roman" w:eastAsia="Times New Roman" w:hAnsi="Times New Roman" w:cs="Times New Roman"/>
      <w:sz w:val="24"/>
      <w:szCs w:val="24"/>
    </w:rPr>
  </w:style>
  <w:style w:type="paragraph" w:styleId="Subtitle">
    <w:name w:val="Subtitle"/>
    <w:basedOn w:val="Normal"/>
    <w:link w:val="SubtitleChar"/>
    <w:uiPriority w:val="11"/>
    <w:qFormat/>
    <w:pPr>
      <w:spacing w:after="60" w:line="240" w:lineRule="auto"/>
      <w:jc w:val="center"/>
      <w:outlineLvl w:val="1"/>
    </w:pPr>
    <w:rPr>
      <w:rFonts w:ascii="Arial" w:eastAsia="Times New Roman" w:hAnsi="Arial" w:cs="Times New Roman"/>
      <w:sz w:val="24"/>
      <w:szCs w:val="24"/>
    </w:rPr>
  </w:style>
  <w:style w:type="character" w:customStyle="1" w:styleId="SubtitleChar">
    <w:name w:val="Subtitle Char"/>
    <w:basedOn w:val="DefaultParagraphFont"/>
    <w:link w:val="Subtitle"/>
    <w:uiPriority w:val="11"/>
    <w:rPr>
      <w:rFonts w:ascii="Arial" w:eastAsia="Times New Roman" w:hAnsi="Arial" w:cs="Times New Roman"/>
      <w:sz w:val="24"/>
      <w:szCs w:val="24"/>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4"/>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4"/>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4"/>
    </w:rPr>
  </w:style>
  <w:style w:type="paragraph" w:styleId="TableofFigures">
    <w:name w:val="table of figures"/>
    <w:basedOn w:val="Normal"/>
    <w:next w:val="Normal"/>
    <w:uiPriority w:val="99"/>
    <w:pPr>
      <w:spacing w:after="240" w:line="240" w:lineRule="auto"/>
      <w:ind w:left="480" w:hanging="480"/>
      <w:jc w:val="both"/>
    </w:pPr>
    <w:rPr>
      <w:rFonts w:ascii="Times New Roman" w:eastAsia="Times New Roman" w:hAnsi="Times New Roman" w:cs="Times New Roman"/>
      <w:sz w:val="24"/>
      <w:szCs w:val="24"/>
    </w:rPr>
  </w:style>
  <w:style w:type="paragraph" w:styleId="Title">
    <w:name w:val="Title"/>
    <w:basedOn w:val="Normal"/>
    <w:next w:val="SubTitle1"/>
    <w:link w:val="TitleChar"/>
    <w:uiPriority w:val="10"/>
    <w:qFormat/>
    <w:pPr>
      <w:spacing w:after="480" w:line="240" w:lineRule="auto"/>
      <w:jc w:val="center"/>
    </w:pPr>
    <w:rPr>
      <w:rFonts w:ascii="Times New Roman" w:eastAsia="Times New Roman" w:hAnsi="Times New Roman" w:cs="Times New Roman"/>
      <w:b/>
      <w:kern w:val="28"/>
      <w:sz w:val="48"/>
      <w:szCs w:val="24"/>
    </w:rPr>
  </w:style>
  <w:style w:type="character" w:customStyle="1" w:styleId="TitleChar">
    <w:name w:val="Title Char"/>
    <w:basedOn w:val="DefaultParagraphFont"/>
    <w:link w:val="Title"/>
    <w:uiPriority w:val="10"/>
    <w:rPr>
      <w:rFonts w:ascii="Times New Roman" w:eastAsia="Times New Roman" w:hAnsi="Times New Roman" w:cs="Times New Roman"/>
      <w:b/>
      <w:kern w:val="28"/>
      <w:sz w:val="48"/>
      <w:szCs w:val="24"/>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4"/>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Verdana" w:eastAsia="Times New Roman" w:hAnsi="Verdana" w:cs="Times New Roman"/>
      <w:caps/>
      <w:sz w:val="18"/>
      <w:szCs w:val="24"/>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Verdana" w:eastAsia="Times New Roman" w:hAnsi="Verdana" w:cs="Times New Roman"/>
      <w:sz w:val="18"/>
      <w:szCs w:val="24"/>
    </w:rPr>
  </w:style>
  <w:style w:type="paragraph" w:styleId="TOC3">
    <w:name w:val="toc 3"/>
    <w:basedOn w:val="Normal"/>
    <w:next w:val="Normal"/>
    <w:uiPriority w:val="39"/>
    <w:qFormat/>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4"/>
    </w:rPr>
  </w:style>
  <w:style w:type="paragraph" w:styleId="TOC4">
    <w:name w:val="toc 4"/>
    <w:basedOn w:val="Normal"/>
    <w:next w:val="Normal"/>
    <w:uiPriority w:val="39"/>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8641"/>
      </w:tabs>
      <w:spacing w:before="240" w:after="120" w:line="240" w:lineRule="auto"/>
      <w:ind w:right="720"/>
      <w:jc w:val="both"/>
    </w:pPr>
    <w:rPr>
      <w:rFonts w:ascii="Times New Roman" w:eastAsia="Times New Roman" w:hAnsi="Times New Roman" w:cs="Times New Roman"/>
      <w:caps/>
      <w:sz w:val="24"/>
      <w:szCs w:val="24"/>
    </w:rPr>
  </w:style>
  <w:style w:type="paragraph" w:styleId="TOC6">
    <w:name w:val="toc 6"/>
    <w:basedOn w:val="Normal"/>
    <w:next w:val="Normal"/>
    <w:autoRedefine/>
    <w:uiPriority w:val="39"/>
    <w:pPr>
      <w:spacing w:after="240" w:line="240" w:lineRule="auto"/>
      <w:ind w:left="1200"/>
      <w:jc w:val="both"/>
    </w:pPr>
    <w:rPr>
      <w:rFonts w:ascii="Times New Roman" w:eastAsia="Times New Roman" w:hAnsi="Times New Roman" w:cs="Times New Roman"/>
      <w:sz w:val="24"/>
      <w:szCs w:val="24"/>
    </w:rPr>
  </w:style>
  <w:style w:type="paragraph" w:styleId="TOC7">
    <w:name w:val="toc 7"/>
    <w:basedOn w:val="Normal"/>
    <w:next w:val="Normal"/>
    <w:autoRedefine/>
    <w:uiPriority w:val="39"/>
    <w:pPr>
      <w:spacing w:after="240" w:line="240" w:lineRule="auto"/>
      <w:ind w:left="1440"/>
      <w:jc w:val="both"/>
    </w:pPr>
    <w:rPr>
      <w:rFonts w:ascii="Times New Roman" w:eastAsia="Times New Roman" w:hAnsi="Times New Roman" w:cs="Times New Roman"/>
      <w:sz w:val="24"/>
      <w:szCs w:val="24"/>
    </w:rPr>
  </w:style>
  <w:style w:type="paragraph" w:styleId="TOC8">
    <w:name w:val="toc 8"/>
    <w:basedOn w:val="Normal"/>
    <w:next w:val="Normal"/>
    <w:autoRedefine/>
    <w:uiPriority w:val="39"/>
    <w:pPr>
      <w:spacing w:after="240" w:line="240" w:lineRule="auto"/>
      <w:ind w:left="1680"/>
      <w:jc w:val="both"/>
    </w:pPr>
    <w:rPr>
      <w:rFonts w:ascii="Times New Roman" w:eastAsia="Times New Roman" w:hAnsi="Times New Roman" w:cs="Times New Roman"/>
      <w:sz w:val="24"/>
      <w:szCs w:val="24"/>
    </w:rPr>
  </w:style>
  <w:style w:type="paragraph" w:styleId="TOC9">
    <w:name w:val="toc 9"/>
    <w:basedOn w:val="Normal"/>
    <w:next w:val="Normal"/>
    <w:autoRedefine/>
    <w:uiPriority w:val="39"/>
    <w:pPr>
      <w:spacing w:after="240" w:line="240" w:lineRule="auto"/>
      <w:ind w:left="1920"/>
      <w:jc w:val="both"/>
    </w:pPr>
    <w:rPr>
      <w:rFonts w:ascii="Times New Roman" w:eastAsia="Times New Roman" w:hAnsi="Times New Roman" w:cs="Times New Roman"/>
      <w:sz w:val="24"/>
      <w:szCs w:val="24"/>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4"/>
    </w:rPr>
  </w:style>
  <w:style w:type="paragraph" w:customStyle="1" w:styleId="ListBullet1">
    <w:name w:val="List Bullet 1"/>
    <w:basedOn w:val="Text1"/>
    <w:pPr>
      <w:numPr>
        <w:numId w:val="8"/>
      </w:numPr>
    </w:pPr>
  </w:style>
  <w:style w:type="paragraph" w:customStyle="1" w:styleId="ListDash">
    <w:name w:val="List Dash"/>
    <w:basedOn w:val="Normal"/>
    <w:pPr>
      <w:numPr>
        <w:numId w:val="10"/>
      </w:numPr>
      <w:spacing w:after="240" w:line="240" w:lineRule="auto"/>
      <w:jc w:val="both"/>
    </w:pPr>
    <w:rPr>
      <w:rFonts w:ascii="Times New Roman" w:eastAsia="Times New Roman" w:hAnsi="Times New Roman" w:cs="Times New Roman"/>
      <w:sz w:val="24"/>
      <w:szCs w:val="24"/>
    </w:rPr>
  </w:style>
  <w:style w:type="paragraph" w:customStyle="1" w:styleId="ListDash1">
    <w:name w:val="List Dash 1"/>
    <w:basedOn w:val="Text1"/>
    <w:pPr>
      <w:numPr>
        <w:numId w:val="11"/>
      </w:numPr>
    </w:pPr>
  </w:style>
  <w:style w:type="paragraph" w:customStyle="1" w:styleId="ListDash2">
    <w:name w:val="List Dash 2"/>
    <w:basedOn w:val="Text2"/>
    <w:pPr>
      <w:numPr>
        <w:numId w:val="12"/>
      </w:numPr>
      <w:tabs>
        <w:tab w:val="clear" w:pos="2302"/>
      </w:tabs>
    </w:pPr>
  </w:style>
  <w:style w:type="paragraph" w:customStyle="1" w:styleId="ListDash3">
    <w:name w:val="List Dash 3"/>
    <w:basedOn w:val="Text3"/>
    <w:pPr>
      <w:numPr>
        <w:numId w:val="13"/>
      </w:numPr>
      <w:tabs>
        <w:tab w:val="clear" w:pos="2302"/>
      </w:tabs>
    </w:pPr>
  </w:style>
  <w:style w:type="paragraph" w:customStyle="1" w:styleId="ListDash4">
    <w:name w:val="List Dash 4"/>
    <w:basedOn w:val="Text4"/>
    <w:pPr>
      <w:numPr>
        <w:numId w:val="14"/>
      </w:numPr>
      <w:tabs>
        <w:tab w:val="clear" w:pos="2302"/>
      </w:tabs>
    </w:pPr>
  </w:style>
  <w:style w:type="paragraph" w:customStyle="1" w:styleId="ListNumberLevel2">
    <w:name w:val="List Number (Level 2)"/>
    <w:basedOn w:val="Normal"/>
    <w:pPr>
      <w:numPr>
        <w:ilvl w:val="1"/>
        <w:numId w:val="15"/>
      </w:numPr>
      <w:spacing w:after="24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pPr>
      <w:numPr>
        <w:ilvl w:val="2"/>
        <w:numId w:val="15"/>
      </w:numPr>
      <w:spacing w:after="24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pPr>
      <w:numPr>
        <w:ilvl w:val="3"/>
        <w:numId w:val="15"/>
      </w:numPr>
      <w:spacing w:after="240" w:line="240" w:lineRule="auto"/>
      <w:jc w:val="both"/>
    </w:pPr>
    <w:rPr>
      <w:rFonts w:ascii="Times New Roman" w:eastAsia="Times New Roman" w:hAnsi="Times New Roman" w:cs="Times New Roman"/>
      <w:sz w:val="24"/>
      <w:szCs w:val="24"/>
    </w:rPr>
  </w:style>
  <w:style w:type="paragraph" w:customStyle="1" w:styleId="ListNumber1">
    <w:name w:val="List Number 1"/>
    <w:basedOn w:val="Text1"/>
    <w:pPr>
      <w:numPr>
        <w:numId w:val="16"/>
      </w:numPr>
    </w:pPr>
  </w:style>
  <w:style w:type="paragraph" w:customStyle="1" w:styleId="ListNumber1Level2">
    <w:name w:val="List Number 1 (Level 2)"/>
    <w:basedOn w:val="Text1"/>
    <w:pPr>
      <w:numPr>
        <w:ilvl w:val="1"/>
        <w:numId w:val="16"/>
      </w:numPr>
    </w:pPr>
  </w:style>
  <w:style w:type="paragraph" w:customStyle="1" w:styleId="ListNumber1Level3">
    <w:name w:val="List Number 1 (Level 3)"/>
    <w:basedOn w:val="Text1"/>
    <w:pPr>
      <w:numPr>
        <w:ilvl w:val="2"/>
        <w:numId w:val="16"/>
      </w:numPr>
    </w:pPr>
  </w:style>
  <w:style w:type="paragraph" w:customStyle="1" w:styleId="ListNumber1Level4">
    <w:name w:val="List Number 1 (Level 4)"/>
    <w:basedOn w:val="Text1"/>
    <w:pPr>
      <w:numPr>
        <w:ilvl w:val="3"/>
        <w:numId w:val="16"/>
      </w:numPr>
    </w:pPr>
  </w:style>
  <w:style w:type="paragraph" w:customStyle="1" w:styleId="ListNumber2Level2">
    <w:name w:val="List Number 2 (Level 2)"/>
    <w:basedOn w:val="Text2"/>
    <w:pPr>
      <w:numPr>
        <w:ilvl w:val="1"/>
        <w:numId w:val="17"/>
      </w:numPr>
      <w:tabs>
        <w:tab w:val="clear" w:pos="2302"/>
      </w:tabs>
    </w:pPr>
  </w:style>
  <w:style w:type="paragraph" w:customStyle="1" w:styleId="ListNumber2Level3">
    <w:name w:val="List Number 2 (Level 3)"/>
    <w:basedOn w:val="Text2"/>
    <w:pPr>
      <w:numPr>
        <w:ilvl w:val="2"/>
        <w:numId w:val="17"/>
      </w:numPr>
      <w:tabs>
        <w:tab w:val="clear" w:pos="2302"/>
      </w:tabs>
    </w:pPr>
  </w:style>
  <w:style w:type="paragraph" w:customStyle="1" w:styleId="ListNumber2Level4">
    <w:name w:val="List Number 2 (Level 4)"/>
    <w:basedOn w:val="Text2"/>
    <w:pPr>
      <w:numPr>
        <w:ilvl w:val="3"/>
        <w:numId w:val="17"/>
      </w:numPr>
      <w:tabs>
        <w:tab w:val="clear" w:pos="2302"/>
      </w:tabs>
    </w:pPr>
  </w:style>
  <w:style w:type="paragraph" w:customStyle="1" w:styleId="ListNumber3Level2">
    <w:name w:val="List Number 3 (Level 2)"/>
    <w:basedOn w:val="Text3"/>
    <w:pPr>
      <w:numPr>
        <w:ilvl w:val="1"/>
        <w:numId w:val="18"/>
      </w:numPr>
      <w:tabs>
        <w:tab w:val="clear" w:pos="2302"/>
      </w:tabs>
    </w:pPr>
  </w:style>
  <w:style w:type="paragraph" w:customStyle="1" w:styleId="ListNumber3Level3">
    <w:name w:val="List Number 3 (Level 3)"/>
    <w:basedOn w:val="Text3"/>
    <w:pPr>
      <w:numPr>
        <w:ilvl w:val="2"/>
        <w:numId w:val="18"/>
      </w:numPr>
      <w:tabs>
        <w:tab w:val="clear" w:pos="2302"/>
      </w:tabs>
    </w:pPr>
  </w:style>
  <w:style w:type="paragraph" w:customStyle="1" w:styleId="ListNumber3Level4">
    <w:name w:val="List Number 3 (Level 4)"/>
    <w:basedOn w:val="Text3"/>
    <w:pPr>
      <w:numPr>
        <w:ilvl w:val="3"/>
        <w:numId w:val="18"/>
      </w:numPr>
      <w:tabs>
        <w:tab w:val="clear" w:pos="2302"/>
      </w:tabs>
    </w:pPr>
  </w:style>
  <w:style w:type="paragraph" w:customStyle="1" w:styleId="ListNumber4Level2">
    <w:name w:val="List Number 4 (Level 2)"/>
    <w:basedOn w:val="Text4"/>
    <w:pPr>
      <w:numPr>
        <w:ilvl w:val="1"/>
        <w:numId w:val="19"/>
      </w:numPr>
      <w:tabs>
        <w:tab w:val="clear" w:pos="2302"/>
      </w:tabs>
    </w:pPr>
  </w:style>
  <w:style w:type="paragraph" w:customStyle="1" w:styleId="ListNumber4Level3">
    <w:name w:val="List Number 4 (Level 3)"/>
    <w:basedOn w:val="Text4"/>
    <w:pPr>
      <w:numPr>
        <w:ilvl w:val="2"/>
        <w:numId w:val="19"/>
      </w:numPr>
      <w:tabs>
        <w:tab w:val="clear" w:pos="2302"/>
      </w:tabs>
    </w:pPr>
  </w:style>
  <w:style w:type="paragraph" w:customStyle="1" w:styleId="ListNumber4Level4">
    <w:name w:val="List Number 4 (Level 4)"/>
    <w:basedOn w:val="Text4"/>
    <w:pPr>
      <w:numPr>
        <w:ilvl w:val="3"/>
        <w:numId w:val="19"/>
      </w:numPr>
      <w:tabs>
        <w:tab w:val="clear" w:pos="2302"/>
      </w:tabs>
    </w:pPr>
  </w:style>
  <w:style w:type="paragraph" w:customStyle="1" w:styleId="TOCHeading1">
    <w:name w:val="TOC Heading1"/>
    <w:basedOn w:val="Normal"/>
    <w:next w:val="Normal"/>
    <w:pPr>
      <w:keepNext/>
      <w:spacing w:before="240" w:after="240" w:line="240" w:lineRule="auto"/>
      <w:jc w:val="center"/>
    </w:pPr>
    <w:rPr>
      <w:rFonts w:ascii="Times New Roman" w:eastAsia="Times New Roman" w:hAnsi="Times New Roman" w:cs="Times New Roman"/>
      <w:b/>
      <w:sz w:val="24"/>
      <w:szCs w:val="24"/>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4"/>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table" w:styleId="ColorfulGrid-Accent3">
    <w:name w:val="Colorful Grid Accent 3"/>
    <w:basedOn w:val="TableNormal"/>
    <w:uiPriority w:val="69"/>
    <w:pPr>
      <w:spacing w:after="0" w:line="240" w:lineRule="auto"/>
    </w:pPr>
    <w:rPr>
      <w:rFonts w:ascii="Verdana" w:eastAsia="Times New Roman" w:hAnsi="Verdana" w:cs="Times New Roman"/>
      <w:sz w:val="18"/>
      <w:szCs w:val="24"/>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BalloonTextChar1">
    <w:name w:val="Balloon Text Char1"/>
    <w:basedOn w:val="DefaultParagraphFont"/>
    <w:rPr>
      <w:rFonts w:ascii="Tahoma" w:hAnsi="Tahoma" w:cs="Tahoma"/>
      <w:sz w:val="16"/>
      <w:szCs w:val="16"/>
      <w:lang w:val="fr-FR" w:eastAsia="en-US"/>
    </w:r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4"/>
    </w:rPr>
  </w:style>
  <w:style w:type="character" w:customStyle="1" w:styleId="DocumentTitleChar">
    <w:name w:val="Document Title Char"/>
    <w:link w:val="DocumentTitle"/>
    <w:rPr>
      <w:rFonts w:ascii="Verdana" w:eastAsia="Times New Roman" w:hAnsi="Verdana" w:cs="Times New Roman"/>
      <w:b/>
      <w:sz w:val="52"/>
      <w:szCs w:val="24"/>
    </w:rPr>
  </w:style>
  <w:style w:type="paragraph" w:customStyle="1" w:styleId="Footerapproval">
    <w:name w:val="Footer approval"/>
    <w:basedOn w:val="Footer"/>
    <w:link w:val="ApprovalfooterChar"/>
    <w:qFormat/>
    <w:pPr>
      <w:tabs>
        <w:tab w:val="clear" w:pos="4535"/>
        <w:tab w:val="clear" w:pos="9071"/>
        <w:tab w:val="left" w:pos="6804"/>
      </w:tabs>
      <w:ind w:right="-567"/>
    </w:pPr>
    <w:rPr>
      <w:rFonts w:ascii="Verdana" w:eastAsia="Times New Roman" w:hAnsi="Verdana"/>
      <w:sz w:val="13"/>
      <w:szCs w:val="24"/>
      <w:lang w:val="fr-BE"/>
    </w:rPr>
  </w:style>
  <w:style w:type="character" w:customStyle="1" w:styleId="ApprovalfooterChar">
    <w:name w:val="Approval_footer Char"/>
    <w:basedOn w:val="FooterChar"/>
    <w:link w:val="Footerapproval"/>
    <w:rPr>
      <w:rFonts w:ascii="Verdana" w:eastAsia="Times New Roman" w:hAnsi="Verdana" w:cs="Times New Roman"/>
      <w:sz w:val="13"/>
      <w:szCs w:val="24"/>
      <w:lang w:val="fr-BE"/>
    </w:rPr>
  </w:style>
  <w:style w:type="paragraph" w:customStyle="1" w:styleId="FooterDate">
    <w:name w:val="Footer Date"/>
    <w:basedOn w:val="Footer"/>
    <w:link w:val="FooterDateChar"/>
    <w:pPr>
      <w:tabs>
        <w:tab w:val="clear" w:pos="4535"/>
        <w:tab w:val="clear" w:pos="9071"/>
        <w:tab w:val="right" w:pos="9240"/>
      </w:tabs>
      <w:ind w:right="-567"/>
    </w:pPr>
    <w:rPr>
      <w:rFonts w:ascii="Verdana" w:eastAsia="Times New Roman" w:hAnsi="Verdana"/>
      <w:sz w:val="16"/>
      <w:szCs w:val="24"/>
      <w:lang w:val="it-IT"/>
    </w:rPr>
  </w:style>
  <w:style w:type="character" w:customStyle="1" w:styleId="FooterDateChar">
    <w:name w:val="Footer Date Char"/>
    <w:link w:val="FooterDate"/>
    <w:rPr>
      <w:rFonts w:ascii="Verdana" w:eastAsia="Times New Roman" w:hAnsi="Verdana" w:cs="Times New Roman"/>
      <w:sz w:val="16"/>
      <w:szCs w:val="24"/>
      <w:lang w:val="it-IT"/>
    </w:rPr>
  </w:style>
  <w:style w:type="paragraph" w:customStyle="1" w:styleId="PageNumber1">
    <w:name w:val="Page Number1"/>
    <w:basedOn w:val="Footer"/>
    <w:link w:val="PagenumberChar"/>
    <w:pPr>
      <w:tabs>
        <w:tab w:val="clear" w:pos="4535"/>
        <w:tab w:val="clear" w:pos="9071"/>
        <w:tab w:val="right" w:pos="9240"/>
      </w:tabs>
      <w:ind w:right="-622"/>
    </w:pPr>
    <w:rPr>
      <w:rFonts w:ascii="Verdana" w:eastAsia="Times New Roman" w:hAnsi="Verdana"/>
      <w:sz w:val="16"/>
      <w:szCs w:val="24"/>
      <w:lang w:val="fr-BE"/>
    </w:rPr>
  </w:style>
  <w:style w:type="character" w:customStyle="1" w:styleId="PagenumberChar">
    <w:name w:val="Page number Char"/>
    <w:link w:val="PageNumber1"/>
    <w:rPr>
      <w:rFonts w:ascii="Verdana" w:eastAsia="Times New Roman" w:hAnsi="Verdana" w:cs="Times New Roman"/>
      <w:sz w:val="16"/>
      <w:szCs w:val="24"/>
      <w:lang w:val="fr-BE"/>
    </w:rPr>
  </w:style>
  <w:style w:type="paragraph" w:customStyle="1" w:styleId="DocumentSubtitle">
    <w:name w:val="Document Subtitle"/>
    <w:basedOn w:val="DocumentTitle"/>
    <w:link w:val="DocumentSubtitleChar"/>
    <w:qFormat/>
    <w:rPr>
      <w:b w:val="0"/>
      <w:sz w:val="32"/>
      <w:szCs w:val="36"/>
    </w:rPr>
  </w:style>
  <w:style w:type="character" w:customStyle="1" w:styleId="DocumentSubtitleChar">
    <w:name w:val="Document Subtitle Char"/>
    <w:link w:val="DocumentSubtitle"/>
    <w:rPr>
      <w:rFonts w:ascii="Verdana" w:eastAsia="Times New Roman" w:hAnsi="Verdana" w:cs="Times New Roman"/>
      <w:sz w:val="32"/>
      <w:szCs w:val="36"/>
    </w:rPr>
  </w:style>
  <w:style w:type="paragraph" w:customStyle="1" w:styleId="HeaderTitle">
    <w:name w:val="Header Title"/>
    <w:basedOn w:val="Normal"/>
    <w:link w:val="HeaderTitleChar"/>
    <w:pPr>
      <w:spacing w:after="240" w:line="240" w:lineRule="auto"/>
      <w:jc w:val="center"/>
    </w:pPr>
    <w:rPr>
      <w:rFonts w:ascii="Verdana" w:eastAsia="Times New Roman" w:hAnsi="Verdana" w:cs="Times New Roman"/>
      <w:b/>
      <w:color w:val="808080"/>
      <w:sz w:val="18"/>
      <w:szCs w:val="18"/>
    </w:rPr>
  </w:style>
  <w:style w:type="character" w:customStyle="1" w:styleId="HeaderTitleChar">
    <w:name w:val="Header Title Char"/>
    <w:link w:val="HeaderTitle"/>
    <w:rPr>
      <w:rFonts w:ascii="Verdana" w:eastAsia="Times New Roman" w:hAnsi="Verdana" w:cs="Times New Roman"/>
      <w:b/>
      <w:color w:val="808080"/>
      <w:sz w:val="18"/>
      <w:szCs w:val="18"/>
    </w:rPr>
  </w:style>
  <w:style w:type="paragraph" w:customStyle="1" w:styleId="Bulletpoint1">
    <w:name w:val="Bullet point1"/>
    <w:basedOn w:val="NormalIndent"/>
    <w:link w:val="Bulletpoint1Char"/>
    <w:qFormat/>
    <w:pPr>
      <w:numPr>
        <w:numId w:val="21"/>
      </w:numPr>
      <w:spacing w:after="120"/>
    </w:pPr>
    <w:rPr>
      <w:rFonts w:ascii="Verdana" w:hAnsi="Verdana"/>
      <w:sz w:val="20"/>
    </w:rPr>
  </w:style>
  <w:style w:type="character" w:customStyle="1" w:styleId="Bulletpoint1Char">
    <w:name w:val="Bullet point1 Char"/>
    <w:basedOn w:val="NormalIndentChar"/>
    <w:link w:val="Bulletpoint1"/>
    <w:rPr>
      <w:rFonts w:ascii="Verdana" w:eastAsia="Times New Roman" w:hAnsi="Verdana" w:cs="Times New Roman"/>
      <w:sz w:val="20"/>
      <w:szCs w:val="24"/>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HeadingChar">
    <w:name w:val="Heading Char"/>
    <w:link w:val="Heading"/>
    <w:rPr>
      <w:rFonts w:ascii="Verdana" w:eastAsia="Times New Roman" w:hAnsi="Verdana" w:cs="Times New Roman"/>
      <w:b/>
      <w:caps/>
      <w:sz w:val="20"/>
      <w:szCs w:val="24"/>
      <w:u w:val="single"/>
    </w:rPr>
  </w:style>
  <w:style w:type="paragraph" w:customStyle="1" w:styleId="BulletPoint2">
    <w:name w:val="Bullet Point 2"/>
    <w:basedOn w:val="NormalIndent"/>
    <w:link w:val="BulletPoint2Char"/>
    <w:qFormat/>
    <w:pPr>
      <w:numPr>
        <w:numId w:val="20"/>
      </w:numPr>
      <w:spacing w:after="120"/>
      <w:ind w:left="1077" w:hanging="357"/>
      <w:jc w:val="left"/>
    </w:pPr>
    <w:rPr>
      <w:rFonts w:ascii="Verdana" w:hAnsi="Verdana"/>
      <w:sz w:val="18"/>
    </w:rPr>
  </w:style>
  <w:style w:type="character" w:customStyle="1" w:styleId="BulletPoint2Char">
    <w:name w:val="Bullet Point 2 Char"/>
    <w:link w:val="BulletPoint2"/>
    <w:rPr>
      <w:rFonts w:ascii="Verdana" w:eastAsia="Times New Roman" w:hAnsi="Verdana" w:cs="Times New Roman"/>
      <w:sz w:val="18"/>
      <w:szCs w:val="24"/>
    </w:rPr>
  </w:style>
  <w:style w:type="paragraph" w:customStyle="1" w:styleId="Body">
    <w:name w:val="Body"/>
    <w:basedOn w:val="Normal"/>
    <w:link w:val="BodyChar"/>
    <w:qFormat/>
    <w:pPr>
      <w:spacing w:before="120" w:after="120"/>
      <w:jc w:val="both"/>
    </w:pPr>
    <w:rPr>
      <w:rFonts w:ascii="Verdana" w:eastAsia="Times New Roman" w:hAnsi="Verdana" w:cs="Times New Roman"/>
      <w:sz w:val="20"/>
      <w:szCs w:val="24"/>
    </w:rPr>
  </w:style>
  <w:style w:type="character" w:customStyle="1" w:styleId="BodyChar">
    <w:name w:val="Body Char"/>
    <w:link w:val="Body"/>
    <w:rPr>
      <w:rFonts w:ascii="Verdana" w:eastAsia="Times New Roman" w:hAnsi="Verdana" w:cs="Times New Roman"/>
      <w:sz w:val="20"/>
      <w:szCs w:val="24"/>
    </w:rPr>
  </w:style>
  <w:style w:type="paragraph" w:customStyle="1" w:styleId="Title2">
    <w:name w:val="Title 2"/>
    <w:basedOn w:val="Normal"/>
    <w:pPr>
      <w:numPr>
        <w:numId w:val="22"/>
      </w:numPr>
      <w:spacing w:after="240" w:line="240" w:lineRule="auto"/>
      <w:jc w:val="both"/>
    </w:pPr>
    <w:rPr>
      <w:rFonts w:ascii="Times New Roman" w:eastAsia="Times New Roman" w:hAnsi="Times New Roman" w:cs="Times New Roman"/>
      <w:sz w:val="24"/>
      <w:szCs w:val="24"/>
    </w:rPr>
  </w:style>
  <w:style w:type="table" w:customStyle="1" w:styleId="HTG1">
    <w:name w:val="HTG1"/>
    <w:basedOn w:val="TableNormal"/>
    <w:next w:val="TableGrid"/>
    <w:uiPriority w:val="59"/>
    <w:pPr>
      <w:spacing w:after="0" w:line="240" w:lineRule="auto"/>
    </w:pPr>
    <w:rPr>
      <w:rFonts w:ascii="Verdana" w:eastAsia="Times New Roman" w:hAnsi="Verdana" w:cs="Times New Roman"/>
      <w:sz w:val="18"/>
      <w:szCs w:val="24"/>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table" w:customStyle="1" w:styleId="Style1">
    <w:name w:val="Style1"/>
    <w:basedOn w:val="TableNormal"/>
    <w:pPr>
      <w:spacing w:after="0" w:line="240" w:lineRule="auto"/>
    </w:pPr>
    <w:rPr>
      <w:rFonts w:ascii="Times New Roman" w:eastAsia="Times New Roman" w:hAnsi="Times New Roman" w:cs="Times New Roman"/>
      <w:sz w:val="24"/>
      <w:szCs w:val="24"/>
      <w:lang w:val="nl-BE" w:eastAsia="nl-BE"/>
    </w:rPr>
    <w:tblPr/>
  </w:style>
  <w:style w:type="table" w:styleId="TableElegant">
    <w:name w:val="Table Elegant"/>
    <w:basedOn w:val="TableNormal"/>
    <w:pPr>
      <w:spacing w:after="240" w:line="240" w:lineRule="auto"/>
      <w:jc w:val="both"/>
    </w:pPr>
    <w:rPr>
      <w:rFonts w:ascii="Times New Roman" w:eastAsia="Times New Roman" w:hAnsi="Times New Roman" w:cs="Times New Roman"/>
      <w:sz w:val="24"/>
      <w:szCs w:val="24"/>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lang w:val="en-US"/>
    </w:rPr>
  </w:style>
  <w:style w:type="character" w:customStyle="1" w:styleId="FooterDocumentChar">
    <w:name w:val="Footer Document Char"/>
    <w:link w:val="FooterDocument"/>
    <w:rPr>
      <w:rFonts w:ascii="Verdana" w:eastAsia="Times New Roman" w:hAnsi="Verdana" w:cs="Times New Roman"/>
      <w:i/>
      <w:noProof/>
      <w:sz w:val="13"/>
      <w:szCs w:val="24"/>
      <w:lang w:val="en-US"/>
    </w:rPr>
  </w:style>
  <w:style w:type="paragraph" w:customStyle="1" w:styleId="TOCHeading2">
    <w:name w:val="TOC Heading2"/>
    <w:basedOn w:val="Heading1"/>
    <w:next w:val="Normal"/>
    <w:uiPriority w:val="39"/>
    <w:unhideWhenUsed/>
    <w:qFormat/>
    <w:pPr>
      <w:keepLines/>
      <w:spacing w:before="480" w:after="0" w:line="276" w:lineRule="auto"/>
      <w:ind w:left="0" w:firstLine="0"/>
      <w:outlineLvl w:val="9"/>
    </w:pPr>
    <w:rPr>
      <w:rFonts w:ascii="Cambria" w:eastAsia="MS Gothic" w:hAnsi="Cambria"/>
      <w:bCs w:val="0"/>
      <w:smallCaps w:val="0"/>
      <w:color w:val="365F91"/>
      <w:sz w:val="28"/>
      <w:szCs w:val="28"/>
      <w:lang w:val="en-US"/>
    </w:rPr>
  </w:style>
  <w:style w:type="paragraph" w:customStyle="1" w:styleId="HeadingBody">
    <w:name w:val="Heading Body"/>
    <w:basedOn w:val="Normal"/>
    <w:link w:val="HeadingBodyChar"/>
    <w:qFormat/>
    <w:pPr>
      <w:spacing w:after="120" w:line="240" w:lineRule="auto"/>
      <w:jc w:val="both"/>
    </w:pPr>
    <w:rPr>
      <w:rFonts w:ascii="Verdana" w:eastAsia="Times New Roman" w:hAnsi="Verdana" w:cs="Times New Roman"/>
      <w:b/>
      <w:sz w:val="20"/>
      <w:szCs w:val="18"/>
    </w:rPr>
  </w:style>
  <w:style w:type="character" w:customStyle="1" w:styleId="HeadingBodyChar">
    <w:name w:val="Heading Body Char"/>
    <w:basedOn w:val="DefaultParagraphFont"/>
    <w:link w:val="HeadingBody"/>
    <w:rPr>
      <w:rFonts w:ascii="Verdana" w:eastAsia="Times New Roman" w:hAnsi="Verdana" w:cs="Times New Roman"/>
      <w:b/>
      <w:sz w:val="20"/>
      <w:szCs w:val="18"/>
    </w:rPr>
  </w:style>
  <w:style w:type="paragraph" w:customStyle="1" w:styleId="Titlepublication">
    <w:name w:val="Title publication"/>
    <w:basedOn w:val="Normal"/>
    <w:link w:val="TitlepublicationChar"/>
    <w:qFormat/>
    <w:pPr>
      <w:spacing w:after="240" w:line="240" w:lineRule="auto"/>
      <w:jc w:val="center"/>
    </w:pPr>
    <w:rPr>
      <w:rFonts w:ascii="Verdana" w:eastAsia="Times New Roman" w:hAnsi="Verdana" w:cs="Times New Roman"/>
      <w:b/>
      <w:color w:val="FF0000"/>
      <w:sz w:val="52"/>
      <w:szCs w:val="52"/>
    </w:rPr>
  </w:style>
  <w:style w:type="character" w:customStyle="1" w:styleId="TitlepublicationChar">
    <w:name w:val="Title publication Char"/>
    <w:basedOn w:val="DefaultParagraphFont"/>
    <w:link w:val="Titlepublication"/>
    <w:rPr>
      <w:rFonts w:ascii="Verdana" w:eastAsia="Times New Roman" w:hAnsi="Verdana" w:cs="Times New Roman"/>
      <w:b/>
      <w:color w:val="FF0000"/>
      <w:sz w:val="52"/>
      <w:szCs w:val="52"/>
    </w:rPr>
  </w:style>
  <w:style w:type="paragraph" w:customStyle="1" w:styleId="Subtitlepublication">
    <w:name w:val="Subtitle publication"/>
    <w:basedOn w:val="Normal"/>
    <w:link w:val="SubtitlepublicationChar"/>
    <w:qFormat/>
    <w:pPr>
      <w:spacing w:after="240" w:line="240" w:lineRule="auto"/>
      <w:jc w:val="center"/>
    </w:pPr>
    <w:rPr>
      <w:rFonts w:ascii="Verdana" w:eastAsia="Times New Roman" w:hAnsi="Verdana" w:cs="Times New Roman"/>
      <w:b/>
      <w:i/>
      <w:color w:val="FF0000"/>
      <w:sz w:val="32"/>
      <w:szCs w:val="24"/>
    </w:rPr>
  </w:style>
  <w:style w:type="character" w:customStyle="1" w:styleId="SubtitlepublicationChar">
    <w:name w:val="Subtitle publication Char"/>
    <w:basedOn w:val="DefaultParagraphFont"/>
    <w:link w:val="Subtitlepublication"/>
    <w:rPr>
      <w:rFonts w:ascii="Verdana" w:eastAsia="Times New Roman" w:hAnsi="Verdana" w:cs="Times New Roman"/>
      <w:b/>
      <w:i/>
      <w:color w:val="FF0000"/>
      <w:sz w:val="32"/>
      <w:szCs w:val="24"/>
    </w:rPr>
  </w:style>
  <w:style w:type="paragraph" w:customStyle="1" w:styleId="Editorname">
    <w:name w:val="Editor name"/>
    <w:basedOn w:val="Normal"/>
    <w:link w:val="EditornameChar"/>
    <w:qFormat/>
    <w:pPr>
      <w:spacing w:after="240" w:line="240" w:lineRule="auto"/>
      <w:jc w:val="center"/>
    </w:pPr>
    <w:rPr>
      <w:rFonts w:ascii="Verdana" w:eastAsia="Times New Roman" w:hAnsi="Verdana" w:cs="Times New Roman"/>
      <w:color w:val="FF0000"/>
      <w:sz w:val="24"/>
      <w:szCs w:val="24"/>
    </w:rPr>
  </w:style>
  <w:style w:type="character" w:customStyle="1" w:styleId="EditornameChar">
    <w:name w:val="Editor name Char"/>
    <w:basedOn w:val="DefaultParagraphFont"/>
    <w:link w:val="Editorname"/>
    <w:rPr>
      <w:rFonts w:ascii="Verdana" w:eastAsia="Times New Roman" w:hAnsi="Verdana" w:cs="Times New Roman"/>
      <w:color w:val="FF0000"/>
      <w:sz w:val="24"/>
      <w:szCs w:val="24"/>
    </w:rPr>
  </w:style>
  <w:style w:type="paragraph" w:customStyle="1" w:styleId="Backcoversummary">
    <w:name w:val="Backcover_summary"/>
    <w:basedOn w:val="Normal"/>
    <w:link w:val="BackcoversummaryChar"/>
    <w:qFormat/>
    <w:pPr>
      <w:spacing w:after="240" w:line="240" w:lineRule="auto"/>
      <w:jc w:val="both"/>
    </w:pPr>
    <w:rPr>
      <w:rFonts w:ascii="Verdana" w:eastAsia="Times New Roman" w:hAnsi="Verdana" w:cs="Times New Roman"/>
      <w:color w:val="FF0000"/>
      <w:sz w:val="24"/>
      <w:szCs w:val="24"/>
    </w:rPr>
  </w:style>
  <w:style w:type="character" w:customStyle="1" w:styleId="BackcoversummaryChar">
    <w:name w:val="Backcover_summary Char"/>
    <w:basedOn w:val="DefaultParagraphFont"/>
    <w:link w:val="Backcoversummary"/>
    <w:rPr>
      <w:rFonts w:ascii="Verdana" w:eastAsia="Times New Roman" w:hAnsi="Verdana" w:cs="Times New Roman"/>
      <w:color w:val="FF0000"/>
      <w:sz w:val="24"/>
      <w:szCs w:val="24"/>
    </w:rPr>
  </w:style>
  <w:style w:type="paragraph" w:customStyle="1" w:styleId="Backcovercategory">
    <w:name w:val="Backcover_category"/>
    <w:basedOn w:val="Normal"/>
    <w:link w:val="BackcovercategoryChar"/>
    <w:qFormat/>
    <w:pPr>
      <w:spacing w:after="240" w:line="240" w:lineRule="auto"/>
      <w:ind w:right="28"/>
      <w:jc w:val="both"/>
    </w:pPr>
    <w:rPr>
      <w:rFonts w:ascii="Verdana" w:eastAsia="Times New Roman" w:hAnsi="Verdana" w:cs="Times New Roman"/>
      <w:i/>
      <w:color w:val="FF0000"/>
      <w:sz w:val="18"/>
      <w:szCs w:val="24"/>
    </w:rPr>
  </w:style>
  <w:style w:type="character" w:customStyle="1" w:styleId="BackcovercategoryChar">
    <w:name w:val="Backcover_category Char"/>
    <w:basedOn w:val="DefaultParagraphFont"/>
    <w:link w:val="Backcovercategory"/>
    <w:rPr>
      <w:rFonts w:ascii="Verdana" w:eastAsia="Times New Roman" w:hAnsi="Verdana" w:cs="Times New Roman"/>
      <w:i/>
      <w:color w:val="FF0000"/>
      <w:sz w:val="18"/>
      <w:szCs w:val="24"/>
    </w:rPr>
  </w:style>
  <w:style w:type="paragraph" w:customStyle="1" w:styleId="Title1">
    <w:name w:val="Title 1"/>
    <w:basedOn w:val="NormalIndent"/>
    <w:link w:val="Title1Char"/>
    <w:qFormat/>
    <w:pPr>
      <w:numPr>
        <w:numId w:val="25"/>
      </w:numPr>
      <w:spacing w:before="360" w:after="120"/>
      <w:jc w:val="left"/>
    </w:pPr>
    <w:rPr>
      <w:rFonts w:ascii="Verdana" w:hAnsi="Verdana"/>
      <w:b/>
      <w:caps/>
    </w:rPr>
  </w:style>
  <w:style w:type="character" w:customStyle="1" w:styleId="Title1Char">
    <w:name w:val="Title 1 Char"/>
    <w:basedOn w:val="NormalIndentChar"/>
    <w:link w:val="Title1"/>
    <w:rPr>
      <w:rFonts w:ascii="Verdana" w:eastAsia="Times New Roman" w:hAnsi="Verdana" w:cs="Times New Roman"/>
      <w:b/>
      <w:caps/>
      <w:sz w:val="24"/>
      <w:szCs w:val="24"/>
    </w:rPr>
  </w:style>
  <w:style w:type="paragraph" w:customStyle="1" w:styleId="Subtitle10">
    <w:name w:val="Subtitle 1"/>
    <w:basedOn w:val="Body"/>
    <w:link w:val="Subtitle1Char"/>
    <w:qFormat/>
    <w:rPr>
      <w:b/>
      <w:i/>
    </w:rPr>
  </w:style>
  <w:style w:type="character" w:customStyle="1" w:styleId="Subtitle1Char">
    <w:name w:val="Subtitle 1 Char"/>
    <w:basedOn w:val="BodyChar"/>
    <w:link w:val="Subtitle10"/>
    <w:rPr>
      <w:rFonts w:ascii="Verdana" w:eastAsia="Times New Roman" w:hAnsi="Verdana" w:cs="Times New Roman"/>
      <w:b/>
      <w:i/>
      <w:sz w:val="20"/>
      <w:szCs w:val="24"/>
    </w:rPr>
  </w:style>
  <w:style w:type="paragraph" w:customStyle="1" w:styleId="Style2">
    <w:name w:val="Style2"/>
    <w:basedOn w:val="ListBullet"/>
    <w:link w:val="Style2Char"/>
    <w:qFormat/>
    <w:pPr>
      <w:tabs>
        <w:tab w:val="clear" w:pos="283"/>
        <w:tab w:val="num" w:pos="360"/>
      </w:tabs>
      <w:spacing w:after="120" w:line="276" w:lineRule="auto"/>
      <w:ind w:left="360" w:hanging="360"/>
    </w:pPr>
    <w:rPr>
      <w:rFonts w:ascii="Georgia" w:hAnsi="Georgia"/>
      <w:sz w:val="20"/>
    </w:rPr>
  </w:style>
  <w:style w:type="character" w:customStyle="1" w:styleId="Style2Char">
    <w:name w:val="Style2 Char"/>
    <w:basedOn w:val="DefaultParagraphFont"/>
    <w:link w:val="Style2"/>
    <w:rPr>
      <w:rFonts w:ascii="Georgia" w:eastAsia="Times New Roman" w:hAnsi="Georgia" w:cs="Times New Roman"/>
      <w:sz w:val="20"/>
      <w:szCs w:val="24"/>
    </w:rPr>
  </w:style>
  <w:style w:type="character" w:styleId="PageNumber">
    <w:name w:val="page number"/>
    <w:basedOn w:val="DefaultParagraphFont"/>
    <w:rPr>
      <w:rFonts w:ascii="Georgia" w:hAnsi="Georgia"/>
      <w:color w:val="333333"/>
      <w:sz w:val="20"/>
      <w:lang w:val="en-GB"/>
    </w:rPr>
  </w:style>
  <w:style w:type="paragraph" w:customStyle="1" w:styleId="ListParagraph1">
    <w:name w:val="List Paragraph1"/>
    <w:aliases w:val="List Paragraph3,Normal bullet 2,List Paragraph11,Bullet list,Normal bullet 21,List Paragraph111,Bullet list1"/>
    <w:basedOn w:val="Normal"/>
    <w:link w:val="ListParagraph1Char"/>
    <w:uiPriority w:val="34"/>
    <w:qFormat/>
    <w:pPr>
      <w:spacing w:after="120"/>
    </w:pPr>
    <w:rPr>
      <w:rFonts w:ascii="Arial" w:eastAsia="Calibri" w:hAnsi="Arial" w:cs="Times New Roman"/>
      <w:sz w:val="20"/>
      <w:lang w:eastAsia="nl-BE"/>
    </w:rPr>
  </w:style>
  <w:style w:type="character" w:customStyle="1" w:styleId="ListParagraph1Char">
    <w:name w:val="List Paragraph1 Char"/>
    <w:aliases w:val="Normal bullet 2 Char,Bullet list Char,List Paragraph Char,Numbered List Char,Bullet Char,List Paragraph2 Char"/>
    <w:link w:val="ListParagraph1"/>
    <w:uiPriority w:val="34"/>
    <w:rPr>
      <w:rFonts w:ascii="Arial" w:eastAsia="Calibri" w:hAnsi="Arial" w:cs="Times New Roman"/>
      <w:sz w:val="20"/>
      <w:lang w:eastAsia="nl-BE"/>
    </w:rPr>
  </w:style>
  <w:style w:type="paragraph" w:customStyle="1" w:styleId="footer1">
    <w:name w:val="footer 1"/>
    <w:basedOn w:val="FootnoteText"/>
    <w:link w:val="footer1Char"/>
    <w:qFormat/>
    <w:pPr>
      <w:spacing w:before="120" w:line="276" w:lineRule="auto"/>
    </w:pPr>
    <w:rPr>
      <w:rFonts w:ascii="Georgia" w:hAnsi="Georgia"/>
      <w:sz w:val="16"/>
      <w:szCs w:val="24"/>
      <w:lang w:val="it-IT"/>
    </w:rPr>
  </w:style>
  <w:style w:type="character" w:customStyle="1" w:styleId="footer1Char">
    <w:name w:val="footer 1 Char"/>
    <w:basedOn w:val="DefaultParagraphFont"/>
    <w:link w:val="footer1"/>
    <w:rPr>
      <w:rFonts w:ascii="Georgia" w:hAnsi="Georgia"/>
      <w:sz w:val="16"/>
      <w:szCs w:val="24"/>
      <w:lang w:val="it-IT"/>
    </w:rPr>
  </w:style>
  <w:style w:type="paragraph" w:customStyle="1" w:styleId="footer10">
    <w:name w:val="footer1"/>
    <w:basedOn w:val="FootnoteText"/>
    <w:link w:val="footer1Char0"/>
    <w:qFormat/>
    <w:pPr>
      <w:spacing w:before="120" w:line="276" w:lineRule="auto"/>
      <w:ind w:left="164" w:hanging="164"/>
    </w:pPr>
    <w:rPr>
      <w:rFonts w:ascii="Georgia" w:hAnsi="Georgia"/>
      <w:sz w:val="16"/>
      <w:szCs w:val="16"/>
    </w:rPr>
  </w:style>
  <w:style w:type="character" w:customStyle="1" w:styleId="footer1Char0">
    <w:name w:val="footer1 Char"/>
    <w:basedOn w:val="DefaultParagraphFont"/>
    <w:link w:val="footer10"/>
    <w:rPr>
      <w:rFonts w:ascii="Georgia" w:hAnsi="Georgia"/>
      <w:sz w:val="16"/>
      <w:szCs w:val="16"/>
    </w:rPr>
  </w:style>
  <w:style w:type="paragraph" w:customStyle="1" w:styleId="footnote3F">
    <w:name w:val="footnote3F"/>
    <w:basedOn w:val="FootnoteText"/>
    <w:link w:val="footnote3FChar"/>
    <w:qFormat/>
    <w:pPr>
      <w:spacing w:before="120" w:line="276" w:lineRule="auto"/>
      <w:ind w:left="187" w:hanging="187"/>
    </w:pPr>
    <w:rPr>
      <w:rFonts w:ascii="Georgia" w:eastAsia="Times New Roman" w:hAnsi="Georgia" w:cs="Times New Roman"/>
      <w:sz w:val="16"/>
      <w:szCs w:val="24"/>
    </w:rPr>
  </w:style>
  <w:style w:type="character" w:customStyle="1" w:styleId="footnote3FChar">
    <w:name w:val="footnote3F Char"/>
    <w:basedOn w:val="DefaultParagraphFont"/>
    <w:link w:val="footnote3F"/>
    <w:rPr>
      <w:rFonts w:ascii="Georgia" w:eastAsia="Times New Roman" w:hAnsi="Georgia" w:cs="Times New Roman"/>
      <w:sz w:val="16"/>
      <w:szCs w:val="24"/>
    </w:rPr>
  </w:style>
  <w:style w:type="paragraph" w:customStyle="1" w:styleId="Bullet3">
    <w:name w:val="Bullet 3"/>
    <w:basedOn w:val="BodyText0"/>
    <w:link w:val="Bullet3Char"/>
    <w:qFormat/>
    <w:pPr>
      <w:numPr>
        <w:numId w:val="23"/>
      </w:numPr>
      <w:spacing w:line="276" w:lineRule="auto"/>
    </w:pPr>
    <w:rPr>
      <w:rFonts w:ascii="Georgia" w:hAnsi="Georgia"/>
      <w:sz w:val="20"/>
    </w:rPr>
  </w:style>
  <w:style w:type="character" w:customStyle="1" w:styleId="Bullet3Char">
    <w:name w:val="Bullet 3 Char"/>
    <w:basedOn w:val="DefaultParagraphFont"/>
    <w:link w:val="Bullet3"/>
    <w:rPr>
      <w:rFonts w:ascii="Georgia" w:eastAsia="Times New Roman" w:hAnsi="Georgia" w:cs="Times New Roman"/>
      <w:sz w:val="20"/>
      <w:szCs w:val="24"/>
    </w:rPr>
  </w:style>
  <w:style w:type="paragraph" w:customStyle="1" w:styleId="finding">
    <w:name w:val="finding"/>
    <w:basedOn w:val="Normal"/>
    <w:link w:val="findingChar"/>
    <w:autoRedefine/>
    <w:qFormat/>
    <w:pPr>
      <w:numPr>
        <w:numId w:val="24"/>
      </w:numPr>
      <w:spacing w:before="240" w:after="0"/>
      <w:jc w:val="both"/>
    </w:pPr>
    <w:rPr>
      <w:rFonts w:ascii="Verdana" w:eastAsia="Times New Roman" w:hAnsi="Verdana" w:cs="Times New Roman"/>
      <w:b/>
      <w:i/>
      <w:sz w:val="20"/>
      <w:szCs w:val="24"/>
    </w:rPr>
  </w:style>
  <w:style w:type="character" w:customStyle="1" w:styleId="findingChar">
    <w:name w:val="finding Char"/>
    <w:basedOn w:val="DefaultParagraphFont"/>
    <w:link w:val="finding"/>
    <w:rPr>
      <w:rFonts w:ascii="Verdana" w:eastAsia="Times New Roman" w:hAnsi="Verdana" w:cs="Times New Roman"/>
      <w:b/>
      <w:i/>
      <w:sz w:val="20"/>
      <w:szCs w:val="24"/>
    </w:rPr>
  </w:style>
  <w:style w:type="paragraph" w:customStyle="1" w:styleId="Heading21">
    <w:name w:val="Heading 21"/>
    <w:basedOn w:val="Title1"/>
    <w:link w:val="heading2Char0"/>
    <w:pPr>
      <w:numPr>
        <w:numId w:val="0"/>
      </w:numPr>
      <w:tabs>
        <w:tab w:val="left" w:pos="993"/>
      </w:tabs>
      <w:ind w:left="567" w:hanging="567"/>
      <w:jc w:val="both"/>
    </w:pPr>
    <w:rPr>
      <w:caps w:val="0"/>
      <w:sz w:val="20"/>
    </w:rPr>
  </w:style>
  <w:style w:type="character" w:customStyle="1" w:styleId="heading2Char0">
    <w:name w:val="heading 2 Char"/>
    <w:basedOn w:val="Title1Char"/>
    <w:link w:val="Heading21"/>
    <w:rPr>
      <w:rFonts w:ascii="Verdana" w:eastAsia="Times New Roman" w:hAnsi="Verdana" w:cs="Times New Roman"/>
      <w:b/>
      <w:caps w:val="0"/>
      <w:sz w:val="20"/>
      <w:szCs w:val="24"/>
    </w:rPr>
  </w:style>
  <w:style w:type="paragraph" w:customStyle="1" w:styleId="Caption1">
    <w:name w:val="Caption1"/>
    <w:basedOn w:val="BodyText0"/>
    <w:link w:val="captionChar"/>
    <w:qFormat/>
    <w:pPr>
      <w:jc w:val="center"/>
    </w:pPr>
    <w:rPr>
      <w:rFonts w:ascii="Verdana" w:hAnsi="Verdana"/>
      <w:color w:val="595959"/>
      <w:sz w:val="18"/>
      <w:szCs w:val="18"/>
      <w:lang w:val="en-US"/>
    </w:rPr>
  </w:style>
  <w:style w:type="character" w:customStyle="1" w:styleId="captionChar">
    <w:name w:val="caption Char"/>
    <w:basedOn w:val="DefaultParagraphFont"/>
    <w:link w:val="Caption1"/>
    <w:rPr>
      <w:rFonts w:ascii="Verdana" w:eastAsia="Times New Roman" w:hAnsi="Verdana" w:cs="Times New Roman"/>
      <w:color w:val="595959"/>
      <w:sz w:val="18"/>
      <w:szCs w:val="18"/>
      <w:lang w:val="en-US"/>
    </w:rPr>
  </w:style>
  <w:style w:type="character" w:customStyle="1" w:styleId="Style1Char">
    <w:name w:val="Style1 Char"/>
    <w:basedOn w:val="DefaultParagraphFont"/>
    <w:rPr>
      <w:rFonts w:ascii="Georgia" w:hAnsi="Georgia"/>
      <w:sz w:val="16"/>
      <w:szCs w:val="24"/>
      <w:lang w:eastAsia="en-US"/>
    </w:rPr>
  </w:style>
  <w:style w:type="paragraph" w:customStyle="1" w:styleId="source">
    <w:name w:val="source"/>
    <w:basedOn w:val="Normal"/>
    <w:qFormat/>
    <w:pPr>
      <w:spacing w:before="120" w:after="120"/>
      <w:jc w:val="center"/>
    </w:pPr>
    <w:rPr>
      <w:rFonts w:ascii="Georgia" w:eastAsia="Times New Roman" w:hAnsi="Georgia" w:cs="Times New Roman"/>
      <w:sz w:val="16"/>
      <w:szCs w:val="24"/>
    </w:rPr>
  </w:style>
  <w:style w:type="paragraph" w:customStyle="1" w:styleId="Footer11">
    <w:name w:val="Footer1"/>
    <w:basedOn w:val="FootnoteText"/>
    <w:link w:val="Footer1Char1"/>
    <w:qFormat/>
    <w:pPr>
      <w:spacing w:before="120" w:line="276" w:lineRule="auto"/>
    </w:pPr>
    <w:rPr>
      <w:rFonts w:ascii="Georgia" w:hAnsi="Georgia"/>
      <w:sz w:val="16"/>
      <w:szCs w:val="16"/>
    </w:rPr>
  </w:style>
  <w:style w:type="character" w:customStyle="1" w:styleId="Footer1Char1">
    <w:name w:val="Footer1 Char"/>
    <w:basedOn w:val="DefaultParagraphFont"/>
    <w:link w:val="Footer11"/>
    <w:rPr>
      <w:rFonts w:ascii="Georgia" w:hAnsi="Georgia"/>
      <w:sz w:val="16"/>
      <w:szCs w:val="16"/>
    </w:rPr>
  </w:style>
  <w:style w:type="character" w:customStyle="1" w:styleId="SubtleEmphasis1">
    <w:name w:val="Subtle Emphasis1"/>
    <w:basedOn w:val="DefaultParagraphFont"/>
    <w:uiPriority w:val="19"/>
    <w:qFormat/>
    <w:rPr>
      <w:rFonts w:ascii="Verdana" w:hAnsi="Verdana"/>
      <w:i/>
      <w:iCs/>
      <w:color w:val="808080"/>
    </w:rPr>
  </w:style>
  <w:style w:type="paragraph" w:customStyle="1" w:styleId="astandard3520normal">
    <w:name w:val="a_standard__35__20_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alloonTextChar7">
    <w:name w:val="Balloon Text Char7"/>
    <w:basedOn w:val="DefaultParagraphFont"/>
    <w:uiPriority w:val="99"/>
    <w:semiHidden/>
    <w:rPr>
      <w:rFonts w:ascii="Lucida Grande" w:hAnsi="Lucida Grande"/>
      <w:sz w:val="18"/>
      <w:szCs w:val="18"/>
    </w:rPr>
  </w:style>
  <w:style w:type="character" w:customStyle="1" w:styleId="BalloonTextChar6">
    <w:name w:val="Balloon Text Char6"/>
    <w:basedOn w:val="DefaultParagraphFont"/>
    <w:uiPriority w:val="99"/>
    <w:semiHidden/>
    <w:rPr>
      <w:rFonts w:ascii="Lucida Grande" w:hAnsi="Lucida Grande"/>
      <w:sz w:val="18"/>
      <w:szCs w:val="18"/>
    </w:rPr>
  </w:style>
  <w:style w:type="character" w:customStyle="1" w:styleId="BalloonTextChar5">
    <w:name w:val="Balloon Text Char5"/>
    <w:basedOn w:val="DefaultParagraphFont"/>
    <w:uiPriority w:val="99"/>
    <w:semiHidden/>
    <w:rPr>
      <w:rFonts w:ascii="Lucida Grande" w:hAnsi="Lucida Grande" w:cs="Lucida Grande"/>
      <w:sz w:val="18"/>
      <w:szCs w:val="18"/>
    </w:rPr>
  </w:style>
  <w:style w:type="character" w:customStyle="1" w:styleId="BalloonTextChar4">
    <w:name w:val="Balloon Text Char4"/>
    <w:basedOn w:val="DefaultParagraphFont"/>
    <w:uiPriority w:val="99"/>
    <w:semiHidden/>
    <w:rPr>
      <w:rFonts w:ascii="Lucida Grande" w:hAnsi="Lucida Grande"/>
      <w:sz w:val="18"/>
      <w:szCs w:val="18"/>
    </w:rPr>
  </w:style>
  <w:style w:type="character" w:customStyle="1" w:styleId="BalloonTextChar3">
    <w:name w:val="Balloon Text Char3"/>
    <w:basedOn w:val="DefaultParagraphFont"/>
    <w:uiPriority w:val="99"/>
    <w:semiHidden/>
    <w:rPr>
      <w:rFonts w:ascii="Lucida Grande" w:hAnsi="Lucida Grande"/>
      <w:sz w:val="18"/>
      <w:szCs w:val="18"/>
    </w:rPr>
  </w:style>
  <w:style w:type="character" w:customStyle="1" w:styleId="BalloonTextChar2">
    <w:name w:val="Balloon Text Char2"/>
    <w:basedOn w:val="DefaultParagraphFont"/>
    <w:uiPriority w:val="99"/>
    <w:semiHidden/>
    <w:rPr>
      <w:rFonts w:ascii="Lucida Grande" w:hAnsi="Lucida Grande"/>
      <w:sz w:val="18"/>
      <w:szCs w:val="18"/>
    </w:rPr>
  </w:style>
  <w:style w:type="paragraph" w:customStyle="1" w:styleId="0Title1">
    <w:name w:val="0 Title 1"/>
    <w:basedOn w:val="BodyText0"/>
    <w:next w:val="BodyText0"/>
    <w:pPr>
      <w:keepNext/>
      <w:spacing w:before="400" w:after="200" w:line="720" w:lineRule="atLeast"/>
    </w:pPr>
    <w:rPr>
      <w:rFonts w:ascii="Georgia" w:hAnsi="Georgia"/>
      <w:color w:val="000000"/>
      <w:sz w:val="48"/>
      <w:szCs w:val="40"/>
    </w:rPr>
  </w:style>
  <w:style w:type="paragraph" w:customStyle="1" w:styleId="Source0">
    <w:name w:val="Source"/>
    <w:aliases w:val="Quote1,Source1"/>
    <w:basedOn w:val="BodyText0"/>
    <w:next w:val="BodyText0"/>
    <w:link w:val="SourceChar"/>
    <w:qFormat/>
    <w:pPr>
      <w:spacing w:line="276" w:lineRule="auto"/>
    </w:pPr>
    <w:rPr>
      <w:rFonts w:ascii="Georgia" w:hAnsi="Georgia"/>
      <w:color w:val="333333"/>
      <w:sz w:val="18"/>
    </w:rPr>
  </w:style>
  <w:style w:type="paragraph" w:customStyle="1" w:styleId="CoverTitle">
    <w:name w:val="Cover Title"/>
    <w:basedOn w:val="BodyText0"/>
    <w:next w:val="BodyText0"/>
    <w:pPr>
      <w:widowControl w:val="0"/>
      <w:autoSpaceDE w:val="0"/>
      <w:autoSpaceDN w:val="0"/>
      <w:adjustRightInd w:val="0"/>
      <w:spacing w:before="240" w:after="400" w:line="264" w:lineRule="auto"/>
      <w:textAlignment w:val="center"/>
    </w:pPr>
    <w:rPr>
      <w:rFonts w:ascii="Georgia" w:hAnsi="Georgia"/>
      <w:b/>
      <w:noProof/>
      <w:color w:val="000000"/>
      <w:sz w:val="54"/>
      <w:szCs w:val="44"/>
    </w:rPr>
  </w:style>
  <w:style w:type="paragraph" w:customStyle="1" w:styleId="CoverVersiondate">
    <w:name w:val="Cover Version date"/>
    <w:basedOn w:val="BodyText0"/>
    <w:next w:val="BodyText0"/>
    <w:pPr>
      <w:widowControl w:val="0"/>
      <w:autoSpaceDE w:val="0"/>
      <w:autoSpaceDN w:val="0"/>
      <w:adjustRightInd w:val="0"/>
      <w:spacing w:before="2000" w:after="240" w:line="288" w:lineRule="auto"/>
      <w:textAlignment w:val="center"/>
    </w:pPr>
    <w:rPr>
      <w:rFonts w:ascii="Georgia" w:hAnsi="Georgia"/>
      <w:b/>
      <w:i/>
      <w:color w:val="000000"/>
      <w:sz w:val="28"/>
      <w:szCs w:val="36"/>
    </w:rPr>
  </w:style>
  <w:style w:type="paragraph" w:customStyle="1" w:styleId="CoverSubtitle">
    <w:name w:val="Cover Subtitle"/>
    <w:basedOn w:val="BodyText0"/>
    <w:next w:val="BodyText0"/>
    <w:pPr>
      <w:widowControl w:val="0"/>
      <w:autoSpaceDE w:val="0"/>
      <w:autoSpaceDN w:val="0"/>
      <w:adjustRightInd w:val="0"/>
      <w:spacing w:line="264" w:lineRule="auto"/>
      <w:textAlignment w:val="center"/>
    </w:pPr>
    <w:rPr>
      <w:rFonts w:ascii="Georgia" w:hAnsi="Georgia" w:cs="Arial"/>
      <w:color w:val="000000"/>
      <w:sz w:val="28"/>
      <w:szCs w:val="30"/>
    </w:rPr>
  </w:style>
  <w:style w:type="paragraph" w:customStyle="1" w:styleId="Tabletext">
    <w:name w:val="Table text"/>
    <w:basedOn w:val="BodyText0"/>
    <w:pPr>
      <w:spacing w:after="0" w:line="276" w:lineRule="auto"/>
      <w:jc w:val="left"/>
    </w:pPr>
    <w:rPr>
      <w:rFonts w:ascii="Georgia" w:hAnsi="Georgia"/>
      <w:sz w:val="16"/>
    </w:rPr>
  </w:style>
  <w:style w:type="paragraph" w:customStyle="1" w:styleId="Tablecolumnheader">
    <w:name w:val="Table column header"/>
    <w:basedOn w:val="BodyText0"/>
    <w:pPr>
      <w:spacing w:after="0" w:line="276" w:lineRule="auto"/>
      <w:jc w:val="center"/>
    </w:pPr>
    <w:rPr>
      <w:rFonts w:ascii="Georgia" w:hAnsi="Georgia"/>
      <w:b/>
      <w:sz w:val="16"/>
    </w:rPr>
  </w:style>
  <w:style w:type="paragraph" w:customStyle="1" w:styleId="Tablerowheader">
    <w:name w:val="Table row header"/>
    <w:basedOn w:val="Tablecolumnheader"/>
    <w:pPr>
      <w:jc w:val="left"/>
    </w:pPr>
    <w:rPr>
      <w:color w:val="000000"/>
    </w:rPr>
  </w:style>
  <w:style w:type="paragraph" w:customStyle="1" w:styleId="AppendixHeading1">
    <w:name w:val="Appendix Heading 1"/>
    <w:basedOn w:val="BodyText0"/>
    <w:next w:val="BodyText0"/>
    <w:link w:val="AppendixHeading1Char"/>
    <w:qFormat/>
    <w:pPr>
      <w:numPr>
        <w:numId w:val="26"/>
      </w:numPr>
      <w:spacing w:after="720" w:line="276" w:lineRule="auto"/>
      <w:outlineLvl w:val="0"/>
    </w:pPr>
    <w:rPr>
      <w:rFonts w:ascii="Georgia" w:hAnsi="Georgia"/>
      <w:sz w:val="28"/>
    </w:rPr>
  </w:style>
  <w:style w:type="paragraph" w:customStyle="1" w:styleId="AppendixHeading2">
    <w:name w:val="Appendix Heading 2"/>
    <w:basedOn w:val="BodyText0"/>
    <w:next w:val="BodyText0"/>
    <w:link w:val="AppendixHeading2Char"/>
    <w:qFormat/>
    <w:pPr>
      <w:keepNext/>
      <w:numPr>
        <w:ilvl w:val="1"/>
        <w:numId w:val="26"/>
      </w:numPr>
      <w:spacing w:line="276" w:lineRule="auto"/>
    </w:pPr>
    <w:rPr>
      <w:rFonts w:ascii="Georgia" w:hAnsi="Georgia"/>
      <w:color w:val="FF0000"/>
      <w:sz w:val="28"/>
    </w:rPr>
  </w:style>
  <w:style w:type="paragraph" w:customStyle="1" w:styleId="AppendixHeading3">
    <w:name w:val="Appendix Heading 3"/>
    <w:basedOn w:val="BodyText0"/>
    <w:next w:val="BodyText0"/>
    <w:qFormat/>
    <w:pPr>
      <w:keepNext/>
      <w:numPr>
        <w:ilvl w:val="2"/>
        <w:numId w:val="26"/>
      </w:numPr>
      <w:spacing w:line="276" w:lineRule="auto"/>
    </w:pPr>
    <w:rPr>
      <w:rFonts w:ascii="Georgia" w:hAnsi="Georgia"/>
      <w:color w:val="333333"/>
      <w:sz w:val="20"/>
    </w:rPr>
  </w:style>
  <w:style w:type="paragraph" w:styleId="Quote">
    <w:name w:val="Quote"/>
    <w:basedOn w:val="BodyText0"/>
    <w:next w:val="BodyText0"/>
    <w:link w:val="QuoteChar"/>
    <w:uiPriority w:val="29"/>
    <w:qFormat/>
    <w:pPr>
      <w:spacing w:line="276" w:lineRule="auto"/>
      <w:ind w:left="567" w:right="565"/>
    </w:pPr>
    <w:rPr>
      <w:rFonts w:ascii="Georgia" w:hAnsi="Georgia"/>
      <w:i/>
      <w:sz w:val="20"/>
      <w:lang w:val="en-US"/>
    </w:rPr>
  </w:style>
  <w:style w:type="character" w:customStyle="1" w:styleId="QuoteChar">
    <w:name w:val="Quote Char"/>
    <w:basedOn w:val="DefaultParagraphFont"/>
    <w:link w:val="Quote"/>
    <w:uiPriority w:val="29"/>
    <w:rPr>
      <w:rFonts w:ascii="Georgia" w:eastAsia="Times New Roman" w:hAnsi="Georgia" w:cs="Times New Roman"/>
      <w:i/>
      <w:sz w:val="20"/>
      <w:szCs w:val="24"/>
      <w:lang w:val="en-US"/>
    </w:rPr>
  </w:style>
  <w:style w:type="paragraph" w:customStyle="1" w:styleId="Notes">
    <w:name w:val="Notes"/>
    <w:basedOn w:val="BodyText0"/>
    <w:link w:val="NotesCharChar"/>
    <w:autoRedefine/>
    <w:pPr>
      <w:framePr w:w="2165" w:h="2707" w:hSpace="187" w:wrap="around" w:vAnchor="text" w:hAnchor="page" w:x="9262" w:y="-23" w:anchorLock="1"/>
      <w:pBdr>
        <w:top w:val="single" w:sz="6" w:space="7" w:color="FF0000"/>
      </w:pBdr>
      <w:shd w:val="solid" w:color="FFFFFF" w:fill="FFFFFF"/>
      <w:spacing w:line="276" w:lineRule="auto"/>
    </w:pPr>
    <w:rPr>
      <w:rFonts w:ascii="Georgia" w:hAnsi="Georgia"/>
      <w:color w:val="FF0000"/>
      <w:sz w:val="20"/>
    </w:rPr>
  </w:style>
  <w:style w:type="character" w:customStyle="1" w:styleId="NotesCharChar">
    <w:name w:val="Notes Char Char"/>
    <w:basedOn w:val="DefaultParagraphFont"/>
    <w:link w:val="Notes"/>
    <w:locked/>
    <w:rPr>
      <w:rFonts w:ascii="Georgia" w:eastAsia="Times New Roman" w:hAnsi="Georgia" w:cs="Times New Roman"/>
      <w:color w:val="FF0000"/>
      <w:sz w:val="20"/>
      <w:szCs w:val="24"/>
      <w:shd w:val="solid" w:color="FFFFFF" w:fill="FFFFFF"/>
    </w:rPr>
  </w:style>
  <w:style w:type="paragraph" w:customStyle="1" w:styleId="Notesleft">
    <w:name w:val="Notes left"/>
    <w:basedOn w:val="Notes"/>
    <w:pPr>
      <w:framePr w:wrap="around" w:x="492" w:y="9"/>
    </w:pPr>
  </w:style>
  <w:style w:type="paragraph" w:customStyle="1" w:styleId="Headline">
    <w:name w:val="Headline"/>
    <w:basedOn w:val="BodyText0"/>
    <w:next w:val="BodyText0"/>
    <w:link w:val="HeadlineChar"/>
    <w:qFormat/>
    <w:pPr>
      <w:spacing w:line="276" w:lineRule="auto"/>
      <w:jc w:val="left"/>
    </w:pPr>
    <w:rPr>
      <w:rFonts w:ascii="Georgia" w:hAnsi="Georgia"/>
      <w:b/>
    </w:rPr>
  </w:style>
  <w:style w:type="paragraph" w:customStyle="1" w:styleId="AppendixTitle">
    <w:name w:val="Appendix Title"/>
    <w:basedOn w:val="BodyText0"/>
    <w:next w:val="BodyText0"/>
    <w:pPr>
      <w:spacing w:after="720" w:line="276" w:lineRule="auto"/>
    </w:pPr>
    <w:rPr>
      <w:rFonts w:ascii="Georgia" w:hAnsi="Georgia"/>
      <w:sz w:val="28"/>
      <w:lang w:val="en-US"/>
    </w:rPr>
  </w:style>
  <w:style w:type="paragraph" w:customStyle="1" w:styleId="FooterAddressEven">
    <w:name w:val="FooterAddressEven"/>
    <w:basedOn w:val="Footer"/>
    <w:pPr>
      <w:tabs>
        <w:tab w:val="clear" w:pos="4535"/>
        <w:tab w:val="clear" w:pos="9071"/>
        <w:tab w:val="right" w:pos="7655"/>
      </w:tabs>
      <w:spacing w:line="276" w:lineRule="auto"/>
      <w:ind w:left="-1750"/>
    </w:pPr>
    <w:rPr>
      <w:rFonts w:ascii="Georgia" w:eastAsia="Times New Roman" w:hAnsi="Georgia"/>
      <w:color w:val="333333"/>
      <w:sz w:val="18"/>
      <w:szCs w:val="24"/>
    </w:rPr>
  </w:style>
  <w:style w:type="paragraph" w:customStyle="1" w:styleId="TableListBullet">
    <w:name w:val="Table List Bullet"/>
    <w:basedOn w:val="BodyText0"/>
    <w:pPr>
      <w:numPr>
        <w:numId w:val="27"/>
      </w:numPr>
      <w:spacing w:after="60" w:line="276" w:lineRule="auto"/>
      <w:jc w:val="left"/>
    </w:pPr>
    <w:rPr>
      <w:rFonts w:ascii="Georgia" w:hAnsi="Georgia"/>
      <w:sz w:val="16"/>
    </w:rPr>
  </w:style>
  <w:style w:type="paragraph" w:customStyle="1" w:styleId="TableListBullet2">
    <w:name w:val="Table List Bullet 2"/>
    <w:basedOn w:val="BodyText0"/>
    <w:pPr>
      <w:numPr>
        <w:numId w:val="28"/>
      </w:numPr>
      <w:spacing w:after="60" w:line="276" w:lineRule="auto"/>
      <w:jc w:val="left"/>
    </w:pPr>
    <w:rPr>
      <w:rFonts w:ascii="Georgia" w:hAnsi="Georgia"/>
      <w:sz w:val="16"/>
    </w:rPr>
  </w:style>
  <w:style w:type="paragraph" w:customStyle="1" w:styleId="InsertFigure">
    <w:name w:val="InsertFigure"/>
    <w:basedOn w:val="BodyText0"/>
    <w:pPr>
      <w:spacing w:line="276" w:lineRule="auto"/>
      <w:jc w:val="center"/>
    </w:pPr>
    <w:rPr>
      <w:rFonts w:ascii="Georgia" w:hAnsi="Georgia"/>
      <w:color w:val="333333"/>
      <w:sz w:val="18"/>
      <w:lang w:val="de-DE"/>
    </w:rPr>
  </w:style>
  <w:style w:type="paragraph" w:customStyle="1" w:styleId="TableListNumber">
    <w:name w:val="Table List Number"/>
    <w:basedOn w:val="BodyText0"/>
    <w:pPr>
      <w:numPr>
        <w:numId w:val="29"/>
      </w:numPr>
      <w:spacing w:after="60" w:line="276" w:lineRule="auto"/>
      <w:jc w:val="left"/>
    </w:pPr>
    <w:rPr>
      <w:rFonts w:ascii="Georgia" w:hAnsi="Georgia"/>
      <w:sz w:val="16"/>
    </w:rPr>
  </w:style>
  <w:style w:type="paragraph" w:customStyle="1" w:styleId="TableListNumber2">
    <w:name w:val="Table List Number 2"/>
    <w:basedOn w:val="BodyText0"/>
    <w:pPr>
      <w:numPr>
        <w:numId w:val="30"/>
      </w:numPr>
      <w:spacing w:after="60" w:line="276" w:lineRule="auto"/>
      <w:jc w:val="left"/>
    </w:pPr>
    <w:rPr>
      <w:rFonts w:ascii="Georgia" w:hAnsi="Georgia"/>
      <w:sz w:val="16"/>
    </w:rPr>
  </w:style>
  <w:style w:type="paragraph" w:customStyle="1" w:styleId="TOCTitle">
    <w:name w:val="TOC Title"/>
    <w:basedOn w:val="0Title1"/>
    <w:next w:val="BodyText0"/>
  </w:style>
  <w:style w:type="paragraph" w:customStyle="1" w:styleId="SecondBullet">
    <w:name w:val="Second Bullet"/>
    <w:basedOn w:val="Normal"/>
    <w:next w:val="Normal"/>
    <w:autoRedefine/>
    <w:pPr>
      <w:numPr>
        <w:numId w:val="31"/>
      </w:numPr>
      <w:spacing w:after="0"/>
      <w:jc w:val="both"/>
    </w:pPr>
    <w:rPr>
      <w:rFonts w:ascii="Georgia" w:eastAsia="Times New Roman" w:hAnsi="Georgia" w:cs="Times New Roman"/>
      <w:color w:val="000000"/>
      <w:szCs w:val="24"/>
    </w:rPr>
  </w:style>
  <w:style w:type="paragraph" w:customStyle="1" w:styleId="Bullet1">
    <w:name w:val="Bullet 1"/>
    <w:basedOn w:val="Normal"/>
    <w:next w:val="ListBullet2"/>
    <w:link w:val="Bullet1Char"/>
    <w:qFormat/>
    <w:pPr>
      <w:numPr>
        <w:numId w:val="32"/>
      </w:numPr>
      <w:tabs>
        <w:tab w:val="right" w:pos="5387"/>
      </w:tabs>
      <w:spacing w:after="0" w:line="280" w:lineRule="atLeast"/>
      <w:jc w:val="both"/>
    </w:pPr>
    <w:rPr>
      <w:rFonts w:ascii="Georgia" w:eastAsia="Times New Roman" w:hAnsi="Georgia" w:cs="Times New Roman"/>
      <w:sz w:val="20"/>
      <w:szCs w:val="24"/>
      <w:lang w:eastAsia="nl-BE"/>
    </w:rPr>
  </w:style>
  <w:style w:type="character" w:styleId="Strong">
    <w:name w:val="Strong"/>
    <w:basedOn w:val="DefaultParagraphFont"/>
    <w:uiPriority w:val="22"/>
    <w:qFormat/>
    <w:rPr>
      <w:b/>
    </w:rPr>
  </w:style>
  <w:style w:type="character" w:customStyle="1" w:styleId="apple-converted-space">
    <w:name w:val="apple-converted-space"/>
    <w:basedOn w:val="DefaultParagraphFont"/>
  </w:style>
  <w:style w:type="character" w:styleId="HTMLAcronym">
    <w:name w:val="HTML Acronym"/>
    <w:basedOn w:val="DefaultParagraphFont"/>
    <w:uiPriority w:val="99"/>
  </w:style>
  <w:style w:type="character" w:styleId="Emphasis">
    <w:name w:val="Emphasis"/>
    <w:basedOn w:val="DefaultParagraphFont"/>
    <w:uiPriority w:val="20"/>
    <w:qFormat/>
    <w:rPr>
      <w:i/>
    </w:rPr>
  </w:style>
  <w:style w:type="character" w:customStyle="1" w:styleId="portlet-title-text">
    <w:name w:val="portlet-title-text"/>
    <w:basedOn w:val="DefaultParagraphFont"/>
  </w:style>
  <w:style w:type="table" w:customStyle="1" w:styleId="TableGrid11">
    <w:name w:val="Table Grid11"/>
    <w:basedOn w:val="TableNormal"/>
    <w:next w:val="TableGrid"/>
    <w:uiPriority w:val="39"/>
    <w:pPr>
      <w:spacing w:after="0" w:line="240" w:lineRule="auto"/>
    </w:pPr>
    <w:rPr>
      <w:rFonts w:ascii="Calibri" w:eastAsia="Calibri" w:hAnsi="Calibri" w:cs="Times New Roman"/>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uces1">
    <w:name w:val="Liste à puces 1"/>
    <w:basedOn w:val="Normal"/>
    <w:link w:val="Listepuces1CharChar"/>
    <w:pPr>
      <w:numPr>
        <w:numId w:val="33"/>
      </w:numPr>
      <w:spacing w:before="120" w:after="120" w:line="240" w:lineRule="exact"/>
      <w:jc w:val="both"/>
    </w:pPr>
    <w:rPr>
      <w:rFonts w:ascii="Arial" w:eastAsia="Times New Roman" w:hAnsi="Arial" w:cs="Times New Roman"/>
      <w:color w:val="000000"/>
      <w:sz w:val="20"/>
      <w:szCs w:val="18"/>
    </w:rPr>
  </w:style>
  <w:style w:type="character" w:customStyle="1" w:styleId="Listepuces1CharChar">
    <w:name w:val="Liste à puces 1 Char Char"/>
    <w:basedOn w:val="DefaultParagraphFont"/>
    <w:link w:val="Listepuces1"/>
    <w:rPr>
      <w:rFonts w:ascii="Arial" w:eastAsia="Times New Roman" w:hAnsi="Arial" w:cs="Times New Roman"/>
      <w:color w:val="000000"/>
      <w:sz w:val="20"/>
      <w:szCs w:val="18"/>
    </w:rPr>
  </w:style>
  <w:style w:type="paragraph" w:customStyle="1" w:styleId="Tableboxtext">
    <w:name w:val="Table/box text"/>
    <w:basedOn w:val="Normal"/>
    <w:uiPriority w:val="99"/>
    <w:qFormat/>
    <w:pPr>
      <w:spacing w:after="120" w:line="240" w:lineRule="exact"/>
      <w:jc w:val="both"/>
    </w:pPr>
    <w:rPr>
      <w:rFonts w:ascii="Georgia" w:eastAsia="Calibri" w:hAnsi="Georgia" w:cs="Times New Roman"/>
      <w:sz w:val="18"/>
    </w:rPr>
  </w:style>
  <w:style w:type="paragraph" w:customStyle="1" w:styleId="Style4">
    <w:name w:val="Style4"/>
    <w:basedOn w:val="Heading5"/>
    <w:qFormat/>
    <w:pPr>
      <w:spacing w:line="240" w:lineRule="atLeast"/>
      <w:ind w:left="1800" w:hanging="360"/>
      <w:jc w:val="left"/>
    </w:pPr>
    <w:rPr>
      <w:rFonts w:ascii="EYInterstate" w:hAnsi="EYInterstate"/>
      <w:b w:val="0"/>
      <w:bCs w:val="0"/>
      <w:iCs w:val="0"/>
      <w:noProof/>
      <w:sz w:val="20"/>
      <w:lang w:val="nl-BE" w:eastAsia="nl-BE"/>
    </w:rPr>
  </w:style>
  <w:style w:type="character" w:customStyle="1" w:styleId="ListParagraph1Char1">
    <w:name w:val="List Paragraph1 Char1"/>
    <w:aliases w:val="Normal bullet 2 Char1,Bullet list Char1,List Paragraph11 Char,Normal bullet 21 Char,List Paragraph111 Char,Bullet list1 Char"/>
    <w:uiPriority w:val="99"/>
    <w:rPr>
      <w:rFonts w:ascii="EYInterstate Light" w:hAnsi="EYInterstate Light"/>
      <w:szCs w:val="22"/>
      <w:lang w:val="en-GB" w:eastAsia="en-US"/>
    </w:rPr>
  </w:style>
  <w:style w:type="paragraph" w:customStyle="1" w:styleId="Style3">
    <w:name w:val="Style3"/>
    <w:basedOn w:val="ListBullet"/>
    <w:link w:val="Style3Char"/>
    <w:qFormat/>
    <w:pPr>
      <w:numPr>
        <w:numId w:val="0"/>
      </w:numPr>
      <w:tabs>
        <w:tab w:val="num" w:pos="1191"/>
      </w:tabs>
      <w:spacing w:after="120" w:line="276" w:lineRule="auto"/>
      <w:ind w:left="1191" w:hanging="709"/>
    </w:pPr>
    <w:rPr>
      <w:rFonts w:ascii="Georgia" w:hAnsi="Georgia"/>
    </w:rPr>
  </w:style>
  <w:style w:type="character" w:customStyle="1" w:styleId="Style3Char">
    <w:name w:val="Style3 Char"/>
    <w:basedOn w:val="ListBulletChar"/>
    <w:link w:val="Style3"/>
    <w:rPr>
      <w:rFonts w:ascii="Georgia" w:eastAsia="Times New Roman" w:hAnsi="Georgia" w:cs="Times New Roman"/>
      <w:sz w:val="24"/>
      <w:szCs w:val="24"/>
    </w:rPr>
  </w:style>
  <w:style w:type="paragraph" w:customStyle="1" w:styleId="Style6">
    <w:name w:val="Style6"/>
    <w:basedOn w:val="TOC1"/>
    <w:link w:val="Style6Char"/>
    <w:uiPriority w:val="99"/>
    <w:pPr>
      <w:numPr>
        <w:numId w:val="34"/>
      </w:numPr>
      <w:tabs>
        <w:tab w:val="clear" w:pos="8640"/>
        <w:tab w:val="left" w:pos="442"/>
      </w:tabs>
      <w:overflowPunct w:val="0"/>
      <w:autoSpaceDE w:val="0"/>
      <w:autoSpaceDN w:val="0"/>
      <w:adjustRightInd w:val="0"/>
      <w:spacing w:before="0" w:line="260" w:lineRule="atLeast"/>
      <w:ind w:right="0"/>
      <w:textAlignment w:val="baseline"/>
    </w:pPr>
    <w:rPr>
      <w:rFonts w:ascii="EYInterstate Light" w:hAnsi="EYInterstate Light"/>
      <w:bCs/>
      <w:caps w:val="0"/>
      <w:noProof/>
      <w:sz w:val="20"/>
      <w:szCs w:val="18"/>
      <w:lang w:eastAsia="nl-BE"/>
    </w:rPr>
  </w:style>
  <w:style w:type="character" w:customStyle="1" w:styleId="Style6Char">
    <w:name w:val="Style6 Char"/>
    <w:basedOn w:val="DefaultParagraphFont"/>
    <w:link w:val="Style6"/>
    <w:uiPriority w:val="99"/>
    <w:rPr>
      <w:rFonts w:ascii="EYInterstate Light" w:eastAsia="Times New Roman" w:hAnsi="EYInterstate Light" w:cs="Times New Roman"/>
      <w:bCs/>
      <w:noProof/>
      <w:sz w:val="20"/>
      <w:szCs w:val="18"/>
      <w:lang w:eastAsia="nl-BE"/>
    </w:rPr>
  </w:style>
  <w:style w:type="paragraph" w:customStyle="1" w:styleId="Caption11">
    <w:name w:val="Caption11"/>
    <w:basedOn w:val="Tableboxtext"/>
    <w:qFormat/>
    <w:pPr>
      <w:jc w:val="center"/>
    </w:pPr>
    <w:rPr>
      <w:sz w:val="16"/>
    </w:rPr>
  </w:style>
  <w:style w:type="character" w:customStyle="1" w:styleId="hps">
    <w:name w:val="hps"/>
    <w:basedOn w:val="DefaultParagraphFont"/>
  </w:style>
  <w:style w:type="character" w:customStyle="1" w:styleId="highlightedsearchterm">
    <w:name w:val="highlightedsearchterm"/>
    <w:basedOn w:val="DefaultParagraphFont"/>
  </w:style>
  <w:style w:type="character" w:customStyle="1" w:styleId="link-external">
    <w:name w:val="link-external"/>
    <w:basedOn w:val="DefaultParagraphFont"/>
  </w:style>
  <w:style w:type="table" w:customStyle="1" w:styleId="LightList-Accent31">
    <w:name w:val="Light List - Accent 31"/>
    <w:basedOn w:val="TableNormal"/>
    <w:next w:val="LightList-Accent3"/>
    <w:uiPriority w:val="61"/>
    <w:pPr>
      <w:spacing w:after="0" w:line="240" w:lineRule="auto"/>
    </w:pPr>
    <w:rPr>
      <w:rFonts w:ascii="EYInterstate Light" w:eastAsia="EYInterstate Light" w:hAnsi="EYInterstate Light" w:cs="Times New Roman"/>
      <w:lang w:val="it-IT"/>
    </w:rPr>
    <w:tblPr>
      <w:tblStyleRowBandSize w:val="1"/>
      <w:tblStyleColBandSize w:val="1"/>
      <w:tblBorders>
        <w:top w:val="single" w:sz="8" w:space="0" w:color="999999"/>
        <w:left w:val="single" w:sz="8" w:space="0" w:color="999999"/>
        <w:bottom w:val="single" w:sz="8" w:space="0" w:color="999999"/>
        <w:right w:val="single" w:sz="8" w:space="0" w:color="999999"/>
      </w:tblBorders>
    </w:tblPr>
    <w:tblStylePr w:type="firstRow">
      <w:pPr>
        <w:spacing w:before="0" w:after="0" w:line="240" w:lineRule="auto"/>
      </w:pPr>
      <w:rPr>
        <w:b/>
        <w:bCs/>
        <w:color w:val="FFFFFF"/>
      </w:rPr>
      <w:tblPr/>
      <w:tcPr>
        <w:shd w:val="clear" w:color="auto" w:fill="999999"/>
      </w:tcPr>
    </w:tblStylePr>
    <w:tblStylePr w:type="lastRow">
      <w:pPr>
        <w:spacing w:before="0" w:after="0" w:line="240" w:lineRule="auto"/>
      </w:pPr>
      <w:rPr>
        <w:b/>
        <w:bCs/>
      </w:rPr>
      <w:tblPr/>
      <w:tcPr>
        <w:tcBorders>
          <w:top w:val="double" w:sz="6" w:space="0" w:color="999999"/>
          <w:left w:val="single" w:sz="8" w:space="0" w:color="999999"/>
          <w:bottom w:val="single" w:sz="8" w:space="0" w:color="999999"/>
          <w:right w:val="single" w:sz="8" w:space="0" w:color="999999"/>
        </w:tcBorders>
      </w:tcPr>
    </w:tblStylePr>
    <w:tblStylePr w:type="firstCol">
      <w:rPr>
        <w:b/>
        <w:bCs/>
      </w:rPr>
    </w:tblStylePr>
    <w:tblStylePr w:type="lastCol">
      <w:rPr>
        <w:b/>
        <w:bCs/>
      </w:rPr>
    </w:tblStylePr>
    <w:tblStylePr w:type="band1Vert">
      <w:tblPr/>
      <w:tcPr>
        <w:tcBorders>
          <w:top w:val="single" w:sz="8" w:space="0" w:color="999999"/>
          <w:left w:val="single" w:sz="8" w:space="0" w:color="999999"/>
          <w:bottom w:val="single" w:sz="8" w:space="0" w:color="999999"/>
          <w:right w:val="single" w:sz="8" w:space="0" w:color="999999"/>
        </w:tcBorders>
      </w:tcPr>
    </w:tblStylePr>
    <w:tblStylePr w:type="band1Horz">
      <w:tblPr/>
      <w:tcPr>
        <w:tcBorders>
          <w:top w:val="single" w:sz="8" w:space="0" w:color="999999"/>
          <w:left w:val="single" w:sz="8" w:space="0" w:color="999999"/>
          <w:bottom w:val="single" w:sz="8" w:space="0" w:color="999999"/>
          <w:right w:val="single" w:sz="8" w:space="0" w:color="999999"/>
        </w:tcBorders>
      </w:tcPr>
    </w:tblStylePr>
  </w:style>
  <w:style w:type="table" w:customStyle="1" w:styleId="LightList-Accent32">
    <w:name w:val="Light List - Accent 32"/>
    <w:basedOn w:val="TableNormal"/>
    <w:next w:val="LightList-Accent3"/>
    <w:uiPriority w:val="61"/>
    <w:pPr>
      <w:spacing w:after="0" w:line="240" w:lineRule="auto"/>
    </w:pPr>
    <w:rPr>
      <w:rFonts w:ascii="Times New Roman" w:eastAsia="Times New Roman" w:hAnsi="Times New Roman" w:cs="Times New Roman"/>
      <w:sz w:val="24"/>
      <w:szCs w:val="24"/>
      <w:lang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Style12">
    <w:name w:val="Style12"/>
    <w:basedOn w:val="ListParagraph1"/>
    <w:qFormat/>
    <w:pPr>
      <w:ind w:left="1068" w:hanging="360"/>
    </w:pPr>
  </w:style>
  <w:style w:type="paragraph" w:customStyle="1" w:styleId="000">
    <w:name w:val="000"/>
    <w:aliases w:val="standaard,standaard uitvullen,standaard (alt-s),stan084daard,standaard 04...,standaard 155,standaard uitv042ullen,sta550ndaard,standaard 040,standaard81,0001,standaard 042,standaard1,standaard uitvullen1,standaard (alt-s)1,stan084daard1,standaard811"/>
    <w:basedOn w:val="Normal"/>
    <w:pPr>
      <w:overflowPunct w:val="0"/>
      <w:autoSpaceDE w:val="0"/>
      <w:autoSpaceDN w:val="0"/>
      <w:adjustRightInd w:val="0"/>
      <w:spacing w:after="0" w:line="260" w:lineRule="atLeast"/>
      <w:jc w:val="both"/>
      <w:textAlignment w:val="baseline"/>
    </w:pPr>
    <w:rPr>
      <w:rFonts w:ascii="Arial" w:eastAsia="Times New Roman" w:hAnsi="Arial" w:cs="Times New Roman"/>
      <w:sz w:val="18"/>
      <w:szCs w:val="24"/>
      <w:lang w:val="nl-NL" w:eastAsia="nl-BE"/>
    </w:rPr>
  </w:style>
  <w:style w:type="paragraph" w:customStyle="1" w:styleId="tabelbullet">
    <w:name w:val="tabel bullet"/>
    <w:basedOn w:val="Style2"/>
    <w:link w:val="tabelbulletChar"/>
    <w:autoRedefine/>
    <w:qFormat/>
    <w:pPr>
      <w:numPr>
        <w:numId w:val="0"/>
      </w:numPr>
      <w:tabs>
        <w:tab w:val="num" w:pos="1191"/>
      </w:tabs>
      <w:spacing w:after="0"/>
      <w:ind w:left="1191" w:hanging="709"/>
    </w:pPr>
    <w:rPr>
      <w:color w:val="333333"/>
      <w:sz w:val="18"/>
    </w:rPr>
  </w:style>
  <w:style w:type="character" w:customStyle="1" w:styleId="tabelbulletChar">
    <w:name w:val="tabel bullet Char"/>
    <w:basedOn w:val="Style2Char"/>
    <w:link w:val="tabelbullet"/>
    <w:rPr>
      <w:rFonts w:ascii="Georgia" w:eastAsia="Times New Roman" w:hAnsi="Georgia" w:cs="Times New Roman"/>
      <w:color w:val="333333"/>
      <w:sz w:val="18"/>
      <w:szCs w:val="24"/>
    </w:rPr>
  </w:style>
  <w:style w:type="paragraph" w:customStyle="1" w:styleId="1tabletbullet">
    <w:name w:val="1. tablet bullet"/>
    <w:basedOn w:val="tabelbullet"/>
    <w:link w:val="1tabletbulletChar"/>
    <w:qFormat/>
    <w:pPr>
      <w:keepNext/>
      <w:numPr>
        <w:numId w:val="35"/>
      </w:numPr>
      <w:spacing w:before="120"/>
      <w:ind w:left="714" w:hanging="357"/>
    </w:pPr>
    <w:rPr>
      <w:b/>
    </w:rPr>
  </w:style>
  <w:style w:type="character" w:customStyle="1" w:styleId="1tabletbulletChar">
    <w:name w:val="1. tablet bullet Char"/>
    <w:basedOn w:val="tabelbulletChar"/>
    <w:link w:val="1tabletbullet"/>
    <w:rPr>
      <w:rFonts w:ascii="Georgia" w:eastAsia="Times New Roman" w:hAnsi="Georgia" w:cs="Times New Roman"/>
      <w:b/>
      <w:color w:val="333333"/>
      <w:sz w:val="18"/>
      <w:szCs w:val="24"/>
    </w:rPr>
  </w:style>
  <w:style w:type="paragraph" w:customStyle="1" w:styleId="font5">
    <w:name w:val="font5"/>
    <w:basedOn w:val="Normal"/>
    <w:pPr>
      <w:spacing w:before="100" w:beforeAutospacing="1" w:after="100" w:afterAutospacing="1"/>
    </w:pPr>
    <w:rPr>
      <w:rFonts w:ascii="Tahoma" w:eastAsia="Times New Roman" w:hAnsi="Tahoma" w:cs="Tahoma"/>
      <w:color w:val="000000"/>
      <w:sz w:val="18"/>
      <w:szCs w:val="18"/>
      <w:lang w:val="en-US"/>
    </w:rPr>
  </w:style>
  <w:style w:type="paragraph" w:customStyle="1" w:styleId="font6">
    <w:name w:val="font6"/>
    <w:basedOn w:val="Normal"/>
    <w:pPr>
      <w:spacing w:before="100" w:beforeAutospacing="1" w:after="100" w:afterAutospacing="1"/>
    </w:pPr>
    <w:rPr>
      <w:rFonts w:ascii="Tahoma" w:eastAsia="Times New Roman" w:hAnsi="Tahoma" w:cs="Tahoma"/>
      <w:b/>
      <w:bCs/>
      <w:color w:val="000000"/>
      <w:sz w:val="18"/>
      <w:szCs w:val="18"/>
      <w:lang w:val="en-US"/>
    </w:rPr>
  </w:style>
  <w:style w:type="paragraph" w:customStyle="1" w:styleId="xl65">
    <w:name w:val="xl65"/>
    <w:basedOn w:val="Normal"/>
    <w:pPr>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66">
    <w:name w:val="xl66"/>
    <w:basedOn w:val="Normal"/>
    <w:pPr>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67">
    <w:name w:val="xl67"/>
    <w:basedOn w:val="Normal"/>
    <w:pPr>
      <w:spacing w:before="100" w:beforeAutospacing="1" w:after="100" w:afterAutospacing="1"/>
      <w:jc w:val="center"/>
      <w:textAlignment w:val="center"/>
    </w:pPr>
    <w:rPr>
      <w:rFonts w:ascii="Georgia" w:eastAsia="Times New Roman" w:hAnsi="Georgia" w:cs="Times New Roman"/>
      <w:color w:val="000000"/>
      <w:sz w:val="20"/>
      <w:szCs w:val="24"/>
      <w:lang w:val="en-US"/>
    </w:rPr>
  </w:style>
  <w:style w:type="paragraph" w:customStyle="1" w:styleId="xl68">
    <w:name w:val="xl68"/>
    <w:basedOn w:val="Normal"/>
    <w:pPr>
      <w:pBdr>
        <w:top w:val="single" w:sz="4" w:space="0" w:color="BFBFBF"/>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69">
    <w:name w:val="xl69"/>
    <w:basedOn w:val="Normal"/>
    <w:pPr>
      <w:pBdr>
        <w:top w:val="single" w:sz="4" w:space="0" w:color="BFBFBF"/>
        <w:bottom w:val="single" w:sz="12" w:space="0" w:color="FF0000"/>
      </w:pBd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70">
    <w:name w:val="xl70"/>
    <w:basedOn w:val="Normal"/>
    <w:pPr>
      <w:pBdr>
        <w:top w:val="single" w:sz="12" w:space="0" w:color="FF0000"/>
        <w:left w:val="single" w:sz="12" w:space="0" w:color="FFFFFF"/>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71">
    <w:name w:val="xl71"/>
    <w:basedOn w:val="Normal"/>
    <w:pPr>
      <w:pBdr>
        <w:top w:val="single" w:sz="12" w:space="0" w:color="FF0000"/>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72">
    <w:name w:val="xl72"/>
    <w:basedOn w:val="Normal"/>
    <w:pPr>
      <w:pBdr>
        <w:top w:val="single" w:sz="12" w:space="0" w:color="FF0000"/>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73">
    <w:name w:val="xl73"/>
    <w:basedOn w:val="Normal"/>
    <w:pPr>
      <w:pBdr>
        <w:top w:val="single" w:sz="4" w:space="0" w:color="BFBFBF"/>
        <w:left w:val="single" w:sz="12" w:space="0" w:color="FFFFFF"/>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74">
    <w:name w:val="xl74"/>
    <w:basedOn w:val="Normal"/>
    <w:pPr>
      <w:pBdr>
        <w:top w:val="single" w:sz="4" w:space="0" w:color="BFBFBF"/>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75">
    <w:name w:val="xl75"/>
    <w:basedOn w:val="Normal"/>
    <w:pPr>
      <w:pBdr>
        <w:top w:val="single" w:sz="4" w:space="0" w:color="BFBFBF"/>
        <w:bottom w:val="single" w:sz="12" w:space="0" w:color="FF0000"/>
      </w:pBd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76">
    <w:name w:val="xl76"/>
    <w:basedOn w:val="Normal"/>
    <w:pPr>
      <w:pBdr>
        <w:top w:val="single" w:sz="12" w:space="0" w:color="FF0000"/>
        <w:bottom w:val="single" w:sz="4" w:space="0" w:color="BFBFBF"/>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4"/>
      <w:lang w:val="en-US"/>
    </w:rPr>
  </w:style>
  <w:style w:type="paragraph" w:customStyle="1" w:styleId="xl77">
    <w:name w:val="xl77"/>
    <w:basedOn w:val="Normal"/>
    <w:pPr>
      <w:pBdr>
        <w:top w:val="single" w:sz="4" w:space="0" w:color="BFBFBF"/>
        <w:bottom w:val="single" w:sz="4" w:space="0" w:color="BFBFBF"/>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4"/>
      <w:lang w:val="en-US"/>
    </w:rPr>
  </w:style>
  <w:style w:type="paragraph" w:customStyle="1" w:styleId="xl78">
    <w:name w:val="xl78"/>
    <w:basedOn w:val="Normal"/>
    <w:pPr>
      <w:pBdr>
        <w:top w:val="single" w:sz="4" w:space="0" w:color="BFBFBF"/>
        <w:bottom w:val="single" w:sz="4" w:space="0" w:color="BFBFBF"/>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4"/>
      <w:lang w:val="en-US"/>
    </w:rPr>
  </w:style>
  <w:style w:type="paragraph" w:customStyle="1" w:styleId="xl79">
    <w:name w:val="xl79"/>
    <w:basedOn w:val="Normal"/>
    <w:pPr>
      <w:pBdr>
        <w:top w:val="single" w:sz="4" w:space="0" w:color="BFBFBF"/>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4"/>
      <w:lang w:val="en-US"/>
    </w:rPr>
  </w:style>
  <w:style w:type="paragraph" w:customStyle="1" w:styleId="xl80">
    <w:name w:val="xl80"/>
    <w:basedOn w:val="Normal"/>
    <w:pPr>
      <w:pBdr>
        <w:top w:val="single" w:sz="12" w:space="0" w:color="FF0000"/>
        <w:bottom w:val="single" w:sz="4" w:space="0" w:color="BFBFBF"/>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4"/>
      <w:lang w:val="en-US"/>
    </w:rPr>
  </w:style>
  <w:style w:type="paragraph" w:customStyle="1" w:styleId="xl81">
    <w:name w:val="xl81"/>
    <w:basedOn w:val="Normal"/>
    <w:pPr>
      <w:pBdr>
        <w:top w:val="single" w:sz="4" w:space="0" w:color="BFBFBF"/>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4"/>
      <w:lang w:val="en-US"/>
    </w:rPr>
  </w:style>
  <w:style w:type="paragraph" w:customStyle="1" w:styleId="xl82">
    <w:name w:val="xl82"/>
    <w:basedOn w:val="Normal"/>
    <w:pPr>
      <w:pBdr>
        <w:top w:val="single" w:sz="12" w:space="0" w:color="FFFFFF"/>
        <w:left w:val="single" w:sz="12" w:space="0" w:color="FFFFFF"/>
        <w:right w:val="single" w:sz="12" w:space="0" w:color="FFFFFF"/>
      </w:pBdr>
      <w:shd w:val="clear" w:color="000000" w:fill="D9D9D9"/>
      <w:spacing w:before="100" w:beforeAutospacing="1" w:after="100" w:afterAutospacing="1"/>
      <w:jc w:val="center"/>
      <w:textAlignment w:val="center"/>
    </w:pPr>
    <w:rPr>
      <w:rFonts w:ascii="Georgia" w:eastAsia="Times New Roman" w:hAnsi="Georgia" w:cs="Times New Roman"/>
      <w:b/>
      <w:bCs/>
      <w:sz w:val="20"/>
      <w:szCs w:val="24"/>
      <w:lang w:val="en-US"/>
    </w:rPr>
  </w:style>
  <w:style w:type="paragraph" w:customStyle="1" w:styleId="xl83">
    <w:name w:val="xl83"/>
    <w:basedOn w:val="Normal"/>
    <w:pPr>
      <w:pBdr>
        <w:bottom w:val="single" w:sz="12" w:space="0" w:color="FF0000"/>
      </w:pBd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84">
    <w:name w:val="xl84"/>
    <w:basedOn w:val="Normal"/>
    <w:pPr>
      <w:pBdr>
        <w:bottom w:val="single" w:sz="12" w:space="0" w:color="FF0000"/>
      </w:pBd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85">
    <w:name w:val="xl85"/>
    <w:basedOn w:val="Normal"/>
    <w:pPr>
      <w:pBdr>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4"/>
      <w:lang w:val="en-US"/>
    </w:rPr>
  </w:style>
  <w:style w:type="paragraph" w:customStyle="1" w:styleId="xl86">
    <w:name w:val="xl86"/>
    <w:basedOn w:val="Normal"/>
    <w:pPr>
      <w:pBdr>
        <w:top w:val="single" w:sz="4" w:space="0" w:color="BFBFBF"/>
        <w:bottom w:val="single" w:sz="4" w:space="0" w:color="D9D9D9"/>
      </w:pBd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87">
    <w:name w:val="xl87"/>
    <w:basedOn w:val="Normal"/>
    <w:pPr>
      <w:pBdr>
        <w:top w:val="single" w:sz="4" w:space="0" w:color="BFBFBF"/>
        <w:bottom w:val="single" w:sz="4" w:space="0" w:color="D9D9D9"/>
      </w:pBd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88">
    <w:name w:val="xl88"/>
    <w:basedOn w:val="Normal"/>
    <w:pPr>
      <w:pBdr>
        <w:top w:val="single" w:sz="4" w:space="0" w:color="BFBFBF"/>
        <w:bottom w:val="single" w:sz="4" w:space="0" w:color="D9D9D9"/>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4"/>
      <w:lang w:val="en-US"/>
    </w:rPr>
  </w:style>
  <w:style w:type="paragraph" w:customStyle="1" w:styleId="xl89">
    <w:name w:val="xl89"/>
    <w:basedOn w:val="Normal"/>
    <w:pPr>
      <w:pBdr>
        <w:top w:val="single" w:sz="4" w:space="0" w:color="D9D9D9"/>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90">
    <w:name w:val="xl90"/>
    <w:basedOn w:val="Normal"/>
    <w:pPr>
      <w:pBdr>
        <w:top w:val="single" w:sz="4" w:space="0" w:color="D9D9D9"/>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91">
    <w:name w:val="xl91"/>
    <w:basedOn w:val="Normal"/>
    <w:pPr>
      <w:pBdr>
        <w:top w:val="single" w:sz="4" w:space="0" w:color="D9D9D9"/>
        <w:bottom w:val="single" w:sz="4" w:space="0" w:color="BFBFBF"/>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4"/>
      <w:lang w:val="en-US"/>
    </w:rPr>
  </w:style>
  <w:style w:type="paragraph" w:customStyle="1" w:styleId="xl92">
    <w:name w:val="xl92"/>
    <w:basedOn w:val="Normal"/>
    <w:pPr>
      <w:pBdr>
        <w:top w:val="single" w:sz="4" w:space="0" w:color="BFBFBF"/>
        <w:bottom w:val="single" w:sz="4" w:space="0" w:color="D9D9D9"/>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4"/>
      <w:lang w:val="en-US"/>
    </w:rPr>
  </w:style>
  <w:style w:type="paragraph" w:customStyle="1" w:styleId="xl93">
    <w:name w:val="xl93"/>
    <w:basedOn w:val="Normal"/>
    <w:pPr>
      <w:pBdr>
        <w:top w:val="single" w:sz="12" w:space="0" w:color="FFFFFF"/>
        <w:left w:val="single" w:sz="12" w:space="0" w:color="FFFFFF"/>
      </w:pBdr>
      <w:shd w:val="clear" w:color="000000" w:fill="D9D9D9"/>
      <w:spacing w:before="100" w:beforeAutospacing="1" w:after="100" w:afterAutospacing="1"/>
      <w:jc w:val="center"/>
      <w:textAlignment w:val="center"/>
    </w:pPr>
    <w:rPr>
      <w:rFonts w:ascii="Georgia" w:eastAsia="Times New Roman" w:hAnsi="Georgia" w:cs="Times New Roman"/>
      <w:b/>
      <w:bCs/>
      <w:sz w:val="20"/>
      <w:szCs w:val="24"/>
      <w:lang w:val="en-US"/>
    </w:rPr>
  </w:style>
  <w:style w:type="paragraph" w:customStyle="1" w:styleId="xl94">
    <w:name w:val="xl94"/>
    <w:basedOn w:val="Normal"/>
    <w:pPr>
      <w:pBdr>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4"/>
      <w:lang w:val="en-US"/>
    </w:rPr>
  </w:style>
  <w:style w:type="paragraph" w:customStyle="1" w:styleId="xl95">
    <w:name w:val="xl95"/>
    <w:basedOn w:val="Normal"/>
    <w:pP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96">
    <w:name w:val="xl96"/>
    <w:basedOn w:val="Normal"/>
    <w:pPr>
      <w:pBdr>
        <w:top w:val="single" w:sz="4" w:space="0" w:color="BFBFBF"/>
        <w:bottom w:val="single" w:sz="4" w:space="0" w:color="BFBFBF"/>
      </w:pBdr>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97">
    <w:name w:val="xl97"/>
    <w:basedOn w:val="Normal"/>
    <w:pPr>
      <w:pBdr>
        <w:top w:val="single" w:sz="4" w:space="0" w:color="BFBFBF"/>
        <w:bottom w:val="single" w:sz="4" w:space="0" w:color="BFBFBF"/>
      </w:pBdr>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98">
    <w:name w:val="xl98"/>
    <w:basedOn w:val="Normal"/>
    <w:pPr>
      <w:pBdr>
        <w:top w:val="single" w:sz="4" w:space="0" w:color="BFBFBF"/>
        <w:bottom w:val="single" w:sz="4" w:space="0" w:color="BFBFBF"/>
      </w:pBdr>
      <w:spacing w:before="100" w:beforeAutospacing="1" w:after="100" w:afterAutospacing="1"/>
      <w:jc w:val="center"/>
      <w:textAlignment w:val="center"/>
    </w:pPr>
    <w:rPr>
      <w:rFonts w:ascii="Georgia" w:eastAsia="Times New Roman" w:hAnsi="Georgia" w:cs="Times New Roman"/>
      <w:color w:val="000000"/>
      <w:sz w:val="20"/>
      <w:szCs w:val="24"/>
      <w:lang w:val="en-US"/>
    </w:rPr>
  </w:style>
  <w:style w:type="paragraph" w:customStyle="1" w:styleId="xl99">
    <w:name w:val="xl99"/>
    <w:basedOn w:val="Normal"/>
    <w:pPr>
      <w:pBdr>
        <w:top w:val="single" w:sz="4" w:space="0" w:color="BFBFBF"/>
        <w:bottom w:val="single" w:sz="4" w:space="0" w:color="BFBFBF"/>
      </w:pBdr>
      <w:spacing w:before="100" w:beforeAutospacing="1" w:after="100" w:afterAutospacing="1"/>
      <w:jc w:val="center"/>
      <w:textAlignment w:val="center"/>
    </w:pPr>
    <w:rPr>
      <w:rFonts w:ascii="Georgia" w:eastAsia="Times New Roman" w:hAnsi="Georgia" w:cs="Times New Roman"/>
      <w:color w:val="000000"/>
      <w:sz w:val="20"/>
      <w:szCs w:val="24"/>
      <w:lang w:val="en-US"/>
    </w:rPr>
  </w:style>
  <w:style w:type="paragraph" w:customStyle="1" w:styleId="xl100">
    <w:name w:val="xl100"/>
    <w:basedOn w:val="Normal"/>
    <w:pPr>
      <w:pBdr>
        <w:top w:val="single" w:sz="12" w:space="0" w:color="FF0000"/>
        <w:left w:val="single" w:sz="12" w:space="0" w:color="FFFFFF"/>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b/>
      <w:bCs/>
      <w:sz w:val="20"/>
      <w:szCs w:val="24"/>
      <w:lang w:val="en-US"/>
    </w:rPr>
  </w:style>
  <w:style w:type="paragraph" w:customStyle="1" w:styleId="xl101">
    <w:name w:val="xl101"/>
    <w:basedOn w:val="Normal"/>
    <w:pPr>
      <w:pBdr>
        <w:top w:val="single" w:sz="12" w:space="0" w:color="FF0000"/>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b/>
      <w:bCs/>
      <w:sz w:val="20"/>
      <w:szCs w:val="24"/>
      <w:lang w:val="en-US"/>
    </w:rPr>
  </w:style>
  <w:style w:type="paragraph" w:customStyle="1" w:styleId="Pa0">
    <w:name w:val="Pa0"/>
    <w:basedOn w:val="Default"/>
    <w:next w:val="Default"/>
    <w:uiPriority w:val="99"/>
    <w:pPr>
      <w:adjustRightInd w:val="0"/>
      <w:spacing w:line="241" w:lineRule="atLeast"/>
    </w:pPr>
    <w:rPr>
      <w:rFonts w:ascii="HelveticaRounded LT Std Blk" w:eastAsia="Times New Roman" w:hAnsi="HelveticaRounded LT Std Blk"/>
      <w:color w:val="auto"/>
      <w:lang w:val="it-IT"/>
    </w:rPr>
  </w:style>
  <w:style w:type="character" w:customStyle="1" w:styleId="A0">
    <w:name w:val="A0"/>
    <w:uiPriority w:val="99"/>
    <w:rPr>
      <w:rFonts w:cs="HelveticaRounded LT Std Blk"/>
      <w:b/>
      <w:bCs/>
      <w:color w:val="000000"/>
      <w:sz w:val="58"/>
      <w:szCs w:val="58"/>
    </w:rPr>
  </w:style>
  <w:style w:type="character" w:customStyle="1" w:styleId="A5">
    <w:name w:val="A5"/>
    <w:uiPriority w:val="99"/>
    <w:rPr>
      <w:rFonts w:cs="Myriad Pro Cond"/>
      <w:b/>
      <w:bCs/>
      <w:color w:val="000000"/>
      <w:sz w:val="56"/>
      <w:szCs w:val="56"/>
    </w:rPr>
  </w:style>
  <w:style w:type="character" w:customStyle="1" w:styleId="A1">
    <w:name w:val="A1"/>
    <w:uiPriority w:val="99"/>
    <w:rPr>
      <w:rFonts w:cs="HelveticaRounded LT Std Blk"/>
      <w:b/>
      <w:bCs/>
      <w:color w:val="000000"/>
      <w:sz w:val="32"/>
      <w:szCs w:val="32"/>
    </w:rPr>
  </w:style>
  <w:style w:type="character" w:styleId="PlaceholderText">
    <w:name w:val="Placeholder Text"/>
    <w:basedOn w:val="DefaultParagraphFont"/>
    <w:uiPriority w:val="99"/>
    <w:rPr>
      <w:color w:val="808080"/>
    </w:rPr>
  </w:style>
  <w:style w:type="paragraph" w:customStyle="1" w:styleId="caption110">
    <w:name w:val="caption11"/>
    <w:basedOn w:val="BodyText0"/>
    <w:link w:val="caption11Char"/>
    <w:qFormat/>
    <w:pPr>
      <w:spacing w:before="240"/>
      <w:jc w:val="center"/>
    </w:pPr>
    <w:rPr>
      <w:rFonts w:ascii="Verdana" w:hAnsi="Verdana"/>
      <w:color w:val="595959"/>
      <w:sz w:val="18"/>
      <w:szCs w:val="18"/>
    </w:rPr>
  </w:style>
  <w:style w:type="character" w:customStyle="1" w:styleId="caption11Char">
    <w:name w:val="caption11 Char"/>
    <w:basedOn w:val="DefaultParagraphFont"/>
    <w:link w:val="caption110"/>
    <w:rPr>
      <w:rFonts w:ascii="Verdana" w:eastAsia="Times New Roman" w:hAnsi="Verdana" w:cs="Times New Roman"/>
      <w:color w:val="595959"/>
      <w:sz w:val="18"/>
      <w:szCs w:val="18"/>
    </w:rPr>
  </w:style>
  <w:style w:type="paragraph" w:customStyle="1" w:styleId="footnote3fig">
    <w:name w:val="footnote3fig"/>
    <w:basedOn w:val="FootnoteText"/>
    <w:link w:val="footnote3figChar"/>
    <w:qFormat/>
    <w:pPr>
      <w:spacing w:before="120" w:line="276" w:lineRule="auto"/>
      <w:ind w:left="255" w:hanging="255"/>
    </w:pPr>
    <w:rPr>
      <w:rFonts w:ascii="Verdana" w:eastAsia="Times New Roman" w:hAnsi="Verdana" w:cs="Times New Roman"/>
      <w:sz w:val="16"/>
      <w:szCs w:val="16"/>
    </w:rPr>
  </w:style>
  <w:style w:type="character" w:customStyle="1" w:styleId="footnote3figChar">
    <w:name w:val="footnote3fig Char"/>
    <w:basedOn w:val="DefaultParagraphFont"/>
    <w:link w:val="footnote3fig"/>
    <w:rPr>
      <w:rFonts w:ascii="Verdana" w:eastAsia="Times New Roman" w:hAnsi="Verdana" w:cs="Times New Roman"/>
      <w:sz w:val="16"/>
      <w:szCs w:val="16"/>
    </w:rPr>
  </w:style>
  <w:style w:type="paragraph" w:customStyle="1" w:styleId="Bullet2">
    <w:name w:val="Bullet 2"/>
    <w:basedOn w:val="BodyText0"/>
    <w:link w:val="Bullet2Char"/>
    <w:qFormat/>
    <w:pPr>
      <w:spacing w:after="80" w:line="259" w:lineRule="auto"/>
      <w:ind w:left="1080" w:hanging="360"/>
    </w:pPr>
    <w:rPr>
      <w:rFonts w:ascii="Calibri" w:eastAsia="Calibri" w:hAnsi="Calibri"/>
      <w:sz w:val="20"/>
      <w:szCs w:val="22"/>
      <w:lang w:eastAsia="nl-BE"/>
    </w:rPr>
  </w:style>
  <w:style w:type="character" w:customStyle="1" w:styleId="Bullet2Char">
    <w:name w:val="Bullet 2 Char"/>
    <w:basedOn w:val="ListParagraph1Char"/>
    <w:link w:val="Bullet2"/>
    <w:rPr>
      <w:rFonts w:ascii="Calibri" w:eastAsia="Calibri" w:hAnsi="Calibri" w:cs="Times New Roman"/>
      <w:sz w:val="20"/>
      <w:lang w:eastAsia="nl-BE"/>
    </w:rPr>
  </w:style>
  <w:style w:type="character" w:customStyle="1" w:styleId="SourceChar">
    <w:name w:val="Source Char"/>
    <w:basedOn w:val="DefaultParagraphFont"/>
    <w:link w:val="Source0"/>
    <w:rPr>
      <w:rFonts w:ascii="Georgia" w:eastAsia="Times New Roman" w:hAnsi="Georgia" w:cs="Times New Roman"/>
      <w:color w:val="333333"/>
      <w:sz w:val="18"/>
      <w:szCs w:val="24"/>
    </w:rPr>
  </w:style>
  <w:style w:type="paragraph" w:customStyle="1" w:styleId="Tablebullet1">
    <w:name w:val="Table bullet 1"/>
    <w:basedOn w:val="Bullet1"/>
    <w:link w:val="Tablebullet1Char"/>
    <w:qFormat/>
    <w:pPr>
      <w:numPr>
        <w:numId w:val="0"/>
      </w:numPr>
      <w:tabs>
        <w:tab w:val="clear" w:pos="5387"/>
      </w:tabs>
      <w:spacing w:before="60" w:after="80" w:line="240" w:lineRule="auto"/>
      <w:ind w:left="360" w:hanging="360"/>
      <w:jc w:val="left"/>
    </w:pPr>
    <w:rPr>
      <w:rFonts w:eastAsia="Calibri"/>
      <w:kern w:val="16"/>
      <w:sz w:val="16"/>
      <w:szCs w:val="20"/>
    </w:rPr>
  </w:style>
  <w:style w:type="character" w:customStyle="1" w:styleId="Tablebullet1Char">
    <w:name w:val="Table bullet 1 Char"/>
    <w:basedOn w:val="DefaultParagraphFont"/>
    <w:link w:val="Tablebullet1"/>
    <w:rPr>
      <w:rFonts w:ascii="Georgia" w:eastAsia="Calibri" w:hAnsi="Georgia" w:cs="Times New Roman"/>
      <w:kern w:val="16"/>
      <w:sz w:val="16"/>
      <w:szCs w:val="20"/>
    </w:rPr>
  </w:style>
  <w:style w:type="paragraph" w:customStyle="1" w:styleId="Tablenumber1">
    <w:name w:val="Table number 1"/>
    <w:basedOn w:val="Normal"/>
    <w:link w:val="Tablenumber1Char"/>
    <w:qFormat/>
    <w:pPr>
      <w:numPr>
        <w:numId w:val="36"/>
      </w:numPr>
      <w:spacing w:after="0" w:line="240" w:lineRule="auto"/>
      <w:ind w:left="284" w:hanging="227"/>
    </w:pPr>
    <w:rPr>
      <w:rFonts w:ascii="Georgia" w:eastAsia="MS Mincho" w:hAnsi="Georgia"/>
      <w:kern w:val="16"/>
      <w:sz w:val="16"/>
    </w:rPr>
  </w:style>
  <w:style w:type="character" w:customStyle="1" w:styleId="Tablenumber1Char">
    <w:name w:val="Table number 1 Char"/>
    <w:basedOn w:val="DefaultParagraphFont"/>
    <w:link w:val="Tablenumber1"/>
    <w:rPr>
      <w:rFonts w:ascii="Georgia" w:eastAsia="MS Mincho" w:hAnsi="Georgia"/>
      <w:kern w:val="16"/>
      <w:sz w:val="16"/>
    </w:rPr>
  </w:style>
  <w:style w:type="character" w:customStyle="1" w:styleId="IntenseEmphasis1">
    <w:name w:val="Intense Emphasis1"/>
    <w:basedOn w:val="DefaultParagraphFont"/>
    <w:uiPriority w:val="21"/>
    <w:qFormat/>
    <w:rPr>
      <w:i/>
      <w:iCs/>
      <w:color w:val="4F81BD"/>
    </w:rPr>
  </w:style>
  <w:style w:type="character" w:customStyle="1" w:styleId="Bullet1Char">
    <w:name w:val="Bullet 1 Char"/>
    <w:basedOn w:val="ListParagraph1Char"/>
    <w:link w:val="Bullet1"/>
    <w:rPr>
      <w:rFonts w:ascii="Georgia" w:eastAsia="Times New Roman" w:hAnsi="Georgia" w:cs="Times New Roman"/>
      <w:sz w:val="20"/>
      <w:szCs w:val="24"/>
      <w:lang w:eastAsia="nl-BE"/>
    </w:rPr>
  </w:style>
  <w:style w:type="character" w:customStyle="1" w:styleId="highlight">
    <w:name w:val="highlight"/>
    <w:basedOn w:val="DefaultParagraphFont"/>
  </w:style>
  <w:style w:type="paragraph" w:customStyle="1" w:styleId="p1">
    <w:name w:val="p1"/>
    <w:basedOn w:val="Normal"/>
    <w:pPr>
      <w:spacing w:after="0" w:line="240" w:lineRule="auto"/>
    </w:pPr>
    <w:rPr>
      <w:rFonts w:ascii="Times" w:hAnsi="Times" w:cs="Times New Roman"/>
      <w:sz w:val="18"/>
      <w:szCs w:val="18"/>
      <w:lang w:eastAsia="en-GB"/>
    </w:rPr>
  </w:style>
  <w:style w:type="paragraph" w:customStyle="1" w:styleId="supGrundschriftEinzug">
    <w:name w:val="sup_Grundschrift_Einzug"/>
    <w:basedOn w:val="Normal"/>
    <w:qFormat/>
    <w:pPr>
      <w:spacing w:after="320" w:line="320" w:lineRule="exact"/>
      <w:ind w:left="851"/>
      <w:jc w:val="both"/>
    </w:pPr>
    <w:rPr>
      <w:rFonts w:ascii="Times New Roman" w:eastAsia="Calibri" w:hAnsi="Times New Roman" w:cs="Arial"/>
      <w:lang w:val="de-DE"/>
    </w:rPr>
  </w:style>
  <w:style w:type="character" w:customStyle="1" w:styleId="citationarticletitle">
    <w:name w:val="citationarticletitle"/>
    <w:basedOn w:val="DefaultParagraphFont"/>
  </w:style>
  <w:style w:type="table" w:customStyle="1" w:styleId="TechnopolisLight2">
    <w:name w:val="Technopolis Light2"/>
    <w:basedOn w:val="TableNormal"/>
    <w:uiPriority w:val="99"/>
    <w:pPr>
      <w:spacing w:before="60" w:after="60" w:line="240" w:lineRule="auto"/>
    </w:pPr>
    <w:rPr>
      <w:rFonts w:ascii="Cambria" w:hAnsi="Cambria"/>
      <w:sz w:val="16"/>
      <w:lang w:val="en-US"/>
    </w:rPr>
    <w:tblPr>
      <w:tblBorders>
        <w:insideH w:val="single" w:sz="4" w:space="0" w:color="8064A2"/>
        <w:insideV w:val="single" w:sz="4" w:space="0" w:color="8064A2"/>
      </w:tblBorders>
      <w:tblCellMar>
        <w:top w:w="57" w:type="dxa"/>
        <w:bottom w:w="57" w:type="dxa"/>
      </w:tblCellMar>
    </w:tblPr>
    <w:tcPr>
      <w:vAlign w:val="center"/>
    </w:tcPr>
    <w:tblStylePr w:type="firstRow">
      <w:rPr>
        <w:i/>
      </w:rPr>
      <w:tblPr/>
      <w:tcPr>
        <w:tcBorders>
          <w:bottom w:val="single" w:sz="4" w:space="0" w:color="4F81BD"/>
        </w:tcBorders>
      </w:tcPr>
    </w:tblStylePr>
  </w:style>
  <w:style w:type="paragraph" w:customStyle="1" w:styleId="NoSpacing1">
    <w:name w:val="No Spacing1"/>
    <w:next w:val="NoSpacing"/>
    <w:uiPriority w:val="1"/>
    <w:qFormat/>
    <w:pPr>
      <w:spacing w:after="0" w:line="240" w:lineRule="auto"/>
    </w:pPr>
    <w:rPr>
      <w:noProof/>
      <w:sz w:val="24"/>
      <w:lang w:val="nl-NL"/>
    </w:rPr>
  </w:style>
  <w:style w:type="paragraph" w:customStyle="1" w:styleId="IntenseQuote1">
    <w:name w:val="Intense Quote1"/>
    <w:basedOn w:val="BodyText0"/>
    <w:next w:val="BodyText0"/>
    <w:uiPriority w:val="30"/>
    <w:qFormat/>
    <w:pPr>
      <w:pBdr>
        <w:top w:val="single" w:sz="4" w:space="10" w:color="4F81BD"/>
        <w:bottom w:val="single" w:sz="4" w:space="10" w:color="4F81BD"/>
      </w:pBdr>
      <w:spacing w:before="360" w:after="360" w:line="259" w:lineRule="auto"/>
      <w:ind w:left="864" w:right="864"/>
    </w:pPr>
    <w:rPr>
      <w:rFonts w:ascii="Calibri" w:eastAsia="Calibri" w:hAnsi="Calibri"/>
      <w:i/>
      <w:iCs/>
      <w:color w:val="4F81BD"/>
      <w:sz w:val="20"/>
      <w:szCs w:val="22"/>
    </w:rPr>
  </w:style>
  <w:style w:type="character" w:customStyle="1" w:styleId="IntenseQuoteChar">
    <w:name w:val="Intense Quote Char"/>
    <w:basedOn w:val="DefaultParagraphFont"/>
    <w:link w:val="IntenseQuote"/>
    <w:uiPriority w:val="30"/>
    <w:rPr>
      <w:rFonts w:ascii="Calibri" w:eastAsia="Calibri" w:hAnsi="Calibri" w:cs="Times New Roman"/>
      <w:i/>
      <w:iCs/>
      <w:color w:val="4F81BD"/>
      <w:szCs w:val="22"/>
      <w:lang w:val="en-GB" w:eastAsia="en-US"/>
    </w:rPr>
  </w:style>
  <w:style w:type="character" w:customStyle="1" w:styleId="SubtleReference1">
    <w:name w:val="Subtle Reference1"/>
    <w:basedOn w:val="DefaultParagraphFont"/>
    <w:uiPriority w:val="31"/>
    <w:qFormat/>
    <w:rPr>
      <w:smallCaps/>
      <w:color w:val="5A5A5A"/>
    </w:rPr>
  </w:style>
  <w:style w:type="character" w:customStyle="1" w:styleId="IntenseReference1">
    <w:name w:val="Intense Reference1"/>
    <w:basedOn w:val="DefaultParagraphFont"/>
    <w:uiPriority w:val="32"/>
    <w:qFormat/>
    <w:rPr>
      <w:b/>
      <w:bCs/>
      <w:smallCaps/>
      <w:color w:val="4F81BD"/>
      <w:spacing w:val="5"/>
    </w:rPr>
  </w:style>
  <w:style w:type="character" w:styleId="BookTitle">
    <w:name w:val="Book Title"/>
    <w:basedOn w:val="DefaultParagraphFont"/>
    <w:uiPriority w:val="33"/>
    <w:qFormat/>
    <w:rPr>
      <w:b/>
      <w:bCs/>
      <w:i/>
      <w:iCs/>
      <w:spacing w:val="5"/>
    </w:rPr>
  </w:style>
  <w:style w:type="character" w:customStyle="1" w:styleId="AppendixHeading1Char">
    <w:name w:val="Appendix Heading 1 Char"/>
    <w:basedOn w:val="DefaultParagraphFont"/>
    <w:link w:val="AppendixHeading1"/>
    <w:rPr>
      <w:rFonts w:ascii="Georgia" w:eastAsia="Times New Roman" w:hAnsi="Georgia" w:cs="Times New Roman"/>
      <w:sz w:val="28"/>
      <w:szCs w:val="24"/>
    </w:rPr>
  </w:style>
  <w:style w:type="character" w:customStyle="1" w:styleId="AppendixHeading2Char">
    <w:name w:val="Appendix Heading 2 Char"/>
    <w:basedOn w:val="AppendixHeading1Char"/>
    <w:link w:val="AppendixHeading2"/>
    <w:rPr>
      <w:rFonts w:ascii="Georgia" w:eastAsia="Times New Roman" w:hAnsi="Georgia" w:cs="Times New Roman"/>
      <w:color w:val="FF0000"/>
      <w:sz w:val="28"/>
      <w:szCs w:val="24"/>
    </w:rPr>
  </w:style>
  <w:style w:type="paragraph" w:customStyle="1" w:styleId="Table">
    <w:name w:val="Table"/>
    <w:basedOn w:val="BodyText0"/>
    <w:link w:val="TableChar"/>
    <w:qFormat/>
    <w:pPr>
      <w:spacing w:after="0"/>
      <w:jc w:val="left"/>
    </w:pPr>
    <w:rPr>
      <w:rFonts w:ascii="Georgia" w:eastAsia="Calibri" w:hAnsi="Georgia"/>
      <w:kern w:val="16"/>
      <w:sz w:val="16"/>
      <w:szCs w:val="22"/>
    </w:rPr>
  </w:style>
  <w:style w:type="character" w:customStyle="1" w:styleId="TableChar">
    <w:name w:val="Table Char"/>
    <w:basedOn w:val="DefaultParagraphFont"/>
    <w:link w:val="Table"/>
    <w:rPr>
      <w:rFonts w:ascii="Georgia" w:eastAsia="Calibri" w:hAnsi="Georgia" w:cs="Times New Roman"/>
      <w:kern w:val="16"/>
      <w:sz w:val="16"/>
    </w:rPr>
  </w:style>
  <w:style w:type="paragraph" w:customStyle="1" w:styleId="Tablenumber2">
    <w:name w:val="Table number 2"/>
    <w:basedOn w:val="Tablenumber1"/>
    <w:link w:val="Tablenumber2Char"/>
    <w:qFormat/>
    <w:pPr>
      <w:numPr>
        <w:numId w:val="37"/>
      </w:numPr>
      <w:ind w:left="397" w:hanging="227"/>
    </w:pPr>
    <w:rPr>
      <w:rFonts w:eastAsia="Calibri"/>
    </w:rPr>
  </w:style>
  <w:style w:type="character" w:customStyle="1" w:styleId="HeadlineChar">
    <w:name w:val="Headline Char"/>
    <w:basedOn w:val="DefaultParagraphFont"/>
    <w:link w:val="Headline"/>
    <w:rPr>
      <w:rFonts w:ascii="Georgia" w:eastAsia="Times New Roman" w:hAnsi="Georgia" w:cs="Times New Roman"/>
      <w:b/>
      <w:sz w:val="24"/>
      <w:szCs w:val="24"/>
    </w:rPr>
  </w:style>
  <w:style w:type="paragraph" w:customStyle="1" w:styleId="Tablebullet2">
    <w:name w:val="Table bullet 2"/>
    <w:basedOn w:val="Bullet2"/>
    <w:link w:val="Tablebullet2Char"/>
    <w:qFormat/>
    <w:pPr>
      <w:tabs>
        <w:tab w:val="num" w:pos="1200"/>
      </w:tabs>
      <w:spacing w:before="60" w:line="240" w:lineRule="auto"/>
      <w:ind w:left="340" w:hanging="227"/>
      <w:jc w:val="left"/>
    </w:pPr>
    <w:rPr>
      <w:rFonts w:ascii="Georgia" w:hAnsi="Georgia"/>
      <w:kern w:val="16"/>
      <w:sz w:val="16"/>
      <w:szCs w:val="16"/>
    </w:rPr>
  </w:style>
  <w:style w:type="paragraph" w:customStyle="1" w:styleId="Tablebullet3">
    <w:name w:val="Table bullet 3"/>
    <w:basedOn w:val="Bullet3"/>
    <w:link w:val="Tablebullet3Char"/>
    <w:qFormat/>
    <w:pPr>
      <w:numPr>
        <w:numId w:val="0"/>
      </w:numPr>
      <w:tabs>
        <w:tab w:val="num" w:pos="1920"/>
      </w:tabs>
      <w:spacing w:before="60" w:after="80" w:line="240" w:lineRule="auto"/>
      <w:ind w:left="454" w:hanging="227"/>
      <w:jc w:val="left"/>
    </w:pPr>
    <w:rPr>
      <w:rFonts w:eastAsia="Calibri"/>
      <w:kern w:val="16"/>
      <w:sz w:val="16"/>
      <w:szCs w:val="16"/>
    </w:rPr>
  </w:style>
  <w:style w:type="character" w:customStyle="1" w:styleId="Tablebullet2Char">
    <w:name w:val="Table bullet 2 Char"/>
    <w:basedOn w:val="Bullet2Char"/>
    <w:link w:val="Tablebullet2"/>
    <w:rPr>
      <w:rFonts w:ascii="Georgia" w:eastAsia="Calibri" w:hAnsi="Georgia" w:cs="Times New Roman"/>
      <w:kern w:val="16"/>
      <w:sz w:val="16"/>
      <w:szCs w:val="16"/>
      <w:lang w:eastAsia="nl-BE"/>
    </w:rPr>
  </w:style>
  <w:style w:type="character" w:customStyle="1" w:styleId="Tablebullet3Char">
    <w:name w:val="Table bullet 3 Char"/>
    <w:basedOn w:val="Bullet3Char"/>
    <w:link w:val="Tablebullet3"/>
    <w:rPr>
      <w:rFonts w:ascii="Georgia" w:eastAsia="Calibri" w:hAnsi="Georgia" w:cs="Times New Roman"/>
      <w:kern w:val="16"/>
      <w:sz w:val="16"/>
      <w:szCs w:val="16"/>
    </w:rPr>
  </w:style>
  <w:style w:type="paragraph" w:customStyle="1" w:styleId="Tablenumber3">
    <w:name w:val="Table number 3"/>
    <w:basedOn w:val="Tablenumber2"/>
    <w:link w:val="Tablenumber3Char"/>
    <w:qFormat/>
    <w:pPr>
      <w:numPr>
        <w:numId w:val="38"/>
      </w:numPr>
      <w:ind w:left="511" w:hanging="227"/>
    </w:pPr>
  </w:style>
  <w:style w:type="character" w:customStyle="1" w:styleId="Tablenumber2Char">
    <w:name w:val="Table number 2 Char"/>
    <w:basedOn w:val="Tablenumber1Char"/>
    <w:link w:val="Tablenumber2"/>
    <w:rPr>
      <w:rFonts w:ascii="Georgia" w:eastAsia="Calibri" w:hAnsi="Georgia"/>
      <w:kern w:val="16"/>
      <w:sz w:val="16"/>
    </w:rPr>
  </w:style>
  <w:style w:type="character" w:customStyle="1" w:styleId="Tablenumber3Char">
    <w:name w:val="Table number 3 Char"/>
    <w:basedOn w:val="Tablenumber2Char"/>
    <w:link w:val="Tablenumber3"/>
    <w:rPr>
      <w:rFonts w:ascii="Georgia" w:eastAsia="Calibri" w:hAnsi="Georgia"/>
      <w:kern w:val="16"/>
      <w:sz w:val="16"/>
    </w:rPr>
  </w:style>
  <w:style w:type="paragraph" w:customStyle="1" w:styleId="BodyText1">
    <w:name w:val="Body Text1"/>
    <w:basedOn w:val="Normal"/>
    <w:link w:val="BodytextChar1"/>
    <w:pPr>
      <w:spacing w:after="160" w:line="259" w:lineRule="auto"/>
      <w:jc w:val="both"/>
    </w:pPr>
    <w:rPr>
      <w:sz w:val="20"/>
    </w:rPr>
  </w:style>
  <w:style w:type="character" w:customStyle="1" w:styleId="BodytextChar1">
    <w:name w:val="Body text Char"/>
    <w:basedOn w:val="DefaultParagraphFont"/>
    <w:link w:val="BodyText1"/>
    <w:rPr>
      <w:sz w:val="20"/>
    </w:rPr>
  </w:style>
  <w:style w:type="paragraph" w:customStyle="1" w:styleId="FA8C947BA57F488C9EA9A462B5D450C2">
    <w:name w:val="FA8C947BA57F488C9EA9A462B5D450C2"/>
    <w:pPr>
      <w:spacing w:after="160" w:line="259" w:lineRule="auto"/>
    </w:pPr>
    <w:rPr>
      <w:rFonts w:eastAsia="MS Mincho"/>
      <w:lang w:val="et-EE" w:eastAsia="et-EE"/>
    </w:rPr>
  </w:style>
  <w:style w:type="table" w:customStyle="1" w:styleId="TableGridLight1">
    <w:name w:val="Table Grid Light1"/>
    <w:basedOn w:val="TableNormal"/>
    <w:uiPriority w:val="40"/>
    <w:pPr>
      <w:spacing w:after="0" w:line="240" w:lineRule="auto"/>
    </w:pPr>
    <w:rPr>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tyle5">
    <w:name w:val="Style5"/>
    <w:basedOn w:val="Heading5"/>
    <w:rPr>
      <w:szCs w:val="20"/>
    </w:rPr>
  </w:style>
  <w:style w:type="paragraph" w:customStyle="1" w:styleId="Style7">
    <w:name w:val="Style7"/>
    <w:basedOn w:val="Heading5"/>
    <w:rPr>
      <w:szCs w:val="20"/>
    </w:rPr>
  </w:style>
  <w:style w:type="numbering" w:customStyle="1" w:styleId="supNumTextListe">
    <w:name w:val="sup_NumText_Liste"/>
    <w:uiPriority w:val="99"/>
    <w:pPr>
      <w:numPr>
        <w:numId w:val="39"/>
      </w:numPr>
    </w:pPr>
  </w:style>
  <w:style w:type="paragraph" w:customStyle="1" w:styleId="supVertragNumtext1">
    <w:name w:val="sup_VertragNumtext_1"/>
    <w:basedOn w:val="Normal"/>
    <w:qFormat/>
    <w:pPr>
      <w:numPr>
        <w:numId w:val="40"/>
      </w:numPr>
      <w:spacing w:before="320" w:after="120" w:line="320" w:lineRule="exact"/>
      <w:jc w:val="both"/>
    </w:pPr>
    <w:rPr>
      <w:rFonts w:ascii="Times New Roman" w:eastAsia="Calibri" w:hAnsi="Times New Roman" w:cs="Arial"/>
      <w:lang w:val="de-DE"/>
    </w:rPr>
  </w:style>
  <w:style w:type="paragraph" w:customStyle="1" w:styleId="supVertragNumtext2">
    <w:name w:val="sup_VertragNumtext_2"/>
    <w:basedOn w:val="Normal"/>
    <w:qFormat/>
    <w:pPr>
      <w:numPr>
        <w:ilvl w:val="1"/>
        <w:numId w:val="40"/>
      </w:numPr>
      <w:spacing w:before="320" w:after="120" w:line="320" w:lineRule="exact"/>
      <w:jc w:val="both"/>
    </w:pPr>
    <w:rPr>
      <w:rFonts w:ascii="Times New Roman" w:eastAsia="Calibri" w:hAnsi="Times New Roman" w:cs="Arial"/>
      <w:lang w:val="de-DE"/>
    </w:rPr>
  </w:style>
  <w:style w:type="paragraph" w:customStyle="1" w:styleId="supVertragNumtext3">
    <w:name w:val="sup_VertragNumtext_3"/>
    <w:basedOn w:val="Normal"/>
    <w:qFormat/>
    <w:pPr>
      <w:numPr>
        <w:ilvl w:val="2"/>
        <w:numId w:val="40"/>
      </w:numPr>
      <w:spacing w:before="320" w:after="120" w:line="320" w:lineRule="exact"/>
      <w:jc w:val="both"/>
    </w:pPr>
    <w:rPr>
      <w:rFonts w:ascii="Times New Roman" w:eastAsia="Calibri" w:hAnsi="Times New Roman" w:cs="Arial"/>
      <w:lang w:val="de-DE"/>
    </w:rPr>
  </w:style>
  <w:style w:type="paragraph" w:customStyle="1" w:styleId="supVertragNumtext4">
    <w:name w:val="sup_VertragNumtext_4"/>
    <w:basedOn w:val="Normal"/>
    <w:qFormat/>
    <w:pPr>
      <w:numPr>
        <w:ilvl w:val="3"/>
        <w:numId w:val="40"/>
      </w:numPr>
      <w:spacing w:before="320" w:after="120" w:line="320" w:lineRule="exact"/>
      <w:jc w:val="both"/>
    </w:pPr>
    <w:rPr>
      <w:rFonts w:ascii="Times New Roman" w:eastAsia="Calibri" w:hAnsi="Times New Roman" w:cs="Arial"/>
      <w:lang w:val="de-DE"/>
    </w:rPr>
  </w:style>
  <w:style w:type="paragraph" w:customStyle="1" w:styleId="supVertragNumtext5">
    <w:name w:val="sup_VertragNumtext_5"/>
    <w:basedOn w:val="Normal"/>
    <w:next w:val="supGrundschriftEinzug"/>
    <w:qFormat/>
    <w:pPr>
      <w:numPr>
        <w:ilvl w:val="4"/>
        <w:numId w:val="40"/>
      </w:numPr>
      <w:spacing w:before="320" w:after="120" w:line="320" w:lineRule="exact"/>
      <w:jc w:val="both"/>
    </w:pPr>
    <w:rPr>
      <w:rFonts w:ascii="Times New Roman" w:eastAsia="Calibri" w:hAnsi="Times New Roman" w:cs="Arial"/>
      <w:lang w:val="de-DE"/>
    </w:rPr>
  </w:style>
  <w:style w:type="paragraph" w:customStyle="1" w:styleId="supVertragNumtext6">
    <w:name w:val="sup_VertragNumtext_6"/>
    <w:basedOn w:val="Normal"/>
    <w:next w:val="supGrundschriftEinzug"/>
    <w:qFormat/>
    <w:pPr>
      <w:numPr>
        <w:ilvl w:val="5"/>
        <w:numId w:val="40"/>
      </w:numPr>
      <w:spacing w:before="320" w:after="120" w:line="320" w:lineRule="exact"/>
      <w:jc w:val="both"/>
    </w:pPr>
    <w:rPr>
      <w:rFonts w:ascii="Times New Roman" w:eastAsia="Calibri" w:hAnsi="Times New Roman" w:cs="Arial"/>
      <w:lang w:val="de-DE"/>
    </w:rPr>
  </w:style>
  <w:style w:type="paragraph" w:customStyle="1" w:styleId="supVertragNumtext7">
    <w:name w:val="sup_VertragNumtext_7"/>
    <w:basedOn w:val="Normal"/>
    <w:next w:val="supGrundschriftEinzug"/>
    <w:qFormat/>
    <w:pPr>
      <w:numPr>
        <w:ilvl w:val="6"/>
        <w:numId w:val="40"/>
      </w:numPr>
      <w:spacing w:before="320" w:after="120" w:line="320" w:lineRule="exact"/>
      <w:jc w:val="both"/>
    </w:pPr>
    <w:rPr>
      <w:rFonts w:ascii="Times New Roman" w:eastAsia="Calibri" w:hAnsi="Times New Roman" w:cs="Arial"/>
      <w:lang w:val="de-DE"/>
    </w:rPr>
  </w:style>
  <w:style w:type="paragraph" w:customStyle="1" w:styleId="supVertragNumtext8">
    <w:name w:val="sup_VertragNumtext_8"/>
    <w:basedOn w:val="Normal"/>
    <w:next w:val="supGrundschriftEinzug"/>
    <w:qFormat/>
    <w:pPr>
      <w:numPr>
        <w:ilvl w:val="7"/>
        <w:numId w:val="40"/>
      </w:numPr>
      <w:spacing w:before="320" w:after="120" w:line="320" w:lineRule="exact"/>
      <w:jc w:val="both"/>
    </w:pPr>
    <w:rPr>
      <w:rFonts w:ascii="Times New Roman" w:eastAsia="Calibri" w:hAnsi="Times New Roman" w:cs="Arial"/>
      <w:lang w:val="de-DE"/>
    </w:rPr>
  </w:style>
  <w:style w:type="paragraph" w:customStyle="1" w:styleId="supVertragNumtext9">
    <w:name w:val="sup_VertragNumtext_9"/>
    <w:basedOn w:val="Normal"/>
    <w:next w:val="supGrundschriftEinzug"/>
    <w:qFormat/>
    <w:pPr>
      <w:numPr>
        <w:ilvl w:val="8"/>
        <w:numId w:val="40"/>
      </w:numPr>
      <w:spacing w:before="320" w:after="120" w:line="320" w:lineRule="exact"/>
      <w:jc w:val="both"/>
    </w:pPr>
    <w:rPr>
      <w:rFonts w:ascii="Times New Roman" w:eastAsia="Calibri" w:hAnsi="Times New Roman" w:cs="Arial"/>
      <w:lang w:val="de-DE"/>
    </w:rPr>
  </w:style>
  <w:style w:type="paragraph" w:customStyle="1" w:styleId="Heading20">
    <w:name w:val="Heading2"/>
    <w:basedOn w:val="Title2"/>
    <w:link w:val="Heading2Char1"/>
    <w:qFormat/>
    <w:pPr>
      <w:numPr>
        <w:numId w:val="0"/>
      </w:numPr>
    </w:pPr>
    <w:rPr>
      <w:rFonts w:ascii="Verdana" w:hAnsi="Verdana"/>
      <w:b/>
      <w:i/>
    </w:rPr>
  </w:style>
  <w:style w:type="character" w:customStyle="1" w:styleId="Heading2Char1">
    <w:name w:val="Heading2 Char"/>
    <w:link w:val="Heading20"/>
    <w:rPr>
      <w:rFonts w:ascii="Verdana" w:eastAsia="Times New Roman" w:hAnsi="Verdana" w:cs="Times New Roman"/>
      <w:b/>
      <w:i/>
      <w:sz w:val="24"/>
      <w:szCs w:val="24"/>
    </w:rPr>
  </w:style>
  <w:style w:type="paragraph" w:customStyle="1" w:styleId="Subtitle0">
    <w:name w:val="Subtitle_"/>
    <w:basedOn w:val="TOC2"/>
    <w:link w:val="SubtitleChar0"/>
    <w:qFormat/>
    <w:pPr>
      <w:ind w:left="0" w:firstLine="0"/>
    </w:pPr>
    <w:rPr>
      <w:b/>
      <w:i/>
      <w:sz w:val="20"/>
    </w:rPr>
  </w:style>
  <w:style w:type="character" w:customStyle="1" w:styleId="SubtitleChar0">
    <w:name w:val="Subtitle_ Char"/>
    <w:basedOn w:val="Heading2Char1"/>
    <w:link w:val="Subtitle0"/>
    <w:rPr>
      <w:rFonts w:ascii="Verdana" w:eastAsia="Times New Roman" w:hAnsi="Verdana" w:cs="Times New Roman"/>
      <w:b/>
      <w:i/>
      <w:sz w:val="20"/>
      <w:szCs w:val="24"/>
    </w:rPr>
  </w:style>
  <w:style w:type="character" w:styleId="SubtleEmphasis">
    <w:name w:val="Subtle Emphasis"/>
    <w:basedOn w:val="DefaultParagraphFont"/>
    <w:uiPriority w:val="19"/>
    <w:qFormat/>
    <w:rPr>
      <w:i/>
      <w:iCs/>
      <w:color w:val="808080" w:themeColor="text1" w:themeTint="7F"/>
    </w:r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IntenseEmphasis">
    <w:name w:val="Intense Emphasis"/>
    <w:basedOn w:val="DefaultParagraphFont"/>
    <w:uiPriority w:val="21"/>
    <w:qFormat/>
    <w:rPr>
      <w:b/>
      <w:bCs/>
      <w:i/>
      <w:iCs/>
      <w:color w:val="4F81BD" w:themeColor="accent1"/>
    </w:rPr>
  </w:style>
  <w:style w:type="paragraph" w:styleId="NoSpacing">
    <w:name w:val="No Spacing"/>
    <w:uiPriority w:val="1"/>
    <w:qFormat/>
    <w:pPr>
      <w:spacing w:after="0" w:line="240" w:lineRule="auto"/>
    </w:p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rFonts w:ascii="Calibri" w:eastAsia="Calibri" w:hAnsi="Calibri" w:cs="Times New Roman"/>
      <w:i/>
      <w:iCs/>
      <w:color w:val="4F81BD"/>
    </w:rPr>
  </w:style>
  <w:style w:type="character" w:customStyle="1" w:styleId="IntenseQuoteChar1">
    <w:name w:val="Intense Quote Char1"/>
    <w:basedOn w:val="DefaultParagraphFont"/>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paragraph" w:styleId="TOCHeading">
    <w:name w:val="TOC Heading"/>
    <w:basedOn w:val="Heading1"/>
    <w:next w:val="Normal"/>
    <w:link w:val="TOCHeadingChar"/>
    <w:uiPriority w:val="39"/>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szCs w:val="28"/>
    </w:rPr>
  </w:style>
  <w:style w:type="paragraph" w:customStyle="1" w:styleId="Pagedecouverture">
    <w:name w:val="Page de couverture"/>
    <w:basedOn w:val="Normal"/>
    <w:next w:val="Normal"/>
    <w:pPr>
      <w:spacing w:after="0" w:line="240" w:lineRule="auto"/>
      <w:jc w:val="both"/>
    </w:pPr>
    <w:rPr>
      <w:rFonts w:ascii="Times New Roman" w:eastAsiaTheme="majorEastAsia" w:hAnsi="Times New Roman" w:cs="Times New Roman"/>
      <w:sz w:val="24"/>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table" w:customStyle="1" w:styleId="HTG2">
    <w:name w:val="HTG2"/>
    <w:basedOn w:val="TableNormal"/>
    <w:next w:val="TableGrid"/>
    <w:uiPriority w:val="59"/>
    <w:pPr>
      <w:spacing w:after="0" w:line="240" w:lineRule="auto"/>
    </w:pPr>
    <w:rPr>
      <w:rFonts w:ascii="Verdana" w:eastAsia="Times New Roman" w:hAnsi="Verdana" w:cs="Times New Roman"/>
      <w:sz w:val="18"/>
      <w:szCs w:val="24"/>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TOCHeadingChar">
    <w:name w:val="TOC Heading Char"/>
    <w:basedOn w:val="Heading1Char"/>
    <w:link w:val="TOCHeading"/>
    <w:uiPriority w:val="39"/>
    <w:rPr>
      <w:rFonts w:asciiTheme="majorHAnsi" w:eastAsiaTheme="majorEastAsia" w:hAnsiTheme="majorHAnsi" w:cstheme="majorBidi"/>
      <w:b/>
      <w:bCs/>
      <w:smallCaps w:val="0"/>
      <w:color w:val="365F91" w:themeColor="accent1" w:themeShade="BF"/>
      <w:sz w:val="28"/>
      <w:szCs w:val="28"/>
    </w:rPr>
  </w:style>
  <w:style w:type="character" w:customStyle="1" w:styleId="HeaderCoverPageChar">
    <w:name w:val="Header Cover Page Char"/>
    <w:basedOn w:val="TOCHeadingChar"/>
    <w:link w:val="HeaderCoverPage"/>
    <w:rPr>
      <w:rFonts w:ascii="Times New Roman" w:eastAsiaTheme="majorEastAsia" w:hAnsi="Times New Roman" w:cs="Times New Roman"/>
      <w:b w:val="0"/>
      <w:bCs w:val="0"/>
      <w:smallCaps w:val="0"/>
      <w:color w:val="365F91" w:themeColor="accent1" w:themeShade="BF"/>
      <w:sz w:val="24"/>
      <w:szCs w:val="28"/>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Poromisin">
    <w:name w:val="Por omisión"/>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index heading" w:uiPriority="0"/>
    <w:lsdException w:name="caption" w:uiPriority="0" w:qFormat="1"/>
    <w:lsdException w:name="envelope address" w:uiPriority="0"/>
    <w:lsdException w:name="envelope return" w:uiPriority="0"/>
    <w:lsdException w:name="footnote reference" w:qFormat="1"/>
    <w:lsdException w:name="page number" w:uiPriority="0"/>
    <w:lsdException w:name="table of authorities" w:uiPriority="0"/>
    <w:lsdException w:name="macro" w:uiPriority="0"/>
    <w:lsdException w:name="toa heading" w:uiPriority="0"/>
    <w:lsdException w:name="List" w:uiPriority="0"/>
    <w:lsdException w:name="List Number" w:qFormat="1"/>
    <w:lsdException w:name="List 2" w:uiPriority="0"/>
    <w:lsdException w:name="List 3" w:uiPriority="0"/>
    <w:lsdException w:name="List 4" w:uiPriority="0"/>
    <w:lsdException w:name="List 5" w:uiPriority="0"/>
    <w:lsdException w:name="List Bullet 4" w:uiPriority="0"/>
    <w:lsdException w:name="List Bullet 5" w:uiPriority="0"/>
    <w:lsdException w:name="List Number 2" w:qFormat="1"/>
    <w:lsdException w:name="List Number 3" w:qFormat="1"/>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3"/>
      </w:numPr>
      <w:spacing w:before="360" w:after="120" w:line="240" w:lineRule="auto"/>
      <w:jc w:val="both"/>
      <w:outlineLvl w:val="0"/>
    </w:pPr>
    <w:rPr>
      <w:rFonts w:ascii="Times New Roman" w:eastAsia="Times New Roman" w:hAnsi="Times New Roman" w:cs="Times New Roman"/>
      <w:b/>
      <w:bCs/>
      <w:smallCaps/>
      <w:sz w:val="24"/>
      <w:szCs w:val="24"/>
    </w:rPr>
  </w:style>
  <w:style w:type="paragraph" w:styleId="Heading2">
    <w:name w:val="heading 2"/>
    <w:basedOn w:val="Heading1"/>
    <w:link w:val="Heading2Char"/>
    <w:uiPriority w:val="9"/>
    <w:qFormat/>
    <w:pPr>
      <w:numPr>
        <w:ilvl w:val="1"/>
      </w:numPr>
      <w:ind w:left="1134" w:hanging="1134"/>
      <w:outlineLvl w:val="1"/>
    </w:pPr>
  </w:style>
  <w:style w:type="paragraph" w:styleId="Heading3">
    <w:name w:val="heading 3"/>
    <w:basedOn w:val="Heading2"/>
    <w:next w:val="Normal"/>
    <w:link w:val="Heading3Char"/>
    <w:unhideWhenUsed/>
    <w:qFormat/>
    <w:pPr>
      <w:numPr>
        <w:ilvl w:val="2"/>
      </w:numPr>
      <w:outlineLvl w:val="2"/>
    </w:pPr>
  </w:style>
  <w:style w:type="paragraph" w:styleId="Heading4">
    <w:name w:val="heading 4"/>
    <w:basedOn w:val="Heading3"/>
    <w:next w:val="Normal"/>
    <w:link w:val="Heading4Char"/>
    <w:unhideWhenUsed/>
    <w:qFormat/>
    <w:pPr>
      <w:numPr>
        <w:ilvl w:val="3"/>
      </w:numPr>
      <w:ind w:left="1134" w:hanging="1134"/>
      <w:outlineLvl w:val="3"/>
    </w:pPr>
    <w:rPr>
      <w:iCs/>
    </w:rPr>
  </w:style>
  <w:style w:type="paragraph" w:styleId="Heading5">
    <w:name w:val="heading 5"/>
    <w:basedOn w:val="Heading4"/>
    <w:next w:val="Normal"/>
    <w:link w:val="Heading5Char"/>
    <w:qFormat/>
    <w:pPr>
      <w:numPr>
        <w:ilvl w:val="4"/>
      </w:numPr>
      <w:ind w:left="1134" w:hanging="1134"/>
      <w:outlineLvl w:val="4"/>
    </w:p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4"/>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4"/>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4"/>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paragraph" w:styleId="FootnoteText">
    <w:name w:val="footnote text"/>
    <w:aliases w:val="footnote text,Footnote Text Char Char,Fußnote,single space,FOOTNOTES,fn,Char Char Char,Note de bas de page2,Footnotes Char,footnote text Char,Footnotes,Char Char Char Char Char Char,footnotes Char Char Char Char Char,Footno,Footn,Footnote"/>
    <w:basedOn w:val="Normal"/>
    <w:link w:val="FootnoteTextChar"/>
    <w:uiPriority w:val="99"/>
    <w:unhideWhenUsed/>
    <w:qFormat/>
    <w:pPr>
      <w:spacing w:after="0" w:line="240" w:lineRule="auto"/>
      <w:jc w:val="both"/>
    </w:pPr>
    <w:rPr>
      <w:rFonts w:ascii="Times New Roman" w:hAnsi="Times New Roman"/>
      <w:sz w:val="20"/>
      <w:szCs w:val="20"/>
    </w:rPr>
  </w:style>
  <w:style w:type="character" w:customStyle="1" w:styleId="FootnoteTextChar">
    <w:name w:val="Footnote Text Char"/>
    <w:aliases w:val="footnote text Char1,Footnote Text Char Char Char,Fußnote Char,single space Char,FOOTNOTES Char,fn Char,Char Char Char Char,Note de bas de page2 Char,Footnotes Char Char,footnote text Char Char,Footnotes Char1,Footno Char,Footn Char"/>
    <w:basedOn w:val="DefaultParagraphFont"/>
    <w:link w:val="FootnoteText"/>
    <w:uiPriority w:val="99"/>
    <w:rPr>
      <w:rFonts w:ascii="Times New Roman" w:hAnsi="Times New Roman"/>
      <w:sz w:val="20"/>
      <w:szCs w:val="20"/>
    </w:rPr>
  </w:style>
  <w:style w:type="character" w:styleId="FootnoteReference">
    <w:name w:val="footnote reference"/>
    <w:aliases w:val="stylish,Footnote Refernece,BVI fnr,Fußnotenzeichen_Raxen,callout,Footnote Reference Number, BVI fnr,Footnote Reference Superscript,Footnote symbol,Footnote reference number,Footnotemark,FR,Footnotemark1,Footnotemark2,FR1,Footnotemark3"/>
    <w:basedOn w:val="DefaultParagraphFont"/>
    <w:link w:val="FootnotesymbolCarZchn"/>
    <w:uiPriority w:val="99"/>
    <w:unhideWhenUsed/>
    <w:qFormat/>
    <w:rPr>
      <w:vertAlign w:val="superscript"/>
    </w:rPr>
  </w:style>
  <w:style w:type="paragraph" w:customStyle="1" w:styleId="CM48">
    <w:name w:val="CM48"/>
    <w:basedOn w:val="Normal"/>
    <w:next w:val="Normal"/>
    <w:uiPriority w:val="99"/>
    <w:pPr>
      <w:autoSpaceDE w:val="0"/>
      <w:autoSpaceDN w:val="0"/>
      <w:adjustRightInd w:val="0"/>
      <w:spacing w:after="0" w:line="240" w:lineRule="auto"/>
    </w:pPr>
    <w:rPr>
      <w:rFonts w:ascii="Verdana" w:hAnsi="Verdana"/>
      <w:sz w:val="24"/>
      <w:szCs w:val="24"/>
    </w:rPr>
  </w:style>
  <w:style w:type="paragraph" w:customStyle="1" w:styleId="Default">
    <w:name w:val="Default"/>
    <w:basedOn w:val="Normal"/>
    <w:pPr>
      <w:autoSpaceDE w:val="0"/>
      <w:autoSpaceDN w:val="0"/>
      <w:spacing w:after="0" w:line="240" w:lineRule="auto"/>
    </w:pPr>
    <w:rPr>
      <w:rFonts w:ascii="EUAlbertina" w:hAnsi="EUAlbertina" w:cs="Times New Roman"/>
      <w:color w:val="000000"/>
      <w:sz w:val="24"/>
      <w:szCs w:val="24"/>
      <w:lang w:eastAsia="en-GB"/>
    </w:rPr>
  </w:style>
  <w:style w:type="character" w:customStyle="1" w:styleId="Marker">
    <w:name w:val="Marker"/>
    <w:basedOn w:val="DefaultParagraphFont"/>
    <w:rPr>
      <w:color w:val="0000FF"/>
      <w:shd w:val="clear" w:color="auto" w:fill="auto"/>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 w:type="paragraph" w:customStyle="1" w:styleId="CM1">
    <w:name w:val="CM1"/>
    <w:basedOn w:val="Default"/>
    <w:next w:val="Default"/>
    <w:uiPriority w:val="99"/>
    <w:pPr>
      <w:adjustRightInd w:val="0"/>
    </w:pPr>
    <w:rPr>
      <w:rFonts w:cstheme="minorBidi"/>
      <w:color w:val="auto"/>
      <w:lang w:eastAsia="en-US"/>
    </w:rPr>
  </w:style>
  <w:style w:type="paragraph" w:customStyle="1" w:styleId="CM3">
    <w:name w:val="CM3"/>
    <w:basedOn w:val="Default"/>
    <w:next w:val="Default"/>
    <w:uiPriority w:val="99"/>
    <w:pPr>
      <w:adjustRightInd w:val="0"/>
    </w:pPr>
    <w:rPr>
      <w:rFonts w:cstheme="minorBidi"/>
      <w:color w:val="auto"/>
      <w:lang w:eastAsia="en-US"/>
    </w:rPr>
  </w:style>
  <w:style w:type="paragraph" w:customStyle="1" w:styleId="CM4">
    <w:name w:val="CM4"/>
    <w:basedOn w:val="Default"/>
    <w:next w:val="Default"/>
    <w:uiPriority w:val="99"/>
    <w:pPr>
      <w:adjustRightInd w:val="0"/>
    </w:pPr>
    <w:rPr>
      <w:rFonts w:cstheme="minorBidi"/>
      <w:color w:val="auto"/>
      <w:lang w:eastAsia="en-US"/>
    </w:rPr>
  </w:style>
  <w:style w:type="character" w:customStyle="1" w:styleId="Heading2Char">
    <w:name w:val="Heading 2 Char"/>
    <w:basedOn w:val="DefaultParagraphFont"/>
    <w:link w:val="Heading2"/>
    <w:uiPriority w:val="9"/>
    <w:rPr>
      <w:rFonts w:ascii="Times New Roman" w:eastAsia="Times New Roman" w:hAnsi="Times New Roman" w:cs="Times New Roman"/>
      <w:b/>
      <w:bCs/>
      <w:smallCaps/>
      <w:sz w:val="24"/>
      <w:szCs w:val="24"/>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rPr>
  </w:style>
  <w:style w:type="character" w:styleId="FollowedHyperlink">
    <w:name w:val="FollowedHyperlink"/>
    <w:basedOn w:val="DefaultParagraphFont"/>
    <w:uiPriority w:val="99"/>
    <w:unhideWhenUsed/>
    <w:rPr>
      <w:color w:val="800080" w:themeColor="followedHyperlink"/>
      <w:u w:val="single"/>
    </w:rPr>
  </w:style>
  <w:style w:type="paragraph" w:styleId="ListParagraph">
    <w:name w:val="List Paragraph"/>
    <w:aliases w:val="List Paragraph2,Numbered List,Bullet"/>
    <w:basedOn w:val="Normal"/>
    <w:qFormat/>
    <w:pPr>
      <w:ind w:left="720"/>
      <w:contextualSpacing/>
    </w:pPr>
  </w:style>
  <w:style w:type="character" w:customStyle="1" w:styleId="Heading3Char">
    <w:name w:val="Heading 3 Char"/>
    <w:basedOn w:val="DefaultParagraphFont"/>
    <w:link w:val="Heading3"/>
    <w:rPr>
      <w:rFonts w:ascii="Times New Roman" w:eastAsia="Times New Roman" w:hAnsi="Times New Roman" w:cs="Times New Roman"/>
      <w:b/>
      <w:bCs/>
      <w:smallCaps/>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paragraph" w:customStyle="1" w:styleId="Heading91">
    <w:name w:val="Heading 91"/>
    <w:basedOn w:val="Normal"/>
    <w:next w:val="Normal"/>
    <w:uiPriority w:val="9"/>
    <w:semiHidden/>
    <w:unhideWhenUsed/>
    <w:qFormat/>
    <w:pPr>
      <w:keepNext/>
      <w:keepLines/>
      <w:numPr>
        <w:ilvl w:val="8"/>
        <w:numId w:val="1"/>
      </w:numPr>
      <w:tabs>
        <w:tab w:val="num" w:pos="6480"/>
      </w:tabs>
      <w:spacing w:before="40" w:after="0" w:line="240" w:lineRule="auto"/>
      <w:ind w:left="1584" w:hanging="1584"/>
      <w:outlineLvl w:val="8"/>
    </w:pPr>
    <w:rPr>
      <w:rFonts w:ascii="Georgia" w:eastAsia="MS PGothic" w:hAnsi="Georgia" w:cs="Times New Roman"/>
      <w:i/>
      <w:iCs/>
      <w:color w:val="272727"/>
      <w:sz w:val="21"/>
      <w:szCs w:val="21"/>
      <w:lang w:val="en-US"/>
    </w:rPr>
  </w:style>
  <w:style w:type="paragraph" w:styleId="Revision">
    <w:name w:val="Revision"/>
    <w:hidden/>
    <w:pPr>
      <w:spacing w:after="0" w:line="240" w:lineRule="auto"/>
    </w:pPr>
  </w:style>
  <w:style w:type="character" w:customStyle="1" w:styleId="Heading4Char">
    <w:name w:val="Heading 4 Char"/>
    <w:basedOn w:val="DefaultParagraphFont"/>
    <w:link w:val="Heading4"/>
    <w:uiPriority w:val="9"/>
    <w:rPr>
      <w:rFonts w:ascii="Times New Roman" w:eastAsia="Times New Roman" w:hAnsi="Times New Roman" w:cs="Times New Roman"/>
      <w:b/>
      <w:bCs/>
      <w:iCs/>
      <w:smallCaps/>
      <w:sz w:val="24"/>
      <w:szCs w:val="24"/>
    </w:rPr>
  </w:style>
  <w:style w:type="paragraph" w:customStyle="1" w:styleId="BodyText">
    <w:name w:val="BodyText"/>
    <w:basedOn w:val="Normal"/>
    <w:link w:val="BodyTextChar"/>
    <w:qFormat/>
    <w:pPr>
      <w:spacing w:after="160" w:line="259" w:lineRule="auto"/>
      <w:jc w:val="both"/>
    </w:pPr>
    <w:rPr>
      <w:rFonts w:eastAsia="MS PGothic"/>
      <w:sz w:val="20"/>
    </w:rPr>
  </w:style>
  <w:style w:type="character" w:customStyle="1" w:styleId="BodyTextChar">
    <w:name w:val="BodyText Char"/>
    <w:basedOn w:val="DefaultParagraphFont"/>
    <w:link w:val="BodyText"/>
    <w:rPr>
      <w:rFonts w:eastAsia="MS PGothic"/>
      <w:sz w:val="20"/>
    </w:rPr>
  </w:style>
  <w:style w:type="table" w:customStyle="1" w:styleId="TechnopolisLight">
    <w:name w:val="Technopolis Light"/>
    <w:basedOn w:val="TableNormal"/>
    <w:uiPriority w:val="99"/>
    <w:pPr>
      <w:spacing w:before="60" w:after="60" w:line="240" w:lineRule="auto"/>
    </w:pPr>
    <w:rPr>
      <w:rFonts w:ascii="Georgia" w:eastAsia="MS PGothic" w:hAnsi="Georgia"/>
      <w:sz w:val="16"/>
      <w:lang w:val="en-US"/>
    </w:rPr>
    <w:tblPr>
      <w:tblBorders>
        <w:insideH w:val="single" w:sz="4" w:space="0" w:color="9D9D9D"/>
        <w:insideV w:val="single" w:sz="4" w:space="0" w:color="9D9D9D"/>
      </w:tblBorders>
      <w:tblCellMar>
        <w:top w:w="57" w:type="dxa"/>
        <w:bottom w:w="57" w:type="dxa"/>
      </w:tblCellMar>
    </w:tblPr>
    <w:tcPr>
      <w:vAlign w:val="center"/>
    </w:tcPr>
    <w:tblStylePr w:type="firstRow">
      <w:rPr>
        <w:i/>
      </w:rPr>
      <w:tblPr/>
      <w:tcPr>
        <w:tcBorders>
          <w:bottom w:val="single" w:sz="4" w:space="0" w:color="C3343E"/>
        </w:tcBorders>
      </w:tcPr>
    </w:tblStylePr>
  </w:style>
  <w:style w:type="paragraph" w:styleId="EndnoteText">
    <w:name w:val="endnote text"/>
    <w:basedOn w:val="Normal"/>
    <w:link w:val="EndnoteTextChar"/>
    <w:uiPriority w:val="99"/>
    <w:unhideWhenUsed/>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unhideWhenUsed/>
    <w:rPr>
      <w:vertAlign w:val="superscript"/>
    </w:rPr>
  </w:style>
  <w:style w:type="table" w:customStyle="1" w:styleId="TechnopolisTable">
    <w:name w:val="Technopolis Table"/>
    <w:basedOn w:val="TableGrid"/>
    <w:uiPriority w:val="99"/>
    <w:pPr>
      <w:jc w:val="both"/>
    </w:pPr>
    <w:rPr>
      <w:rFonts w:ascii="Georgia" w:eastAsia="Times New Roman" w:hAnsi="Georgia" w:cs="Times New Roman"/>
      <w:color w:val="000000"/>
      <w:sz w:val="18"/>
      <w:szCs w:val="24"/>
      <w:lang w:eastAsia="en-GB"/>
    </w:rPr>
    <w:tblPr/>
    <w:tcPr>
      <w:shd w:val="clear" w:color="auto" w:fill="F2F2F2"/>
    </w:tcPr>
    <w:tblStylePr w:type="firstRow">
      <w:pPr>
        <w:jc w:val="center"/>
      </w:pPr>
      <w:rPr>
        <w:rFonts w:ascii="Times New Roman" w:hAnsi="Times New Roman" w:cs="Times New Roman"/>
        <w:b/>
        <w:color w:val="333333"/>
        <w:sz w:val="18"/>
      </w:rPr>
      <w:tblPr/>
      <w:tcPr>
        <w:tcBorders>
          <w:bottom w:val="single" w:sz="6" w:space="0" w:color="FF0000"/>
        </w:tcBorders>
        <w:shd w:val="clear" w:color="auto" w:fill="00AEF0"/>
      </w:tcPr>
    </w:tblStylePr>
    <w:tblStylePr w:type="lastRow">
      <w:pPr>
        <w:jc w:val="left"/>
      </w:pPr>
      <w:rPr>
        <w:rFonts w:ascii="Times New Roman" w:hAnsi="Times New Roman" w:cs="Times New Roman"/>
        <w:b/>
        <w:sz w:val="18"/>
      </w:rPr>
    </w:tblStylePr>
    <w:tblStylePr w:type="firstCol">
      <w:pPr>
        <w:jc w:val="left"/>
      </w:pPr>
      <w:rPr>
        <w:rFonts w:ascii="Times New Roman" w:hAnsi="Times New Roman" w:cs="Times New Roman"/>
        <w:b/>
        <w:sz w:val="18"/>
      </w:rPr>
    </w:tblStylePr>
  </w:style>
  <w:style w:type="table" w:customStyle="1" w:styleId="TechnopolisLight1">
    <w:name w:val="Technopolis Light1"/>
    <w:basedOn w:val="TableNormal"/>
    <w:uiPriority w:val="99"/>
    <w:pPr>
      <w:spacing w:before="60" w:after="60" w:line="240" w:lineRule="auto"/>
    </w:pPr>
    <w:rPr>
      <w:rFonts w:ascii="Cambria" w:hAnsi="Cambria"/>
      <w:sz w:val="16"/>
      <w:lang w:val="en-US"/>
    </w:rPr>
    <w:tblPr>
      <w:tblBorders>
        <w:insideH w:val="single" w:sz="4" w:space="0" w:color="8064A2"/>
        <w:insideV w:val="single" w:sz="4" w:space="0" w:color="8064A2"/>
      </w:tblBorders>
      <w:tblCellMar>
        <w:top w:w="57" w:type="dxa"/>
        <w:bottom w:w="57" w:type="dxa"/>
      </w:tblCellMar>
    </w:tblPr>
    <w:tcPr>
      <w:vAlign w:val="center"/>
    </w:tcPr>
    <w:tblStylePr w:type="firstRow">
      <w:rPr>
        <w:i/>
      </w:rPr>
      <w:tblPr/>
      <w:tcPr>
        <w:tcBorders>
          <w:bottom w:val="single" w:sz="4" w:space="0" w:color="4F81BD"/>
        </w:tcBorders>
      </w:tcPr>
    </w:tblStyle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24"/>
    </w:rPr>
  </w:style>
  <w:style w:type="character" w:customStyle="1" w:styleId="Heading5Char">
    <w:name w:val="Heading 5 Char"/>
    <w:basedOn w:val="DefaultParagraphFont"/>
    <w:link w:val="Heading5"/>
    <w:uiPriority w:val="9"/>
    <w:rPr>
      <w:rFonts w:ascii="Times New Roman" w:eastAsia="Times New Roman" w:hAnsi="Times New Roman" w:cs="Times New Roman"/>
      <w:b/>
      <w:bCs/>
      <w:iCs/>
      <w:smallCaps/>
      <w:sz w:val="24"/>
      <w:szCs w:val="24"/>
    </w:rPr>
  </w:style>
  <w:style w:type="character" w:customStyle="1" w:styleId="Heading6Char">
    <w:name w:val="Heading 6 Char"/>
    <w:basedOn w:val="DefaultParagraphFont"/>
    <w:link w:val="Heading6"/>
    <w:uiPriority w:val="9"/>
    <w:rPr>
      <w:rFonts w:ascii="Arial" w:eastAsia="Times New Roman" w:hAnsi="Arial" w:cs="Times New Roman"/>
      <w:i/>
      <w:szCs w:val="24"/>
    </w:rPr>
  </w:style>
  <w:style w:type="character" w:customStyle="1" w:styleId="Heading7Char">
    <w:name w:val="Heading 7 Char"/>
    <w:basedOn w:val="DefaultParagraphFont"/>
    <w:link w:val="Heading7"/>
    <w:uiPriority w:val="9"/>
    <w:rPr>
      <w:rFonts w:ascii="Arial" w:eastAsia="Times New Roman" w:hAnsi="Arial" w:cs="Times New Roman"/>
      <w:sz w:val="20"/>
      <w:szCs w:val="24"/>
    </w:rPr>
  </w:style>
  <w:style w:type="character" w:customStyle="1" w:styleId="Heading8Char">
    <w:name w:val="Heading 8 Char"/>
    <w:basedOn w:val="DefaultParagraphFont"/>
    <w:link w:val="Heading8"/>
    <w:uiPriority w:val="9"/>
    <w:rPr>
      <w:rFonts w:ascii="Arial" w:eastAsia="Times New Roman" w:hAnsi="Arial" w:cs="Times New Roman"/>
      <w:i/>
      <w:sz w:val="20"/>
      <w:szCs w:val="24"/>
    </w:rPr>
  </w:style>
  <w:style w:type="character" w:customStyle="1" w:styleId="Heading9Char">
    <w:name w:val="Heading 9 Char"/>
    <w:basedOn w:val="DefaultParagraphFont"/>
    <w:link w:val="Heading9"/>
    <w:uiPriority w:val="9"/>
    <w:rPr>
      <w:rFonts w:ascii="Arial" w:eastAsia="Times New Roman" w:hAnsi="Arial" w:cs="Times New Roman"/>
      <w:i/>
      <w:sz w:val="18"/>
      <w:szCs w:val="24"/>
    </w:rPr>
  </w:style>
  <w:style w:type="numbering" w:customStyle="1" w:styleId="NoList1">
    <w:name w:val="No List1"/>
    <w:next w:val="NoList"/>
    <w:uiPriority w:val="99"/>
    <w:semiHidden/>
    <w:unhideWhenUsed/>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4"/>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4"/>
    </w:r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szCs w:val="24"/>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4"/>
    </w:rPr>
  </w:style>
  <w:style w:type="paragraph" w:customStyle="1" w:styleId="Address">
    <w:name w:val="Address"/>
    <w:basedOn w:val="Normal"/>
    <w:pPr>
      <w:spacing w:after="0" w:line="240" w:lineRule="auto"/>
    </w:pPr>
    <w:rPr>
      <w:rFonts w:ascii="Times New Roman" w:eastAsia="Times New Roman" w:hAnsi="Times New Roman" w:cs="Times New Roman"/>
      <w:sz w:val="24"/>
      <w:szCs w:val="24"/>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4"/>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4"/>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4"/>
    </w:rPr>
  </w:style>
  <w:style w:type="paragraph" w:styleId="BodyText0">
    <w:name w:val="Body Text"/>
    <w:aliases w:val="Document,Doc,Body Text2,doc,Standard paragraph, (Norm),Body Text 12,bt,gl,uvlaka 2,(Norm),heading3,Body Text - Level 2,1body,BodText,body text,Body Txt,Body Text-10,Body Text Char2,Text Char1,Τίτλος Μελέτης,- TF,Te,-,??t??? ?e??t??"/>
    <w:basedOn w:val="Normal"/>
    <w:link w:val="BodyTextChar0"/>
    <w:qFormat/>
    <w:pPr>
      <w:spacing w:after="120" w:line="240" w:lineRule="auto"/>
      <w:jc w:val="both"/>
    </w:pPr>
    <w:rPr>
      <w:rFonts w:ascii="Times New Roman" w:eastAsia="Times New Roman" w:hAnsi="Times New Roman" w:cs="Times New Roman"/>
      <w:sz w:val="24"/>
      <w:szCs w:val="24"/>
    </w:rPr>
  </w:style>
  <w:style w:type="character" w:customStyle="1" w:styleId="BodyTextChar0">
    <w:name w:val="Body Text Char"/>
    <w:aliases w:val="Document Char,Doc Char,Body Text2 Char,doc Char,Standard paragraph Char, (Norm) Char,Body Text 12 Char,bt Char,gl Char,uvlaka 2 Char,(Norm) Char,heading3 Char,Body Text - Level 2 Char,1body Char,BodText Char,body text Char,Body Txt Char"/>
    <w:basedOn w:val="DefaultParagraphFont"/>
    <w:link w:val="BodyText0"/>
    <w:rPr>
      <w:rFonts w:ascii="Times New Roman" w:eastAsia="Times New Roman" w:hAnsi="Times New Roman" w:cs="Times New Roman"/>
      <w:sz w:val="24"/>
      <w:szCs w:val="24"/>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4"/>
    </w:rPr>
  </w:style>
  <w:style w:type="character" w:customStyle="1" w:styleId="BodyText3Char">
    <w:name w:val="Body Text 3 Char"/>
    <w:basedOn w:val="DefaultParagraphFont"/>
    <w:link w:val="BodyText3"/>
    <w:rPr>
      <w:rFonts w:ascii="Times New Roman" w:eastAsia="Times New Roman" w:hAnsi="Times New Roman" w:cs="Times New Roman"/>
      <w:sz w:val="16"/>
      <w:szCs w:val="24"/>
    </w:rPr>
  </w:style>
  <w:style w:type="paragraph" w:styleId="BodyTextFirstIndent">
    <w:name w:val="Body Text First Indent"/>
    <w:basedOn w:val="BodyText0"/>
    <w:link w:val="BodyTextFirstIndentChar"/>
    <w:pPr>
      <w:ind w:firstLine="210"/>
    </w:pPr>
  </w:style>
  <w:style w:type="character" w:customStyle="1" w:styleId="BodyTextFirstIndentChar">
    <w:name w:val="Body Text First Indent Char"/>
    <w:basedOn w:val="BodyTextChar0"/>
    <w:link w:val="BodyTextFirstIndent"/>
    <w:rPr>
      <w:rFonts w:ascii="Times New Roman" w:eastAsia="Times New Roman" w:hAnsi="Times New Roman" w:cs="Times New Roman"/>
      <w:sz w:val="24"/>
      <w:szCs w:val="24"/>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4"/>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4"/>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4"/>
    </w:rPr>
  </w:style>
  <w:style w:type="paragraph" w:styleId="Caption">
    <w:name w:val="caption"/>
    <w:aliases w:val="Char Char,Caption1 Char Char Char Char Char Char Char Char Tegn Tegn Tegn Tegn Tegn,Caption1 Char Char Char Char Char Char Char Char Tegn Tegn Tegn,Caption1 Char Char Char Char Char Char Char Char Tegn Tegn,Char,Ch,C,Inscription"/>
    <w:basedOn w:val="Normal"/>
    <w:next w:val="Normal"/>
    <w:autoRedefine/>
    <w:qFormat/>
    <w:pPr>
      <w:spacing w:before="120" w:after="120" w:line="240" w:lineRule="auto"/>
      <w:jc w:val="both"/>
      <w:outlineLvl w:val="0"/>
    </w:pPr>
    <w:rPr>
      <w:rFonts w:ascii="Verdana" w:eastAsia="Times New Roman" w:hAnsi="Verdana" w:cs="Times New Roman"/>
      <w:b/>
      <w:sz w:val="18"/>
      <w:szCs w:val="18"/>
    </w:rPr>
  </w:style>
  <w:style w:type="paragraph" w:customStyle="1" w:styleId="ChapterTitle">
    <w:name w:val="ChapterTitle"/>
    <w:basedOn w:val="Normal"/>
    <w:next w:val="SectionTitle"/>
    <w:pPr>
      <w:keepNext/>
      <w:spacing w:after="480" w:line="240" w:lineRule="auto"/>
      <w:jc w:val="center"/>
    </w:pPr>
    <w:rPr>
      <w:rFonts w:ascii="Times New Roman" w:eastAsia="Times New Roman" w:hAnsi="Times New Roman" w:cs="Times New Roman"/>
      <w:b/>
      <w:sz w:val="32"/>
      <w:szCs w:val="24"/>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4"/>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4"/>
    </w:rPr>
  </w:style>
  <w:style w:type="character" w:customStyle="1" w:styleId="ClosingChar">
    <w:name w:val="Closing Char"/>
    <w:basedOn w:val="DefaultParagraphFont"/>
    <w:link w:val="Closing"/>
    <w:rPr>
      <w:rFonts w:ascii="Times New Roman" w:eastAsia="Times New Roman" w:hAnsi="Times New Roman" w:cs="Times New Roman"/>
      <w:sz w:val="24"/>
      <w:szCs w:val="24"/>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4"/>
    </w:rPr>
  </w:style>
  <w:style w:type="character" w:customStyle="1" w:styleId="DateChar">
    <w:name w:val="Date Char"/>
    <w:basedOn w:val="DefaultParagraphFont"/>
    <w:link w:val="Date"/>
    <w:rPr>
      <w:rFonts w:ascii="Times New Roman" w:eastAsia="Times New Roman" w:hAnsi="Times New Roman" w:cs="Times New Roman"/>
      <w:sz w:val="24"/>
      <w:szCs w:val="24"/>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4"/>
    </w:rPr>
  </w:style>
  <w:style w:type="paragraph" w:styleId="DocumentMap">
    <w:name w:val="Document Map"/>
    <w:basedOn w:val="Normal"/>
    <w:link w:val="DocumentMapChar"/>
    <w:pPr>
      <w:shd w:val="clear" w:color="auto" w:fill="000080"/>
      <w:spacing w:after="240" w:line="240" w:lineRule="auto"/>
      <w:jc w:val="both"/>
    </w:pPr>
    <w:rPr>
      <w:rFonts w:ascii="Tahoma" w:eastAsia="Times New Roman" w:hAnsi="Tahoma" w:cs="Times New Roman"/>
      <w:sz w:val="24"/>
      <w:szCs w:val="24"/>
    </w:rPr>
  </w:style>
  <w:style w:type="character" w:customStyle="1" w:styleId="DocumentMapChar">
    <w:name w:val="Document Map Char"/>
    <w:basedOn w:val="DefaultParagraphFont"/>
    <w:link w:val="DocumentMap"/>
    <w:rPr>
      <w:rFonts w:ascii="Tahoma" w:eastAsia="Times New Roman" w:hAnsi="Tahoma" w:cs="Times New Roman"/>
      <w:sz w:val="24"/>
      <w:szCs w:val="24"/>
      <w:shd w:val="clear" w:color="auto" w:fill="000080"/>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4"/>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4"/>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4"/>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4"/>
    </w:rPr>
  </w:style>
  <w:style w:type="paragraph" w:styleId="Index1">
    <w:name w:val="index 1"/>
    <w:basedOn w:val="Normal"/>
    <w:next w:val="Normal"/>
    <w:autoRedefine/>
    <w:pPr>
      <w:spacing w:after="240" w:line="240" w:lineRule="auto"/>
      <w:ind w:left="240" w:hanging="240"/>
      <w:jc w:val="both"/>
    </w:pPr>
    <w:rPr>
      <w:rFonts w:ascii="Times New Roman" w:eastAsia="Times New Roman" w:hAnsi="Times New Roman" w:cs="Times New Roman"/>
      <w:sz w:val="24"/>
      <w:szCs w:val="24"/>
    </w:rPr>
  </w:style>
  <w:style w:type="paragraph" w:styleId="Index2">
    <w:name w:val="index 2"/>
    <w:basedOn w:val="Normal"/>
    <w:next w:val="Normal"/>
    <w:autoRedefine/>
    <w:pPr>
      <w:spacing w:after="240" w:line="240" w:lineRule="auto"/>
      <w:ind w:left="480" w:hanging="240"/>
      <w:jc w:val="both"/>
    </w:pPr>
    <w:rPr>
      <w:rFonts w:ascii="Times New Roman" w:eastAsia="Times New Roman" w:hAnsi="Times New Roman" w:cs="Times New Roman"/>
      <w:sz w:val="24"/>
      <w:szCs w:val="24"/>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4"/>
    </w:rPr>
  </w:style>
  <w:style w:type="paragraph" w:styleId="Index4">
    <w:name w:val="index 4"/>
    <w:basedOn w:val="Normal"/>
    <w:next w:val="Normal"/>
    <w:autoRedefine/>
    <w:pPr>
      <w:spacing w:after="240" w:line="240" w:lineRule="auto"/>
      <w:ind w:left="960" w:hanging="240"/>
      <w:jc w:val="both"/>
    </w:pPr>
    <w:rPr>
      <w:rFonts w:ascii="Times New Roman" w:eastAsia="Times New Roman" w:hAnsi="Times New Roman" w:cs="Times New Roman"/>
      <w:sz w:val="24"/>
      <w:szCs w:val="24"/>
    </w:rPr>
  </w:style>
  <w:style w:type="paragraph" w:styleId="Index5">
    <w:name w:val="index 5"/>
    <w:basedOn w:val="Normal"/>
    <w:next w:val="Normal"/>
    <w:autoRedefine/>
    <w:pPr>
      <w:spacing w:after="240" w:line="240" w:lineRule="auto"/>
      <w:ind w:left="1200" w:hanging="240"/>
      <w:jc w:val="both"/>
    </w:pPr>
    <w:rPr>
      <w:rFonts w:ascii="Times New Roman" w:eastAsia="Times New Roman" w:hAnsi="Times New Roman" w:cs="Times New Roman"/>
      <w:sz w:val="24"/>
      <w:szCs w:val="24"/>
    </w:rPr>
  </w:style>
  <w:style w:type="paragraph" w:styleId="Index6">
    <w:name w:val="index 6"/>
    <w:basedOn w:val="Normal"/>
    <w:next w:val="Normal"/>
    <w:autoRedefine/>
    <w:pPr>
      <w:spacing w:after="240" w:line="240" w:lineRule="auto"/>
      <w:ind w:left="1440" w:hanging="240"/>
      <w:jc w:val="both"/>
    </w:pPr>
    <w:rPr>
      <w:rFonts w:ascii="Times New Roman" w:eastAsia="Times New Roman" w:hAnsi="Times New Roman" w:cs="Times New Roman"/>
      <w:sz w:val="24"/>
      <w:szCs w:val="24"/>
    </w:rPr>
  </w:style>
  <w:style w:type="paragraph" w:styleId="Index7">
    <w:name w:val="index 7"/>
    <w:basedOn w:val="Normal"/>
    <w:next w:val="Normal"/>
    <w:autoRedefine/>
    <w:pPr>
      <w:spacing w:after="240" w:line="240" w:lineRule="auto"/>
      <w:ind w:left="1680" w:hanging="240"/>
      <w:jc w:val="both"/>
    </w:pPr>
    <w:rPr>
      <w:rFonts w:ascii="Times New Roman" w:eastAsia="Times New Roman" w:hAnsi="Times New Roman" w:cs="Times New Roman"/>
      <w:sz w:val="24"/>
      <w:szCs w:val="24"/>
    </w:rPr>
  </w:style>
  <w:style w:type="paragraph" w:styleId="Index8">
    <w:name w:val="index 8"/>
    <w:basedOn w:val="Normal"/>
    <w:next w:val="Normal"/>
    <w:autoRedefine/>
    <w:pPr>
      <w:spacing w:after="240" w:line="240" w:lineRule="auto"/>
      <w:ind w:left="1920" w:hanging="240"/>
      <w:jc w:val="both"/>
    </w:pPr>
    <w:rPr>
      <w:rFonts w:ascii="Times New Roman" w:eastAsia="Times New Roman" w:hAnsi="Times New Roman" w:cs="Times New Roman"/>
      <w:sz w:val="24"/>
      <w:szCs w:val="24"/>
    </w:rPr>
  </w:style>
  <w:style w:type="paragraph" w:styleId="Index9">
    <w:name w:val="index 9"/>
    <w:basedOn w:val="Normal"/>
    <w:next w:val="Normal"/>
    <w:autoRedefine/>
    <w:pPr>
      <w:spacing w:after="240" w:line="240" w:lineRule="auto"/>
      <w:ind w:left="2160" w:hanging="240"/>
      <w:jc w:val="both"/>
    </w:pPr>
    <w:rPr>
      <w:rFonts w:ascii="Times New Roman" w:eastAsia="Times New Roman" w:hAnsi="Times New Roman" w:cs="Times New Roman"/>
      <w:sz w:val="24"/>
      <w:szCs w:val="24"/>
    </w:rPr>
  </w:style>
  <w:style w:type="paragraph" w:styleId="IndexHeading">
    <w:name w:val="index heading"/>
    <w:basedOn w:val="Normal"/>
    <w:next w:val="Index1"/>
    <w:pPr>
      <w:spacing w:after="240" w:line="240" w:lineRule="auto"/>
      <w:jc w:val="both"/>
    </w:pPr>
    <w:rPr>
      <w:rFonts w:ascii="Arial" w:eastAsia="Times New Roman" w:hAnsi="Arial" w:cs="Times New Roman"/>
      <w:b/>
      <w:sz w:val="24"/>
      <w:szCs w:val="24"/>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4"/>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4"/>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4"/>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4"/>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4"/>
    </w:rPr>
  </w:style>
  <w:style w:type="paragraph" w:styleId="ListBullet">
    <w:name w:val="List Bullet"/>
    <w:aliases w:val="First Tier Bullet,résumé,UL,List Bullet2,List Bullet Char1 Char,List Bullet Char Char Char,List Bullet Char1 Char Char Char,List Bullet Char Char Char Char Char,List Bullet Char Char1"/>
    <w:basedOn w:val="Normal"/>
    <w:link w:val="ListBulletChar"/>
    <w:uiPriority w:val="99"/>
    <w:pPr>
      <w:numPr>
        <w:numId w:val="7"/>
      </w:numPr>
      <w:spacing w:after="240" w:line="240" w:lineRule="auto"/>
      <w:jc w:val="both"/>
    </w:pPr>
    <w:rPr>
      <w:rFonts w:ascii="Times New Roman" w:eastAsia="Times New Roman" w:hAnsi="Times New Roman" w:cs="Times New Roman"/>
      <w:sz w:val="24"/>
      <w:szCs w:val="24"/>
    </w:rPr>
  </w:style>
  <w:style w:type="character" w:customStyle="1" w:styleId="ListBulletChar">
    <w:name w:val="List Bullet Char"/>
    <w:aliases w:val="First Tier Bullet Char,résumé Char,UL Char,List Bullet2 Char,List Bullet Char1 Char Char,List Bullet Char Char Char Char,List Bullet Char1 Char Char Char Char,List Bullet Char Char Char Char Char Char,List Bullet Char Char1 Char"/>
    <w:basedOn w:val="DefaultParagraphFont"/>
    <w:link w:val="ListBullet"/>
    <w:uiPriority w:val="99"/>
    <w:rPr>
      <w:rFonts w:ascii="Times New Roman" w:eastAsia="Times New Roman" w:hAnsi="Times New Roman" w:cs="Times New Roman"/>
      <w:sz w:val="24"/>
      <w:szCs w:val="24"/>
    </w:rPr>
  </w:style>
  <w:style w:type="paragraph" w:styleId="ListBullet2">
    <w:name w:val="List Bullet 2"/>
    <w:basedOn w:val="Text2"/>
    <w:uiPriority w:val="99"/>
    <w:pPr>
      <w:numPr>
        <w:numId w:val="41"/>
      </w:numPr>
      <w:tabs>
        <w:tab w:val="clear" w:pos="643"/>
        <w:tab w:val="clear" w:pos="2302"/>
        <w:tab w:val="num" w:pos="1485"/>
      </w:tabs>
      <w:ind w:left="1485" w:hanging="283"/>
    </w:pPr>
  </w:style>
  <w:style w:type="paragraph" w:styleId="ListBullet3">
    <w:name w:val="List Bullet 3"/>
    <w:basedOn w:val="Text3"/>
    <w:uiPriority w:val="99"/>
    <w:pPr>
      <w:tabs>
        <w:tab w:val="clear" w:pos="2302"/>
        <w:tab w:val="num" w:pos="643"/>
      </w:tabs>
      <w:ind w:left="643" w:hanging="360"/>
    </w:pPr>
  </w:style>
  <w:style w:type="paragraph" w:styleId="ListBullet4">
    <w:name w:val="List Bullet 4"/>
    <w:basedOn w:val="Text4"/>
    <w:pPr>
      <w:numPr>
        <w:numId w:val="9"/>
      </w:numPr>
      <w:tabs>
        <w:tab w:val="clear" w:pos="2302"/>
      </w:tabs>
    </w:pPr>
  </w:style>
  <w:style w:type="paragraph" w:styleId="ListBullet5">
    <w:name w:val="List Bullet 5"/>
    <w:basedOn w:val="Normal"/>
    <w:autoRedefine/>
    <w:pPr>
      <w:numPr>
        <w:numId w:val="5"/>
      </w:numPr>
      <w:spacing w:after="240" w:line="240" w:lineRule="auto"/>
      <w:jc w:val="both"/>
    </w:pPr>
    <w:rPr>
      <w:rFonts w:ascii="Times New Roman" w:eastAsia="Times New Roman" w:hAnsi="Times New Roman" w:cs="Times New Roman"/>
      <w:sz w:val="24"/>
      <w:szCs w:val="24"/>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4"/>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4"/>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4"/>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4"/>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4"/>
    </w:rPr>
  </w:style>
  <w:style w:type="paragraph" w:styleId="ListNumber">
    <w:name w:val="List Number"/>
    <w:basedOn w:val="Normal"/>
    <w:uiPriority w:val="99"/>
    <w:qFormat/>
    <w:pPr>
      <w:numPr>
        <w:numId w:val="15"/>
      </w:numPr>
      <w:spacing w:after="240" w:line="240" w:lineRule="auto"/>
      <w:jc w:val="both"/>
    </w:pPr>
    <w:rPr>
      <w:rFonts w:ascii="Times New Roman" w:eastAsia="Times New Roman" w:hAnsi="Times New Roman" w:cs="Times New Roman"/>
      <w:sz w:val="24"/>
      <w:szCs w:val="24"/>
    </w:rPr>
  </w:style>
  <w:style w:type="paragraph" w:styleId="ListNumber2">
    <w:name w:val="List Number 2"/>
    <w:basedOn w:val="Text2"/>
    <w:uiPriority w:val="99"/>
    <w:qFormat/>
    <w:pPr>
      <w:numPr>
        <w:numId w:val="17"/>
      </w:numPr>
      <w:tabs>
        <w:tab w:val="clear" w:pos="2302"/>
      </w:tabs>
    </w:pPr>
  </w:style>
  <w:style w:type="paragraph" w:styleId="ListNumber3">
    <w:name w:val="List Number 3"/>
    <w:basedOn w:val="Text3"/>
    <w:uiPriority w:val="99"/>
    <w:qFormat/>
    <w:pPr>
      <w:numPr>
        <w:numId w:val="18"/>
      </w:numPr>
      <w:tabs>
        <w:tab w:val="clear" w:pos="2302"/>
      </w:tabs>
    </w:pPr>
  </w:style>
  <w:style w:type="paragraph" w:styleId="ListNumber4">
    <w:name w:val="List Number 4"/>
    <w:basedOn w:val="Text4"/>
    <w:pPr>
      <w:numPr>
        <w:numId w:val="19"/>
      </w:numPr>
      <w:tabs>
        <w:tab w:val="clear" w:pos="2302"/>
      </w:tabs>
    </w:pPr>
  </w:style>
  <w:style w:type="paragraph" w:styleId="ListNumber5">
    <w:name w:val="List Number 5"/>
    <w:basedOn w:val="Normal"/>
    <w:pPr>
      <w:numPr>
        <w:numId w:val="6"/>
      </w:numPr>
      <w:spacing w:after="240" w:line="240" w:lineRule="auto"/>
      <w:jc w:val="both"/>
    </w:pPr>
    <w:rPr>
      <w:rFonts w:ascii="Times New Roman" w:eastAsia="Times New Roman" w:hAnsi="Times New Roman" w:cs="Times New Roman"/>
      <w:sz w:val="24"/>
      <w:szCs w:val="24"/>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4"/>
      <w:szCs w:val="24"/>
    </w:rPr>
  </w:style>
  <w:style w:type="character" w:customStyle="1" w:styleId="MacroTextChar">
    <w:name w:val="Macro Text Char"/>
    <w:basedOn w:val="DefaultParagraphFont"/>
    <w:link w:val="MacroText"/>
    <w:rPr>
      <w:rFonts w:ascii="Courier New" w:eastAsia="Times New Roman" w:hAnsi="Courier New" w:cs="Times New Roman"/>
      <w:sz w:val="24"/>
      <w:szCs w:val="24"/>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4"/>
    </w:rPr>
  </w:style>
  <w:style w:type="character" w:customStyle="1" w:styleId="MessageHeaderChar">
    <w:name w:val="Message Header Char"/>
    <w:basedOn w:val="DefaultParagraphFont"/>
    <w:link w:val="MessageHeader"/>
    <w:rPr>
      <w:rFonts w:ascii="Arial" w:eastAsia="Times New Roman" w:hAnsi="Arial" w:cs="Times New Roman"/>
      <w:sz w:val="24"/>
      <w:szCs w:val="24"/>
      <w:shd w:val="pct20" w:color="auto" w:fill="auto"/>
    </w:rPr>
  </w:style>
  <w:style w:type="paragraph" w:styleId="NormalIndent">
    <w:name w:val="Normal Indent"/>
    <w:basedOn w:val="Normal"/>
    <w:link w:val="NormalIndentChar"/>
    <w:pPr>
      <w:spacing w:after="240" w:line="240" w:lineRule="auto"/>
      <w:ind w:left="720"/>
      <w:jc w:val="both"/>
    </w:pPr>
    <w:rPr>
      <w:rFonts w:ascii="Times New Roman" w:eastAsia="Times New Roman" w:hAnsi="Times New Roman" w:cs="Times New Roman"/>
      <w:sz w:val="24"/>
      <w:szCs w:val="24"/>
    </w:rPr>
  </w:style>
  <w:style w:type="character" w:customStyle="1" w:styleId="NormalIndentChar">
    <w:name w:val="Normal Indent Char"/>
    <w:link w:val="NormalIndent"/>
    <w:rPr>
      <w:rFonts w:ascii="Times New Roman" w:eastAsia="Times New Roman" w:hAnsi="Times New Roman" w:cs="Times New Roman"/>
      <w:sz w:val="24"/>
      <w:szCs w:val="24"/>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4"/>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4"/>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4"/>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4"/>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numPr>
        <w:numId w:val="33"/>
      </w:numPr>
      <w:spacing w:before="240" w:after="240"/>
      <w:outlineLvl w:val="9"/>
    </w:pPr>
    <w:rPr>
      <w:rFonts w:ascii="Verdana" w:hAnsi="Verdana"/>
      <w:b w:val="0"/>
      <w:bCs w:val="0"/>
      <w:i/>
      <w:sz w:val="20"/>
      <w:lang w:val="en-US"/>
    </w:rPr>
  </w:style>
  <w:style w:type="paragraph" w:customStyle="1" w:styleId="NumPar3">
    <w:name w:val="NumPar 3"/>
    <w:basedOn w:val="Heading3"/>
    <w:next w:val="Text3"/>
    <w:pPr>
      <w:numPr>
        <w:numId w:val="33"/>
      </w:numPr>
      <w:spacing w:before="240" w:after="60" w:line="259" w:lineRule="auto"/>
      <w:outlineLvl w:val="9"/>
    </w:pPr>
    <w:rPr>
      <w:rFonts w:ascii="Verdana" w:hAnsi="Verdana"/>
      <w:bCs w:val="0"/>
      <w:i/>
      <w:sz w:val="20"/>
      <w:lang w:val="en-US"/>
    </w:rPr>
  </w:style>
  <w:style w:type="paragraph" w:customStyle="1" w:styleId="NumPar4">
    <w:name w:val="NumPar 4"/>
    <w:basedOn w:val="Heading4"/>
    <w:next w:val="Text4"/>
    <w:pPr>
      <w:keepNext w:val="0"/>
      <w:numPr>
        <w:numId w:val="33"/>
      </w:numPr>
      <w:spacing w:before="160"/>
      <w:outlineLvl w:val="9"/>
    </w:pPr>
    <w:rPr>
      <w:rFonts w:ascii="Verdana" w:hAnsi="Verdana"/>
      <w:b w:val="0"/>
      <w:bCs w:val="0"/>
      <w:iCs w:val="0"/>
      <w:sz w:val="20"/>
      <w:lang w:val="en-US"/>
    </w:r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cs="Times New Roman"/>
      <w:b/>
      <w:sz w:val="36"/>
      <w:szCs w:val="24"/>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4"/>
    </w:rPr>
  </w:style>
  <w:style w:type="character" w:customStyle="1" w:styleId="PlainTextChar">
    <w:name w:val="Plain Text Char"/>
    <w:basedOn w:val="DefaultParagraphFont"/>
    <w:link w:val="PlainText"/>
    <w:rPr>
      <w:rFonts w:ascii="Courier New" w:eastAsia="Times New Roman" w:hAnsi="Courier New" w:cs="Times New Roman"/>
      <w:sz w:val="20"/>
      <w:szCs w:val="24"/>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Pr>
      <w:rFonts w:ascii="Times New Roman" w:eastAsia="Times New Roman" w:hAnsi="Times New Roman" w:cs="Times New Roman"/>
      <w:sz w:val="24"/>
      <w:szCs w:val="24"/>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Pr>
      <w:rFonts w:ascii="Times New Roman" w:eastAsia="Times New Roman" w:hAnsi="Times New Roman" w:cs="Times New Roman"/>
      <w:sz w:val="24"/>
      <w:szCs w:val="24"/>
    </w:rPr>
  </w:style>
  <w:style w:type="paragraph" w:styleId="Subtitle">
    <w:name w:val="Subtitle"/>
    <w:basedOn w:val="Normal"/>
    <w:link w:val="SubtitleChar"/>
    <w:uiPriority w:val="11"/>
    <w:qFormat/>
    <w:pPr>
      <w:spacing w:after="60" w:line="240" w:lineRule="auto"/>
      <w:jc w:val="center"/>
      <w:outlineLvl w:val="1"/>
    </w:pPr>
    <w:rPr>
      <w:rFonts w:ascii="Arial" w:eastAsia="Times New Roman" w:hAnsi="Arial" w:cs="Times New Roman"/>
      <w:sz w:val="24"/>
      <w:szCs w:val="24"/>
    </w:rPr>
  </w:style>
  <w:style w:type="character" w:customStyle="1" w:styleId="SubtitleChar">
    <w:name w:val="Subtitle Char"/>
    <w:basedOn w:val="DefaultParagraphFont"/>
    <w:link w:val="Subtitle"/>
    <w:uiPriority w:val="11"/>
    <w:rPr>
      <w:rFonts w:ascii="Arial" w:eastAsia="Times New Roman" w:hAnsi="Arial" w:cs="Times New Roman"/>
      <w:sz w:val="24"/>
      <w:szCs w:val="24"/>
    </w:rPr>
  </w:style>
  <w:style w:type="paragraph" w:customStyle="1" w:styleId="SubTitle1">
    <w:name w:val="SubTitle 1"/>
    <w:basedOn w:val="Normal"/>
    <w:next w:val="SubTitle2"/>
    <w:pPr>
      <w:spacing w:after="240" w:line="240" w:lineRule="auto"/>
      <w:jc w:val="center"/>
    </w:pPr>
    <w:rPr>
      <w:rFonts w:ascii="Times New Roman" w:eastAsia="Times New Roman" w:hAnsi="Times New Roman" w:cs="Times New Roman"/>
      <w:b/>
      <w:sz w:val="40"/>
      <w:szCs w:val="24"/>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4"/>
    </w:rPr>
  </w:style>
  <w:style w:type="paragraph" w:styleId="TableofAuthorities">
    <w:name w:val="table of authorities"/>
    <w:basedOn w:val="Normal"/>
    <w:next w:val="Normal"/>
    <w:pPr>
      <w:spacing w:after="240" w:line="240" w:lineRule="auto"/>
      <w:ind w:left="240" w:hanging="240"/>
      <w:jc w:val="both"/>
    </w:pPr>
    <w:rPr>
      <w:rFonts w:ascii="Times New Roman" w:eastAsia="Times New Roman" w:hAnsi="Times New Roman" w:cs="Times New Roman"/>
      <w:sz w:val="24"/>
      <w:szCs w:val="24"/>
    </w:rPr>
  </w:style>
  <w:style w:type="paragraph" w:styleId="TableofFigures">
    <w:name w:val="table of figures"/>
    <w:basedOn w:val="Normal"/>
    <w:next w:val="Normal"/>
    <w:uiPriority w:val="99"/>
    <w:pPr>
      <w:spacing w:after="240" w:line="240" w:lineRule="auto"/>
      <w:ind w:left="480" w:hanging="480"/>
      <w:jc w:val="both"/>
    </w:pPr>
    <w:rPr>
      <w:rFonts w:ascii="Times New Roman" w:eastAsia="Times New Roman" w:hAnsi="Times New Roman" w:cs="Times New Roman"/>
      <w:sz w:val="24"/>
      <w:szCs w:val="24"/>
    </w:rPr>
  </w:style>
  <w:style w:type="paragraph" w:styleId="Title">
    <w:name w:val="Title"/>
    <w:basedOn w:val="Normal"/>
    <w:next w:val="SubTitle1"/>
    <w:link w:val="TitleChar"/>
    <w:uiPriority w:val="10"/>
    <w:qFormat/>
    <w:pPr>
      <w:spacing w:after="480" w:line="240" w:lineRule="auto"/>
      <w:jc w:val="center"/>
    </w:pPr>
    <w:rPr>
      <w:rFonts w:ascii="Times New Roman" w:eastAsia="Times New Roman" w:hAnsi="Times New Roman" w:cs="Times New Roman"/>
      <w:b/>
      <w:kern w:val="28"/>
      <w:sz w:val="48"/>
      <w:szCs w:val="24"/>
    </w:rPr>
  </w:style>
  <w:style w:type="character" w:customStyle="1" w:styleId="TitleChar">
    <w:name w:val="Title Char"/>
    <w:basedOn w:val="DefaultParagraphFont"/>
    <w:link w:val="Title"/>
    <w:uiPriority w:val="10"/>
    <w:rPr>
      <w:rFonts w:ascii="Times New Roman" w:eastAsia="Times New Roman" w:hAnsi="Times New Roman" w:cs="Times New Roman"/>
      <w:b/>
      <w:kern w:val="28"/>
      <w:sz w:val="48"/>
      <w:szCs w:val="24"/>
    </w:rPr>
  </w:style>
  <w:style w:type="paragraph" w:styleId="TOAHeading">
    <w:name w:val="toa heading"/>
    <w:basedOn w:val="Normal"/>
    <w:next w:val="Normal"/>
    <w:pPr>
      <w:spacing w:before="120" w:after="240" w:line="240" w:lineRule="auto"/>
      <w:jc w:val="both"/>
    </w:pPr>
    <w:rPr>
      <w:rFonts w:ascii="Arial" w:eastAsia="Times New Roman" w:hAnsi="Arial" w:cs="Times New Roman"/>
      <w:b/>
      <w:sz w:val="24"/>
      <w:szCs w:val="24"/>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Verdana" w:eastAsia="Times New Roman" w:hAnsi="Verdana" w:cs="Times New Roman"/>
      <w:caps/>
      <w:sz w:val="18"/>
      <w:szCs w:val="24"/>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Verdana" w:eastAsia="Times New Roman" w:hAnsi="Verdana" w:cs="Times New Roman"/>
      <w:sz w:val="18"/>
      <w:szCs w:val="24"/>
    </w:rPr>
  </w:style>
  <w:style w:type="paragraph" w:styleId="TOC3">
    <w:name w:val="toc 3"/>
    <w:basedOn w:val="Normal"/>
    <w:next w:val="Normal"/>
    <w:uiPriority w:val="39"/>
    <w:qFormat/>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4"/>
    </w:rPr>
  </w:style>
  <w:style w:type="paragraph" w:styleId="TOC4">
    <w:name w:val="toc 4"/>
    <w:basedOn w:val="Normal"/>
    <w:next w:val="Normal"/>
    <w:uiPriority w:val="39"/>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8641"/>
      </w:tabs>
      <w:spacing w:before="240" w:after="120" w:line="240" w:lineRule="auto"/>
      <w:ind w:right="720"/>
      <w:jc w:val="both"/>
    </w:pPr>
    <w:rPr>
      <w:rFonts w:ascii="Times New Roman" w:eastAsia="Times New Roman" w:hAnsi="Times New Roman" w:cs="Times New Roman"/>
      <w:caps/>
      <w:sz w:val="24"/>
      <w:szCs w:val="24"/>
    </w:rPr>
  </w:style>
  <w:style w:type="paragraph" w:styleId="TOC6">
    <w:name w:val="toc 6"/>
    <w:basedOn w:val="Normal"/>
    <w:next w:val="Normal"/>
    <w:autoRedefine/>
    <w:uiPriority w:val="39"/>
    <w:pPr>
      <w:spacing w:after="240" w:line="240" w:lineRule="auto"/>
      <w:ind w:left="1200"/>
      <w:jc w:val="both"/>
    </w:pPr>
    <w:rPr>
      <w:rFonts w:ascii="Times New Roman" w:eastAsia="Times New Roman" w:hAnsi="Times New Roman" w:cs="Times New Roman"/>
      <w:sz w:val="24"/>
      <w:szCs w:val="24"/>
    </w:rPr>
  </w:style>
  <w:style w:type="paragraph" w:styleId="TOC7">
    <w:name w:val="toc 7"/>
    <w:basedOn w:val="Normal"/>
    <w:next w:val="Normal"/>
    <w:autoRedefine/>
    <w:uiPriority w:val="39"/>
    <w:pPr>
      <w:spacing w:after="240" w:line="240" w:lineRule="auto"/>
      <w:ind w:left="1440"/>
      <w:jc w:val="both"/>
    </w:pPr>
    <w:rPr>
      <w:rFonts w:ascii="Times New Roman" w:eastAsia="Times New Roman" w:hAnsi="Times New Roman" w:cs="Times New Roman"/>
      <w:sz w:val="24"/>
      <w:szCs w:val="24"/>
    </w:rPr>
  </w:style>
  <w:style w:type="paragraph" w:styleId="TOC8">
    <w:name w:val="toc 8"/>
    <w:basedOn w:val="Normal"/>
    <w:next w:val="Normal"/>
    <w:autoRedefine/>
    <w:uiPriority w:val="39"/>
    <w:pPr>
      <w:spacing w:after="240" w:line="240" w:lineRule="auto"/>
      <w:ind w:left="1680"/>
      <w:jc w:val="both"/>
    </w:pPr>
    <w:rPr>
      <w:rFonts w:ascii="Times New Roman" w:eastAsia="Times New Roman" w:hAnsi="Times New Roman" w:cs="Times New Roman"/>
      <w:sz w:val="24"/>
      <w:szCs w:val="24"/>
    </w:rPr>
  </w:style>
  <w:style w:type="paragraph" w:styleId="TOC9">
    <w:name w:val="toc 9"/>
    <w:basedOn w:val="Normal"/>
    <w:next w:val="Normal"/>
    <w:autoRedefine/>
    <w:uiPriority w:val="39"/>
    <w:pPr>
      <w:spacing w:after="240" w:line="240" w:lineRule="auto"/>
      <w:ind w:left="1920"/>
      <w:jc w:val="both"/>
    </w:pPr>
    <w:rPr>
      <w:rFonts w:ascii="Times New Roman" w:eastAsia="Times New Roman" w:hAnsi="Times New Roman" w:cs="Times New Roman"/>
      <w:sz w:val="24"/>
      <w:szCs w:val="24"/>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4"/>
    </w:rPr>
  </w:style>
  <w:style w:type="paragraph" w:customStyle="1" w:styleId="ListBullet1">
    <w:name w:val="List Bullet 1"/>
    <w:basedOn w:val="Text1"/>
    <w:pPr>
      <w:numPr>
        <w:numId w:val="8"/>
      </w:numPr>
    </w:pPr>
  </w:style>
  <w:style w:type="paragraph" w:customStyle="1" w:styleId="ListDash">
    <w:name w:val="List Dash"/>
    <w:basedOn w:val="Normal"/>
    <w:pPr>
      <w:numPr>
        <w:numId w:val="10"/>
      </w:numPr>
      <w:spacing w:after="240" w:line="240" w:lineRule="auto"/>
      <w:jc w:val="both"/>
    </w:pPr>
    <w:rPr>
      <w:rFonts w:ascii="Times New Roman" w:eastAsia="Times New Roman" w:hAnsi="Times New Roman" w:cs="Times New Roman"/>
      <w:sz w:val="24"/>
      <w:szCs w:val="24"/>
    </w:rPr>
  </w:style>
  <w:style w:type="paragraph" w:customStyle="1" w:styleId="ListDash1">
    <w:name w:val="List Dash 1"/>
    <w:basedOn w:val="Text1"/>
    <w:pPr>
      <w:numPr>
        <w:numId w:val="11"/>
      </w:numPr>
    </w:pPr>
  </w:style>
  <w:style w:type="paragraph" w:customStyle="1" w:styleId="ListDash2">
    <w:name w:val="List Dash 2"/>
    <w:basedOn w:val="Text2"/>
    <w:pPr>
      <w:numPr>
        <w:numId w:val="12"/>
      </w:numPr>
      <w:tabs>
        <w:tab w:val="clear" w:pos="2302"/>
      </w:tabs>
    </w:pPr>
  </w:style>
  <w:style w:type="paragraph" w:customStyle="1" w:styleId="ListDash3">
    <w:name w:val="List Dash 3"/>
    <w:basedOn w:val="Text3"/>
    <w:pPr>
      <w:numPr>
        <w:numId w:val="13"/>
      </w:numPr>
      <w:tabs>
        <w:tab w:val="clear" w:pos="2302"/>
      </w:tabs>
    </w:pPr>
  </w:style>
  <w:style w:type="paragraph" w:customStyle="1" w:styleId="ListDash4">
    <w:name w:val="List Dash 4"/>
    <w:basedOn w:val="Text4"/>
    <w:pPr>
      <w:numPr>
        <w:numId w:val="14"/>
      </w:numPr>
      <w:tabs>
        <w:tab w:val="clear" w:pos="2302"/>
      </w:tabs>
    </w:pPr>
  </w:style>
  <w:style w:type="paragraph" w:customStyle="1" w:styleId="ListNumberLevel2">
    <w:name w:val="List Number (Level 2)"/>
    <w:basedOn w:val="Normal"/>
    <w:pPr>
      <w:numPr>
        <w:ilvl w:val="1"/>
        <w:numId w:val="15"/>
      </w:numPr>
      <w:spacing w:after="24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pPr>
      <w:numPr>
        <w:ilvl w:val="2"/>
        <w:numId w:val="15"/>
      </w:numPr>
      <w:spacing w:after="24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pPr>
      <w:numPr>
        <w:ilvl w:val="3"/>
        <w:numId w:val="15"/>
      </w:numPr>
      <w:spacing w:after="240" w:line="240" w:lineRule="auto"/>
      <w:jc w:val="both"/>
    </w:pPr>
    <w:rPr>
      <w:rFonts w:ascii="Times New Roman" w:eastAsia="Times New Roman" w:hAnsi="Times New Roman" w:cs="Times New Roman"/>
      <w:sz w:val="24"/>
      <w:szCs w:val="24"/>
    </w:rPr>
  </w:style>
  <w:style w:type="paragraph" w:customStyle="1" w:styleId="ListNumber1">
    <w:name w:val="List Number 1"/>
    <w:basedOn w:val="Text1"/>
    <w:pPr>
      <w:numPr>
        <w:numId w:val="16"/>
      </w:numPr>
    </w:pPr>
  </w:style>
  <w:style w:type="paragraph" w:customStyle="1" w:styleId="ListNumber1Level2">
    <w:name w:val="List Number 1 (Level 2)"/>
    <w:basedOn w:val="Text1"/>
    <w:pPr>
      <w:numPr>
        <w:ilvl w:val="1"/>
        <w:numId w:val="16"/>
      </w:numPr>
    </w:pPr>
  </w:style>
  <w:style w:type="paragraph" w:customStyle="1" w:styleId="ListNumber1Level3">
    <w:name w:val="List Number 1 (Level 3)"/>
    <w:basedOn w:val="Text1"/>
    <w:pPr>
      <w:numPr>
        <w:ilvl w:val="2"/>
        <w:numId w:val="16"/>
      </w:numPr>
    </w:pPr>
  </w:style>
  <w:style w:type="paragraph" w:customStyle="1" w:styleId="ListNumber1Level4">
    <w:name w:val="List Number 1 (Level 4)"/>
    <w:basedOn w:val="Text1"/>
    <w:pPr>
      <w:numPr>
        <w:ilvl w:val="3"/>
        <w:numId w:val="16"/>
      </w:numPr>
    </w:pPr>
  </w:style>
  <w:style w:type="paragraph" w:customStyle="1" w:styleId="ListNumber2Level2">
    <w:name w:val="List Number 2 (Level 2)"/>
    <w:basedOn w:val="Text2"/>
    <w:pPr>
      <w:numPr>
        <w:ilvl w:val="1"/>
        <w:numId w:val="17"/>
      </w:numPr>
      <w:tabs>
        <w:tab w:val="clear" w:pos="2302"/>
      </w:tabs>
    </w:pPr>
  </w:style>
  <w:style w:type="paragraph" w:customStyle="1" w:styleId="ListNumber2Level3">
    <w:name w:val="List Number 2 (Level 3)"/>
    <w:basedOn w:val="Text2"/>
    <w:pPr>
      <w:numPr>
        <w:ilvl w:val="2"/>
        <w:numId w:val="17"/>
      </w:numPr>
      <w:tabs>
        <w:tab w:val="clear" w:pos="2302"/>
      </w:tabs>
    </w:pPr>
  </w:style>
  <w:style w:type="paragraph" w:customStyle="1" w:styleId="ListNumber2Level4">
    <w:name w:val="List Number 2 (Level 4)"/>
    <w:basedOn w:val="Text2"/>
    <w:pPr>
      <w:numPr>
        <w:ilvl w:val="3"/>
        <w:numId w:val="17"/>
      </w:numPr>
      <w:tabs>
        <w:tab w:val="clear" w:pos="2302"/>
      </w:tabs>
    </w:pPr>
  </w:style>
  <w:style w:type="paragraph" w:customStyle="1" w:styleId="ListNumber3Level2">
    <w:name w:val="List Number 3 (Level 2)"/>
    <w:basedOn w:val="Text3"/>
    <w:pPr>
      <w:numPr>
        <w:ilvl w:val="1"/>
        <w:numId w:val="18"/>
      </w:numPr>
      <w:tabs>
        <w:tab w:val="clear" w:pos="2302"/>
      </w:tabs>
    </w:pPr>
  </w:style>
  <w:style w:type="paragraph" w:customStyle="1" w:styleId="ListNumber3Level3">
    <w:name w:val="List Number 3 (Level 3)"/>
    <w:basedOn w:val="Text3"/>
    <w:pPr>
      <w:numPr>
        <w:ilvl w:val="2"/>
        <w:numId w:val="18"/>
      </w:numPr>
      <w:tabs>
        <w:tab w:val="clear" w:pos="2302"/>
      </w:tabs>
    </w:pPr>
  </w:style>
  <w:style w:type="paragraph" w:customStyle="1" w:styleId="ListNumber3Level4">
    <w:name w:val="List Number 3 (Level 4)"/>
    <w:basedOn w:val="Text3"/>
    <w:pPr>
      <w:numPr>
        <w:ilvl w:val="3"/>
        <w:numId w:val="18"/>
      </w:numPr>
      <w:tabs>
        <w:tab w:val="clear" w:pos="2302"/>
      </w:tabs>
    </w:pPr>
  </w:style>
  <w:style w:type="paragraph" w:customStyle="1" w:styleId="ListNumber4Level2">
    <w:name w:val="List Number 4 (Level 2)"/>
    <w:basedOn w:val="Text4"/>
    <w:pPr>
      <w:numPr>
        <w:ilvl w:val="1"/>
        <w:numId w:val="19"/>
      </w:numPr>
      <w:tabs>
        <w:tab w:val="clear" w:pos="2302"/>
      </w:tabs>
    </w:pPr>
  </w:style>
  <w:style w:type="paragraph" w:customStyle="1" w:styleId="ListNumber4Level3">
    <w:name w:val="List Number 4 (Level 3)"/>
    <w:basedOn w:val="Text4"/>
    <w:pPr>
      <w:numPr>
        <w:ilvl w:val="2"/>
        <w:numId w:val="19"/>
      </w:numPr>
      <w:tabs>
        <w:tab w:val="clear" w:pos="2302"/>
      </w:tabs>
    </w:pPr>
  </w:style>
  <w:style w:type="paragraph" w:customStyle="1" w:styleId="ListNumber4Level4">
    <w:name w:val="List Number 4 (Level 4)"/>
    <w:basedOn w:val="Text4"/>
    <w:pPr>
      <w:numPr>
        <w:ilvl w:val="3"/>
        <w:numId w:val="19"/>
      </w:numPr>
      <w:tabs>
        <w:tab w:val="clear" w:pos="2302"/>
      </w:tabs>
    </w:pPr>
  </w:style>
  <w:style w:type="paragraph" w:customStyle="1" w:styleId="TOCHeading1">
    <w:name w:val="TOC Heading1"/>
    <w:basedOn w:val="Normal"/>
    <w:next w:val="Normal"/>
    <w:pPr>
      <w:keepNext/>
      <w:spacing w:before="240" w:after="240" w:line="240" w:lineRule="auto"/>
      <w:jc w:val="center"/>
    </w:pPr>
    <w:rPr>
      <w:rFonts w:ascii="Times New Roman" w:eastAsia="Times New Roman" w:hAnsi="Times New Roman" w:cs="Times New Roman"/>
      <w:b/>
      <w:sz w:val="24"/>
      <w:szCs w:val="24"/>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4"/>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table" w:styleId="ColorfulGrid-Accent3">
    <w:name w:val="Colorful Grid Accent 3"/>
    <w:basedOn w:val="TableNormal"/>
    <w:uiPriority w:val="69"/>
    <w:pPr>
      <w:spacing w:after="0" w:line="240" w:lineRule="auto"/>
    </w:pPr>
    <w:rPr>
      <w:rFonts w:ascii="Verdana" w:eastAsia="Times New Roman" w:hAnsi="Verdana" w:cs="Times New Roman"/>
      <w:sz w:val="18"/>
      <w:szCs w:val="24"/>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BalloonTextChar1">
    <w:name w:val="Balloon Text Char1"/>
    <w:basedOn w:val="DefaultParagraphFont"/>
    <w:rPr>
      <w:rFonts w:ascii="Tahoma" w:hAnsi="Tahoma" w:cs="Tahoma"/>
      <w:sz w:val="16"/>
      <w:szCs w:val="16"/>
      <w:lang w:val="fr-FR" w:eastAsia="en-US"/>
    </w:rPr>
  </w:style>
  <w:style w:type="paragraph" w:customStyle="1" w:styleId="DocumentTitle">
    <w:name w:val="Document Title"/>
    <w:basedOn w:val="Normal"/>
    <w:link w:val="DocumentTitleChar"/>
    <w:qFormat/>
    <w:pPr>
      <w:spacing w:after="240" w:line="240" w:lineRule="auto"/>
      <w:jc w:val="center"/>
    </w:pPr>
    <w:rPr>
      <w:rFonts w:ascii="Verdana" w:eastAsia="Times New Roman" w:hAnsi="Verdana" w:cs="Times New Roman"/>
      <w:b/>
      <w:sz w:val="52"/>
      <w:szCs w:val="24"/>
    </w:rPr>
  </w:style>
  <w:style w:type="character" w:customStyle="1" w:styleId="DocumentTitleChar">
    <w:name w:val="Document Title Char"/>
    <w:link w:val="DocumentTitle"/>
    <w:rPr>
      <w:rFonts w:ascii="Verdana" w:eastAsia="Times New Roman" w:hAnsi="Verdana" w:cs="Times New Roman"/>
      <w:b/>
      <w:sz w:val="52"/>
      <w:szCs w:val="24"/>
    </w:rPr>
  </w:style>
  <w:style w:type="paragraph" w:customStyle="1" w:styleId="Footerapproval">
    <w:name w:val="Footer approval"/>
    <w:basedOn w:val="Footer"/>
    <w:link w:val="ApprovalfooterChar"/>
    <w:qFormat/>
    <w:pPr>
      <w:tabs>
        <w:tab w:val="clear" w:pos="4535"/>
        <w:tab w:val="clear" w:pos="9071"/>
        <w:tab w:val="left" w:pos="6804"/>
      </w:tabs>
      <w:ind w:right="-567"/>
    </w:pPr>
    <w:rPr>
      <w:rFonts w:ascii="Verdana" w:eastAsia="Times New Roman" w:hAnsi="Verdana"/>
      <w:sz w:val="13"/>
      <w:szCs w:val="24"/>
      <w:lang w:val="fr-BE"/>
    </w:rPr>
  </w:style>
  <w:style w:type="character" w:customStyle="1" w:styleId="ApprovalfooterChar">
    <w:name w:val="Approval_footer Char"/>
    <w:basedOn w:val="FooterChar"/>
    <w:link w:val="Footerapproval"/>
    <w:rPr>
      <w:rFonts w:ascii="Verdana" w:eastAsia="Times New Roman" w:hAnsi="Verdana" w:cs="Times New Roman"/>
      <w:sz w:val="13"/>
      <w:szCs w:val="24"/>
      <w:lang w:val="fr-BE"/>
    </w:rPr>
  </w:style>
  <w:style w:type="paragraph" w:customStyle="1" w:styleId="FooterDate">
    <w:name w:val="Footer Date"/>
    <w:basedOn w:val="Footer"/>
    <w:link w:val="FooterDateChar"/>
    <w:pPr>
      <w:tabs>
        <w:tab w:val="clear" w:pos="4535"/>
        <w:tab w:val="clear" w:pos="9071"/>
        <w:tab w:val="right" w:pos="9240"/>
      </w:tabs>
      <w:ind w:right="-567"/>
    </w:pPr>
    <w:rPr>
      <w:rFonts w:ascii="Verdana" w:eastAsia="Times New Roman" w:hAnsi="Verdana"/>
      <w:sz w:val="16"/>
      <w:szCs w:val="24"/>
      <w:lang w:val="it-IT"/>
    </w:rPr>
  </w:style>
  <w:style w:type="character" w:customStyle="1" w:styleId="FooterDateChar">
    <w:name w:val="Footer Date Char"/>
    <w:link w:val="FooterDate"/>
    <w:rPr>
      <w:rFonts w:ascii="Verdana" w:eastAsia="Times New Roman" w:hAnsi="Verdana" w:cs="Times New Roman"/>
      <w:sz w:val="16"/>
      <w:szCs w:val="24"/>
      <w:lang w:val="it-IT"/>
    </w:rPr>
  </w:style>
  <w:style w:type="paragraph" w:customStyle="1" w:styleId="PageNumber1">
    <w:name w:val="Page Number1"/>
    <w:basedOn w:val="Footer"/>
    <w:link w:val="PagenumberChar"/>
    <w:pPr>
      <w:tabs>
        <w:tab w:val="clear" w:pos="4535"/>
        <w:tab w:val="clear" w:pos="9071"/>
        <w:tab w:val="right" w:pos="9240"/>
      </w:tabs>
      <w:ind w:right="-622"/>
    </w:pPr>
    <w:rPr>
      <w:rFonts w:ascii="Verdana" w:eastAsia="Times New Roman" w:hAnsi="Verdana"/>
      <w:sz w:val="16"/>
      <w:szCs w:val="24"/>
      <w:lang w:val="fr-BE"/>
    </w:rPr>
  </w:style>
  <w:style w:type="character" w:customStyle="1" w:styleId="PagenumberChar">
    <w:name w:val="Page number Char"/>
    <w:link w:val="PageNumber1"/>
    <w:rPr>
      <w:rFonts w:ascii="Verdana" w:eastAsia="Times New Roman" w:hAnsi="Verdana" w:cs="Times New Roman"/>
      <w:sz w:val="16"/>
      <w:szCs w:val="24"/>
      <w:lang w:val="fr-BE"/>
    </w:rPr>
  </w:style>
  <w:style w:type="paragraph" w:customStyle="1" w:styleId="DocumentSubtitle">
    <w:name w:val="Document Subtitle"/>
    <w:basedOn w:val="DocumentTitle"/>
    <w:link w:val="DocumentSubtitleChar"/>
    <w:qFormat/>
    <w:rPr>
      <w:b w:val="0"/>
      <w:sz w:val="32"/>
      <w:szCs w:val="36"/>
    </w:rPr>
  </w:style>
  <w:style w:type="character" w:customStyle="1" w:styleId="DocumentSubtitleChar">
    <w:name w:val="Document Subtitle Char"/>
    <w:link w:val="DocumentSubtitle"/>
    <w:rPr>
      <w:rFonts w:ascii="Verdana" w:eastAsia="Times New Roman" w:hAnsi="Verdana" w:cs="Times New Roman"/>
      <w:sz w:val="32"/>
      <w:szCs w:val="36"/>
    </w:rPr>
  </w:style>
  <w:style w:type="paragraph" w:customStyle="1" w:styleId="HeaderTitle">
    <w:name w:val="Header Title"/>
    <w:basedOn w:val="Normal"/>
    <w:link w:val="HeaderTitleChar"/>
    <w:pPr>
      <w:spacing w:after="240" w:line="240" w:lineRule="auto"/>
      <w:jc w:val="center"/>
    </w:pPr>
    <w:rPr>
      <w:rFonts w:ascii="Verdana" w:eastAsia="Times New Roman" w:hAnsi="Verdana" w:cs="Times New Roman"/>
      <w:b/>
      <w:color w:val="808080"/>
      <w:sz w:val="18"/>
      <w:szCs w:val="18"/>
    </w:rPr>
  </w:style>
  <w:style w:type="character" w:customStyle="1" w:styleId="HeaderTitleChar">
    <w:name w:val="Header Title Char"/>
    <w:link w:val="HeaderTitle"/>
    <w:rPr>
      <w:rFonts w:ascii="Verdana" w:eastAsia="Times New Roman" w:hAnsi="Verdana" w:cs="Times New Roman"/>
      <w:b/>
      <w:color w:val="808080"/>
      <w:sz w:val="18"/>
      <w:szCs w:val="18"/>
    </w:rPr>
  </w:style>
  <w:style w:type="paragraph" w:customStyle="1" w:styleId="Bulletpoint1">
    <w:name w:val="Bullet point1"/>
    <w:basedOn w:val="NormalIndent"/>
    <w:link w:val="Bulletpoint1Char"/>
    <w:qFormat/>
    <w:pPr>
      <w:numPr>
        <w:numId w:val="21"/>
      </w:numPr>
      <w:spacing w:after="120"/>
    </w:pPr>
    <w:rPr>
      <w:rFonts w:ascii="Verdana" w:hAnsi="Verdana"/>
      <w:sz w:val="20"/>
    </w:rPr>
  </w:style>
  <w:style w:type="character" w:customStyle="1" w:styleId="Bulletpoint1Char">
    <w:name w:val="Bullet point1 Char"/>
    <w:basedOn w:val="NormalIndentChar"/>
    <w:link w:val="Bulletpoint1"/>
    <w:rPr>
      <w:rFonts w:ascii="Verdana" w:eastAsia="Times New Roman" w:hAnsi="Verdana" w:cs="Times New Roman"/>
      <w:sz w:val="20"/>
      <w:szCs w:val="24"/>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HeadingChar">
    <w:name w:val="Heading Char"/>
    <w:link w:val="Heading"/>
    <w:rPr>
      <w:rFonts w:ascii="Verdana" w:eastAsia="Times New Roman" w:hAnsi="Verdana" w:cs="Times New Roman"/>
      <w:b/>
      <w:caps/>
      <w:sz w:val="20"/>
      <w:szCs w:val="24"/>
      <w:u w:val="single"/>
    </w:rPr>
  </w:style>
  <w:style w:type="paragraph" w:customStyle="1" w:styleId="BulletPoint2">
    <w:name w:val="Bullet Point 2"/>
    <w:basedOn w:val="NormalIndent"/>
    <w:link w:val="BulletPoint2Char"/>
    <w:qFormat/>
    <w:pPr>
      <w:numPr>
        <w:numId w:val="20"/>
      </w:numPr>
      <w:spacing w:after="120"/>
      <w:ind w:left="1077" w:hanging="357"/>
      <w:jc w:val="left"/>
    </w:pPr>
    <w:rPr>
      <w:rFonts w:ascii="Verdana" w:hAnsi="Verdana"/>
      <w:sz w:val="18"/>
    </w:rPr>
  </w:style>
  <w:style w:type="character" w:customStyle="1" w:styleId="BulletPoint2Char">
    <w:name w:val="Bullet Point 2 Char"/>
    <w:link w:val="BulletPoint2"/>
    <w:rPr>
      <w:rFonts w:ascii="Verdana" w:eastAsia="Times New Roman" w:hAnsi="Verdana" w:cs="Times New Roman"/>
      <w:sz w:val="18"/>
      <w:szCs w:val="24"/>
    </w:rPr>
  </w:style>
  <w:style w:type="paragraph" w:customStyle="1" w:styleId="Body">
    <w:name w:val="Body"/>
    <w:basedOn w:val="Normal"/>
    <w:link w:val="BodyChar"/>
    <w:qFormat/>
    <w:pPr>
      <w:spacing w:before="120" w:after="120"/>
      <w:jc w:val="both"/>
    </w:pPr>
    <w:rPr>
      <w:rFonts w:ascii="Verdana" w:eastAsia="Times New Roman" w:hAnsi="Verdana" w:cs="Times New Roman"/>
      <w:sz w:val="20"/>
      <w:szCs w:val="24"/>
    </w:rPr>
  </w:style>
  <w:style w:type="character" w:customStyle="1" w:styleId="BodyChar">
    <w:name w:val="Body Char"/>
    <w:link w:val="Body"/>
    <w:rPr>
      <w:rFonts w:ascii="Verdana" w:eastAsia="Times New Roman" w:hAnsi="Verdana" w:cs="Times New Roman"/>
      <w:sz w:val="20"/>
      <w:szCs w:val="24"/>
    </w:rPr>
  </w:style>
  <w:style w:type="paragraph" w:customStyle="1" w:styleId="Title2">
    <w:name w:val="Title 2"/>
    <w:basedOn w:val="Normal"/>
    <w:pPr>
      <w:numPr>
        <w:numId w:val="22"/>
      </w:numPr>
      <w:spacing w:after="240" w:line="240" w:lineRule="auto"/>
      <w:jc w:val="both"/>
    </w:pPr>
    <w:rPr>
      <w:rFonts w:ascii="Times New Roman" w:eastAsia="Times New Roman" w:hAnsi="Times New Roman" w:cs="Times New Roman"/>
      <w:sz w:val="24"/>
      <w:szCs w:val="24"/>
    </w:rPr>
  </w:style>
  <w:style w:type="table" w:customStyle="1" w:styleId="HTG1">
    <w:name w:val="HTG1"/>
    <w:basedOn w:val="TableNormal"/>
    <w:next w:val="TableGrid"/>
    <w:uiPriority w:val="59"/>
    <w:pPr>
      <w:spacing w:after="0" w:line="240" w:lineRule="auto"/>
    </w:pPr>
    <w:rPr>
      <w:rFonts w:ascii="Verdana" w:eastAsia="Times New Roman" w:hAnsi="Verdana" w:cs="Times New Roman"/>
      <w:sz w:val="18"/>
      <w:szCs w:val="24"/>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table" w:customStyle="1" w:styleId="Style1">
    <w:name w:val="Style1"/>
    <w:basedOn w:val="TableNormal"/>
    <w:pPr>
      <w:spacing w:after="0" w:line="240" w:lineRule="auto"/>
    </w:pPr>
    <w:rPr>
      <w:rFonts w:ascii="Times New Roman" w:eastAsia="Times New Roman" w:hAnsi="Times New Roman" w:cs="Times New Roman"/>
      <w:sz w:val="24"/>
      <w:szCs w:val="24"/>
      <w:lang w:val="nl-BE" w:eastAsia="nl-BE"/>
    </w:rPr>
    <w:tblPr/>
  </w:style>
  <w:style w:type="table" w:styleId="TableElegant">
    <w:name w:val="Table Elegant"/>
    <w:basedOn w:val="TableNormal"/>
    <w:pPr>
      <w:spacing w:after="240" w:line="240" w:lineRule="auto"/>
      <w:jc w:val="both"/>
    </w:pPr>
    <w:rPr>
      <w:rFonts w:ascii="Times New Roman" w:eastAsia="Times New Roman" w:hAnsi="Times New Roman" w:cs="Times New Roman"/>
      <w:sz w:val="24"/>
      <w:szCs w:val="24"/>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lang w:val="en-US"/>
    </w:rPr>
  </w:style>
  <w:style w:type="character" w:customStyle="1" w:styleId="FooterDocumentChar">
    <w:name w:val="Footer Document Char"/>
    <w:link w:val="FooterDocument"/>
    <w:rPr>
      <w:rFonts w:ascii="Verdana" w:eastAsia="Times New Roman" w:hAnsi="Verdana" w:cs="Times New Roman"/>
      <w:i/>
      <w:noProof/>
      <w:sz w:val="13"/>
      <w:szCs w:val="24"/>
      <w:lang w:val="en-US"/>
    </w:rPr>
  </w:style>
  <w:style w:type="paragraph" w:customStyle="1" w:styleId="TOCHeading2">
    <w:name w:val="TOC Heading2"/>
    <w:basedOn w:val="Heading1"/>
    <w:next w:val="Normal"/>
    <w:uiPriority w:val="39"/>
    <w:unhideWhenUsed/>
    <w:qFormat/>
    <w:pPr>
      <w:keepLines/>
      <w:spacing w:before="480" w:after="0" w:line="276" w:lineRule="auto"/>
      <w:ind w:left="0" w:firstLine="0"/>
      <w:outlineLvl w:val="9"/>
    </w:pPr>
    <w:rPr>
      <w:rFonts w:ascii="Cambria" w:eastAsia="MS Gothic" w:hAnsi="Cambria"/>
      <w:bCs w:val="0"/>
      <w:smallCaps w:val="0"/>
      <w:color w:val="365F91"/>
      <w:sz w:val="28"/>
      <w:szCs w:val="28"/>
      <w:lang w:val="en-US"/>
    </w:rPr>
  </w:style>
  <w:style w:type="paragraph" w:customStyle="1" w:styleId="HeadingBody">
    <w:name w:val="Heading Body"/>
    <w:basedOn w:val="Normal"/>
    <w:link w:val="HeadingBodyChar"/>
    <w:qFormat/>
    <w:pPr>
      <w:spacing w:after="120" w:line="240" w:lineRule="auto"/>
      <w:jc w:val="both"/>
    </w:pPr>
    <w:rPr>
      <w:rFonts w:ascii="Verdana" w:eastAsia="Times New Roman" w:hAnsi="Verdana" w:cs="Times New Roman"/>
      <w:b/>
      <w:sz w:val="20"/>
      <w:szCs w:val="18"/>
    </w:rPr>
  </w:style>
  <w:style w:type="character" w:customStyle="1" w:styleId="HeadingBodyChar">
    <w:name w:val="Heading Body Char"/>
    <w:basedOn w:val="DefaultParagraphFont"/>
    <w:link w:val="HeadingBody"/>
    <w:rPr>
      <w:rFonts w:ascii="Verdana" w:eastAsia="Times New Roman" w:hAnsi="Verdana" w:cs="Times New Roman"/>
      <w:b/>
      <w:sz w:val="20"/>
      <w:szCs w:val="18"/>
    </w:rPr>
  </w:style>
  <w:style w:type="paragraph" w:customStyle="1" w:styleId="Titlepublication">
    <w:name w:val="Title publication"/>
    <w:basedOn w:val="Normal"/>
    <w:link w:val="TitlepublicationChar"/>
    <w:qFormat/>
    <w:pPr>
      <w:spacing w:after="240" w:line="240" w:lineRule="auto"/>
      <w:jc w:val="center"/>
    </w:pPr>
    <w:rPr>
      <w:rFonts w:ascii="Verdana" w:eastAsia="Times New Roman" w:hAnsi="Verdana" w:cs="Times New Roman"/>
      <w:b/>
      <w:color w:val="FF0000"/>
      <w:sz w:val="52"/>
      <w:szCs w:val="52"/>
    </w:rPr>
  </w:style>
  <w:style w:type="character" w:customStyle="1" w:styleId="TitlepublicationChar">
    <w:name w:val="Title publication Char"/>
    <w:basedOn w:val="DefaultParagraphFont"/>
    <w:link w:val="Titlepublication"/>
    <w:rPr>
      <w:rFonts w:ascii="Verdana" w:eastAsia="Times New Roman" w:hAnsi="Verdana" w:cs="Times New Roman"/>
      <w:b/>
      <w:color w:val="FF0000"/>
      <w:sz w:val="52"/>
      <w:szCs w:val="52"/>
    </w:rPr>
  </w:style>
  <w:style w:type="paragraph" w:customStyle="1" w:styleId="Subtitlepublication">
    <w:name w:val="Subtitle publication"/>
    <w:basedOn w:val="Normal"/>
    <w:link w:val="SubtitlepublicationChar"/>
    <w:qFormat/>
    <w:pPr>
      <w:spacing w:after="240" w:line="240" w:lineRule="auto"/>
      <w:jc w:val="center"/>
    </w:pPr>
    <w:rPr>
      <w:rFonts w:ascii="Verdana" w:eastAsia="Times New Roman" w:hAnsi="Verdana" w:cs="Times New Roman"/>
      <w:b/>
      <w:i/>
      <w:color w:val="FF0000"/>
      <w:sz w:val="32"/>
      <w:szCs w:val="24"/>
    </w:rPr>
  </w:style>
  <w:style w:type="character" w:customStyle="1" w:styleId="SubtitlepublicationChar">
    <w:name w:val="Subtitle publication Char"/>
    <w:basedOn w:val="DefaultParagraphFont"/>
    <w:link w:val="Subtitlepublication"/>
    <w:rPr>
      <w:rFonts w:ascii="Verdana" w:eastAsia="Times New Roman" w:hAnsi="Verdana" w:cs="Times New Roman"/>
      <w:b/>
      <w:i/>
      <w:color w:val="FF0000"/>
      <w:sz w:val="32"/>
      <w:szCs w:val="24"/>
    </w:rPr>
  </w:style>
  <w:style w:type="paragraph" w:customStyle="1" w:styleId="Editorname">
    <w:name w:val="Editor name"/>
    <w:basedOn w:val="Normal"/>
    <w:link w:val="EditornameChar"/>
    <w:qFormat/>
    <w:pPr>
      <w:spacing w:after="240" w:line="240" w:lineRule="auto"/>
      <w:jc w:val="center"/>
    </w:pPr>
    <w:rPr>
      <w:rFonts w:ascii="Verdana" w:eastAsia="Times New Roman" w:hAnsi="Verdana" w:cs="Times New Roman"/>
      <w:color w:val="FF0000"/>
      <w:sz w:val="24"/>
      <w:szCs w:val="24"/>
    </w:rPr>
  </w:style>
  <w:style w:type="character" w:customStyle="1" w:styleId="EditornameChar">
    <w:name w:val="Editor name Char"/>
    <w:basedOn w:val="DefaultParagraphFont"/>
    <w:link w:val="Editorname"/>
    <w:rPr>
      <w:rFonts w:ascii="Verdana" w:eastAsia="Times New Roman" w:hAnsi="Verdana" w:cs="Times New Roman"/>
      <w:color w:val="FF0000"/>
      <w:sz w:val="24"/>
      <w:szCs w:val="24"/>
    </w:rPr>
  </w:style>
  <w:style w:type="paragraph" w:customStyle="1" w:styleId="Backcoversummary">
    <w:name w:val="Backcover_summary"/>
    <w:basedOn w:val="Normal"/>
    <w:link w:val="BackcoversummaryChar"/>
    <w:qFormat/>
    <w:pPr>
      <w:spacing w:after="240" w:line="240" w:lineRule="auto"/>
      <w:jc w:val="both"/>
    </w:pPr>
    <w:rPr>
      <w:rFonts w:ascii="Verdana" w:eastAsia="Times New Roman" w:hAnsi="Verdana" w:cs="Times New Roman"/>
      <w:color w:val="FF0000"/>
      <w:sz w:val="24"/>
      <w:szCs w:val="24"/>
    </w:rPr>
  </w:style>
  <w:style w:type="character" w:customStyle="1" w:styleId="BackcoversummaryChar">
    <w:name w:val="Backcover_summary Char"/>
    <w:basedOn w:val="DefaultParagraphFont"/>
    <w:link w:val="Backcoversummary"/>
    <w:rPr>
      <w:rFonts w:ascii="Verdana" w:eastAsia="Times New Roman" w:hAnsi="Verdana" w:cs="Times New Roman"/>
      <w:color w:val="FF0000"/>
      <w:sz w:val="24"/>
      <w:szCs w:val="24"/>
    </w:rPr>
  </w:style>
  <w:style w:type="paragraph" w:customStyle="1" w:styleId="Backcovercategory">
    <w:name w:val="Backcover_category"/>
    <w:basedOn w:val="Normal"/>
    <w:link w:val="BackcovercategoryChar"/>
    <w:qFormat/>
    <w:pPr>
      <w:spacing w:after="240" w:line="240" w:lineRule="auto"/>
      <w:ind w:right="28"/>
      <w:jc w:val="both"/>
    </w:pPr>
    <w:rPr>
      <w:rFonts w:ascii="Verdana" w:eastAsia="Times New Roman" w:hAnsi="Verdana" w:cs="Times New Roman"/>
      <w:i/>
      <w:color w:val="FF0000"/>
      <w:sz w:val="18"/>
      <w:szCs w:val="24"/>
    </w:rPr>
  </w:style>
  <w:style w:type="character" w:customStyle="1" w:styleId="BackcovercategoryChar">
    <w:name w:val="Backcover_category Char"/>
    <w:basedOn w:val="DefaultParagraphFont"/>
    <w:link w:val="Backcovercategory"/>
    <w:rPr>
      <w:rFonts w:ascii="Verdana" w:eastAsia="Times New Roman" w:hAnsi="Verdana" w:cs="Times New Roman"/>
      <w:i/>
      <w:color w:val="FF0000"/>
      <w:sz w:val="18"/>
      <w:szCs w:val="24"/>
    </w:rPr>
  </w:style>
  <w:style w:type="paragraph" w:customStyle="1" w:styleId="Title1">
    <w:name w:val="Title 1"/>
    <w:basedOn w:val="NormalIndent"/>
    <w:link w:val="Title1Char"/>
    <w:qFormat/>
    <w:pPr>
      <w:numPr>
        <w:numId w:val="25"/>
      </w:numPr>
      <w:spacing w:before="360" w:after="120"/>
      <w:jc w:val="left"/>
    </w:pPr>
    <w:rPr>
      <w:rFonts w:ascii="Verdana" w:hAnsi="Verdana"/>
      <w:b/>
      <w:caps/>
    </w:rPr>
  </w:style>
  <w:style w:type="character" w:customStyle="1" w:styleId="Title1Char">
    <w:name w:val="Title 1 Char"/>
    <w:basedOn w:val="NormalIndentChar"/>
    <w:link w:val="Title1"/>
    <w:rPr>
      <w:rFonts w:ascii="Verdana" w:eastAsia="Times New Roman" w:hAnsi="Verdana" w:cs="Times New Roman"/>
      <w:b/>
      <w:caps/>
      <w:sz w:val="24"/>
      <w:szCs w:val="24"/>
    </w:rPr>
  </w:style>
  <w:style w:type="paragraph" w:customStyle="1" w:styleId="Subtitle10">
    <w:name w:val="Subtitle 1"/>
    <w:basedOn w:val="Body"/>
    <w:link w:val="Subtitle1Char"/>
    <w:qFormat/>
    <w:rPr>
      <w:b/>
      <w:i/>
    </w:rPr>
  </w:style>
  <w:style w:type="character" w:customStyle="1" w:styleId="Subtitle1Char">
    <w:name w:val="Subtitle 1 Char"/>
    <w:basedOn w:val="BodyChar"/>
    <w:link w:val="Subtitle10"/>
    <w:rPr>
      <w:rFonts w:ascii="Verdana" w:eastAsia="Times New Roman" w:hAnsi="Verdana" w:cs="Times New Roman"/>
      <w:b/>
      <w:i/>
      <w:sz w:val="20"/>
      <w:szCs w:val="24"/>
    </w:rPr>
  </w:style>
  <w:style w:type="paragraph" w:customStyle="1" w:styleId="Style2">
    <w:name w:val="Style2"/>
    <w:basedOn w:val="ListBullet"/>
    <w:link w:val="Style2Char"/>
    <w:qFormat/>
    <w:pPr>
      <w:tabs>
        <w:tab w:val="clear" w:pos="283"/>
        <w:tab w:val="num" w:pos="360"/>
      </w:tabs>
      <w:spacing w:after="120" w:line="276" w:lineRule="auto"/>
      <w:ind w:left="360" w:hanging="360"/>
    </w:pPr>
    <w:rPr>
      <w:rFonts w:ascii="Georgia" w:hAnsi="Georgia"/>
      <w:sz w:val="20"/>
    </w:rPr>
  </w:style>
  <w:style w:type="character" w:customStyle="1" w:styleId="Style2Char">
    <w:name w:val="Style2 Char"/>
    <w:basedOn w:val="DefaultParagraphFont"/>
    <w:link w:val="Style2"/>
    <w:rPr>
      <w:rFonts w:ascii="Georgia" w:eastAsia="Times New Roman" w:hAnsi="Georgia" w:cs="Times New Roman"/>
      <w:sz w:val="20"/>
      <w:szCs w:val="24"/>
    </w:rPr>
  </w:style>
  <w:style w:type="character" w:styleId="PageNumber">
    <w:name w:val="page number"/>
    <w:basedOn w:val="DefaultParagraphFont"/>
    <w:rPr>
      <w:rFonts w:ascii="Georgia" w:hAnsi="Georgia"/>
      <w:color w:val="333333"/>
      <w:sz w:val="20"/>
      <w:lang w:val="en-GB"/>
    </w:rPr>
  </w:style>
  <w:style w:type="paragraph" w:customStyle="1" w:styleId="ListParagraph1">
    <w:name w:val="List Paragraph1"/>
    <w:aliases w:val="List Paragraph3,Normal bullet 2,List Paragraph11,Bullet list,Normal bullet 21,List Paragraph111,Bullet list1"/>
    <w:basedOn w:val="Normal"/>
    <w:link w:val="ListParagraph1Char"/>
    <w:uiPriority w:val="34"/>
    <w:qFormat/>
    <w:pPr>
      <w:spacing w:after="120"/>
    </w:pPr>
    <w:rPr>
      <w:rFonts w:ascii="Arial" w:eastAsia="Calibri" w:hAnsi="Arial" w:cs="Times New Roman"/>
      <w:sz w:val="20"/>
      <w:lang w:eastAsia="nl-BE"/>
    </w:rPr>
  </w:style>
  <w:style w:type="character" w:customStyle="1" w:styleId="ListParagraph1Char">
    <w:name w:val="List Paragraph1 Char"/>
    <w:aliases w:val="Normal bullet 2 Char,Bullet list Char,List Paragraph Char,Numbered List Char,Bullet Char,List Paragraph2 Char"/>
    <w:link w:val="ListParagraph1"/>
    <w:uiPriority w:val="34"/>
    <w:rPr>
      <w:rFonts w:ascii="Arial" w:eastAsia="Calibri" w:hAnsi="Arial" w:cs="Times New Roman"/>
      <w:sz w:val="20"/>
      <w:lang w:eastAsia="nl-BE"/>
    </w:rPr>
  </w:style>
  <w:style w:type="paragraph" w:customStyle="1" w:styleId="footer1">
    <w:name w:val="footer 1"/>
    <w:basedOn w:val="FootnoteText"/>
    <w:link w:val="footer1Char"/>
    <w:qFormat/>
    <w:pPr>
      <w:spacing w:before="120" w:line="276" w:lineRule="auto"/>
    </w:pPr>
    <w:rPr>
      <w:rFonts w:ascii="Georgia" w:hAnsi="Georgia"/>
      <w:sz w:val="16"/>
      <w:szCs w:val="24"/>
      <w:lang w:val="it-IT"/>
    </w:rPr>
  </w:style>
  <w:style w:type="character" w:customStyle="1" w:styleId="footer1Char">
    <w:name w:val="footer 1 Char"/>
    <w:basedOn w:val="DefaultParagraphFont"/>
    <w:link w:val="footer1"/>
    <w:rPr>
      <w:rFonts w:ascii="Georgia" w:hAnsi="Georgia"/>
      <w:sz w:val="16"/>
      <w:szCs w:val="24"/>
      <w:lang w:val="it-IT"/>
    </w:rPr>
  </w:style>
  <w:style w:type="paragraph" w:customStyle="1" w:styleId="footer10">
    <w:name w:val="footer1"/>
    <w:basedOn w:val="FootnoteText"/>
    <w:link w:val="footer1Char0"/>
    <w:qFormat/>
    <w:pPr>
      <w:spacing w:before="120" w:line="276" w:lineRule="auto"/>
      <w:ind w:left="164" w:hanging="164"/>
    </w:pPr>
    <w:rPr>
      <w:rFonts w:ascii="Georgia" w:hAnsi="Georgia"/>
      <w:sz w:val="16"/>
      <w:szCs w:val="16"/>
    </w:rPr>
  </w:style>
  <w:style w:type="character" w:customStyle="1" w:styleId="footer1Char0">
    <w:name w:val="footer1 Char"/>
    <w:basedOn w:val="DefaultParagraphFont"/>
    <w:link w:val="footer10"/>
    <w:rPr>
      <w:rFonts w:ascii="Georgia" w:hAnsi="Georgia"/>
      <w:sz w:val="16"/>
      <w:szCs w:val="16"/>
    </w:rPr>
  </w:style>
  <w:style w:type="paragraph" w:customStyle="1" w:styleId="footnote3F">
    <w:name w:val="footnote3F"/>
    <w:basedOn w:val="FootnoteText"/>
    <w:link w:val="footnote3FChar"/>
    <w:qFormat/>
    <w:pPr>
      <w:spacing w:before="120" w:line="276" w:lineRule="auto"/>
      <w:ind w:left="187" w:hanging="187"/>
    </w:pPr>
    <w:rPr>
      <w:rFonts w:ascii="Georgia" w:eastAsia="Times New Roman" w:hAnsi="Georgia" w:cs="Times New Roman"/>
      <w:sz w:val="16"/>
      <w:szCs w:val="24"/>
    </w:rPr>
  </w:style>
  <w:style w:type="character" w:customStyle="1" w:styleId="footnote3FChar">
    <w:name w:val="footnote3F Char"/>
    <w:basedOn w:val="DefaultParagraphFont"/>
    <w:link w:val="footnote3F"/>
    <w:rPr>
      <w:rFonts w:ascii="Georgia" w:eastAsia="Times New Roman" w:hAnsi="Georgia" w:cs="Times New Roman"/>
      <w:sz w:val="16"/>
      <w:szCs w:val="24"/>
    </w:rPr>
  </w:style>
  <w:style w:type="paragraph" w:customStyle="1" w:styleId="Bullet3">
    <w:name w:val="Bullet 3"/>
    <w:basedOn w:val="BodyText0"/>
    <w:link w:val="Bullet3Char"/>
    <w:qFormat/>
    <w:pPr>
      <w:numPr>
        <w:numId w:val="23"/>
      </w:numPr>
      <w:spacing w:line="276" w:lineRule="auto"/>
    </w:pPr>
    <w:rPr>
      <w:rFonts w:ascii="Georgia" w:hAnsi="Georgia"/>
      <w:sz w:val="20"/>
    </w:rPr>
  </w:style>
  <w:style w:type="character" w:customStyle="1" w:styleId="Bullet3Char">
    <w:name w:val="Bullet 3 Char"/>
    <w:basedOn w:val="DefaultParagraphFont"/>
    <w:link w:val="Bullet3"/>
    <w:rPr>
      <w:rFonts w:ascii="Georgia" w:eastAsia="Times New Roman" w:hAnsi="Georgia" w:cs="Times New Roman"/>
      <w:sz w:val="20"/>
      <w:szCs w:val="24"/>
    </w:rPr>
  </w:style>
  <w:style w:type="paragraph" w:customStyle="1" w:styleId="finding">
    <w:name w:val="finding"/>
    <w:basedOn w:val="Normal"/>
    <w:link w:val="findingChar"/>
    <w:autoRedefine/>
    <w:qFormat/>
    <w:pPr>
      <w:numPr>
        <w:numId w:val="24"/>
      </w:numPr>
      <w:spacing w:before="240" w:after="0"/>
      <w:jc w:val="both"/>
    </w:pPr>
    <w:rPr>
      <w:rFonts w:ascii="Verdana" w:eastAsia="Times New Roman" w:hAnsi="Verdana" w:cs="Times New Roman"/>
      <w:b/>
      <w:i/>
      <w:sz w:val="20"/>
      <w:szCs w:val="24"/>
    </w:rPr>
  </w:style>
  <w:style w:type="character" w:customStyle="1" w:styleId="findingChar">
    <w:name w:val="finding Char"/>
    <w:basedOn w:val="DefaultParagraphFont"/>
    <w:link w:val="finding"/>
    <w:rPr>
      <w:rFonts w:ascii="Verdana" w:eastAsia="Times New Roman" w:hAnsi="Verdana" w:cs="Times New Roman"/>
      <w:b/>
      <w:i/>
      <w:sz w:val="20"/>
      <w:szCs w:val="24"/>
    </w:rPr>
  </w:style>
  <w:style w:type="paragraph" w:customStyle="1" w:styleId="Heading21">
    <w:name w:val="Heading 21"/>
    <w:basedOn w:val="Title1"/>
    <w:link w:val="heading2Char0"/>
    <w:pPr>
      <w:numPr>
        <w:numId w:val="0"/>
      </w:numPr>
      <w:tabs>
        <w:tab w:val="left" w:pos="993"/>
      </w:tabs>
      <w:ind w:left="567" w:hanging="567"/>
      <w:jc w:val="both"/>
    </w:pPr>
    <w:rPr>
      <w:caps w:val="0"/>
      <w:sz w:val="20"/>
    </w:rPr>
  </w:style>
  <w:style w:type="character" w:customStyle="1" w:styleId="heading2Char0">
    <w:name w:val="heading 2 Char"/>
    <w:basedOn w:val="Title1Char"/>
    <w:link w:val="Heading21"/>
    <w:rPr>
      <w:rFonts w:ascii="Verdana" w:eastAsia="Times New Roman" w:hAnsi="Verdana" w:cs="Times New Roman"/>
      <w:b/>
      <w:caps w:val="0"/>
      <w:sz w:val="20"/>
      <w:szCs w:val="24"/>
    </w:rPr>
  </w:style>
  <w:style w:type="paragraph" w:customStyle="1" w:styleId="Caption1">
    <w:name w:val="Caption1"/>
    <w:basedOn w:val="BodyText0"/>
    <w:link w:val="captionChar"/>
    <w:qFormat/>
    <w:pPr>
      <w:jc w:val="center"/>
    </w:pPr>
    <w:rPr>
      <w:rFonts w:ascii="Verdana" w:hAnsi="Verdana"/>
      <w:color w:val="595959"/>
      <w:sz w:val="18"/>
      <w:szCs w:val="18"/>
      <w:lang w:val="en-US"/>
    </w:rPr>
  </w:style>
  <w:style w:type="character" w:customStyle="1" w:styleId="captionChar">
    <w:name w:val="caption Char"/>
    <w:basedOn w:val="DefaultParagraphFont"/>
    <w:link w:val="Caption1"/>
    <w:rPr>
      <w:rFonts w:ascii="Verdana" w:eastAsia="Times New Roman" w:hAnsi="Verdana" w:cs="Times New Roman"/>
      <w:color w:val="595959"/>
      <w:sz w:val="18"/>
      <w:szCs w:val="18"/>
      <w:lang w:val="en-US"/>
    </w:rPr>
  </w:style>
  <w:style w:type="character" w:customStyle="1" w:styleId="Style1Char">
    <w:name w:val="Style1 Char"/>
    <w:basedOn w:val="DefaultParagraphFont"/>
    <w:rPr>
      <w:rFonts w:ascii="Georgia" w:hAnsi="Georgia"/>
      <w:sz w:val="16"/>
      <w:szCs w:val="24"/>
      <w:lang w:eastAsia="en-US"/>
    </w:rPr>
  </w:style>
  <w:style w:type="paragraph" w:customStyle="1" w:styleId="source">
    <w:name w:val="source"/>
    <w:basedOn w:val="Normal"/>
    <w:qFormat/>
    <w:pPr>
      <w:spacing w:before="120" w:after="120"/>
      <w:jc w:val="center"/>
    </w:pPr>
    <w:rPr>
      <w:rFonts w:ascii="Georgia" w:eastAsia="Times New Roman" w:hAnsi="Georgia" w:cs="Times New Roman"/>
      <w:sz w:val="16"/>
      <w:szCs w:val="24"/>
    </w:rPr>
  </w:style>
  <w:style w:type="paragraph" w:customStyle="1" w:styleId="Footer11">
    <w:name w:val="Footer1"/>
    <w:basedOn w:val="FootnoteText"/>
    <w:link w:val="Footer1Char1"/>
    <w:qFormat/>
    <w:pPr>
      <w:spacing w:before="120" w:line="276" w:lineRule="auto"/>
    </w:pPr>
    <w:rPr>
      <w:rFonts w:ascii="Georgia" w:hAnsi="Georgia"/>
      <w:sz w:val="16"/>
      <w:szCs w:val="16"/>
    </w:rPr>
  </w:style>
  <w:style w:type="character" w:customStyle="1" w:styleId="Footer1Char1">
    <w:name w:val="Footer1 Char"/>
    <w:basedOn w:val="DefaultParagraphFont"/>
    <w:link w:val="Footer11"/>
    <w:rPr>
      <w:rFonts w:ascii="Georgia" w:hAnsi="Georgia"/>
      <w:sz w:val="16"/>
      <w:szCs w:val="16"/>
    </w:rPr>
  </w:style>
  <w:style w:type="character" w:customStyle="1" w:styleId="SubtleEmphasis1">
    <w:name w:val="Subtle Emphasis1"/>
    <w:basedOn w:val="DefaultParagraphFont"/>
    <w:uiPriority w:val="19"/>
    <w:qFormat/>
    <w:rPr>
      <w:rFonts w:ascii="Verdana" w:hAnsi="Verdana"/>
      <w:i/>
      <w:iCs/>
      <w:color w:val="808080"/>
    </w:rPr>
  </w:style>
  <w:style w:type="paragraph" w:customStyle="1" w:styleId="astandard3520normal">
    <w:name w:val="a_standard__35__20_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alloonTextChar7">
    <w:name w:val="Balloon Text Char7"/>
    <w:basedOn w:val="DefaultParagraphFont"/>
    <w:uiPriority w:val="99"/>
    <w:semiHidden/>
    <w:rPr>
      <w:rFonts w:ascii="Lucida Grande" w:hAnsi="Lucida Grande"/>
      <w:sz w:val="18"/>
      <w:szCs w:val="18"/>
    </w:rPr>
  </w:style>
  <w:style w:type="character" w:customStyle="1" w:styleId="BalloonTextChar6">
    <w:name w:val="Balloon Text Char6"/>
    <w:basedOn w:val="DefaultParagraphFont"/>
    <w:uiPriority w:val="99"/>
    <w:semiHidden/>
    <w:rPr>
      <w:rFonts w:ascii="Lucida Grande" w:hAnsi="Lucida Grande"/>
      <w:sz w:val="18"/>
      <w:szCs w:val="18"/>
    </w:rPr>
  </w:style>
  <w:style w:type="character" w:customStyle="1" w:styleId="BalloonTextChar5">
    <w:name w:val="Balloon Text Char5"/>
    <w:basedOn w:val="DefaultParagraphFont"/>
    <w:uiPriority w:val="99"/>
    <w:semiHidden/>
    <w:rPr>
      <w:rFonts w:ascii="Lucida Grande" w:hAnsi="Lucida Grande" w:cs="Lucida Grande"/>
      <w:sz w:val="18"/>
      <w:szCs w:val="18"/>
    </w:rPr>
  </w:style>
  <w:style w:type="character" w:customStyle="1" w:styleId="BalloonTextChar4">
    <w:name w:val="Balloon Text Char4"/>
    <w:basedOn w:val="DefaultParagraphFont"/>
    <w:uiPriority w:val="99"/>
    <w:semiHidden/>
    <w:rPr>
      <w:rFonts w:ascii="Lucida Grande" w:hAnsi="Lucida Grande"/>
      <w:sz w:val="18"/>
      <w:szCs w:val="18"/>
    </w:rPr>
  </w:style>
  <w:style w:type="character" w:customStyle="1" w:styleId="BalloonTextChar3">
    <w:name w:val="Balloon Text Char3"/>
    <w:basedOn w:val="DefaultParagraphFont"/>
    <w:uiPriority w:val="99"/>
    <w:semiHidden/>
    <w:rPr>
      <w:rFonts w:ascii="Lucida Grande" w:hAnsi="Lucida Grande"/>
      <w:sz w:val="18"/>
      <w:szCs w:val="18"/>
    </w:rPr>
  </w:style>
  <w:style w:type="character" w:customStyle="1" w:styleId="BalloonTextChar2">
    <w:name w:val="Balloon Text Char2"/>
    <w:basedOn w:val="DefaultParagraphFont"/>
    <w:uiPriority w:val="99"/>
    <w:semiHidden/>
    <w:rPr>
      <w:rFonts w:ascii="Lucida Grande" w:hAnsi="Lucida Grande"/>
      <w:sz w:val="18"/>
      <w:szCs w:val="18"/>
    </w:rPr>
  </w:style>
  <w:style w:type="paragraph" w:customStyle="1" w:styleId="0Title1">
    <w:name w:val="0 Title 1"/>
    <w:basedOn w:val="BodyText0"/>
    <w:next w:val="BodyText0"/>
    <w:pPr>
      <w:keepNext/>
      <w:spacing w:before="400" w:after="200" w:line="720" w:lineRule="atLeast"/>
    </w:pPr>
    <w:rPr>
      <w:rFonts w:ascii="Georgia" w:hAnsi="Georgia"/>
      <w:color w:val="000000"/>
      <w:sz w:val="48"/>
      <w:szCs w:val="40"/>
    </w:rPr>
  </w:style>
  <w:style w:type="paragraph" w:customStyle="1" w:styleId="Source0">
    <w:name w:val="Source"/>
    <w:aliases w:val="Quote1,Source1"/>
    <w:basedOn w:val="BodyText0"/>
    <w:next w:val="BodyText0"/>
    <w:link w:val="SourceChar"/>
    <w:qFormat/>
    <w:pPr>
      <w:spacing w:line="276" w:lineRule="auto"/>
    </w:pPr>
    <w:rPr>
      <w:rFonts w:ascii="Georgia" w:hAnsi="Georgia"/>
      <w:color w:val="333333"/>
      <w:sz w:val="18"/>
    </w:rPr>
  </w:style>
  <w:style w:type="paragraph" w:customStyle="1" w:styleId="CoverTitle">
    <w:name w:val="Cover Title"/>
    <w:basedOn w:val="BodyText0"/>
    <w:next w:val="BodyText0"/>
    <w:pPr>
      <w:widowControl w:val="0"/>
      <w:autoSpaceDE w:val="0"/>
      <w:autoSpaceDN w:val="0"/>
      <w:adjustRightInd w:val="0"/>
      <w:spacing w:before="240" w:after="400" w:line="264" w:lineRule="auto"/>
      <w:textAlignment w:val="center"/>
    </w:pPr>
    <w:rPr>
      <w:rFonts w:ascii="Georgia" w:hAnsi="Georgia"/>
      <w:b/>
      <w:noProof/>
      <w:color w:val="000000"/>
      <w:sz w:val="54"/>
      <w:szCs w:val="44"/>
    </w:rPr>
  </w:style>
  <w:style w:type="paragraph" w:customStyle="1" w:styleId="CoverVersiondate">
    <w:name w:val="Cover Version date"/>
    <w:basedOn w:val="BodyText0"/>
    <w:next w:val="BodyText0"/>
    <w:pPr>
      <w:widowControl w:val="0"/>
      <w:autoSpaceDE w:val="0"/>
      <w:autoSpaceDN w:val="0"/>
      <w:adjustRightInd w:val="0"/>
      <w:spacing w:before="2000" w:after="240" w:line="288" w:lineRule="auto"/>
      <w:textAlignment w:val="center"/>
    </w:pPr>
    <w:rPr>
      <w:rFonts w:ascii="Georgia" w:hAnsi="Georgia"/>
      <w:b/>
      <w:i/>
      <w:color w:val="000000"/>
      <w:sz w:val="28"/>
      <w:szCs w:val="36"/>
    </w:rPr>
  </w:style>
  <w:style w:type="paragraph" w:customStyle="1" w:styleId="CoverSubtitle">
    <w:name w:val="Cover Subtitle"/>
    <w:basedOn w:val="BodyText0"/>
    <w:next w:val="BodyText0"/>
    <w:pPr>
      <w:widowControl w:val="0"/>
      <w:autoSpaceDE w:val="0"/>
      <w:autoSpaceDN w:val="0"/>
      <w:adjustRightInd w:val="0"/>
      <w:spacing w:line="264" w:lineRule="auto"/>
      <w:textAlignment w:val="center"/>
    </w:pPr>
    <w:rPr>
      <w:rFonts w:ascii="Georgia" w:hAnsi="Georgia" w:cs="Arial"/>
      <w:color w:val="000000"/>
      <w:sz w:val="28"/>
      <w:szCs w:val="30"/>
    </w:rPr>
  </w:style>
  <w:style w:type="paragraph" w:customStyle="1" w:styleId="Tabletext">
    <w:name w:val="Table text"/>
    <w:basedOn w:val="BodyText0"/>
    <w:pPr>
      <w:spacing w:after="0" w:line="276" w:lineRule="auto"/>
      <w:jc w:val="left"/>
    </w:pPr>
    <w:rPr>
      <w:rFonts w:ascii="Georgia" w:hAnsi="Georgia"/>
      <w:sz w:val="16"/>
    </w:rPr>
  </w:style>
  <w:style w:type="paragraph" w:customStyle="1" w:styleId="Tablecolumnheader">
    <w:name w:val="Table column header"/>
    <w:basedOn w:val="BodyText0"/>
    <w:pPr>
      <w:spacing w:after="0" w:line="276" w:lineRule="auto"/>
      <w:jc w:val="center"/>
    </w:pPr>
    <w:rPr>
      <w:rFonts w:ascii="Georgia" w:hAnsi="Georgia"/>
      <w:b/>
      <w:sz w:val="16"/>
    </w:rPr>
  </w:style>
  <w:style w:type="paragraph" w:customStyle="1" w:styleId="Tablerowheader">
    <w:name w:val="Table row header"/>
    <w:basedOn w:val="Tablecolumnheader"/>
    <w:pPr>
      <w:jc w:val="left"/>
    </w:pPr>
    <w:rPr>
      <w:color w:val="000000"/>
    </w:rPr>
  </w:style>
  <w:style w:type="paragraph" w:customStyle="1" w:styleId="AppendixHeading1">
    <w:name w:val="Appendix Heading 1"/>
    <w:basedOn w:val="BodyText0"/>
    <w:next w:val="BodyText0"/>
    <w:link w:val="AppendixHeading1Char"/>
    <w:qFormat/>
    <w:pPr>
      <w:numPr>
        <w:numId w:val="26"/>
      </w:numPr>
      <w:spacing w:after="720" w:line="276" w:lineRule="auto"/>
      <w:outlineLvl w:val="0"/>
    </w:pPr>
    <w:rPr>
      <w:rFonts w:ascii="Georgia" w:hAnsi="Georgia"/>
      <w:sz w:val="28"/>
    </w:rPr>
  </w:style>
  <w:style w:type="paragraph" w:customStyle="1" w:styleId="AppendixHeading2">
    <w:name w:val="Appendix Heading 2"/>
    <w:basedOn w:val="BodyText0"/>
    <w:next w:val="BodyText0"/>
    <w:link w:val="AppendixHeading2Char"/>
    <w:qFormat/>
    <w:pPr>
      <w:keepNext/>
      <w:numPr>
        <w:ilvl w:val="1"/>
        <w:numId w:val="26"/>
      </w:numPr>
      <w:spacing w:line="276" w:lineRule="auto"/>
    </w:pPr>
    <w:rPr>
      <w:rFonts w:ascii="Georgia" w:hAnsi="Georgia"/>
      <w:color w:val="FF0000"/>
      <w:sz w:val="28"/>
    </w:rPr>
  </w:style>
  <w:style w:type="paragraph" w:customStyle="1" w:styleId="AppendixHeading3">
    <w:name w:val="Appendix Heading 3"/>
    <w:basedOn w:val="BodyText0"/>
    <w:next w:val="BodyText0"/>
    <w:qFormat/>
    <w:pPr>
      <w:keepNext/>
      <w:numPr>
        <w:ilvl w:val="2"/>
        <w:numId w:val="26"/>
      </w:numPr>
      <w:spacing w:line="276" w:lineRule="auto"/>
    </w:pPr>
    <w:rPr>
      <w:rFonts w:ascii="Georgia" w:hAnsi="Georgia"/>
      <w:color w:val="333333"/>
      <w:sz w:val="20"/>
    </w:rPr>
  </w:style>
  <w:style w:type="paragraph" w:styleId="Quote">
    <w:name w:val="Quote"/>
    <w:basedOn w:val="BodyText0"/>
    <w:next w:val="BodyText0"/>
    <w:link w:val="QuoteChar"/>
    <w:uiPriority w:val="29"/>
    <w:qFormat/>
    <w:pPr>
      <w:spacing w:line="276" w:lineRule="auto"/>
      <w:ind w:left="567" w:right="565"/>
    </w:pPr>
    <w:rPr>
      <w:rFonts w:ascii="Georgia" w:hAnsi="Georgia"/>
      <w:i/>
      <w:sz w:val="20"/>
      <w:lang w:val="en-US"/>
    </w:rPr>
  </w:style>
  <w:style w:type="character" w:customStyle="1" w:styleId="QuoteChar">
    <w:name w:val="Quote Char"/>
    <w:basedOn w:val="DefaultParagraphFont"/>
    <w:link w:val="Quote"/>
    <w:uiPriority w:val="29"/>
    <w:rPr>
      <w:rFonts w:ascii="Georgia" w:eastAsia="Times New Roman" w:hAnsi="Georgia" w:cs="Times New Roman"/>
      <w:i/>
      <w:sz w:val="20"/>
      <w:szCs w:val="24"/>
      <w:lang w:val="en-US"/>
    </w:rPr>
  </w:style>
  <w:style w:type="paragraph" w:customStyle="1" w:styleId="Notes">
    <w:name w:val="Notes"/>
    <w:basedOn w:val="BodyText0"/>
    <w:link w:val="NotesCharChar"/>
    <w:autoRedefine/>
    <w:pPr>
      <w:framePr w:w="2165" w:h="2707" w:hSpace="187" w:wrap="around" w:vAnchor="text" w:hAnchor="page" w:x="9262" w:y="-23" w:anchorLock="1"/>
      <w:pBdr>
        <w:top w:val="single" w:sz="6" w:space="7" w:color="FF0000"/>
      </w:pBdr>
      <w:shd w:val="solid" w:color="FFFFFF" w:fill="FFFFFF"/>
      <w:spacing w:line="276" w:lineRule="auto"/>
    </w:pPr>
    <w:rPr>
      <w:rFonts w:ascii="Georgia" w:hAnsi="Georgia"/>
      <w:color w:val="FF0000"/>
      <w:sz w:val="20"/>
    </w:rPr>
  </w:style>
  <w:style w:type="character" w:customStyle="1" w:styleId="NotesCharChar">
    <w:name w:val="Notes Char Char"/>
    <w:basedOn w:val="DefaultParagraphFont"/>
    <w:link w:val="Notes"/>
    <w:locked/>
    <w:rPr>
      <w:rFonts w:ascii="Georgia" w:eastAsia="Times New Roman" w:hAnsi="Georgia" w:cs="Times New Roman"/>
      <w:color w:val="FF0000"/>
      <w:sz w:val="20"/>
      <w:szCs w:val="24"/>
      <w:shd w:val="solid" w:color="FFFFFF" w:fill="FFFFFF"/>
    </w:rPr>
  </w:style>
  <w:style w:type="paragraph" w:customStyle="1" w:styleId="Notesleft">
    <w:name w:val="Notes left"/>
    <w:basedOn w:val="Notes"/>
    <w:pPr>
      <w:framePr w:wrap="around" w:x="492" w:y="9"/>
    </w:pPr>
  </w:style>
  <w:style w:type="paragraph" w:customStyle="1" w:styleId="Headline">
    <w:name w:val="Headline"/>
    <w:basedOn w:val="BodyText0"/>
    <w:next w:val="BodyText0"/>
    <w:link w:val="HeadlineChar"/>
    <w:qFormat/>
    <w:pPr>
      <w:spacing w:line="276" w:lineRule="auto"/>
      <w:jc w:val="left"/>
    </w:pPr>
    <w:rPr>
      <w:rFonts w:ascii="Georgia" w:hAnsi="Georgia"/>
      <w:b/>
    </w:rPr>
  </w:style>
  <w:style w:type="paragraph" w:customStyle="1" w:styleId="AppendixTitle">
    <w:name w:val="Appendix Title"/>
    <w:basedOn w:val="BodyText0"/>
    <w:next w:val="BodyText0"/>
    <w:pPr>
      <w:spacing w:after="720" w:line="276" w:lineRule="auto"/>
    </w:pPr>
    <w:rPr>
      <w:rFonts w:ascii="Georgia" w:hAnsi="Georgia"/>
      <w:sz w:val="28"/>
      <w:lang w:val="en-US"/>
    </w:rPr>
  </w:style>
  <w:style w:type="paragraph" w:customStyle="1" w:styleId="FooterAddressEven">
    <w:name w:val="FooterAddressEven"/>
    <w:basedOn w:val="Footer"/>
    <w:pPr>
      <w:tabs>
        <w:tab w:val="clear" w:pos="4535"/>
        <w:tab w:val="clear" w:pos="9071"/>
        <w:tab w:val="right" w:pos="7655"/>
      </w:tabs>
      <w:spacing w:line="276" w:lineRule="auto"/>
      <w:ind w:left="-1750"/>
    </w:pPr>
    <w:rPr>
      <w:rFonts w:ascii="Georgia" w:eastAsia="Times New Roman" w:hAnsi="Georgia"/>
      <w:color w:val="333333"/>
      <w:sz w:val="18"/>
      <w:szCs w:val="24"/>
    </w:rPr>
  </w:style>
  <w:style w:type="paragraph" w:customStyle="1" w:styleId="TableListBullet">
    <w:name w:val="Table List Bullet"/>
    <w:basedOn w:val="BodyText0"/>
    <w:pPr>
      <w:numPr>
        <w:numId w:val="27"/>
      </w:numPr>
      <w:spacing w:after="60" w:line="276" w:lineRule="auto"/>
      <w:jc w:val="left"/>
    </w:pPr>
    <w:rPr>
      <w:rFonts w:ascii="Georgia" w:hAnsi="Georgia"/>
      <w:sz w:val="16"/>
    </w:rPr>
  </w:style>
  <w:style w:type="paragraph" w:customStyle="1" w:styleId="TableListBullet2">
    <w:name w:val="Table List Bullet 2"/>
    <w:basedOn w:val="BodyText0"/>
    <w:pPr>
      <w:numPr>
        <w:numId w:val="28"/>
      </w:numPr>
      <w:spacing w:after="60" w:line="276" w:lineRule="auto"/>
      <w:jc w:val="left"/>
    </w:pPr>
    <w:rPr>
      <w:rFonts w:ascii="Georgia" w:hAnsi="Georgia"/>
      <w:sz w:val="16"/>
    </w:rPr>
  </w:style>
  <w:style w:type="paragraph" w:customStyle="1" w:styleId="InsertFigure">
    <w:name w:val="InsertFigure"/>
    <w:basedOn w:val="BodyText0"/>
    <w:pPr>
      <w:spacing w:line="276" w:lineRule="auto"/>
      <w:jc w:val="center"/>
    </w:pPr>
    <w:rPr>
      <w:rFonts w:ascii="Georgia" w:hAnsi="Georgia"/>
      <w:color w:val="333333"/>
      <w:sz w:val="18"/>
      <w:lang w:val="de-DE"/>
    </w:rPr>
  </w:style>
  <w:style w:type="paragraph" w:customStyle="1" w:styleId="TableListNumber">
    <w:name w:val="Table List Number"/>
    <w:basedOn w:val="BodyText0"/>
    <w:pPr>
      <w:numPr>
        <w:numId w:val="29"/>
      </w:numPr>
      <w:spacing w:after="60" w:line="276" w:lineRule="auto"/>
      <w:jc w:val="left"/>
    </w:pPr>
    <w:rPr>
      <w:rFonts w:ascii="Georgia" w:hAnsi="Georgia"/>
      <w:sz w:val="16"/>
    </w:rPr>
  </w:style>
  <w:style w:type="paragraph" w:customStyle="1" w:styleId="TableListNumber2">
    <w:name w:val="Table List Number 2"/>
    <w:basedOn w:val="BodyText0"/>
    <w:pPr>
      <w:numPr>
        <w:numId w:val="30"/>
      </w:numPr>
      <w:spacing w:after="60" w:line="276" w:lineRule="auto"/>
      <w:jc w:val="left"/>
    </w:pPr>
    <w:rPr>
      <w:rFonts w:ascii="Georgia" w:hAnsi="Georgia"/>
      <w:sz w:val="16"/>
    </w:rPr>
  </w:style>
  <w:style w:type="paragraph" w:customStyle="1" w:styleId="TOCTitle">
    <w:name w:val="TOC Title"/>
    <w:basedOn w:val="0Title1"/>
    <w:next w:val="BodyText0"/>
  </w:style>
  <w:style w:type="paragraph" w:customStyle="1" w:styleId="SecondBullet">
    <w:name w:val="Second Bullet"/>
    <w:basedOn w:val="Normal"/>
    <w:next w:val="Normal"/>
    <w:autoRedefine/>
    <w:pPr>
      <w:numPr>
        <w:numId w:val="31"/>
      </w:numPr>
      <w:spacing w:after="0"/>
      <w:jc w:val="both"/>
    </w:pPr>
    <w:rPr>
      <w:rFonts w:ascii="Georgia" w:eastAsia="Times New Roman" w:hAnsi="Georgia" w:cs="Times New Roman"/>
      <w:color w:val="000000"/>
      <w:szCs w:val="24"/>
    </w:rPr>
  </w:style>
  <w:style w:type="paragraph" w:customStyle="1" w:styleId="Bullet1">
    <w:name w:val="Bullet 1"/>
    <w:basedOn w:val="Normal"/>
    <w:next w:val="ListBullet2"/>
    <w:link w:val="Bullet1Char"/>
    <w:qFormat/>
    <w:pPr>
      <w:numPr>
        <w:numId w:val="32"/>
      </w:numPr>
      <w:tabs>
        <w:tab w:val="right" w:pos="5387"/>
      </w:tabs>
      <w:spacing w:after="0" w:line="280" w:lineRule="atLeast"/>
      <w:jc w:val="both"/>
    </w:pPr>
    <w:rPr>
      <w:rFonts w:ascii="Georgia" w:eastAsia="Times New Roman" w:hAnsi="Georgia" w:cs="Times New Roman"/>
      <w:sz w:val="20"/>
      <w:szCs w:val="24"/>
      <w:lang w:eastAsia="nl-BE"/>
    </w:rPr>
  </w:style>
  <w:style w:type="character" w:styleId="Strong">
    <w:name w:val="Strong"/>
    <w:basedOn w:val="DefaultParagraphFont"/>
    <w:uiPriority w:val="22"/>
    <w:qFormat/>
    <w:rPr>
      <w:b/>
    </w:rPr>
  </w:style>
  <w:style w:type="character" w:customStyle="1" w:styleId="apple-converted-space">
    <w:name w:val="apple-converted-space"/>
    <w:basedOn w:val="DefaultParagraphFont"/>
  </w:style>
  <w:style w:type="character" w:styleId="HTMLAcronym">
    <w:name w:val="HTML Acronym"/>
    <w:basedOn w:val="DefaultParagraphFont"/>
    <w:uiPriority w:val="99"/>
  </w:style>
  <w:style w:type="character" w:styleId="Emphasis">
    <w:name w:val="Emphasis"/>
    <w:basedOn w:val="DefaultParagraphFont"/>
    <w:uiPriority w:val="20"/>
    <w:qFormat/>
    <w:rPr>
      <w:i/>
    </w:rPr>
  </w:style>
  <w:style w:type="character" w:customStyle="1" w:styleId="portlet-title-text">
    <w:name w:val="portlet-title-text"/>
    <w:basedOn w:val="DefaultParagraphFont"/>
  </w:style>
  <w:style w:type="table" w:customStyle="1" w:styleId="TableGrid11">
    <w:name w:val="Table Grid11"/>
    <w:basedOn w:val="TableNormal"/>
    <w:next w:val="TableGrid"/>
    <w:uiPriority w:val="39"/>
    <w:pPr>
      <w:spacing w:after="0" w:line="240" w:lineRule="auto"/>
    </w:pPr>
    <w:rPr>
      <w:rFonts w:ascii="Calibri" w:eastAsia="Calibri" w:hAnsi="Calibri" w:cs="Times New Roman"/>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uces1">
    <w:name w:val="Liste à puces 1"/>
    <w:basedOn w:val="Normal"/>
    <w:link w:val="Listepuces1CharChar"/>
    <w:pPr>
      <w:numPr>
        <w:numId w:val="33"/>
      </w:numPr>
      <w:spacing w:before="120" w:after="120" w:line="240" w:lineRule="exact"/>
      <w:jc w:val="both"/>
    </w:pPr>
    <w:rPr>
      <w:rFonts w:ascii="Arial" w:eastAsia="Times New Roman" w:hAnsi="Arial" w:cs="Times New Roman"/>
      <w:color w:val="000000"/>
      <w:sz w:val="20"/>
      <w:szCs w:val="18"/>
    </w:rPr>
  </w:style>
  <w:style w:type="character" w:customStyle="1" w:styleId="Listepuces1CharChar">
    <w:name w:val="Liste à puces 1 Char Char"/>
    <w:basedOn w:val="DefaultParagraphFont"/>
    <w:link w:val="Listepuces1"/>
    <w:rPr>
      <w:rFonts w:ascii="Arial" w:eastAsia="Times New Roman" w:hAnsi="Arial" w:cs="Times New Roman"/>
      <w:color w:val="000000"/>
      <w:sz w:val="20"/>
      <w:szCs w:val="18"/>
    </w:rPr>
  </w:style>
  <w:style w:type="paragraph" w:customStyle="1" w:styleId="Tableboxtext">
    <w:name w:val="Table/box text"/>
    <w:basedOn w:val="Normal"/>
    <w:uiPriority w:val="99"/>
    <w:qFormat/>
    <w:pPr>
      <w:spacing w:after="120" w:line="240" w:lineRule="exact"/>
      <w:jc w:val="both"/>
    </w:pPr>
    <w:rPr>
      <w:rFonts w:ascii="Georgia" w:eastAsia="Calibri" w:hAnsi="Georgia" w:cs="Times New Roman"/>
      <w:sz w:val="18"/>
    </w:rPr>
  </w:style>
  <w:style w:type="paragraph" w:customStyle="1" w:styleId="Style4">
    <w:name w:val="Style4"/>
    <w:basedOn w:val="Heading5"/>
    <w:qFormat/>
    <w:pPr>
      <w:spacing w:line="240" w:lineRule="atLeast"/>
      <w:ind w:left="1800" w:hanging="360"/>
      <w:jc w:val="left"/>
    </w:pPr>
    <w:rPr>
      <w:rFonts w:ascii="EYInterstate" w:hAnsi="EYInterstate"/>
      <w:b w:val="0"/>
      <w:bCs w:val="0"/>
      <w:iCs w:val="0"/>
      <w:noProof/>
      <w:sz w:val="20"/>
      <w:lang w:val="nl-BE" w:eastAsia="nl-BE"/>
    </w:rPr>
  </w:style>
  <w:style w:type="character" w:customStyle="1" w:styleId="ListParagraph1Char1">
    <w:name w:val="List Paragraph1 Char1"/>
    <w:aliases w:val="Normal bullet 2 Char1,Bullet list Char1,List Paragraph11 Char,Normal bullet 21 Char,List Paragraph111 Char,Bullet list1 Char"/>
    <w:uiPriority w:val="99"/>
    <w:rPr>
      <w:rFonts w:ascii="EYInterstate Light" w:hAnsi="EYInterstate Light"/>
      <w:szCs w:val="22"/>
      <w:lang w:val="en-GB" w:eastAsia="en-US"/>
    </w:rPr>
  </w:style>
  <w:style w:type="paragraph" w:customStyle="1" w:styleId="Style3">
    <w:name w:val="Style3"/>
    <w:basedOn w:val="ListBullet"/>
    <w:link w:val="Style3Char"/>
    <w:qFormat/>
    <w:pPr>
      <w:numPr>
        <w:numId w:val="0"/>
      </w:numPr>
      <w:tabs>
        <w:tab w:val="num" w:pos="1191"/>
      </w:tabs>
      <w:spacing w:after="120" w:line="276" w:lineRule="auto"/>
      <w:ind w:left="1191" w:hanging="709"/>
    </w:pPr>
    <w:rPr>
      <w:rFonts w:ascii="Georgia" w:hAnsi="Georgia"/>
    </w:rPr>
  </w:style>
  <w:style w:type="character" w:customStyle="1" w:styleId="Style3Char">
    <w:name w:val="Style3 Char"/>
    <w:basedOn w:val="ListBulletChar"/>
    <w:link w:val="Style3"/>
    <w:rPr>
      <w:rFonts w:ascii="Georgia" w:eastAsia="Times New Roman" w:hAnsi="Georgia" w:cs="Times New Roman"/>
      <w:sz w:val="24"/>
      <w:szCs w:val="24"/>
    </w:rPr>
  </w:style>
  <w:style w:type="paragraph" w:customStyle="1" w:styleId="Style6">
    <w:name w:val="Style6"/>
    <w:basedOn w:val="TOC1"/>
    <w:link w:val="Style6Char"/>
    <w:uiPriority w:val="99"/>
    <w:pPr>
      <w:numPr>
        <w:numId w:val="34"/>
      </w:numPr>
      <w:tabs>
        <w:tab w:val="clear" w:pos="8640"/>
        <w:tab w:val="left" w:pos="442"/>
      </w:tabs>
      <w:overflowPunct w:val="0"/>
      <w:autoSpaceDE w:val="0"/>
      <w:autoSpaceDN w:val="0"/>
      <w:adjustRightInd w:val="0"/>
      <w:spacing w:before="0" w:line="260" w:lineRule="atLeast"/>
      <w:ind w:right="0"/>
      <w:textAlignment w:val="baseline"/>
    </w:pPr>
    <w:rPr>
      <w:rFonts w:ascii="EYInterstate Light" w:hAnsi="EYInterstate Light"/>
      <w:bCs/>
      <w:caps w:val="0"/>
      <w:noProof/>
      <w:sz w:val="20"/>
      <w:szCs w:val="18"/>
      <w:lang w:eastAsia="nl-BE"/>
    </w:rPr>
  </w:style>
  <w:style w:type="character" w:customStyle="1" w:styleId="Style6Char">
    <w:name w:val="Style6 Char"/>
    <w:basedOn w:val="DefaultParagraphFont"/>
    <w:link w:val="Style6"/>
    <w:uiPriority w:val="99"/>
    <w:rPr>
      <w:rFonts w:ascii="EYInterstate Light" w:eastAsia="Times New Roman" w:hAnsi="EYInterstate Light" w:cs="Times New Roman"/>
      <w:bCs/>
      <w:noProof/>
      <w:sz w:val="20"/>
      <w:szCs w:val="18"/>
      <w:lang w:eastAsia="nl-BE"/>
    </w:rPr>
  </w:style>
  <w:style w:type="paragraph" w:customStyle="1" w:styleId="Caption11">
    <w:name w:val="Caption11"/>
    <w:basedOn w:val="Tableboxtext"/>
    <w:qFormat/>
    <w:pPr>
      <w:jc w:val="center"/>
    </w:pPr>
    <w:rPr>
      <w:sz w:val="16"/>
    </w:rPr>
  </w:style>
  <w:style w:type="character" w:customStyle="1" w:styleId="hps">
    <w:name w:val="hps"/>
    <w:basedOn w:val="DefaultParagraphFont"/>
  </w:style>
  <w:style w:type="character" w:customStyle="1" w:styleId="highlightedsearchterm">
    <w:name w:val="highlightedsearchterm"/>
    <w:basedOn w:val="DefaultParagraphFont"/>
  </w:style>
  <w:style w:type="character" w:customStyle="1" w:styleId="link-external">
    <w:name w:val="link-external"/>
    <w:basedOn w:val="DefaultParagraphFont"/>
  </w:style>
  <w:style w:type="table" w:customStyle="1" w:styleId="LightList-Accent31">
    <w:name w:val="Light List - Accent 31"/>
    <w:basedOn w:val="TableNormal"/>
    <w:next w:val="LightList-Accent3"/>
    <w:uiPriority w:val="61"/>
    <w:pPr>
      <w:spacing w:after="0" w:line="240" w:lineRule="auto"/>
    </w:pPr>
    <w:rPr>
      <w:rFonts w:ascii="EYInterstate Light" w:eastAsia="EYInterstate Light" w:hAnsi="EYInterstate Light" w:cs="Times New Roman"/>
      <w:lang w:val="it-IT"/>
    </w:rPr>
    <w:tblPr>
      <w:tblStyleRowBandSize w:val="1"/>
      <w:tblStyleColBandSize w:val="1"/>
      <w:tblBorders>
        <w:top w:val="single" w:sz="8" w:space="0" w:color="999999"/>
        <w:left w:val="single" w:sz="8" w:space="0" w:color="999999"/>
        <w:bottom w:val="single" w:sz="8" w:space="0" w:color="999999"/>
        <w:right w:val="single" w:sz="8" w:space="0" w:color="999999"/>
      </w:tblBorders>
    </w:tblPr>
    <w:tblStylePr w:type="firstRow">
      <w:pPr>
        <w:spacing w:before="0" w:after="0" w:line="240" w:lineRule="auto"/>
      </w:pPr>
      <w:rPr>
        <w:b/>
        <w:bCs/>
        <w:color w:val="FFFFFF"/>
      </w:rPr>
      <w:tblPr/>
      <w:tcPr>
        <w:shd w:val="clear" w:color="auto" w:fill="999999"/>
      </w:tcPr>
    </w:tblStylePr>
    <w:tblStylePr w:type="lastRow">
      <w:pPr>
        <w:spacing w:before="0" w:after="0" w:line="240" w:lineRule="auto"/>
      </w:pPr>
      <w:rPr>
        <w:b/>
        <w:bCs/>
      </w:rPr>
      <w:tblPr/>
      <w:tcPr>
        <w:tcBorders>
          <w:top w:val="double" w:sz="6" w:space="0" w:color="999999"/>
          <w:left w:val="single" w:sz="8" w:space="0" w:color="999999"/>
          <w:bottom w:val="single" w:sz="8" w:space="0" w:color="999999"/>
          <w:right w:val="single" w:sz="8" w:space="0" w:color="999999"/>
        </w:tcBorders>
      </w:tcPr>
    </w:tblStylePr>
    <w:tblStylePr w:type="firstCol">
      <w:rPr>
        <w:b/>
        <w:bCs/>
      </w:rPr>
    </w:tblStylePr>
    <w:tblStylePr w:type="lastCol">
      <w:rPr>
        <w:b/>
        <w:bCs/>
      </w:rPr>
    </w:tblStylePr>
    <w:tblStylePr w:type="band1Vert">
      <w:tblPr/>
      <w:tcPr>
        <w:tcBorders>
          <w:top w:val="single" w:sz="8" w:space="0" w:color="999999"/>
          <w:left w:val="single" w:sz="8" w:space="0" w:color="999999"/>
          <w:bottom w:val="single" w:sz="8" w:space="0" w:color="999999"/>
          <w:right w:val="single" w:sz="8" w:space="0" w:color="999999"/>
        </w:tcBorders>
      </w:tcPr>
    </w:tblStylePr>
    <w:tblStylePr w:type="band1Horz">
      <w:tblPr/>
      <w:tcPr>
        <w:tcBorders>
          <w:top w:val="single" w:sz="8" w:space="0" w:color="999999"/>
          <w:left w:val="single" w:sz="8" w:space="0" w:color="999999"/>
          <w:bottom w:val="single" w:sz="8" w:space="0" w:color="999999"/>
          <w:right w:val="single" w:sz="8" w:space="0" w:color="999999"/>
        </w:tcBorders>
      </w:tcPr>
    </w:tblStylePr>
  </w:style>
  <w:style w:type="table" w:customStyle="1" w:styleId="LightList-Accent32">
    <w:name w:val="Light List - Accent 32"/>
    <w:basedOn w:val="TableNormal"/>
    <w:next w:val="LightList-Accent3"/>
    <w:uiPriority w:val="61"/>
    <w:pPr>
      <w:spacing w:after="0" w:line="240" w:lineRule="auto"/>
    </w:pPr>
    <w:rPr>
      <w:rFonts w:ascii="Times New Roman" w:eastAsia="Times New Roman" w:hAnsi="Times New Roman" w:cs="Times New Roman"/>
      <w:sz w:val="24"/>
      <w:szCs w:val="24"/>
      <w:lang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Style12">
    <w:name w:val="Style12"/>
    <w:basedOn w:val="ListParagraph1"/>
    <w:qFormat/>
    <w:pPr>
      <w:ind w:left="1068" w:hanging="360"/>
    </w:pPr>
  </w:style>
  <w:style w:type="paragraph" w:customStyle="1" w:styleId="000">
    <w:name w:val="000"/>
    <w:aliases w:val="standaard,standaard uitvullen,standaard (alt-s),stan084daard,standaard 04...,standaard 155,standaard uitv042ullen,sta550ndaard,standaard 040,standaard81,0001,standaard 042,standaard1,standaard uitvullen1,standaard (alt-s)1,stan084daard1,standaard811"/>
    <w:basedOn w:val="Normal"/>
    <w:pPr>
      <w:overflowPunct w:val="0"/>
      <w:autoSpaceDE w:val="0"/>
      <w:autoSpaceDN w:val="0"/>
      <w:adjustRightInd w:val="0"/>
      <w:spacing w:after="0" w:line="260" w:lineRule="atLeast"/>
      <w:jc w:val="both"/>
      <w:textAlignment w:val="baseline"/>
    </w:pPr>
    <w:rPr>
      <w:rFonts w:ascii="Arial" w:eastAsia="Times New Roman" w:hAnsi="Arial" w:cs="Times New Roman"/>
      <w:sz w:val="18"/>
      <w:szCs w:val="24"/>
      <w:lang w:val="nl-NL" w:eastAsia="nl-BE"/>
    </w:rPr>
  </w:style>
  <w:style w:type="paragraph" w:customStyle="1" w:styleId="tabelbullet">
    <w:name w:val="tabel bullet"/>
    <w:basedOn w:val="Style2"/>
    <w:link w:val="tabelbulletChar"/>
    <w:autoRedefine/>
    <w:qFormat/>
    <w:pPr>
      <w:numPr>
        <w:numId w:val="0"/>
      </w:numPr>
      <w:tabs>
        <w:tab w:val="num" w:pos="1191"/>
      </w:tabs>
      <w:spacing w:after="0"/>
      <w:ind w:left="1191" w:hanging="709"/>
    </w:pPr>
    <w:rPr>
      <w:color w:val="333333"/>
      <w:sz w:val="18"/>
    </w:rPr>
  </w:style>
  <w:style w:type="character" w:customStyle="1" w:styleId="tabelbulletChar">
    <w:name w:val="tabel bullet Char"/>
    <w:basedOn w:val="Style2Char"/>
    <w:link w:val="tabelbullet"/>
    <w:rPr>
      <w:rFonts w:ascii="Georgia" w:eastAsia="Times New Roman" w:hAnsi="Georgia" w:cs="Times New Roman"/>
      <w:color w:val="333333"/>
      <w:sz w:val="18"/>
      <w:szCs w:val="24"/>
    </w:rPr>
  </w:style>
  <w:style w:type="paragraph" w:customStyle="1" w:styleId="1tabletbullet">
    <w:name w:val="1. tablet bullet"/>
    <w:basedOn w:val="tabelbullet"/>
    <w:link w:val="1tabletbulletChar"/>
    <w:qFormat/>
    <w:pPr>
      <w:keepNext/>
      <w:numPr>
        <w:numId w:val="35"/>
      </w:numPr>
      <w:spacing w:before="120"/>
      <w:ind w:left="714" w:hanging="357"/>
    </w:pPr>
    <w:rPr>
      <w:b/>
    </w:rPr>
  </w:style>
  <w:style w:type="character" w:customStyle="1" w:styleId="1tabletbulletChar">
    <w:name w:val="1. tablet bullet Char"/>
    <w:basedOn w:val="tabelbulletChar"/>
    <w:link w:val="1tabletbullet"/>
    <w:rPr>
      <w:rFonts w:ascii="Georgia" w:eastAsia="Times New Roman" w:hAnsi="Georgia" w:cs="Times New Roman"/>
      <w:b/>
      <w:color w:val="333333"/>
      <w:sz w:val="18"/>
      <w:szCs w:val="24"/>
    </w:rPr>
  </w:style>
  <w:style w:type="paragraph" w:customStyle="1" w:styleId="font5">
    <w:name w:val="font5"/>
    <w:basedOn w:val="Normal"/>
    <w:pPr>
      <w:spacing w:before="100" w:beforeAutospacing="1" w:after="100" w:afterAutospacing="1"/>
    </w:pPr>
    <w:rPr>
      <w:rFonts w:ascii="Tahoma" w:eastAsia="Times New Roman" w:hAnsi="Tahoma" w:cs="Tahoma"/>
      <w:color w:val="000000"/>
      <w:sz w:val="18"/>
      <w:szCs w:val="18"/>
      <w:lang w:val="en-US"/>
    </w:rPr>
  </w:style>
  <w:style w:type="paragraph" w:customStyle="1" w:styleId="font6">
    <w:name w:val="font6"/>
    <w:basedOn w:val="Normal"/>
    <w:pPr>
      <w:spacing w:before="100" w:beforeAutospacing="1" w:after="100" w:afterAutospacing="1"/>
    </w:pPr>
    <w:rPr>
      <w:rFonts w:ascii="Tahoma" w:eastAsia="Times New Roman" w:hAnsi="Tahoma" w:cs="Tahoma"/>
      <w:b/>
      <w:bCs/>
      <w:color w:val="000000"/>
      <w:sz w:val="18"/>
      <w:szCs w:val="18"/>
      <w:lang w:val="en-US"/>
    </w:rPr>
  </w:style>
  <w:style w:type="paragraph" w:customStyle="1" w:styleId="xl65">
    <w:name w:val="xl65"/>
    <w:basedOn w:val="Normal"/>
    <w:pPr>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66">
    <w:name w:val="xl66"/>
    <w:basedOn w:val="Normal"/>
    <w:pPr>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67">
    <w:name w:val="xl67"/>
    <w:basedOn w:val="Normal"/>
    <w:pPr>
      <w:spacing w:before="100" w:beforeAutospacing="1" w:after="100" w:afterAutospacing="1"/>
      <w:jc w:val="center"/>
      <w:textAlignment w:val="center"/>
    </w:pPr>
    <w:rPr>
      <w:rFonts w:ascii="Georgia" w:eastAsia="Times New Roman" w:hAnsi="Georgia" w:cs="Times New Roman"/>
      <w:color w:val="000000"/>
      <w:sz w:val="20"/>
      <w:szCs w:val="24"/>
      <w:lang w:val="en-US"/>
    </w:rPr>
  </w:style>
  <w:style w:type="paragraph" w:customStyle="1" w:styleId="xl68">
    <w:name w:val="xl68"/>
    <w:basedOn w:val="Normal"/>
    <w:pPr>
      <w:pBdr>
        <w:top w:val="single" w:sz="4" w:space="0" w:color="BFBFBF"/>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69">
    <w:name w:val="xl69"/>
    <w:basedOn w:val="Normal"/>
    <w:pPr>
      <w:pBdr>
        <w:top w:val="single" w:sz="4" w:space="0" w:color="BFBFBF"/>
        <w:bottom w:val="single" w:sz="12" w:space="0" w:color="FF0000"/>
      </w:pBd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70">
    <w:name w:val="xl70"/>
    <w:basedOn w:val="Normal"/>
    <w:pPr>
      <w:pBdr>
        <w:top w:val="single" w:sz="12" w:space="0" w:color="FF0000"/>
        <w:left w:val="single" w:sz="12" w:space="0" w:color="FFFFFF"/>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71">
    <w:name w:val="xl71"/>
    <w:basedOn w:val="Normal"/>
    <w:pPr>
      <w:pBdr>
        <w:top w:val="single" w:sz="12" w:space="0" w:color="FF0000"/>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72">
    <w:name w:val="xl72"/>
    <w:basedOn w:val="Normal"/>
    <w:pPr>
      <w:pBdr>
        <w:top w:val="single" w:sz="12" w:space="0" w:color="FF0000"/>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73">
    <w:name w:val="xl73"/>
    <w:basedOn w:val="Normal"/>
    <w:pPr>
      <w:pBdr>
        <w:top w:val="single" w:sz="4" w:space="0" w:color="BFBFBF"/>
        <w:left w:val="single" w:sz="12" w:space="0" w:color="FFFFFF"/>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74">
    <w:name w:val="xl74"/>
    <w:basedOn w:val="Normal"/>
    <w:pPr>
      <w:pBdr>
        <w:top w:val="single" w:sz="4" w:space="0" w:color="BFBFBF"/>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75">
    <w:name w:val="xl75"/>
    <w:basedOn w:val="Normal"/>
    <w:pPr>
      <w:pBdr>
        <w:top w:val="single" w:sz="4" w:space="0" w:color="BFBFBF"/>
        <w:bottom w:val="single" w:sz="12" w:space="0" w:color="FF0000"/>
      </w:pBd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76">
    <w:name w:val="xl76"/>
    <w:basedOn w:val="Normal"/>
    <w:pPr>
      <w:pBdr>
        <w:top w:val="single" w:sz="12" w:space="0" w:color="FF0000"/>
        <w:bottom w:val="single" w:sz="4" w:space="0" w:color="BFBFBF"/>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4"/>
      <w:lang w:val="en-US"/>
    </w:rPr>
  </w:style>
  <w:style w:type="paragraph" w:customStyle="1" w:styleId="xl77">
    <w:name w:val="xl77"/>
    <w:basedOn w:val="Normal"/>
    <w:pPr>
      <w:pBdr>
        <w:top w:val="single" w:sz="4" w:space="0" w:color="BFBFBF"/>
        <w:bottom w:val="single" w:sz="4" w:space="0" w:color="BFBFBF"/>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4"/>
      <w:lang w:val="en-US"/>
    </w:rPr>
  </w:style>
  <w:style w:type="paragraph" w:customStyle="1" w:styleId="xl78">
    <w:name w:val="xl78"/>
    <w:basedOn w:val="Normal"/>
    <w:pPr>
      <w:pBdr>
        <w:top w:val="single" w:sz="4" w:space="0" w:color="BFBFBF"/>
        <w:bottom w:val="single" w:sz="4" w:space="0" w:color="BFBFBF"/>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4"/>
      <w:lang w:val="en-US"/>
    </w:rPr>
  </w:style>
  <w:style w:type="paragraph" w:customStyle="1" w:styleId="xl79">
    <w:name w:val="xl79"/>
    <w:basedOn w:val="Normal"/>
    <w:pPr>
      <w:pBdr>
        <w:top w:val="single" w:sz="4" w:space="0" w:color="BFBFBF"/>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4"/>
      <w:lang w:val="en-US"/>
    </w:rPr>
  </w:style>
  <w:style w:type="paragraph" w:customStyle="1" w:styleId="xl80">
    <w:name w:val="xl80"/>
    <w:basedOn w:val="Normal"/>
    <w:pPr>
      <w:pBdr>
        <w:top w:val="single" w:sz="12" w:space="0" w:color="FF0000"/>
        <w:bottom w:val="single" w:sz="4" w:space="0" w:color="BFBFBF"/>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4"/>
      <w:lang w:val="en-US"/>
    </w:rPr>
  </w:style>
  <w:style w:type="paragraph" w:customStyle="1" w:styleId="xl81">
    <w:name w:val="xl81"/>
    <w:basedOn w:val="Normal"/>
    <w:pPr>
      <w:pBdr>
        <w:top w:val="single" w:sz="4" w:space="0" w:color="BFBFBF"/>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4"/>
      <w:lang w:val="en-US"/>
    </w:rPr>
  </w:style>
  <w:style w:type="paragraph" w:customStyle="1" w:styleId="xl82">
    <w:name w:val="xl82"/>
    <w:basedOn w:val="Normal"/>
    <w:pPr>
      <w:pBdr>
        <w:top w:val="single" w:sz="12" w:space="0" w:color="FFFFFF"/>
        <w:left w:val="single" w:sz="12" w:space="0" w:color="FFFFFF"/>
        <w:right w:val="single" w:sz="12" w:space="0" w:color="FFFFFF"/>
      </w:pBdr>
      <w:shd w:val="clear" w:color="000000" w:fill="D9D9D9"/>
      <w:spacing w:before="100" w:beforeAutospacing="1" w:after="100" w:afterAutospacing="1"/>
      <w:jc w:val="center"/>
      <w:textAlignment w:val="center"/>
    </w:pPr>
    <w:rPr>
      <w:rFonts w:ascii="Georgia" w:eastAsia="Times New Roman" w:hAnsi="Georgia" w:cs="Times New Roman"/>
      <w:b/>
      <w:bCs/>
      <w:sz w:val="20"/>
      <w:szCs w:val="24"/>
      <w:lang w:val="en-US"/>
    </w:rPr>
  </w:style>
  <w:style w:type="paragraph" w:customStyle="1" w:styleId="xl83">
    <w:name w:val="xl83"/>
    <w:basedOn w:val="Normal"/>
    <w:pPr>
      <w:pBdr>
        <w:bottom w:val="single" w:sz="12" w:space="0" w:color="FF0000"/>
      </w:pBd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84">
    <w:name w:val="xl84"/>
    <w:basedOn w:val="Normal"/>
    <w:pPr>
      <w:pBdr>
        <w:bottom w:val="single" w:sz="12" w:space="0" w:color="FF0000"/>
      </w:pBd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85">
    <w:name w:val="xl85"/>
    <w:basedOn w:val="Normal"/>
    <w:pPr>
      <w:pBdr>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4"/>
      <w:lang w:val="en-US"/>
    </w:rPr>
  </w:style>
  <w:style w:type="paragraph" w:customStyle="1" w:styleId="xl86">
    <w:name w:val="xl86"/>
    <w:basedOn w:val="Normal"/>
    <w:pPr>
      <w:pBdr>
        <w:top w:val="single" w:sz="4" w:space="0" w:color="BFBFBF"/>
        <w:bottom w:val="single" w:sz="4" w:space="0" w:color="D9D9D9"/>
      </w:pBd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87">
    <w:name w:val="xl87"/>
    <w:basedOn w:val="Normal"/>
    <w:pPr>
      <w:pBdr>
        <w:top w:val="single" w:sz="4" w:space="0" w:color="BFBFBF"/>
        <w:bottom w:val="single" w:sz="4" w:space="0" w:color="D9D9D9"/>
      </w:pBd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88">
    <w:name w:val="xl88"/>
    <w:basedOn w:val="Normal"/>
    <w:pPr>
      <w:pBdr>
        <w:top w:val="single" w:sz="4" w:space="0" w:color="BFBFBF"/>
        <w:bottom w:val="single" w:sz="4" w:space="0" w:color="D9D9D9"/>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4"/>
      <w:lang w:val="en-US"/>
    </w:rPr>
  </w:style>
  <w:style w:type="paragraph" w:customStyle="1" w:styleId="xl89">
    <w:name w:val="xl89"/>
    <w:basedOn w:val="Normal"/>
    <w:pPr>
      <w:pBdr>
        <w:top w:val="single" w:sz="4" w:space="0" w:color="D9D9D9"/>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90">
    <w:name w:val="xl90"/>
    <w:basedOn w:val="Normal"/>
    <w:pPr>
      <w:pBdr>
        <w:top w:val="single" w:sz="4" w:space="0" w:color="D9D9D9"/>
        <w:bottom w:val="single" w:sz="4" w:space="0" w:color="BFBFBF"/>
      </w:pBd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91">
    <w:name w:val="xl91"/>
    <w:basedOn w:val="Normal"/>
    <w:pPr>
      <w:pBdr>
        <w:top w:val="single" w:sz="4" w:space="0" w:color="D9D9D9"/>
        <w:bottom w:val="single" w:sz="4" w:space="0" w:color="BFBFBF"/>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4"/>
      <w:lang w:val="en-US"/>
    </w:rPr>
  </w:style>
  <w:style w:type="paragraph" w:customStyle="1" w:styleId="xl92">
    <w:name w:val="xl92"/>
    <w:basedOn w:val="Normal"/>
    <w:pPr>
      <w:pBdr>
        <w:top w:val="single" w:sz="4" w:space="0" w:color="BFBFBF"/>
        <w:bottom w:val="single" w:sz="4" w:space="0" w:color="D9D9D9"/>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4"/>
      <w:lang w:val="en-US"/>
    </w:rPr>
  </w:style>
  <w:style w:type="paragraph" w:customStyle="1" w:styleId="xl93">
    <w:name w:val="xl93"/>
    <w:basedOn w:val="Normal"/>
    <w:pPr>
      <w:pBdr>
        <w:top w:val="single" w:sz="12" w:space="0" w:color="FFFFFF"/>
        <w:left w:val="single" w:sz="12" w:space="0" w:color="FFFFFF"/>
      </w:pBdr>
      <w:shd w:val="clear" w:color="000000" w:fill="D9D9D9"/>
      <w:spacing w:before="100" w:beforeAutospacing="1" w:after="100" w:afterAutospacing="1"/>
      <w:jc w:val="center"/>
      <w:textAlignment w:val="center"/>
    </w:pPr>
    <w:rPr>
      <w:rFonts w:ascii="Georgia" w:eastAsia="Times New Roman" w:hAnsi="Georgia" w:cs="Times New Roman"/>
      <w:b/>
      <w:bCs/>
      <w:sz w:val="20"/>
      <w:szCs w:val="24"/>
      <w:lang w:val="en-US"/>
    </w:rPr>
  </w:style>
  <w:style w:type="paragraph" w:customStyle="1" w:styleId="xl94">
    <w:name w:val="xl94"/>
    <w:basedOn w:val="Normal"/>
    <w:pPr>
      <w:pBdr>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color w:val="000000"/>
      <w:sz w:val="20"/>
      <w:szCs w:val="24"/>
      <w:lang w:val="en-US"/>
    </w:rPr>
  </w:style>
  <w:style w:type="paragraph" w:customStyle="1" w:styleId="xl95">
    <w:name w:val="xl95"/>
    <w:basedOn w:val="Normal"/>
    <w:pPr>
      <w:shd w:val="clear" w:color="000000" w:fill="FFFFFF"/>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96">
    <w:name w:val="xl96"/>
    <w:basedOn w:val="Normal"/>
    <w:pPr>
      <w:pBdr>
        <w:top w:val="single" w:sz="4" w:space="0" w:color="BFBFBF"/>
        <w:bottom w:val="single" w:sz="4" w:space="0" w:color="BFBFBF"/>
      </w:pBdr>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97">
    <w:name w:val="xl97"/>
    <w:basedOn w:val="Normal"/>
    <w:pPr>
      <w:pBdr>
        <w:top w:val="single" w:sz="4" w:space="0" w:color="BFBFBF"/>
        <w:bottom w:val="single" w:sz="4" w:space="0" w:color="BFBFBF"/>
      </w:pBdr>
      <w:spacing w:before="100" w:beforeAutospacing="1" w:after="100" w:afterAutospacing="1"/>
      <w:textAlignment w:val="center"/>
    </w:pPr>
    <w:rPr>
      <w:rFonts w:ascii="Georgia" w:eastAsia="Times New Roman" w:hAnsi="Georgia" w:cs="Times New Roman"/>
      <w:color w:val="000000"/>
      <w:sz w:val="20"/>
      <w:szCs w:val="24"/>
      <w:lang w:val="en-US"/>
    </w:rPr>
  </w:style>
  <w:style w:type="paragraph" w:customStyle="1" w:styleId="xl98">
    <w:name w:val="xl98"/>
    <w:basedOn w:val="Normal"/>
    <w:pPr>
      <w:pBdr>
        <w:top w:val="single" w:sz="4" w:space="0" w:color="BFBFBF"/>
        <w:bottom w:val="single" w:sz="4" w:space="0" w:color="BFBFBF"/>
      </w:pBdr>
      <w:spacing w:before="100" w:beforeAutospacing="1" w:after="100" w:afterAutospacing="1"/>
      <w:jc w:val="center"/>
      <w:textAlignment w:val="center"/>
    </w:pPr>
    <w:rPr>
      <w:rFonts w:ascii="Georgia" w:eastAsia="Times New Roman" w:hAnsi="Georgia" w:cs="Times New Roman"/>
      <w:color w:val="000000"/>
      <w:sz w:val="20"/>
      <w:szCs w:val="24"/>
      <w:lang w:val="en-US"/>
    </w:rPr>
  </w:style>
  <w:style w:type="paragraph" w:customStyle="1" w:styleId="xl99">
    <w:name w:val="xl99"/>
    <w:basedOn w:val="Normal"/>
    <w:pPr>
      <w:pBdr>
        <w:top w:val="single" w:sz="4" w:space="0" w:color="BFBFBF"/>
        <w:bottom w:val="single" w:sz="4" w:space="0" w:color="BFBFBF"/>
      </w:pBdr>
      <w:spacing w:before="100" w:beforeAutospacing="1" w:after="100" w:afterAutospacing="1"/>
      <w:jc w:val="center"/>
      <w:textAlignment w:val="center"/>
    </w:pPr>
    <w:rPr>
      <w:rFonts w:ascii="Georgia" w:eastAsia="Times New Roman" w:hAnsi="Georgia" w:cs="Times New Roman"/>
      <w:color w:val="000000"/>
      <w:sz w:val="20"/>
      <w:szCs w:val="24"/>
      <w:lang w:val="en-US"/>
    </w:rPr>
  </w:style>
  <w:style w:type="paragraph" w:customStyle="1" w:styleId="xl100">
    <w:name w:val="xl100"/>
    <w:basedOn w:val="Normal"/>
    <w:pPr>
      <w:pBdr>
        <w:top w:val="single" w:sz="12" w:space="0" w:color="FF0000"/>
        <w:left w:val="single" w:sz="12" w:space="0" w:color="FFFFFF"/>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b/>
      <w:bCs/>
      <w:sz w:val="20"/>
      <w:szCs w:val="24"/>
      <w:lang w:val="en-US"/>
    </w:rPr>
  </w:style>
  <w:style w:type="paragraph" w:customStyle="1" w:styleId="xl101">
    <w:name w:val="xl101"/>
    <w:basedOn w:val="Normal"/>
    <w:pPr>
      <w:pBdr>
        <w:top w:val="single" w:sz="12" w:space="0" w:color="FF0000"/>
        <w:bottom w:val="single" w:sz="12" w:space="0" w:color="FF0000"/>
      </w:pBdr>
      <w:shd w:val="clear" w:color="000000" w:fill="FFFFFF"/>
      <w:spacing w:before="100" w:beforeAutospacing="1" w:after="100" w:afterAutospacing="1"/>
      <w:jc w:val="center"/>
      <w:textAlignment w:val="center"/>
    </w:pPr>
    <w:rPr>
      <w:rFonts w:ascii="Georgia" w:eastAsia="Times New Roman" w:hAnsi="Georgia" w:cs="Times New Roman"/>
      <w:b/>
      <w:bCs/>
      <w:sz w:val="20"/>
      <w:szCs w:val="24"/>
      <w:lang w:val="en-US"/>
    </w:rPr>
  </w:style>
  <w:style w:type="paragraph" w:customStyle="1" w:styleId="Pa0">
    <w:name w:val="Pa0"/>
    <w:basedOn w:val="Default"/>
    <w:next w:val="Default"/>
    <w:uiPriority w:val="99"/>
    <w:pPr>
      <w:adjustRightInd w:val="0"/>
      <w:spacing w:line="241" w:lineRule="atLeast"/>
    </w:pPr>
    <w:rPr>
      <w:rFonts w:ascii="HelveticaRounded LT Std Blk" w:eastAsia="Times New Roman" w:hAnsi="HelveticaRounded LT Std Blk"/>
      <w:color w:val="auto"/>
      <w:lang w:val="it-IT"/>
    </w:rPr>
  </w:style>
  <w:style w:type="character" w:customStyle="1" w:styleId="A0">
    <w:name w:val="A0"/>
    <w:uiPriority w:val="99"/>
    <w:rPr>
      <w:rFonts w:cs="HelveticaRounded LT Std Blk"/>
      <w:b/>
      <w:bCs/>
      <w:color w:val="000000"/>
      <w:sz w:val="58"/>
      <w:szCs w:val="58"/>
    </w:rPr>
  </w:style>
  <w:style w:type="character" w:customStyle="1" w:styleId="A5">
    <w:name w:val="A5"/>
    <w:uiPriority w:val="99"/>
    <w:rPr>
      <w:rFonts w:cs="Myriad Pro Cond"/>
      <w:b/>
      <w:bCs/>
      <w:color w:val="000000"/>
      <w:sz w:val="56"/>
      <w:szCs w:val="56"/>
    </w:rPr>
  </w:style>
  <w:style w:type="character" w:customStyle="1" w:styleId="A1">
    <w:name w:val="A1"/>
    <w:uiPriority w:val="99"/>
    <w:rPr>
      <w:rFonts w:cs="HelveticaRounded LT Std Blk"/>
      <w:b/>
      <w:bCs/>
      <w:color w:val="000000"/>
      <w:sz w:val="32"/>
      <w:szCs w:val="32"/>
    </w:rPr>
  </w:style>
  <w:style w:type="character" w:styleId="PlaceholderText">
    <w:name w:val="Placeholder Text"/>
    <w:basedOn w:val="DefaultParagraphFont"/>
    <w:uiPriority w:val="99"/>
    <w:rPr>
      <w:color w:val="808080"/>
    </w:rPr>
  </w:style>
  <w:style w:type="paragraph" w:customStyle="1" w:styleId="caption110">
    <w:name w:val="caption11"/>
    <w:basedOn w:val="BodyText0"/>
    <w:link w:val="caption11Char"/>
    <w:qFormat/>
    <w:pPr>
      <w:spacing w:before="240"/>
      <w:jc w:val="center"/>
    </w:pPr>
    <w:rPr>
      <w:rFonts w:ascii="Verdana" w:hAnsi="Verdana"/>
      <w:color w:val="595959"/>
      <w:sz w:val="18"/>
      <w:szCs w:val="18"/>
    </w:rPr>
  </w:style>
  <w:style w:type="character" w:customStyle="1" w:styleId="caption11Char">
    <w:name w:val="caption11 Char"/>
    <w:basedOn w:val="DefaultParagraphFont"/>
    <w:link w:val="caption110"/>
    <w:rPr>
      <w:rFonts w:ascii="Verdana" w:eastAsia="Times New Roman" w:hAnsi="Verdana" w:cs="Times New Roman"/>
      <w:color w:val="595959"/>
      <w:sz w:val="18"/>
      <w:szCs w:val="18"/>
    </w:rPr>
  </w:style>
  <w:style w:type="paragraph" w:customStyle="1" w:styleId="footnote3fig">
    <w:name w:val="footnote3fig"/>
    <w:basedOn w:val="FootnoteText"/>
    <w:link w:val="footnote3figChar"/>
    <w:qFormat/>
    <w:pPr>
      <w:spacing w:before="120" w:line="276" w:lineRule="auto"/>
      <w:ind w:left="255" w:hanging="255"/>
    </w:pPr>
    <w:rPr>
      <w:rFonts w:ascii="Verdana" w:eastAsia="Times New Roman" w:hAnsi="Verdana" w:cs="Times New Roman"/>
      <w:sz w:val="16"/>
      <w:szCs w:val="16"/>
    </w:rPr>
  </w:style>
  <w:style w:type="character" w:customStyle="1" w:styleId="footnote3figChar">
    <w:name w:val="footnote3fig Char"/>
    <w:basedOn w:val="DefaultParagraphFont"/>
    <w:link w:val="footnote3fig"/>
    <w:rPr>
      <w:rFonts w:ascii="Verdana" w:eastAsia="Times New Roman" w:hAnsi="Verdana" w:cs="Times New Roman"/>
      <w:sz w:val="16"/>
      <w:szCs w:val="16"/>
    </w:rPr>
  </w:style>
  <w:style w:type="paragraph" w:customStyle="1" w:styleId="Bullet2">
    <w:name w:val="Bullet 2"/>
    <w:basedOn w:val="BodyText0"/>
    <w:link w:val="Bullet2Char"/>
    <w:qFormat/>
    <w:pPr>
      <w:spacing w:after="80" w:line="259" w:lineRule="auto"/>
      <w:ind w:left="1080" w:hanging="360"/>
    </w:pPr>
    <w:rPr>
      <w:rFonts w:ascii="Calibri" w:eastAsia="Calibri" w:hAnsi="Calibri"/>
      <w:sz w:val="20"/>
      <w:szCs w:val="22"/>
      <w:lang w:eastAsia="nl-BE"/>
    </w:rPr>
  </w:style>
  <w:style w:type="character" w:customStyle="1" w:styleId="Bullet2Char">
    <w:name w:val="Bullet 2 Char"/>
    <w:basedOn w:val="ListParagraph1Char"/>
    <w:link w:val="Bullet2"/>
    <w:rPr>
      <w:rFonts w:ascii="Calibri" w:eastAsia="Calibri" w:hAnsi="Calibri" w:cs="Times New Roman"/>
      <w:sz w:val="20"/>
      <w:lang w:eastAsia="nl-BE"/>
    </w:rPr>
  </w:style>
  <w:style w:type="character" w:customStyle="1" w:styleId="SourceChar">
    <w:name w:val="Source Char"/>
    <w:basedOn w:val="DefaultParagraphFont"/>
    <w:link w:val="Source0"/>
    <w:rPr>
      <w:rFonts w:ascii="Georgia" w:eastAsia="Times New Roman" w:hAnsi="Georgia" w:cs="Times New Roman"/>
      <w:color w:val="333333"/>
      <w:sz w:val="18"/>
      <w:szCs w:val="24"/>
    </w:rPr>
  </w:style>
  <w:style w:type="paragraph" w:customStyle="1" w:styleId="Tablebullet1">
    <w:name w:val="Table bullet 1"/>
    <w:basedOn w:val="Bullet1"/>
    <w:link w:val="Tablebullet1Char"/>
    <w:qFormat/>
    <w:pPr>
      <w:numPr>
        <w:numId w:val="0"/>
      </w:numPr>
      <w:tabs>
        <w:tab w:val="clear" w:pos="5387"/>
      </w:tabs>
      <w:spacing w:before="60" w:after="80" w:line="240" w:lineRule="auto"/>
      <w:ind w:left="360" w:hanging="360"/>
      <w:jc w:val="left"/>
    </w:pPr>
    <w:rPr>
      <w:rFonts w:eastAsia="Calibri"/>
      <w:kern w:val="16"/>
      <w:sz w:val="16"/>
      <w:szCs w:val="20"/>
    </w:rPr>
  </w:style>
  <w:style w:type="character" w:customStyle="1" w:styleId="Tablebullet1Char">
    <w:name w:val="Table bullet 1 Char"/>
    <w:basedOn w:val="DefaultParagraphFont"/>
    <w:link w:val="Tablebullet1"/>
    <w:rPr>
      <w:rFonts w:ascii="Georgia" w:eastAsia="Calibri" w:hAnsi="Georgia" w:cs="Times New Roman"/>
      <w:kern w:val="16"/>
      <w:sz w:val="16"/>
      <w:szCs w:val="20"/>
    </w:rPr>
  </w:style>
  <w:style w:type="paragraph" w:customStyle="1" w:styleId="Tablenumber1">
    <w:name w:val="Table number 1"/>
    <w:basedOn w:val="Normal"/>
    <w:link w:val="Tablenumber1Char"/>
    <w:qFormat/>
    <w:pPr>
      <w:numPr>
        <w:numId w:val="36"/>
      </w:numPr>
      <w:spacing w:after="0" w:line="240" w:lineRule="auto"/>
      <w:ind w:left="284" w:hanging="227"/>
    </w:pPr>
    <w:rPr>
      <w:rFonts w:ascii="Georgia" w:eastAsia="MS Mincho" w:hAnsi="Georgia"/>
      <w:kern w:val="16"/>
      <w:sz w:val="16"/>
    </w:rPr>
  </w:style>
  <w:style w:type="character" w:customStyle="1" w:styleId="Tablenumber1Char">
    <w:name w:val="Table number 1 Char"/>
    <w:basedOn w:val="DefaultParagraphFont"/>
    <w:link w:val="Tablenumber1"/>
    <w:rPr>
      <w:rFonts w:ascii="Georgia" w:eastAsia="MS Mincho" w:hAnsi="Georgia"/>
      <w:kern w:val="16"/>
      <w:sz w:val="16"/>
    </w:rPr>
  </w:style>
  <w:style w:type="character" w:customStyle="1" w:styleId="IntenseEmphasis1">
    <w:name w:val="Intense Emphasis1"/>
    <w:basedOn w:val="DefaultParagraphFont"/>
    <w:uiPriority w:val="21"/>
    <w:qFormat/>
    <w:rPr>
      <w:i/>
      <w:iCs/>
      <w:color w:val="4F81BD"/>
    </w:rPr>
  </w:style>
  <w:style w:type="character" w:customStyle="1" w:styleId="Bullet1Char">
    <w:name w:val="Bullet 1 Char"/>
    <w:basedOn w:val="ListParagraph1Char"/>
    <w:link w:val="Bullet1"/>
    <w:rPr>
      <w:rFonts w:ascii="Georgia" w:eastAsia="Times New Roman" w:hAnsi="Georgia" w:cs="Times New Roman"/>
      <w:sz w:val="20"/>
      <w:szCs w:val="24"/>
      <w:lang w:eastAsia="nl-BE"/>
    </w:rPr>
  </w:style>
  <w:style w:type="character" w:customStyle="1" w:styleId="highlight">
    <w:name w:val="highlight"/>
    <w:basedOn w:val="DefaultParagraphFont"/>
  </w:style>
  <w:style w:type="paragraph" w:customStyle="1" w:styleId="p1">
    <w:name w:val="p1"/>
    <w:basedOn w:val="Normal"/>
    <w:pPr>
      <w:spacing w:after="0" w:line="240" w:lineRule="auto"/>
    </w:pPr>
    <w:rPr>
      <w:rFonts w:ascii="Times" w:hAnsi="Times" w:cs="Times New Roman"/>
      <w:sz w:val="18"/>
      <w:szCs w:val="18"/>
      <w:lang w:eastAsia="en-GB"/>
    </w:rPr>
  </w:style>
  <w:style w:type="paragraph" w:customStyle="1" w:styleId="supGrundschriftEinzug">
    <w:name w:val="sup_Grundschrift_Einzug"/>
    <w:basedOn w:val="Normal"/>
    <w:qFormat/>
    <w:pPr>
      <w:spacing w:after="320" w:line="320" w:lineRule="exact"/>
      <w:ind w:left="851"/>
      <w:jc w:val="both"/>
    </w:pPr>
    <w:rPr>
      <w:rFonts w:ascii="Times New Roman" w:eastAsia="Calibri" w:hAnsi="Times New Roman" w:cs="Arial"/>
      <w:lang w:val="de-DE"/>
    </w:rPr>
  </w:style>
  <w:style w:type="character" w:customStyle="1" w:styleId="citationarticletitle">
    <w:name w:val="citationarticletitle"/>
    <w:basedOn w:val="DefaultParagraphFont"/>
  </w:style>
  <w:style w:type="table" w:customStyle="1" w:styleId="TechnopolisLight2">
    <w:name w:val="Technopolis Light2"/>
    <w:basedOn w:val="TableNormal"/>
    <w:uiPriority w:val="99"/>
    <w:pPr>
      <w:spacing w:before="60" w:after="60" w:line="240" w:lineRule="auto"/>
    </w:pPr>
    <w:rPr>
      <w:rFonts w:ascii="Cambria" w:hAnsi="Cambria"/>
      <w:sz w:val="16"/>
      <w:lang w:val="en-US"/>
    </w:rPr>
    <w:tblPr>
      <w:tblBorders>
        <w:insideH w:val="single" w:sz="4" w:space="0" w:color="8064A2"/>
        <w:insideV w:val="single" w:sz="4" w:space="0" w:color="8064A2"/>
      </w:tblBorders>
      <w:tblCellMar>
        <w:top w:w="57" w:type="dxa"/>
        <w:bottom w:w="57" w:type="dxa"/>
      </w:tblCellMar>
    </w:tblPr>
    <w:tcPr>
      <w:vAlign w:val="center"/>
    </w:tcPr>
    <w:tblStylePr w:type="firstRow">
      <w:rPr>
        <w:i/>
      </w:rPr>
      <w:tblPr/>
      <w:tcPr>
        <w:tcBorders>
          <w:bottom w:val="single" w:sz="4" w:space="0" w:color="4F81BD"/>
        </w:tcBorders>
      </w:tcPr>
    </w:tblStylePr>
  </w:style>
  <w:style w:type="paragraph" w:customStyle="1" w:styleId="NoSpacing1">
    <w:name w:val="No Spacing1"/>
    <w:next w:val="NoSpacing"/>
    <w:uiPriority w:val="1"/>
    <w:qFormat/>
    <w:pPr>
      <w:spacing w:after="0" w:line="240" w:lineRule="auto"/>
    </w:pPr>
    <w:rPr>
      <w:noProof/>
      <w:sz w:val="24"/>
      <w:lang w:val="nl-NL"/>
    </w:rPr>
  </w:style>
  <w:style w:type="paragraph" w:customStyle="1" w:styleId="IntenseQuote1">
    <w:name w:val="Intense Quote1"/>
    <w:basedOn w:val="BodyText0"/>
    <w:next w:val="BodyText0"/>
    <w:uiPriority w:val="30"/>
    <w:qFormat/>
    <w:pPr>
      <w:pBdr>
        <w:top w:val="single" w:sz="4" w:space="10" w:color="4F81BD"/>
        <w:bottom w:val="single" w:sz="4" w:space="10" w:color="4F81BD"/>
      </w:pBdr>
      <w:spacing w:before="360" w:after="360" w:line="259" w:lineRule="auto"/>
      <w:ind w:left="864" w:right="864"/>
    </w:pPr>
    <w:rPr>
      <w:rFonts w:ascii="Calibri" w:eastAsia="Calibri" w:hAnsi="Calibri"/>
      <w:i/>
      <w:iCs/>
      <w:color w:val="4F81BD"/>
      <w:sz w:val="20"/>
      <w:szCs w:val="22"/>
    </w:rPr>
  </w:style>
  <w:style w:type="character" w:customStyle="1" w:styleId="IntenseQuoteChar">
    <w:name w:val="Intense Quote Char"/>
    <w:basedOn w:val="DefaultParagraphFont"/>
    <w:link w:val="IntenseQuote"/>
    <w:uiPriority w:val="30"/>
    <w:rPr>
      <w:rFonts w:ascii="Calibri" w:eastAsia="Calibri" w:hAnsi="Calibri" w:cs="Times New Roman"/>
      <w:i/>
      <w:iCs/>
      <w:color w:val="4F81BD"/>
      <w:szCs w:val="22"/>
      <w:lang w:val="en-GB" w:eastAsia="en-US"/>
    </w:rPr>
  </w:style>
  <w:style w:type="character" w:customStyle="1" w:styleId="SubtleReference1">
    <w:name w:val="Subtle Reference1"/>
    <w:basedOn w:val="DefaultParagraphFont"/>
    <w:uiPriority w:val="31"/>
    <w:qFormat/>
    <w:rPr>
      <w:smallCaps/>
      <w:color w:val="5A5A5A"/>
    </w:rPr>
  </w:style>
  <w:style w:type="character" w:customStyle="1" w:styleId="IntenseReference1">
    <w:name w:val="Intense Reference1"/>
    <w:basedOn w:val="DefaultParagraphFont"/>
    <w:uiPriority w:val="32"/>
    <w:qFormat/>
    <w:rPr>
      <w:b/>
      <w:bCs/>
      <w:smallCaps/>
      <w:color w:val="4F81BD"/>
      <w:spacing w:val="5"/>
    </w:rPr>
  </w:style>
  <w:style w:type="character" w:styleId="BookTitle">
    <w:name w:val="Book Title"/>
    <w:basedOn w:val="DefaultParagraphFont"/>
    <w:uiPriority w:val="33"/>
    <w:qFormat/>
    <w:rPr>
      <w:b/>
      <w:bCs/>
      <w:i/>
      <w:iCs/>
      <w:spacing w:val="5"/>
    </w:rPr>
  </w:style>
  <w:style w:type="character" w:customStyle="1" w:styleId="AppendixHeading1Char">
    <w:name w:val="Appendix Heading 1 Char"/>
    <w:basedOn w:val="DefaultParagraphFont"/>
    <w:link w:val="AppendixHeading1"/>
    <w:rPr>
      <w:rFonts w:ascii="Georgia" w:eastAsia="Times New Roman" w:hAnsi="Georgia" w:cs="Times New Roman"/>
      <w:sz w:val="28"/>
      <w:szCs w:val="24"/>
    </w:rPr>
  </w:style>
  <w:style w:type="character" w:customStyle="1" w:styleId="AppendixHeading2Char">
    <w:name w:val="Appendix Heading 2 Char"/>
    <w:basedOn w:val="AppendixHeading1Char"/>
    <w:link w:val="AppendixHeading2"/>
    <w:rPr>
      <w:rFonts w:ascii="Georgia" w:eastAsia="Times New Roman" w:hAnsi="Georgia" w:cs="Times New Roman"/>
      <w:color w:val="FF0000"/>
      <w:sz w:val="28"/>
      <w:szCs w:val="24"/>
    </w:rPr>
  </w:style>
  <w:style w:type="paragraph" w:customStyle="1" w:styleId="Table">
    <w:name w:val="Table"/>
    <w:basedOn w:val="BodyText0"/>
    <w:link w:val="TableChar"/>
    <w:qFormat/>
    <w:pPr>
      <w:spacing w:after="0"/>
      <w:jc w:val="left"/>
    </w:pPr>
    <w:rPr>
      <w:rFonts w:ascii="Georgia" w:eastAsia="Calibri" w:hAnsi="Georgia"/>
      <w:kern w:val="16"/>
      <w:sz w:val="16"/>
      <w:szCs w:val="22"/>
    </w:rPr>
  </w:style>
  <w:style w:type="character" w:customStyle="1" w:styleId="TableChar">
    <w:name w:val="Table Char"/>
    <w:basedOn w:val="DefaultParagraphFont"/>
    <w:link w:val="Table"/>
    <w:rPr>
      <w:rFonts w:ascii="Georgia" w:eastAsia="Calibri" w:hAnsi="Georgia" w:cs="Times New Roman"/>
      <w:kern w:val="16"/>
      <w:sz w:val="16"/>
    </w:rPr>
  </w:style>
  <w:style w:type="paragraph" w:customStyle="1" w:styleId="Tablenumber2">
    <w:name w:val="Table number 2"/>
    <w:basedOn w:val="Tablenumber1"/>
    <w:link w:val="Tablenumber2Char"/>
    <w:qFormat/>
    <w:pPr>
      <w:numPr>
        <w:numId w:val="37"/>
      </w:numPr>
      <w:ind w:left="397" w:hanging="227"/>
    </w:pPr>
    <w:rPr>
      <w:rFonts w:eastAsia="Calibri"/>
    </w:rPr>
  </w:style>
  <w:style w:type="character" w:customStyle="1" w:styleId="HeadlineChar">
    <w:name w:val="Headline Char"/>
    <w:basedOn w:val="DefaultParagraphFont"/>
    <w:link w:val="Headline"/>
    <w:rPr>
      <w:rFonts w:ascii="Georgia" w:eastAsia="Times New Roman" w:hAnsi="Georgia" w:cs="Times New Roman"/>
      <w:b/>
      <w:sz w:val="24"/>
      <w:szCs w:val="24"/>
    </w:rPr>
  </w:style>
  <w:style w:type="paragraph" w:customStyle="1" w:styleId="Tablebullet2">
    <w:name w:val="Table bullet 2"/>
    <w:basedOn w:val="Bullet2"/>
    <w:link w:val="Tablebullet2Char"/>
    <w:qFormat/>
    <w:pPr>
      <w:tabs>
        <w:tab w:val="num" w:pos="1200"/>
      </w:tabs>
      <w:spacing w:before="60" w:line="240" w:lineRule="auto"/>
      <w:ind w:left="340" w:hanging="227"/>
      <w:jc w:val="left"/>
    </w:pPr>
    <w:rPr>
      <w:rFonts w:ascii="Georgia" w:hAnsi="Georgia"/>
      <w:kern w:val="16"/>
      <w:sz w:val="16"/>
      <w:szCs w:val="16"/>
    </w:rPr>
  </w:style>
  <w:style w:type="paragraph" w:customStyle="1" w:styleId="Tablebullet3">
    <w:name w:val="Table bullet 3"/>
    <w:basedOn w:val="Bullet3"/>
    <w:link w:val="Tablebullet3Char"/>
    <w:qFormat/>
    <w:pPr>
      <w:numPr>
        <w:numId w:val="0"/>
      </w:numPr>
      <w:tabs>
        <w:tab w:val="num" w:pos="1920"/>
      </w:tabs>
      <w:spacing w:before="60" w:after="80" w:line="240" w:lineRule="auto"/>
      <w:ind w:left="454" w:hanging="227"/>
      <w:jc w:val="left"/>
    </w:pPr>
    <w:rPr>
      <w:rFonts w:eastAsia="Calibri"/>
      <w:kern w:val="16"/>
      <w:sz w:val="16"/>
      <w:szCs w:val="16"/>
    </w:rPr>
  </w:style>
  <w:style w:type="character" w:customStyle="1" w:styleId="Tablebullet2Char">
    <w:name w:val="Table bullet 2 Char"/>
    <w:basedOn w:val="Bullet2Char"/>
    <w:link w:val="Tablebullet2"/>
    <w:rPr>
      <w:rFonts w:ascii="Georgia" w:eastAsia="Calibri" w:hAnsi="Georgia" w:cs="Times New Roman"/>
      <w:kern w:val="16"/>
      <w:sz w:val="16"/>
      <w:szCs w:val="16"/>
      <w:lang w:eastAsia="nl-BE"/>
    </w:rPr>
  </w:style>
  <w:style w:type="character" w:customStyle="1" w:styleId="Tablebullet3Char">
    <w:name w:val="Table bullet 3 Char"/>
    <w:basedOn w:val="Bullet3Char"/>
    <w:link w:val="Tablebullet3"/>
    <w:rPr>
      <w:rFonts w:ascii="Georgia" w:eastAsia="Calibri" w:hAnsi="Georgia" w:cs="Times New Roman"/>
      <w:kern w:val="16"/>
      <w:sz w:val="16"/>
      <w:szCs w:val="16"/>
    </w:rPr>
  </w:style>
  <w:style w:type="paragraph" w:customStyle="1" w:styleId="Tablenumber3">
    <w:name w:val="Table number 3"/>
    <w:basedOn w:val="Tablenumber2"/>
    <w:link w:val="Tablenumber3Char"/>
    <w:qFormat/>
    <w:pPr>
      <w:numPr>
        <w:numId w:val="38"/>
      </w:numPr>
      <w:ind w:left="511" w:hanging="227"/>
    </w:pPr>
  </w:style>
  <w:style w:type="character" w:customStyle="1" w:styleId="Tablenumber2Char">
    <w:name w:val="Table number 2 Char"/>
    <w:basedOn w:val="Tablenumber1Char"/>
    <w:link w:val="Tablenumber2"/>
    <w:rPr>
      <w:rFonts w:ascii="Georgia" w:eastAsia="Calibri" w:hAnsi="Georgia"/>
      <w:kern w:val="16"/>
      <w:sz w:val="16"/>
    </w:rPr>
  </w:style>
  <w:style w:type="character" w:customStyle="1" w:styleId="Tablenumber3Char">
    <w:name w:val="Table number 3 Char"/>
    <w:basedOn w:val="Tablenumber2Char"/>
    <w:link w:val="Tablenumber3"/>
    <w:rPr>
      <w:rFonts w:ascii="Georgia" w:eastAsia="Calibri" w:hAnsi="Georgia"/>
      <w:kern w:val="16"/>
      <w:sz w:val="16"/>
    </w:rPr>
  </w:style>
  <w:style w:type="paragraph" w:customStyle="1" w:styleId="BodyText1">
    <w:name w:val="Body Text1"/>
    <w:basedOn w:val="Normal"/>
    <w:link w:val="BodytextChar1"/>
    <w:pPr>
      <w:spacing w:after="160" w:line="259" w:lineRule="auto"/>
      <w:jc w:val="both"/>
    </w:pPr>
    <w:rPr>
      <w:sz w:val="20"/>
    </w:rPr>
  </w:style>
  <w:style w:type="character" w:customStyle="1" w:styleId="BodytextChar1">
    <w:name w:val="Body text Char"/>
    <w:basedOn w:val="DefaultParagraphFont"/>
    <w:link w:val="BodyText1"/>
    <w:rPr>
      <w:sz w:val="20"/>
    </w:rPr>
  </w:style>
  <w:style w:type="paragraph" w:customStyle="1" w:styleId="FA8C947BA57F488C9EA9A462B5D450C2">
    <w:name w:val="FA8C947BA57F488C9EA9A462B5D450C2"/>
    <w:pPr>
      <w:spacing w:after="160" w:line="259" w:lineRule="auto"/>
    </w:pPr>
    <w:rPr>
      <w:rFonts w:eastAsia="MS Mincho"/>
      <w:lang w:val="et-EE" w:eastAsia="et-EE"/>
    </w:rPr>
  </w:style>
  <w:style w:type="table" w:customStyle="1" w:styleId="TableGridLight1">
    <w:name w:val="Table Grid Light1"/>
    <w:basedOn w:val="TableNormal"/>
    <w:uiPriority w:val="40"/>
    <w:pPr>
      <w:spacing w:after="0" w:line="240" w:lineRule="auto"/>
    </w:pPr>
    <w:rPr>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tyle5">
    <w:name w:val="Style5"/>
    <w:basedOn w:val="Heading5"/>
    <w:rPr>
      <w:szCs w:val="20"/>
    </w:rPr>
  </w:style>
  <w:style w:type="paragraph" w:customStyle="1" w:styleId="Style7">
    <w:name w:val="Style7"/>
    <w:basedOn w:val="Heading5"/>
    <w:rPr>
      <w:szCs w:val="20"/>
    </w:rPr>
  </w:style>
  <w:style w:type="numbering" w:customStyle="1" w:styleId="supNumTextListe">
    <w:name w:val="sup_NumText_Liste"/>
    <w:uiPriority w:val="99"/>
    <w:pPr>
      <w:numPr>
        <w:numId w:val="39"/>
      </w:numPr>
    </w:pPr>
  </w:style>
  <w:style w:type="paragraph" w:customStyle="1" w:styleId="supVertragNumtext1">
    <w:name w:val="sup_VertragNumtext_1"/>
    <w:basedOn w:val="Normal"/>
    <w:qFormat/>
    <w:pPr>
      <w:numPr>
        <w:numId w:val="40"/>
      </w:numPr>
      <w:spacing w:before="320" w:after="120" w:line="320" w:lineRule="exact"/>
      <w:jc w:val="both"/>
    </w:pPr>
    <w:rPr>
      <w:rFonts w:ascii="Times New Roman" w:eastAsia="Calibri" w:hAnsi="Times New Roman" w:cs="Arial"/>
      <w:lang w:val="de-DE"/>
    </w:rPr>
  </w:style>
  <w:style w:type="paragraph" w:customStyle="1" w:styleId="supVertragNumtext2">
    <w:name w:val="sup_VertragNumtext_2"/>
    <w:basedOn w:val="Normal"/>
    <w:qFormat/>
    <w:pPr>
      <w:numPr>
        <w:ilvl w:val="1"/>
        <w:numId w:val="40"/>
      </w:numPr>
      <w:spacing w:before="320" w:after="120" w:line="320" w:lineRule="exact"/>
      <w:jc w:val="both"/>
    </w:pPr>
    <w:rPr>
      <w:rFonts w:ascii="Times New Roman" w:eastAsia="Calibri" w:hAnsi="Times New Roman" w:cs="Arial"/>
      <w:lang w:val="de-DE"/>
    </w:rPr>
  </w:style>
  <w:style w:type="paragraph" w:customStyle="1" w:styleId="supVertragNumtext3">
    <w:name w:val="sup_VertragNumtext_3"/>
    <w:basedOn w:val="Normal"/>
    <w:qFormat/>
    <w:pPr>
      <w:numPr>
        <w:ilvl w:val="2"/>
        <w:numId w:val="40"/>
      </w:numPr>
      <w:spacing w:before="320" w:after="120" w:line="320" w:lineRule="exact"/>
      <w:jc w:val="both"/>
    </w:pPr>
    <w:rPr>
      <w:rFonts w:ascii="Times New Roman" w:eastAsia="Calibri" w:hAnsi="Times New Roman" w:cs="Arial"/>
      <w:lang w:val="de-DE"/>
    </w:rPr>
  </w:style>
  <w:style w:type="paragraph" w:customStyle="1" w:styleId="supVertragNumtext4">
    <w:name w:val="sup_VertragNumtext_4"/>
    <w:basedOn w:val="Normal"/>
    <w:qFormat/>
    <w:pPr>
      <w:numPr>
        <w:ilvl w:val="3"/>
        <w:numId w:val="40"/>
      </w:numPr>
      <w:spacing w:before="320" w:after="120" w:line="320" w:lineRule="exact"/>
      <w:jc w:val="both"/>
    </w:pPr>
    <w:rPr>
      <w:rFonts w:ascii="Times New Roman" w:eastAsia="Calibri" w:hAnsi="Times New Roman" w:cs="Arial"/>
      <w:lang w:val="de-DE"/>
    </w:rPr>
  </w:style>
  <w:style w:type="paragraph" w:customStyle="1" w:styleId="supVertragNumtext5">
    <w:name w:val="sup_VertragNumtext_5"/>
    <w:basedOn w:val="Normal"/>
    <w:next w:val="supGrundschriftEinzug"/>
    <w:qFormat/>
    <w:pPr>
      <w:numPr>
        <w:ilvl w:val="4"/>
        <w:numId w:val="40"/>
      </w:numPr>
      <w:spacing w:before="320" w:after="120" w:line="320" w:lineRule="exact"/>
      <w:jc w:val="both"/>
    </w:pPr>
    <w:rPr>
      <w:rFonts w:ascii="Times New Roman" w:eastAsia="Calibri" w:hAnsi="Times New Roman" w:cs="Arial"/>
      <w:lang w:val="de-DE"/>
    </w:rPr>
  </w:style>
  <w:style w:type="paragraph" w:customStyle="1" w:styleId="supVertragNumtext6">
    <w:name w:val="sup_VertragNumtext_6"/>
    <w:basedOn w:val="Normal"/>
    <w:next w:val="supGrundschriftEinzug"/>
    <w:qFormat/>
    <w:pPr>
      <w:numPr>
        <w:ilvl w:val="5"/>
        <w:numId w:val="40"/>
      </w:numPr>
      <w:spacing w:before="320" w:after="120" w:line="320" w:lineRule="exact"/>
      <w:jc w:val="both"/>
    </w:pPr>
    <w:rPr>
      <w:rFonts w:ascii="Times New Roman" w:eastAsia="Calibri" w:hAnsi="Times New Roman" w:cs="Arial"/>
      <w:lang w:val="de-DE"/>
    </w:rPr>
  </w:style>
  <w:style w:type="paragraph" w:customStyle="1" w:styleId="supVertragNumtext7">
    <w:name w:val="sup_VertragNumtext_7"/>
    <w:basedOn w:val="Normal"/>
    <w:next w:val="supGrundschriftEinzug"/>
    <w:qFormat/>
    <w:pPr>
      <w:numPr>
        <w:ilvl w:val="6"/>
        <w:numId w:val="40"/>
      </w:numPr>
      <w:spacing w:before="320" w:after="120" w:line="320" w:lineRule="exact"/>
      <w:jc w:val="both"/>
    </w:pPr>
    <w:rPr>
      <w:rFonts w:ascii="Times New Roman" w:eastAsia="Calibri" w:hAnsi="Times New Roman" w:cs="Arial"/>
      <w:lang w:val="de-DE"/>
    </w:rPr>
  </w:style>
  <w:style w:type="paragraph" w:customStyle="1" w:styleId="supVertragNumtext8">
    <w:name w:val="sup_VertragNumtext_8"/>
    <w:basedOn w:val="Normal"/>
    <w:next w:val="supGrundschriftEinzug"/>
    <w:qFormat/>
    <w:pPr>
      <w:numPr>
        <w:ilvl w:val="7"/>
        <w:numId w:val="40"/>
      </w:numPr>
      <w:spacing w:before="320" w:after="120" w:line="320" w:lineRule="exact"/>
      <w:jc w:val="both"/>
    </w:pPr>
    <w:rPr>
      <w:rFonts w:ascii="Times New Roman" w:eastAsia="Calibri" w:hAnsi="Times New Roman" w:cs="Arial"/>
      <w:lang w:val="de-DE"/>
    </w:rPr>
  </w:style>
  <w:style w:type="paragraph" w:customStyle="1" w:styleId="supVertragNumtext9">
    <w:name w:val="sup_VertragNumtext_9"/>
    <w:basedOn w:val="Normal"/>
    <w:next w:val="supGrundschriftEinzug"/>
    <w:qFormat/>
    <w:pPr>
      <w:numPr>
        <w:ilvl w:val="8"/>
        <w:numId w:val="40"/>
      </w:numPr>
      <w:spacing w:before="320" w:after="120" w:line="320" w:lineRule="exact"/>
      <w:jc w:val="both"/>
    </w:pPr>
    <w:rPr>
      <w:rFonts w:ascii="Times New Roman" w:eastAsia="Calibri" w:hAnsi="Times New Roman" w:cs="Arial"/>
      <w:lang w:val="de-DE"/>
    </w:rPr>
  </w:style>
  <w:style w:type="paragraph" w:customStyle="1" w:styleId="Heading20">
    <w:name w:val="Heading2"/>
    <w:basedOn w:val="Title2"/>
    <w:link w:val="Heading2Char1"/>
    <w:qFormat/>
    <w:pPr>
      <w:numPr>
        <w:numId w:val="0"/>
      </w:numPr>
    </w:pPr>
    <w:rPr>
      <w:rFonts w:ascii="Verdana" w:hAnsi="Verdana"/>
      <w:b/>
      <w:i/>
    </w:rPr>
  </w:style>
  <w:style w:type="character" w:customStyle="1" w:styleId="Heading2Char1">
    <w:name w:val="Heading2 Char"/>
    <w:link w:val="Heading20"/>
    <w:rPr>
      <w:rFonts w:ascii="Verdana" w:eastAsia="Times New Roman" w:hAnsi="Verdana" w:cs="Times New Roman"/>
      <w:b/>
      <w:i/>
      <w:sz w:val="24"/>
      <w:szCs w:val="24"/>
    </w:rPr>
  </w:style>
  <w:style w:type="paragraph" w:customStyle="1" w:styleId="Subtitle0">
    <w:name w:val="Subtitle_"/>
    <w:basedOn w:val="TOC2"/>
    <w:link w:val="SubtitleChar0"/>
    <w:qFormat/>
    <w:pPr>
      <w:ind w:left="0" w:firstLine="0"/>
    </w:pPr>
    <w:rPr>
      <w:b/>
      <w:i/>
      <w:sz w:val="20"/>
    </w:rPr>
  </w:style>
  <w:style w:type="character" w:customStyle="1" w:styleId="SubtitleChar0">
    <w:name w:val="Subtitle_ Char"/>
    <w:basedOn w:val="Heading2Char1"/>
    <w:link w:val="Subtitle0"/>
    <w:rPr>
      <w:rFonts w:ascii="Verdana" w:eastAsia="Times New Roman" w:hAnsi="Verdana" w:cs="Times New Roman"/>
      <w:b/>
      <w:i/>
      <w:sz w:val="20"/>
      <w:szCs w:val="24"/>
    </w:rPr>
  </w:style>
  <w:style w:type="character" w:styleId="SubtleEmphasis">
    <w:name w:val="Subtle Emphasis"/>
    <w:basedOn w:val="DefaultParagraphFont"/>
    <w:uiPriority w:val="19"/>
    <w:qFormat/>
    <w:rPr>
      <w:i/>
      <w:iCs/>
      <w:color w:val="808080" w:themeColor="text1" w:themeTint="7F"/>
    </w:r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IntenseEmphasis">
    <w:name w:val="Intense Emphasis"/>
    <w:basedOn w:val="DefaultParagraphFont"/>
    <w:uiPriority w:val="21"/>
    <w:qFormat/>
    <w:rPr>
      <w:b/>
      <w:bCs/>
      <w:i/>
      <w:iCs/>
      <w:color w:val="4F81BD" w:themeColor="accent1"/>
    </w:rPr>
  </w:style>
  <w:style w:type="paragraph" w:styleId="NoSpacing">
    <w:name w:val="No Spacing"/>
    <w:uiPriority w:val="1"/>
    <w:qFormat/>
    <w:pPr>
      <w:spacing w:after="0" w:line="240" w:lineRule="auto"/>
    </w:p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rFonts w:ascii="Calibri" w:eastAsia="Calibri" w:hAnsi="Calibri" w:cs="Times New Roman"/>
      <w:i/>
      <w:iCs/>
      <w:color w:val="4F81BD"/>
    </w:rPr>
  </w:style>
  <w:style w:type="character" w:customStyle="1" w:styleId="IntenseQuoteChar1">
    <w:name w:val="Intense Quote Char1"/>
    <w:basedOn w:val="DefaultParagraphFont"/>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paragraph" w:styleId="TOCHeading">
    <w:name w:val="TOC Heading"/>
    <w:basedOn w:val="Heading1"/>
    <w:next w:val="Normal"/>
    <w:link w:val="TOCHeadingChar"/>
    <w:uiPriority w:val="39"/>
    <w:unhideWhenUsed/>
    <w:qFormat/>
    <w:pPr>
      <w:keepLines/>
      <w:numPr>
        <w:numId w:val="0"/>
      </w:numPr>
      <w:spacing w:before="480" w:after="0" w:line="276" w:lineRule="auto"/>
      <w:jc w:val="left"/>
      <w:outlineLvl w:val="9"/>
    </w:pPr>
    <w:rPr>
      <w:rFonts w:asciiTheme="majorHAnsi" w:eastAsiaTheme="majorEastAsia" w:hAnsiTheme="majorHAnsi" w:cstheme="majorBidi"/>
      <w:smallCaps w:val="0"/>
      <w:color w:val="365F91" w:themeColor="accent1" w:themeShade="BF"/>
      <w:sz w:val="28"/>
      <w:szCs w:val="28"/>
    </w:rPr>
  </w:style>
  <w:style w:type="paragraph" w:customStyle="1" w:styleId="Pagedecouverture">
    <w:name w:val="Page de couverture"/>
    <w:basedOn w:val="Normal"/>
    <w:next w:val="Normal"/>
    <w:pPr>
      <w:spacing w:after="0" w:line="240" w:lineRule="auto"/>
      <w:jc w:val="both"/>
    </w:pPr>
    <w:rPr>
      <w:rFonts w:ascii="Times New Roman" w:eastAsiaTheme="majorEastAsia" w:hAnsi="Times New Roman" w:cs="Times New Roman"/>
      <w:sz w:val="24"/>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table" w:customStyle="1" w:styleId="HTG2">
    <w:name w:val="HTG2"/>
    <w:basedOn w:val="TableNormal"/>
    <w:next w:val="TableGrid"/>
    <w:uiPriority w:val="59"/>
    <w:pPr>
      <w:spacing w:after="0" w:line="240" w:lineRule="auto"/>
    </w:pPr>
    <w:rPr>
      <w:rFonts w:ascii="Verdana" w:eastAsia="Times New Roman" w:hAnsi="Verdana" w:cs="Times New Roman"/>
      <w:sz w:val="18"/>
      <w:szCs w:val="24"/>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TOCHeadingChar">
    <w:name w:val="TOC Heading Char"/>
    <w:basedOn w:val="Heading1Char"/>
    <w:link w:val="TOCHeading"/>
    <w:uiPriority w:val="39"/>
    <w:rPr>
      <w:rFonts w:asciiTheme="majorHAnsi" w:eastAsiaTheme="majorEastAsia" w:hAnsiTheme="majorHAnsi" w:cstheme="majorBidi"/>
      <w:b/>
      <w:bCs/>
      <w:smallCaps w:val="0"/>
      <w:color w:val="365F91" w:themeColor="accent1" w:themeShade="BF"/>
      <w:sz w:val="28"/>
      <w:szCs w:val="28"/>
    </w:rPr>
  </w:style>
  <w:style w:type="character" w:customStyle="1" w:styleId="HeaderCoverPageChar">
    <w:name w:val="Header Cover Page Char"/>
    <w:basedOn w:val="TOCHeadingChar"/>
    <w:link w:val="HeaderCoverPage"/>
    <w:rPr>
      <w:rFonts w:ascii="Times New Roman" w:eastAsiaTheme="majorEastAsia" w:hAnsi="Times New Roman" w:cs="Times New Roman"/>
      <w:b w:val="0"/>
      <w:bCs w:val="0"/>
      <w:smallCaps w:val="0"/>
      <w:color w:val="365F91" w:themeColor="accent1" w:themeShade="BF"/>
      <w:sz w:val="24"/>
      <w:szCs w:val="28"/>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Poromisin">
    <w:name w:val="Por omisión"/>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12606">
      <w:bodyDiv w:val="1"/>
      <w:marLeft w:val="0"/>
      <w:marRight w:val="0"/>
      <w:marTop w:val="0"/>
      <w:marBottom w:val="0"/>
      <w:divBdr>
        <w:top w:val="none" w:sz="0" w:space="0" w:color="auto"/>
        <w:left w:val="none" w:sz="0" w:space="0" w:color="auto"/>
        <w:bottom w:val="none" w:sz="0" w:space="0" w:color="auto"/>
        <w:right w:val="none" w:sz="0" w:space="0" w:color="auto"/>
      </w:divBdr>
    </w:div>
    <w:div w:id="135414177">
      <w:bodyDiv w:val="1"/>
      <w:marLeft w:val="0"/>
      <w:marRight w:val="0"/>
      <w:marTop w:val="0"/>
      <w:marBottom w:val="0"/>
      <w:divBdr>
        <w:top w:val="none" w:sz="0" w:space="0" w:color="auto"/>
        <w:left w:val="none" w:sz="0" w:space="0" w:color="auto"/>
        <w:bottom w:val="none" w:sz="0" w:space="0" w:color="auto"/>
        <w:right w:val="none" w:sz="0" w:space="0" w:color="auto"/>
      </w:divBdr>
      <w:divsChild>
        <w:div w:id="1727491483">
          <w:marLeft w:val="0"/>
          <w:marRight w:val="0"/>
          <w:marTop w:val="0"/>
          <w:marBottom w:val="0"/>
          <w:divBdr>
            <w:top w:val="none" w:sz="0" w:space="0" w:color="auto"/>
            <w:left w:val="none" w:sz="0" w:space="0" w:color="auto"/>
            <w:bottom w:val="none" w:sz="0" w:space="0" w:color="auto"/>
            <w:right w:val="none" w:sz="0" w:space="0" w:color="auto"/>
          </w:divBdr>
          <w:divsChild>
            <w:div w:id="295840917">
              <w:marLeft w:val="0"/>
              <w:marRight w:val="0"/>
              <w:marTop w:val="0"/>
              <w:marBottom w:val="0"/>
              <w:divBdr>
                <w:top w:val="none" w:sz="0" w:space="0" w:color="auto"/>
                <w:left w:val="none" w:sz="0" w:space="0" w:color="auto"/>
                <w:bottom w:val="none" w:sz="0" w:space="0" w:color="auto"/>
                <w:right w:val="none" w:sz="0" w:space="0" w:color="auto"/>
              </w:divBdr>
              <w:divsChild>
                <w:div w:id="95441703">
                  <w:marLeft w:val="0"/>
                  <w:marRight w:val="0"/>
                  <w:marTop w:val="0"/>
                  <w:marBottom w:val="0"/>
                  <w:divBdr>
                    <w:top w:val="none" w:sz="0" w:space="0" w:color="auto"/>
                    <w:left w:val="none" w:sz="0" w:space="0" w:color="auto"/>
                    <w:bottom w:val="none" w:sz="0" w:space="0" w:color="auto"/>
                    <w:right w:val="none" w:sz="0" w:space="0" w:color="auto"/>
                  </w:divBdr>
                  <w:divsChild>
                    <w:div w:id="5669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446290">
      <w:bodyDiv w:val="1"/>
      <w:marLeft w:val="0"/>
      <w:marRight w:val="0"/>
      <w:marTop w:val="0"/>
      <w:marBottom w:val="0"/>
      <w:divBdr>
        <w:top w:val="none" w:sz="0" w:space="0" w:color="auto"/>
        <w:left w:val="none" w:sz="0" w:space="0" w:color="auto"/>
        <w:bottom w:val="none" w:sz="0" w:space="0" w:color="auto"/>
        <w:right w:val="none" w:sz="0" w:space="0" w:color="auto"/>
      </w:divBdr>
      <w:divsChild>
        <w:div w:id="344789594">
          <w:marLeft w:val="0"/>
          <w:marRight w:val="0"/>
          <w:marTop w:val="0"/>
          <w:marBottom w:val="0"/>
          <w:divBdr>
            <w:top w:val="none" w:sz="0" w:space="0" w:color="auto"/>
            <w:left w:val="none" w:sz="0" w:space="0" w:color="auto"/>
            <w:bottom w:val="none" w:sz="0" w:space="0" w:color="auto"/>
            <w:right w:val="none" w:sz="0" w:space="0" w:color="auto"/>
          </w:divBdr>
          <w:divsChild>
            <w:div w:id="374816392">
              <w:marLeft w:val="0"/>
              <w:marRight w:val="0"/>
              <w:marTop w:val="0"/>
              <w:marBottom w:val="0"/>
              <w:divBdr>
                <w:top w:val="none" w:sz="0" w:space="0" w:color="auto"/>
                <w:left w:val="none" w:sz="0" w:space="0" w:color="auto"/>
                <w:bottom w:val="none" w:sz="0" w:space="0" w:color="auto"/>
                <w:right w:val="none" w:sz="0" w:space="0" w:color="auto"/>
              </w:divBdr>
              <w:divsChild>
                <w:div w:id="281961743">
                  <w:marLeft w:val="0"/>
                  <w:marRight w:val="0"/>
                  <w:marTop w:val="0"/>
                  <w:marBottom w:val="0"/>
                  <w:divBdr>
                    <w:top w:val="none" w:sz="0" w:space="0" w:color="auto"/>
                    <w:left w:val="none" w:sz="0" w:space="0" w:color="auto"/>
                    <w:bottom w:val="none" w:sz="0" w:space="0" w:color="auto"/>
                    <w:right w:val="none" w:sz="0" w:space="0" w:color="auto"/>
                  </w:divBdr>
                  <w:divsChild>
                    <w:div w:id="1224220935">
                      <w:marLeft w:val="0"/>
                      <w:marRight w:val="0"/>
                      <w:marTop w:val="0"/>
                      <w:marBottom w:val="0"/>
                      <w:divBdr>
                        <w:top w:val="none" w:sz="0" w:space="0" w:color="auto"/>
                        <w:left w:val="none" w:sz="0" w:space="0" w:color="auto"/>
                        <w:bottom w:val="none" w:sz="0" w:space="0" w:color="auto"/>
                        <w:right w:val="none" w:sz="0" w:space="0" w:color="auto"/>
                      </w:divBdr>
                      <w:divsChild>
                        <w:div w:id="2056737836">
                          <w:marLeft w:val="0"/>
                          <w:marRight w:val="0"/>
                          <w:marTop w:val="0"/>
                          <w:marBottom w:val="0"/>
                          <w:divBdr>
                            <w:top w:val="none" w:sz="0" w:space="0" w:color="auto"/>
                            <w:left w:val="none" w:sz="0" w:space="0" w:color="auto"/>
                            <w:bottom w:val="none" w:sz="0" w:space="0" w:color="auto"/>
                            <w:right w:val="none" w:sz="0" w:space="0" w:color="auto"/>
                          </w:divBdr>
                          <w:divsChild>
                            <w:div w:id="875048903">
                              <w:marLeft w:val="0"/>
                              <w:marRight w:val="0"/>
                              <w:marTop w:val="0"/>
                              <w:marBottom w:val="0"/>
                              <w:divBdr>
                                <w:top w:val="none" w:sz="0" w:space="0" w:color="auto"/>
                                <w:left w:val="none" w:sz="0" w:space="0" w:color="auto"/>
                                <w:bottom w:val="none" w:sz="0" w:space="0" w:color="auto"/>
                                <w:right w:val="none" w:sz="0" w:space="0" w:color="auto"/>
                              </w:divBdr>
                              <w:divsChild>
                                <w:div w:id="42951535">
                                  <w:marLeft w:val="0"/>
                                  <w:marRight w:val="0"/>
                                  <w:marTop w:val="0"/>
                                  <w:marBottom w:val="0"/>
                                  <w:divBdr>
                                    <w:top w:val="none" w:sz="0" w:space="0" w:color="auto"/>
                                    <w:left w:val="none" w:sz="0" w:space="0" w:color="auto"/>
                                    <w:bottom w:val="none" w:sz="0" w:space="0" w:color="auto"/>
                                    <w:right w:val="none" w:sz="0" w:space="0" w:color="auto"/>
                                  </w:divBdr>
                                  <w:divsChild>
                                    <w:div w:id="638075488">
                                      <w:marLeft w:val="0"/>
                                      <w:marRight w:val="0"/>
                                      <w:marTop w:val="0"/>
                                      <w:marBottom w:val="0"/>
                                      <w:divBdr>
                                        <w:top w:val="none" w:sz="0" w:space="0" w:color="auto"/>
                                        <w:left w:val="none" w:sz="0" w:space="0" w:color="auto"/>
                                        <w:bottom w:val="none" w:sz="0" w:space="0" w:color="auto"/>
                                        <w:right w:val="none" w:sz="0" w:space="0" w:color="auto"/>
                                      </w:divBdr>
                                      <w:divsChild>
                                        <w:div w:id="1339114572">
                                          <w:marLeft w:val="0"/>
                                          <w:marRight w:val="0"/>
                                          <w:marTop w:val="0"/>
                                          <w:marBottom w:val="0"/>
                                          <w:divBdr>
                                            <w:top w:val="none" w:sz="0" w:space="0" w:color="auto"/>
                                            <w:left w:val="none" w:sz="0" w:space="0" w:color="auto"/>
                                            <w:bottom w:val="none" w:sz="0" w:space="0" w:color="auto"/>
                                            <w:right w:val="none" w:sz="0" w:space="0" w:color="auto"/>
                                          </w:divBdr>
                                          <w:divsChild>
                                            <w:div w:id="2138452794">
                                              <w:marLeft w:val="0"/>
                                              <w:marRight w:val="0"/>
                                              <w:marTop w:val="0"/>
                                              <w:marBottom w:val="0"/>
                                              <w:divBdr>
                                                <w:top w:val="none" w:sz="0" w:space="0" w:color="auto"/>
                                                <w:left w:val="none" w:sz="0" w:space="0" w:color="auto"/>
                                                <w:bottom w:val="none" w:sz="0" w:space="0" w:color="auto"/>
                                                <w:right w:val="none" w:sz="0" w:space="0" w:color="auto"/>
                                              </w:divBdr>
                                              <w:divsChild>
                                                <w:div w:id="1425691787">
                                                  <w:marLeft w:val="0"/>
                                                  <w:marRight w:val="0"/>
                                                  <w:marTop w:val="0"/>
                                                  <w:marBottom w:val="0"/>
                                                  <w:divBdr>
                                                    <w:top w:val="none" w:sz="0" w:space="0" w:color="auto"/>
                                                    <w:left w:val="none" w:sz="0" w:space="0" w:color="auto"/>
                                                    <w:bottom w:val="none" w:sz="0" w:space="0" w:color="auto"/>
                                                    <w:right w:val="none" w:sz="0" w:space="0" w:color="auto"/>
                                                  </w:divBdr>
                                                  <w:divsChild>
                                                    <w:div w:id="1606229937">
                                                      <w:marLeft w:val="0"/>
                                                      <w:marRight w:val="0"/>
                                                      <w:marTop w:val="0"/>
                                                      <w:marBottom w:val="0"/>
                                                      <w:divBdr>
                                                        <w:top w:val="none" w:sz="0" w:space="0" w:color="auto"/>
                                                        <w:left w:val="none" w:sz="0" w:space="0" w:color="auto"/>
                                                        <w:bottom w:val="none" w:sz="0" w:space="0" w:color="auto"/>
                                                        <w:right w:val="none" w:sz="0" w:space="0" w:color="auto"/>
                                                      </w:divBdr>
                                                      <w:divsChild>
                                                        <w:div w:id="618031424">
                                                          <w:marLeft w:val="0"/>
                                                          <w:marRight w:val="0"/>
                                                          <w:marTop w:val="0"/>
                                                          <w:marBottom w:val="0"/>
                                                          <w:divBdr>
                                                            <w:top w:val="none" w:sz="0" w:space="0" w:color="auto"/>
                                                            <w:left w:val="none" w:sz="0" w:space="0" w:color="auto"/>
                                                            <w:bottom w:val="none" w:sz="0" w:space="0" w:color="auto"/>
                                                            <w:right w:val="none" w:sz="0" w:space="0" w:color="auto"/>
                                                          </w:divBdr>
                                                          <w:divsChild>
                                                            <w:div w:id="4090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2078527">
      <w:bodyDiv w:val="1"/>
      <w:marLeft w:val="0"/>
      <w:marRight w:val="0"/>
      <w:marTop w:val="0"/>
      <w:marBottom w:val="0"/>
      <w:divBdr>
        <w:top w:val="none" w:sz="0" w:space="0" w:color="auto"/>
        <w:left w:val="none" w:sz="0" w:space="0" w:color="auto"/>
        <w:bottom w:val="none" w:sz="0" w:space="0" w:color="auto"/>
        <w:right w:val="none" w:sz="0" w:space="0" w:color="auto"/>
      </w:divBdr>
    </w:div>
    <w:div w:id="345717519">
      <w:bodyDiv w:val="1"/>
      <w:marLeft w:val="0"/>
      <w:marRight w:val="0"/>
      <w:marTop w:val="0"/>
      <w:marBottom w:val="0"/>
      <w:divBdr>
        <w:top w:val="none" w:sz="0" w:space="0" w:color="auto"/>
        <w:left w:val="none" w:sz="0" w:space="0" w:color="auto"/>
        <w:bottom w:val="none" w:sz="0" w:space="0" w:color="auto"/>
        <w:right w:val="none" w:sz="0" w:space="0" w:color="auto"/>
      </w:divBdr>
    </w:div>
    <w:div w:id="396900828">
      <w:bodyDiv w:val="1"/>
      <w:marLeft w:val="0"/>
      <w:marRight w:val="0"/>
      <w:marTop w:val="0"/>
      <w:marBottom w:val="0"/>
      <w:divBdr>
        <w:top w:val="none" w:sz="0" w:space="0" w:color="auto"/>
        <w:left w:val="none" w:sz="0" w:space="0" w:color="auto"/>
        <w:bottom w:val="none" w:sz="0" w:space="0" w:color="auto"/>
        <w:right w:val="none" w:sz="0" w:space="0" w:color="auto"/>
      </w:divBdr>
      <w:divsChild>
        <w:div w:id="1205288354">
          <w:marLeft w:val="0"/>
          <w:marRight w:val="0"/>
          <w:marTop w:val="0"/>
          <w:marBottom w:val="0"/>
          <w:divBdr>
            <w:top w:val="none" w:sz="0" w:space="0" w:color="auto"/>
            <w:left w:val="none" w:sz="0" w:space="0" w:color="auto"/>
            <w:bottom w:val="none" w:sz="0" w:space="0" w:color="auto"/>
            <w:right w:val="none" w:sz="0" w:space="0" w:color="auto"/>
          </w:divBdr>
          <w:divsChild>
            <w:div w:id="970943140">
              <w:marLeft w:val="0"/>
              <w:marRight w:val="0"/>
              <w:marTop w:val="0"/>
              <w:marBottom w:val="0"/>
              <w:divBdr>
                <w:top w:val="none" w:sz="0" w:space="0" w:color="auto"/>
                <w:left w:val="none" w:sz="0" w:space="0" w:color="auto"/>
                <w:bottom w:val="none" w:sz="0" w:space="0" w:color="auto"/>
                <w:right w:val="none" w:sz="0" w:space="0" w:color="auto"/>
              </w:divBdr>
              <w:divsChild>
                <w:div w:id="1624072851">
                  <w:marLeft w:val="0"/>
                  <w:marRight w:val="0"/>
                  <w:marTop w:val="0"/>
                  <w:marBottom w:val="0"/>
                  <w:divBdr>
                    <w:top w:val="none" w:sz="0" w:space="0" w:color="auto"/>
                    <w:left w:val="none" w:sz="0" w:space="0" w:color="auto"/>
                    <w:bottom w:val="none" w:sz="0" w:space="0" w:color="auto"/>
                    <w:right w:val="none" w:sz="0" w:space="0" w:color="auto"/>
                  </w:divBdr>
                  <w:divsChild>
                    <w:div w:id="1541742006">
                      <w:marLeft w:val="0"/>
                      <w:marRight w:val="0"/>
                      <w:marTop w:val="0"/>
                      <w:marBottom w:val="0"/>
                      <w:divBdr>
                        <w:top w:val="none" w:sz="0" w:space="0" w:color="auto"/>
                        <w:left w:val="none" w:sz="0" w:space="0" w:color="auto"/>
                        <w:bottom w:val="none" w:sz="0" w:space="0" w:color="auto"/>
                        <w:right w:val="none" w:sz="0" w:space="0" w:color="auto"/>
                      </w:divBdr>
                      <w:divsChild>
                        <w:div w:id="392121912">
                          <w:marLeft w:val="0"/>
                          <w:marRight w:val="0"/>
                          <w:marTop w:val="0"/>
                          <w:marBottom w:val="0"/>
                          <w:divBdr>
                            <w:top w:val="none" w:sz="0" w:space="0" w:color="auto"/>
                            <w:left w:val="none" w:sz="0" w:space="0" w:color="auto"/>
                            <w:bottom w:val="none" w:sz="0" w:space="0" w:color="auto"/>
                            <w:right w:val="none" w:sz="0" w:space="0" w:color="auto"/>
                          </w:divBdr>
                          <w:divsChild>
                            <w:div w:id="1214197901">
                              <w:marLeft w:val="0"/>
                              <w:marRight w:val="0"/>
                              <w:marTop w:val="0"/>
                              <w:marBottom w:val="0"/>
                              <w:divBdr>
                                <w:top w:val="none" w:sz="0" w:space="0" w:color="auto"/>
                                <w:left w:val="none" w:sz="0" w:space="0" w:color="auto"/>
                                <w:bottom w:val="none" w:sz="0" w:space="0" w:color="auto"/>
                                <w:right w:val="none" w:sz="0" w:space="0" w:color="auto"/>
                              </w:divBdr>
                              <w:divsChild>
                                <w:div w:id="1992514908">
                                  <w:marLeft w:val="0"/>
                                  <w:marRight w:val="0"/>
                                  <w:marTop w:val="0"/>
                                  <w:marBottom w:val="0"/>
                                  <w:divBdr>
                                    <w:top w:val="none" w:sz="0" w:space="0" w:color="auto"/>
                                    <w:left w:val="none" w:sz="0" w:space="0" w:color="auto"/>
                                    <w:bottom w:val="none" w:sz="0" w:space="0" w:color="auto"/>
                                    <w:right w:val="none" w:sz="0" w:space="0" w:color="auto"/>
                                  </w:divBdr>
                                  <w:divsChild>
                                    <w:div w:id="283192333">
                                      <w:marLeft w:val="0"/>
                                      <w:marRight w:val="0"/>
                                      <w:marTop w:val="0"/>
                                      <w:marBottom w:val="0"/>
                                      <w:divBdr>
                                        <w:top w:val="none" w:sz="0" w:space="0" w:color="auto"/>
                                        <w:left w:val="none" w:sz="0" w:space="0" w:color="auto"/>
                                        <w:bottom w:val="none" w:sz="0" w:space="0" w:color="auto"/>
                                        <w:right w:val="none" w:sz="0" w:space="0" w:color="auto"/>
                                      </w:divBdr>
                                      <w:divsChild>
                                        <w:div w:id="632102271">
                                          <w:marLeft w:val="0"/>
                                          <w:marRight w:val="0"/>
                                          <w:marTop w:val="0"/>
                                          <w:marBottom w:val="0"/>
                                          <w:divBdr>
                                            <w:top w:val="none" w:sz="0" w:space="0" w:color="auto"/>
                                            <w:left w:val="none" w:sz="0" w:space="0" w:color="auto"/>
                                            <w:bottom w:val="none" w:sz="0" w:space="0" w:color="auto"/>
                                            <w:right w:val="none" w:sz="0" w:space="0" w:color="auto"/>
                                          </w:divBdr>
                                          <w:divsChild>
                                            <w:div w:id="222525396">
                                              <w:marLeft w:val="0"/>
                                              <w:marRight w:val="0"/>
                                              <w:marTop w:val="0"/>
                                              <w:marBottom w:val="0"/>
                                              <w:divBdr>
                                                <w:top w:val="none" w:sz="0" w:space="0" w:color="auto"/>
                                                <w:left w:val="none" w:sz="0" w:space="0" w:color="auto"/>
                                                <w:bottom w:val="none" w:sz="0" w:space="0" w:color="auto"/>
                                                <w:right w:val="none" w:sz="0" w:space="0" w:color="auto"/>
                                              </w:divBdr>
                                              <w:divsChild>
                                                <w:div w:id="753749098">
                                                  <w:marLeft w:val="0"/>
                                                  <w:marRight w:val="0"/>
                                                  <w:marTop w:val="0"/>
                                                  <w:marBottom w:val="0"/>
                                                  <w:divBdr>
                                                    <w:top w:val="none" w:sz="0" w:space="0" w:color="auto"/>
                                                    <w:left w:val="none" w:sz="0" w:space="0" w:color="auto"/>
                                                    <w:bottom w:val="none" w:sz="0" w:space="0" w:color="auto"/>
                                                    <w:right w:val="none" w:sz="0" w:space="0" w:color="auto"/>
                                                  </w:divBdr>
                                                  <w:divsChild>
                                                    <w:div w:id="1214463515">
                                                      <w:marLeft w:val="0"/>
                                                      <w:marRight w:val="0"/>
                                                      <w:marTop w:val="0"/>
                                                      <w:marBottom w:val="0"/>
                                                      <w:divBdr>
                                                        <w:top w:val="none" w:sz="0" w:space="0" w:color="auto"/>
                                                        <w:left w:val="none" w:sz="0" w:space="0" w:color="auto"/>
                                                        <w:bottom w:val="none" w:sz="0" w:space="0" w:color="auto"/>
                                                        <w:right w:val="none" w:sz="0" w:space="0" w:color="auto"/>
                                                      </w:divBdr>
                                                      <w:divsChild>
                                                        <w:div w:id="300811279">
                                                          <w:marLeft w:val="0"/>
                                                          <w:marRight w:val="0"/>
                                                          <w:marTop w:val="0"/>
                                                          <w:marBottom w:val="0"/>
                                                          <w:divBdr>
                                                            <w:top w:val="none" w:sz="0" w:space="0" w:color="auto"/>
                                                            <w:left w:val="none" w:sz="0" w:space="0" w:color="auto"/>
                                                            <w:bottom w:val="none" w:sz="0" w:space="0" w:color="auto"/>
                                                            <w:right w:val="none" w:sz="0" w:space="0" w:color="auto"/>
                                                          </w:divBdr>
                                                          <w:divsChild>
                                                            <w:div w:id="69265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5729510">
      <w:bodyDiv w:val="1"/>
      <w:marLeft w:val="0"/>
      <w:marRight w:val="0"/>
      <w:marTop w:val="0"/>
      <w:marBottom w:val="0"/>
      <w:divBdr>
        <w:top w:val="none" w:sz="0" w:space="0" w:color="auto"/>
        <w:left w:val="none" w:sz="0" w:space="0" w:color="auto"/>
        <w:bottom w:val="none" w:sz="0" w:space="0" w:color="auto"/>
        <w:right w:val="none" w:sz="0" w:space="0" w:color="auto"/>
      </w:divBdr>
    </w:div>
    <w:div w:id="522286956">
      <w:bodyDiv w:val="1"/>
      <w:marLeft w:val="0"/>
      <w:marRight w:val="0"/>
      <w:marTop w:val="0"/>
      <w:marBottom w:val="0"/>
      <w:divBdr>
        <w:top w:val="none" w:sz="0" w:space="0" w:color="auto"/>
        <w:left w:val="none" w:sz="0" w:space="0" w:color="auto"/>
        <w:bottom w:val="none" w:sz="0" w:space="0" w:color="auto"/>
        <w:right w:val="none" w:sz="0" w:space="0" w:color="auto"/>
      </w:divBdr>
    </w:div>
    <w:div w:id="753011924">
      <w:bodyDiv w:val="1"/>
      <w:marLeft w:val="0"/>
      <w:marRight w:val="0"/>
      <w:marTop w:val="0"/>
      <w:marBottom w:val="0"/>
      <w:divBdr>
        <w:top w:val="none" w:sz="0" w:space="0" w:color="auto"/>
        <w:left w:val="none" w:sz="0" w:space="0" w:color="auto"/>
        <w:bottom w:val="none" w:sz="0" w:space="0" w:color="auto"/>
        <w:right w:val="none" w:sz="0" w:space="0" w:color="auto"/>
      </w:divBdr>
    </w:div>
    <w:div w:id="797915061">
      <w:bodyDiv w:val="1"/>
      <w:marLeft w:val="0"/>
      <w:marRight w:val="0"/>
      <w:marTop w:val="0"/>
      <w:marBottom w:val="0"/>
      <w:divBdr>
        <w:top w:val="none" w:sz="0" w:space="0" w:color="auto"/>
        <w:left w:val="none" w:sz="0" w:space="0" w:color="auto"/>
        <w:bottom w:val="none" w:sz="0" w:space="0" w:color="auto"/>
        <w:right w:val="none" w:sz="0" w:space="0" w:color="auto"/>
      </w:divBdr>
      <w:divsChild>
        <w:div w:id="1248807022">
          <w:marLeft w:val="0"/>
          <w:marRight w:val="0"/>
          <w:marTop w:val="0"/>
          <w:marBottom w:val="0"/>
          <w:divBdr>
            <w:top w:val="none" w:sz="0" w:space="0" w:color="auto"/>
            <w:left w:val="none" w:sz="0" w:space="0" w:color="auto"/>
            <w:bottom w:val="none" w:sz="0" w:space="0" w:color="auto"/>
            <w:right w:val="none" w:sz="0" w:space="0" w:color="auto"/>
          </w:divBdr>
          <w:divsChild>
            <w:div w:id="2092388059">
              <w:marLeft w:val="0"/>
              <w:marRight w:val="0"/>
              <w:marTop w:val="0"/>
              <w:marBottom w:val="0"/>
              <w:divBdr>
                <w:top w:val="none" w:sz="0" w:space="0" w:color="auto"/>
                <w:left w:val="none" w:sz="0" w:space="0" w:color="auto"/>
                <w:bottom w:val="none" w:sz="0" w:space="0" w:color="auto"/>
                <w:right w:val="none" w:sz="0" w:space="0" w:color="auto"/>
              </w:divBdr>
              <w:divsChild>
                <w:div w:id="1532183974">
                  <w:marLeft w:val="0"/>
                  <w:marRight w:val="0"/>
                  <w:marTop w:val="0"/>
                  <w:marBottom w:val="0"/>
                  <w:divBdr>
                    <w:top w:val="none" w:sz="0" w:space="0" w:color="auto"/>
                    <w:left w:val="none" w:sz="0" w:space="0" w:color="auto"/>
                    <w:bottom w:val="none" w:sz="0" w:space="0" w:color="auto"/>
                    <w:right w:val="none" w:sz="0" w:space="0" w:color="auto"/>
                  </w:divBdr>
                  <w:divsChild>
                    <w:div w:id="15350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00144">
      <w:bodyDiv w:val="1"/>
      <w:marLeft w:val="0"/>
      <w:marRight w:val="0"/>
      <w:marTop w:val="0"/>
      <w:marBottom w:val="0"/>
      <w:divBdr>
        <w:top w:val="none" w:sz="0" w:space="0" w:color="auto"/>
        <w:left w:val="none" w:sz="0" w:space="0" w:color="auto"/>
        <w:bottom w:val="none" w:sz="0" w:space="0" w:color="auto"/>
        <w:right w:val="none" w:sz="0" w:space="0" w:color="auto"/>
      </w:divBdr>
      <w:divsChild>
        <w:div w:id="810052226">
          <w:marLeft w:val="0"/>
          <w:marRight w:val="0"/>
          <w:marTop w:val="0"/>
          <w:marBottom w:val="0"/>
          <w:divBdr>
            <w:top w:val="single" w:sz="6" w:space="0" w:color="666666"/>
            <w:left w:val="single" w:sz="6" w:space="0" w:color="666666"/>
            <w:bottom w:val="single" w:sz="6" w:space="0" w:color="666666"/>
            <w:right w:val="single" w:sz="6" w:space="0" w:color="666666"/>
          </w:divBdr>
          <w:divsChild>
            <w:div w:id="960578312">
              <w:marLeft w:val="0"/>
              <w:marRight w:val="0"/>
              <w:marTop w:val="150"/>
              <w:marBottom w:val="0"/>
              <w:divBdr>
                <w:top w:val="none" w:sz="0" w:space="0" w:color="auto"/>
                <w:left w:val="none" w:sz="0" w:space="0" w:color="auto"/>
                <w:bottom w:val="none" w:sz="0" w:space="0" w:color="auto"/>
                <w:right w:val="none" w:sz="0" w:space="0" w:color="auto"/>
              </w:divBdr>
              <w:divsChild>
                <w:div w:id="206920498">
                  <w:marLeft w:val="0"/>
                  <w:marRight w:val="0"/>
                  <w:marTop w:val="0"/>
                  <w:marBottom w:val="0"/>
                  <w:divBdr>
                    <w:top w:val="none" w:sz="0" w:space="0" w:color="auto"/>
                    <w:left w:val="none" w:sz="0" w:space="0" w:color="auto"/>
                    <w:bottom w:val="none" w:sz="0" w:space="0" w:color="auto"/>
                    <w:right w:val="none" w:sz="0" w:space="0" w:color="auto"/>
                  </w:divBdr>
                  <w:divsChild>
                    <w:div w:id="916986715">
                      <w:marLeft w:val="0"/>
                      <w:marRight w:val="0"/>
                      <w:marTop w:val="0"/>
                      <w:marBottom w:val="0"/>
                      <w:divBdr>
                        <w:top w:val="none" w:sz="0" w:space="0" w:color="auto"/>
                        <w:left w:val="none" w:sz="0" w:space="0" w:color="auto"/>
                        <w:bottom w:val="none" w:sz="0" w:space="0" w:color="auto"/>
                        <w:right w:val="none" w:sz="0" w:space="0" w:color="auto"/>
                      </w:divBdr>
                      <w:divsChild>
                        <w:div w:id="866521911">
                          <w:marLeft w:val="0"/>
                          <w:marRight w:val="0"/>
                          <w:marTop w:val="0"/>
                          <w:marBottom w:val="0"/>
                          <w:divBdr>
                            <w:top w:val="none" w:sz="0" w:space="0" w:color="auto"/>
                            <w:left w:val="none" w:sz="0" w:space="0" w:color="auto"/>
                            <w:bottom w:val="none" w:sz="0" w:space="0" w:color="auto"/>
                            <w:right w:val="none" w:sz="0" w:space="0" w:color="auto"/>
                          </w:divBdr>
                          <w:divsChild>
                            <w:div w:id="2088070980">
                              <w:marLeft w:val="0"/>
                              <w:marRight w:val="0"/>
                              <w:marTop w:val="0"/>
                              <w:marBottom w:val="0"/>
                              <w:divBdr>
                                <w:top w:val="none" w:sz="0" w:space="0" w:color="auto"/>
                                <w:left w:val="none" w:sz="0" w:space="0" w:color="auto"/>
                                <w:bottom w:val="none" w:sz="0" w:space="0" w:color="auto"/>
                                <w:right w:val="none" w:sz="0" w:space="0" w:color="auto"/>
                              </w:divBdr>
                              <w:divsChild>
                                <w:div w:id="360588544">
                                  <w:marLeft w:val="0"/>
                                  <w:marRight w:val="0"/>
                                  <w:marTop w:val="0"/>
                                  <w:marBottom w:val="0"/>
                                  <w:divBdr>
                                    <w:top w:val="none" w:sz="0" w:space="0" w:color="auto"/>
                                    <w:left w:val="none" w:sz="0" w:space="0" w:color="auto"/>
                                    <w:bottom w:val="none" w:sz="0" w:space="0" w:color="auto"/>
                                    <w:right w:val="none" w:sz="0" w:space="0" w:color="auto"/>
                                  </w:divBdr>
                                  <w:divsChild>
                                    <w:div w:id="293488605">
                                      <w:marLeft w:val="0"/>
                                      <w:marRight w:val="0"/>
                                      <w:marTop w:val="0"/>
                                      <w:marBottom w:val="0"/>
                                      <w:divBdr>
                                        <w:top w:val="none" w:sz="0" w:space="0" w:color="auto"/>
                                        <w:left w:val="none" w:sz="0" w:space="0" w:color="auto"/>
                                        <w:bottom w:val="none" w:sz="0" w:space="0" w:color="auto"/>
                                        <w:right w:val="none" w:sz="0" w:space="0" w:color="auto"/>
                                      </w:divBdr>
                                      <w:divsChild>
                                        <w:div w:id="861212540">
                                          <w:marLeft w:val="0"/>
                                          <w:marRight w:val="0"/>
                                          <w:marTop w:val="0"/>
                                          <w:marBottom w:val="0"/>
                                          <w:divBdr>
                                            <w:top w:val="none" w:sz="0" w:space="0" w:color="auto"/>
                                            <w:left w:val="none" w:sz="0" w:space="0" w:color="auto"/>
                                            <w:bottom w:val="none" w:sz="0" w:space="0" w:color="auto"/>
                                            <w:right w:val="none" w:sz="0" w:space="0" w:color="auto"/>
                                          </w:divBdr>
                                          <w:divsChild>
                                            <w:div w:id="1401562519">
                                              <w:marLeft w:val="0"/>
                                              <w:marRight w:val="0"/>
                                              <w:marTop w:val="0"/>
                                              <w:marBottom w:val="0"/>
                                              <w:divBdr>
                                                <w:top w:val="none" w:sz="0" w:space="0" w:color="auto"/>
                                                <w:left w:val="none" w:sz="0" w:space="0" w:color="auto"/>
                                                <w:bottom w:val="none" w:sz="0" w:space="0" w:color="auto"/>
                                                <w:right w:val="none" w:sz="0" w:space="0" w:color="auto"/>
                                              </w:divBdr>
                                              <w:divsChild>
                                                <w:div w:id="833299491">
                                                  <w:marLeft w:val="0"/>
                                                  <w:marRight w:val="0"/>
                                                  <w:marTop w:val="0"/>
                                                  <w:marBottom w:val="0"/>
                                                  <w:divBdr>
                                                    <w:top w:val="none" w:sz="0" w:space="0" w:color="auto"/>
                                                    <w:left w:val="none" w:sz="0" w:space="0" w:color="auto"/>
                                                    <w:bottom w:val="none" w:sz="0" w:space="0" w:color="auto"/>
                                                    <w:right w:val="none" w:sz="0" w:space="0" w:color="auto"/>
                                                  </w:divBdr>
                                                  <w:divsChild>
                                                    <w:div w:id="1398625561">
                                                      <w:marLeft w:val="0"/>
                                                      <w:marRight w:val="0"/>
                                                      <w:marTop w:val="0"/>
                                                      <w:marBottom w:val="0"/>
                                                      <w:divBdr>
                                                        <w:top w:val="none" w:sz="0" w:space="0" w:color="auto"/>
                                                        <w:left w:val="none" w:sz="0" w:space="0" w:color="auto"/>
                                                        <w:bottom w:val="none" w:sz="0" w:space="0" w:color="auto"/>
                                                        <w:right w:val="none" w:sz="0" w:space="0" w:color="auto"/>
                                                      </w:divBdr>
                                                      <w:divsChild>
                                                        <w:div w:id="3558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7112414">
      <w:bodyDiv w:val="1"/>
      <w:marLeft w:val="0"/>
      <w:marRight w:val="0"/>
      <w:marTop w:val="0"/>
      <w:marBottom w:val="0"/>
      <w:divBdr>
        <w:top w:val="none" w:sz="0" w:space="0" w:color="auto"/>
        <w:left w:val="none" w:sz="0" w:space="0" w:color="auto"/>
        <w:bottom w:val="none" w:sz="0" w:space="0" w:color="auto"/>
        <w:right w:val="none" w:sz="0" w:space="0" w:color="auto"/>
      </w:divBdr>
      <w:divsChild>
        <w:div w:id="1750804227">
          <w:marLeft w:val="0"/>
          <w:marRight w:val="75"/>
          <w:marTop w:val="150"/>
          <w:marBottom w:val="0"/>
          <w:divBdr>
            <w:top w:val="single" w:sz="6" w:space="2" w:color="94C0D2"/>
            <w:left w:val="single" w:sz="6" w:space="2" w:color="94C0D2"/>
            <w:bottom w:val="single" w:sz="6" w:space="4" w:color="94C0D2"/>
            <w:right w:val="single" w:sz="6" w:space="2" w:color="94C0D2"/>
          </w:divBdr>
        </w:div>
      </w:divsChild>
    </w:div>
    <w:div w:id="901715091">
      <w:bodyDiv w:val="1"/>
      <w:marLeft w:val="0"/>
      <w:marRight w:val="0"/>
      <w:marTop w:val="0"/>
      <w:marBottom w:val="0"/>
      <w:divBdr>
        <w:top w:val="none" w:sz="0" w:space="0" w:color="auto"/>
        <w:left w:val="none" w:sz="0" w:space="0" w:color="auto"/>
        <w:bottom w:val="none" w:sz="0" w:space="0" w:color="auto"/>
        <w:right w:val="none" w:sz="0" w:space="0" w:color="auto"/>
      </w:divBdr>
    </w:div>
    <w:div w:id="1007485648">
      <w:bodyDiv w:val="1"/>
      <w:marLeft w:val="0"/>
      <w:marRight w:val="0"/>
      <w:marTop w:val="0"/>
      <w:marBottom w:val="0"/>
      <w:divBdr>
        <w:top w:val="none" w:sz="0" w:space="0" w:color="auto"/>
        <w:left w:val="none" w:sz="0" w:space="0" w:color="auto"/>
        <w:bottom w:val="none" w:sz="0" w:space="0" w:color="auto"/>
        <w:right w:val="none" w:sz="0" w:space="0" w:color="auto"/>
      </w:divBdr>
    </w:div>
    <w:div w:id="1091466678">
      <w:bodyDiv w:val="1"/>
      <w:marLeft w:val="0"/>
      <w:marRight w:val="0"/>
      <w:marTop w:val="0"/>
      <w:marBottom w:val="0"/>
      <w:divBdr>
        <w:top w:val="none" w:sz="0" w:space="0" w:color="auto"/>
        <w:left w:val="none" w:sz="0" w:space="0" w:color="auto"/>
        <w:bottom w:val="none" w:sz="0" w:space="0" w:color="auto"/>
        <w:right w:val="none" w:sz="0" w:space="0" w:color="auto"/>
      </w:divBdr>
    </w:div>
    <w:div w:id="1123957655">
      <w:bodyDiv w:val="1"/>
      <w:marLeft w:val="0"/>
      <w:marRight w:val="0"/>
      <w:marTop w:val="0"/>
      <w:marBottom w:val="0"/>
      <w:divBdr>
        <w:top w:val="none" w:sz="0" w:space="0" w:color="auto"/>
        <w:left w:val="none" w:sz="0" w:space="0" w:color="auto"/>
        <w:bottom w:val="none" w:sz="0" w:space="0" w:color="auto"/>
        <w:right w:val="none" w:sz="0" w:space="0" w:color="auto"/>
      </w:divBdr>
    </w:div>
    <w:div w:id="1211921770">
      <w:bodyDiv w:val="1"/>
      <w:marLeft w:val="0"/>
      <w:marRight w:val="0"/>
      <w:marTop w:val="0"/>
      <w:marBottom w:val="0"/>
      <w:divBdr>
        <w:top w:val="none" w:sz="0" w:space="0" w:color="auto"/>
        <w:left w:val="none" w:sz="0" w:space="0" w:color="auto"/>
        <w:bottom w:val="none" w:sz="0" w:space="0" w:color="auto"/>
        <w:right w:val="none" w:sz="0" w:space="0" w:color="auto"/>
      </w:divBdr>
    </w:div>
    <w:div w:id="1219050375">
      <w:bodyDiv w:val="1"/>
      <w:marLeft w:val="0"/>
      <w:marRight w:val="0"/>
      <w:marTop w:val="0"/>
      <w:marBottom w:val="0"/>
      <w:divBdr>
        <w:top w:val="none" w:sz="0" w:space="0" w:color="auto"/>
        <w:left w:val="none" w:sz="0" w:space="0" w:color="auto"/>
        <w:bottom w:val="none" w:sz="0" w:space="0" w:color="auto"/>
        <w:right w:val="none" w:sz="0" w:space="0" w:color="auto"/>
      </w:divBdr>
    </w:div>
    <w:div w:id="1226455300">
      <w:bodyDiv w:val="1"/>
      <w:marLeft w:val="0"/>
      <w:marRight w:val="0"/>
      <w:marTop w:val="0"/>
      <w:marBottom w:val="0"/>
      <w:divBdr>
        <w:top w:val="none" w:sz="0" w:space="0" w:color="auto"/>
        <w:left w:val="none" w:sz="0" w:space="0" w:color="auto"/>
        <w:bottom w:val="none" w:sz="0" w:space="0" w:color="auto"/>
        <w:right w:val="none" w:sz="0" w:space="0" w:color="auto"/>
      </w:divBdr>
    </w:div>
    <w:div w:id="1314262625">
      <w:bodyDiv w:val="1"/>
      <w:marLeft w:val="0"/>
      <w:marRight w:val="0"/>
      <w:marTop w:val="0"/>
      <w:marBottom w:val="0"/>
      <w:divBdr>
        <w:top w:val="none" w:sz="0" w:space="0" w:color="auto"/>
        <w:left w:val="none" w:sz="0" w:space="0" w:color="auto"/>
        <w:bottom w:val="none" w:sz="0" w:space="0" w:color="auto"/>
        <w:right w:val="none" w:sz="0" w:space="0" w:color="auto"/>
      </w:divBdr>
    </w:div>
    <w:div w:id="1347825513">
      <w:bodyDiv w:val="1"/>
      <w:marLeft w:val="0"/>
      <w:marRight w:val="0"/>
      <w:marTop w:val="0"/>
      <w:marBottom w:val="0"/>
      <w:divBdr>
        <w:top w:val="none" w:sz="0" w:space="0" w:color="auto"/>
        <w:left w:val="none" w:sz="0" w:space="0" w:color="auto"/>
        <w:bottom w:val="none" w:sz="0" w:space="0" w:color="auto"/>
        <w:right w:val="none" w:sz="0" w:space="0" w:color="auto"/>
      </w:divBdr>
    </w:div>
    <w:div w:id="1362897883">
      <w:bodyDiv w:val="1"/>
      <w:marLeft w:val="0"/>
      <w:marRight w:val="0"/>
      <w:marTop w:val="0"/>
      <w:marBottom w:val="0"/>
      <w:divBdr>
        <w:top w:val="none" w:sz="0" w:space="0" w:color="auto"/>
        <w:left w:val="none" w:sz="0" w:space="0" w:color="auto"/>
        <w:bottom w:val="none" w:sz="0" w:space="0" w:color="auto"/>
        <w:right w:val="none" w:sz="0" w:space="0" w:color="auto"/>
      </w:divBdr>
    </w:div>
    <w:div w:id="1426532497">
      <w:bodyDiv w:val="1"/>
      <w:marLeft w:val="0"/>
      <w:marRight w:val="0"/>
      <w:marTop w:val="0"/>
      <w:marBottom w:val="0"/>
      <w:divBdr>
        <w:top w:val="none" w:sz="0" w:space="0" w:color="auto"/>
        <w:left w:val="none" w:sz="0" w:space="0" w:color="auto"/>
        <w:bottom w:val="none" w:sz="0" w:space="0" w:color="auto"/>
        <w:right w:val="none" w:sz="0" w:space="0" w:color="auto"/>
      </w:divBdr>
    </w:div>
    <w:div w:id="1548639824">
      <w:bodyDiv w:val="1"/>
      <w:marLeft w:val="0"/>
      <w:marRight w:val="0"/>
      <w:marTop w:val="0"/>
      <w:marBottom w:val="0"/>
      <w:divBdr>
        <w:top w:val="none" w:sz="0" w:space="0" w:color="auto"/>
        <w:left w:val="none" w:sz="0" w:space="0" w:color="auto"/>
        <w:bottom w:val="none" w:sz="0" w:space="0" w:color="auto"/>
        <w:right w:val="none" w:sz="0" w:space="0" w:color="auto"/>
      </w:divBdr>
      <w:divsChild>
        <w:div w:id="735711466">
          <w:marLeft w:val="0"/>
          <w:marRight w:val="0"/>
          <w:marTop w:val="0"/>
          <w:marBottom w:val="0"/>
          <w:divBdr>
            <w:top w:val="none" w:sz="0" w:space="0" w:color="auto"/>
            <w:left w:val="none" w:sz="0" w:space="0" w:color="auto"/>
            <w:bottom w:val="none" w:sz="0" w:space="0" w:color="auto"/>
            <w:right w:val="none" w:sz="0" w:space="0" w:color="auto"/>
          </w:divBdr>
          <w:divsChild>
            <w:div w:id="99884682">
              <w:marLeft w:val="0"/>
              <w:marRight w:val="0"/>
              <w:marTop w:val="0"/>
              <w:marBottom w:val="0"/>
              <w:divBdr>
                <w:top w:val="none" w:sz="0" w:space="0" w:color="auto"/>
                <w:left w:val="none" w:sz="0" w:space="0" w:color="auto"/>
                <w:bottom w:val="none" w:sz="0" w:space="0" w:color="auto"/>
                <w:right w:val="none" w:sz="0" w:space="0" w:color="auto"/>
              </w:divBdr>
              <w:divsChild>
                <w:div w:id="1959798603">
                  <w:marLeft w:val="0"/>
                  <w:marRight w:val="0"/>
                  <w:marTop w:val="0"/>
                  <w:marBottom w:val="0"/>
                  <w:divBdr>
                    <w:top w:val="none" w:sz="0" w:space="0" w:color="auto"/>
                    <w:left w:val="none" w:sz="0" w:space="0" w:color="auto"/>
                    <w:bottom w:val="none" w:sz="0" w:space="0" w:color="auto"/>
                    <w:right w:val="none" w:sz="0" w:space="0" w:color="auto"/>
                  </w:divBdr>
                  <w:divsChild>
                    <w:div w:id="94248088">
                      <w:marLeft w:val="0"/>
                      <w:marRight w:val="0"/>
                      <w:marTop w:val="0"/>
                      <w:marBottom w:val="0"/>
                      <w:divBdr>
                        <w:top w:val="none" w:sz="0" w:space="0" w:color="auto"/>
                        <w:left w:val="none" w:sz="0" w:space="0" w:color="auto"/>
                        <w:bottom w:val="none" w:sz="0" w:space="0" w:color="auto"/>
                        <w:right w:val="none" w:sz="0" w:space="0" w:color="auto"/>
                      </w:divBdr>
                      <w:divsChild>
                        <w:div w:id="535656156">
                          <w:marLeft w:val="0"/>
                          <w:marRight w:val="0"/>
                          <w:marTop w:val="0"/>
                          <w:marBottom w:val="0"/>
                          <w:divBdr>
                            <w:top w:val="none" w:sz="0" w:space="0" w:color="auto"/>
                            <w:left w:val="none" w:sz="0" w:space="0" w:color="auto"/>
                            <w:bottom w:val="none" w:sz="0" w:space="0" w:color="auto"/>
                            <w:right w:val="none" w:sz="0" w:space="0" w:color="auto"/>
                          </w:divBdr>
                          <w:divsChild>
                            <w:div w:id="1449545814">
                              <w:marLeft w:val="0"/>
                              <w:marRight w:val="0"/>
                              <w:marTop w:val="0"/>
                              <w:marBottom w:val="0"/>
                              <w:divBdr>
                                <w:top w:val="none" w:sz="0" w:space="0" w:color="auto"/>
                                <w:left w:val="none" w:sz="0" w:space="0" w:color="auto"/>
                                <w:bottom w:val="none" w:sz="0" w:space="0" w:color="auto"/>
                                <w:right w:val="none" w:sz="0" w:space="0" w:color="auto"/>
                              </w:divBdr>
                              <w:divsChild>
                                <w:div w:id="1127090032">
                                  <w:marLeft w:val="0"/>
                                  <w:marRight w:val="0"/>
                                  <w:marTop w:val="0"/>
                                  <w:marBottom w:val="0"/>
                                  <w:divBdr>
                                    <w:top w:val="none" w:sz="0" w:space="0" w:color="auto"/>
                                    <w:left w:val="none" w:sz="0" w:space="0" w:color="auto"/>
                                    <w:bottom w:val="none" w:sz="0" w:space="0" w:color="auto"/>
                                    <w:right w:val="none" w:sz="0" w:space="0" w:color="auto"/>
                                  </w:divBdr>
                                  <w:divsChild>
                                    <w:div w:id="2089686092">
                                      <w:marLeft w:val="0"/>
                                      <w:marRight w:val="0"/>
                                      <w:marTop w:val="0"/>
                                      <w:marBottom w:val="0"/>
                                      <w:divBdr>
                                        <w:top w:val="none" w:sz="0" w:space="0" w:color="auto"/>
                                        <w:left w:val="none" w:sz="0" w:space="0" w:color="auto"/>
                                        <w:bottom w:val="none" w:sz="0" w:space="0" w:color="auto"/>
                                        <w:right w:val="none" w:sz="0" w:space="0" w:color="auto"/>
                                      </w:divBdr>
                                      <w:divsChild>
                                        <w:div w:id="723673702">
                                          <w:marLeft w:val="0"/>
                                          <w:marRight w:val="0"/>
                                          <w:marTop w:val="0"/>
                                          <w:marBottom w:val="0"/>
                                          <w:divBdr>
                                            <w:top w:val="none" w:sz="0" w:space="0" w:color="auto"/>
                                            <w:left w:val="none" w:sz="0" w:space="0" w:color="auto"/>
                                            <w:bottom w:val="none" w:sz="0" w:space="0" w:color="auto"/>
                                            <w:right w:val="none" w:sz="0" w:space="0" w:color="auto"/>
                                          </w:divBdr>
                                          <w:divsChild>
                                            <w:div w:id="863790432">
                                              <w:marLeft w:val="0"/>
                                              <w:marRight w:val="0"/>
                                              <w:marTop w:val="0"/>
                                              <w:marBottom w:val="0"/>
                                              <w:divBdr>
                                                <w:top w:val="none" w:sz="0" w:space="0" w:color="auto"/>
                                                <w:left w:val="none" w:sz="0" w:space="0" w:color="auto"/>
                                                <w:bottom w:val="none" w:sz="0" w:space="0" w:color="auto"/>
                                                <w:right w:val="none" w:sz="0" w:space="0" w:color="auto"/>
                                              </w:divBdr>
                                              <w:divsChild>
                                                <w:div w:id="2023781812">
                                                  <w:marLeft w:val="0"/>
                                                  <w:marRight w:val="0"/>
                                                  <w:marTop w:val="0"/>
                                                  <w:marBottom w:val="0"/>
                                                  <w:divBdr>
                                                    <w:top w:val="none" w:sz="0" w:space="0" w:color="auto"/>
                                                    <w:left w:val="none" w:sz="0" w:space="0" w:color="auto"/>
                                                    <w:bottom w:val="none" w:sz="0" w:space="0" w:color="auto"/>
                                                    <w:right w:val="none" w:sz="0" w:space="0" w:color="auto"/>
                                                  </w:divBdr>
                                                  <w:divsChild>
                                                    <w:div w:id="659968416">
                                                      <w:marLeft w:val="0"/>
                                                      <w:marRight w:val="0"/>
                                                      <w:marTop w:val="0"/>
                                                      <w:marBottom w:val="0"/>
                                                      <w:divBdr>
                                                        <w:top w:val="none" w:sz="0" w:space="0" w:color="auto"/>
                                                        <w:left w:val="none" w:sz="0" w:space="0" w:color="auto"/>
                                                        <w:bottom w:val="none" w:sz="0" w:space="0" w:color="auto"/>
                                                        <w:right w:val="none" w:sz="0" w:space="0" w:color="auto"/>
                                                      </w:divBdr>
                                                      <w:divsChild>
                                                        <w:div w:id="1267690564">
                                                          <w:marLeft w:val="0"/>
                                                          <w:marRight w:val="0"/>
                                                          <w:marTop w:val="0"/>
                                                          <w:marBottom w:val="0"/>
                                                          <w:divBdr>
                                                            <w:top w:val="none" w:sz="0" w:space="0" w:color="auto"/>
                                                            <w:left w:val="none" w:sz="0" w:space="0" w:color="auto"/>
                                                            <w:bottom w:val="none" w:sz="0" w:space="0" w:color="auto"/>
                                                            <w:right w:val="none" w:sz="0" w:space="0" w:color="auto"/>
                                                          </w:divBdr>
                                                          <w:divsChild>
                                                            <w:div w:id="13170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1623454">
      <w:bodyDiv w:val="1"/>
      <w:marLeft w:val="0"/>
      <w:marRight w:val="0"/>
      <w:marTop w:val="0"/>
      <w:marBottom w:val="0"/>
      <w:divBdr>
        <w:top w:val="none" w:sz="0" w:space="0" w:color="auto"/>
        <w:left w:val="none" w:sz="0" w:space="0" w:color="auto"/>
        <w:bottom w:val="none" w:sz="0" w:space="0" w:color="auto"/>
        <w:right w:val="none" w:sz="0" w:space="0" w:color="auto"/>
      </w:divBdr>
    </w:div>
    <w:div w:id="1717967039">
      <w:bodyDiv w:val="1"/>
      <w:marLeft w:val="0"/>
      <w:marRight w:val="0"/>
      <w:marTop w:val="0"/>
      <w:marBottom w:val="0"/>
      <w:divBdr>
        <w:top w:val="none" w:sz="0" w:space="0" w:color="auto"/>
        <w:left w:val="none" w:sz="0" w:space="0" w:color="auto"/>
        <w:bottom w:val="none" w:sz="0" w:space="0" w:color="auto"/>
        <w:right w:val="none" w:sz="0" w:space="0" w:color="auto"/>
      </w:divBdr>
      <w:divsChild>
        <w:div w:id="359746851">
          <w:marLeft w:val="0"/>
          <w:marRight w:val="0"/>
          <w:marTop w:val="0"/>
          <w:marBottom w:val="0"/>
          <w:divBdr>
            <w:top w:val="none" w:sz="0" w:space="0" w:color="auto"/>
            <w:left w:val="none" w:sz="0" w:space="0" w:color="auto"/>
            <w:bottom w:val="none" w:sz="0" w:space="0" w:color="auto"/>
            <w:right w:val="none" w:sz="0" w:space="0" w:color="auto"/>
          </w:divBdr>
          <w:divsChild>
            <w:div w:id="1342583812">
              <w:marLeft w:val="0"/>
              <w:marRight w:val="0"/>
              <w:marTop w:val="0"/>
              <w:marBottom w:val="0"/>
              <w:divBdr>
                <w:top w:val="none" w:sz="0" w:space="0" w:color="auto"/>
                <w:left w:val="none" w:sz="0" w:space="0" w:color="auto"/>
                <w:bottom w:val="none" w:sz="0" w:space="0" w:color="auto"/>
                <w:right w:val="none" w:sz="0" w:space="0" w:color="auto"/>
              </w:divBdr>
              <w:divsChild>
                <w:div w:id="857817852">
                  <w:marLeft w:val="0"/>
                  <w:marRight w:val="0"/>
                  <w:marTop w:val="0"/>
                  <w:marBottom w:val="0"/>
                  <w:divBdr>
                    <w:top w:val="none" w:sz="0" w:space="0" w:color="auto"/>
                    <w:left w:val="none" w:sz="0" w:space="0" w:color="auto"/>
                    <w:bottom w:val="none" w:sz="0" w:space="0" w:color="auto"/>
                    <w:right w:val="none" w:sz="0" w:space="0" w:color="auto"/>
                  </w:divBdr>
                  <w:divsChild>
                    <w:div w:id="1959330147">
                      <w:marLeft w:val="0"/>
                      <w:marRight w:val="0"/>
                      <w:marTop w:val="0"/>
                      <w:marBottom w:val="0"/>
                      <w:divBdr>
                        <w:top w:val="none" w:sz="0" w:space="0" w:color="auto"/>
                        <w:left w:val="none" w:sz="0" w:space="0" w:color="auto"/>
                        <w:bottom w:val="none" w:sz="0" w:space="0" w:color="auto"/>
                        <w:right w:val="none" w:sz="0" w:space="0" w:color="auto"/>
                      </w:divBdr>
                      <w:divsChild>
                        <w:div w:id="1941451946">
                          <w:marLeft w:val="0"/>
                          <w:marRight w:val="0"/>
                          <w:marTop w:val="0"/>
                          <w:marBottom w:val="0"/>
                          <w:divBdr>
                            <w:top w:val="none" w:sz="0" w:space="0" w:color="auto"/>
                            <w:left w:val="none" w:sz="0" w:space="0" w:color="auto"/>
                            <w:bottom w:val="none" w:sz="0" w:space="0" w:color="auto"/>
                            <w:right w:val="none" w:sz="0" w:space="0" w:color="auto"/>
                          </w:divBdr>
                          <w:divsChild>
                            <w:div w:id="1120883157">
                              <w:marLeft w:val="0"/>
                              <w:marRight w:val="0"/>
                              <w:marTop w:val="0"/>
                              <w:marBottom w:val="0"/>
                              <w:divBdr>
                                <w:top w:val="none" w:sz="0" w:space="0" w:color="auto"/>
                                <w:left w:val="none" w:sz="0" w:space="0" w:color="auto"/>
                                <w:bottom w:val="none" w:sz="0" w:space="0" w:color="auto"/>
                                <w:right w:val="none" w:sz="0" w:space="0" w:color="auto"/>
                              </w:divBdr>
                              <w:divsChild>
                                <w:div w:id="1146169779">
                                  <w:marLeft w:val="0"/>
                                  <w:marRight w:val="0"/>
                                  <w:marTop w:val="0"/>
                                  <w:marBottom w:val="0"/>
                                  <w:divBdr>
                                    <w:top w:val="none" w:sz="0" w:space="0" w:color="auto"/>
                                    <w:left w:val="none" w:sz="0" w:space="0" w:color="auto"/>
                                    <w:bottom w:val="none" w:sz="0" w:space="0" w:color="auto"/>
                                    <w:right w:val="none" w:sz="0" w:space="0" w:color="auto"/>
                                  </w:divBdr>
                                  <w:divsChild>
                                    <w:div w:id="713698419">
                                      <w:marLeft w:val="0"/>
                                      <w:marRight w:val="0"/>
                                      <w:marTop w:val="0"/>
                                      <w:marBottom w:val="0"/>
                                      <w:divBdr>
                                        <w:top w:val="none" w:sz="0" w:space="0" w:color="auto"/>
                                        <w:left w:val="none" w:sz="0" w:space="0" w:color="auto"/>
                                        <w:bottom w:val="none" w:sz="0" w:space="0" w:color="auto"/>
                                        <w:right w:val="none" w:sz="0" w:space="0" w:color="auto"/>
                                      </w:divBdr>
                                      <w:divsChild>
                                        <w:div w:id="1621179370">
                                          <w:marLeft w:val="0"/>
                                          <w:marRight w:val="0"/>
                                          <w:marTop w:val="0"/>
                                          <w:marBottom w:val="0"/>
                                          <w:divBdr>
                                            <w:top w:val="none" w:sz="0" w:space="0" w:color="auto"/>
                                            <w:left w:val="none" w:sz="0" w:space="0" w:color="auto"/>
                                            <w:bottom w:val="none" w:sz="0" w:space="0" w:color="auto"/>
                                            <w:right w:val="none" w:sz="0" w:space="0" w:color="auto"/>
                                          </w:divBdr>
                                          <w:divsChild>
                                            <w:div w:id="1628003170">
                                              <w:marLeft w:val="0"/>
                                              <w:marRight w:val="0"/>
                                              <w:marTop w:val="0"/>
                                              <w:marBottom w:val="0"/>
                                              <w:divBdr>
                                                <w:top w:val="none" w:sz="0" w:space="0" w:color="auto"/>
                                                <w:left w:val="none" w:sz="0" w:space="0" w:color="auto"/>
                                                <w:bottom w:val="none" w:sz="0" w:space="0" w:color="auto"/>
                                                <w:right w:val="none" w:sz="0" w:space="0" w:color="auto"/>
                                              </w:divBdr>
                                              <w:divsChild>
                                                <w:div w:id="8064257">
                                                  <w:marLeft w:val="0"/>
                                                  <w:marRight w:val="0"/>
                                                  <w:marTop w:val="0"/>
                                                  <w:marBottom w:val="0"/>
                                                  <w:divBdr>
                                                    <w:top w:val="none" w:sz="0" w:space="0" w:color="auto"/>
                                                    <w:left w:val="none" w:sz="0" w:space="0" w:color="auto"/>
                                                    <w:bottom w:val="none" w:sz="0" w:space="0" w:color="auto"/>
                                                    <w:right w:val="none" w:sz="0" w:space="0" w:color="auto"/>
                                                  </w:divBdr>
                                                  <w:divsChild>
                                                    <w:div w:id="738094611">
                                                      <w:marLeft w:val="0"/>
                                                      <w:marRight w:val="0"/>
                                                      <w:marTop w:val="0"/>
                                                      <w:marBottom w:val="0"/>
                                                      <w:divBdr>
                                                        <w:top w:val="none" w:sz="0" w:space="0" w:color="auto"/>
                                                        <w:left w:val="none" w:sz="0" w:space="0" w:color="auto"/>
                                                        <w:bottom w:val="none" w:sz="0" w:space="0" w:color="auto"/>
                                                        <w:right w:val="none" w:sz="0" w:space="0" w:color="auto"/>
                                                      </w:divBdr>
                                                      <w:divsChild>
                                                        <w:div w:id="1492910495">
                                                          <w:marLeft w:val="0"/>
                                                          <w:marRight w:val="0"/>
                                                          <w:marTop w:val="0"/>
                                                          <w:marBottom w:val="0"/>
                                                          <w:divBdr>
                                                            <w:top w:val="none" w:sz="0" w:space="0" w:color="auto"/>
                                                            <w:left w:val="none" w:sz="0" w:space="0" w:color="auto"/>
                                                            <w:bottom w:val="none" w:sz="0" w:space="0" w:color="auto"/>
                                                            <w:right w:val="none" w:sz="0" w:space="0" w:color="auto"/>
                                                          </w:divBdr>
                                                          <w:divsChild>
                                                            <w:div w:id="10636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5120759">
      <w:bodyDiv w:val="1"/>
      <w:marLeft w:val="0"/>
      <w:marRight w:val="0"/>
      <w:marTop w:val="0"/>
      <w:marBottom w:val="0"/>
      <w:divBdr>
        <w:top w:val="none" w:sz="0" w:space="0" w:color="auto"/>
        <w:left w:val="none" w:sz="0" w:space="0" w:color="auto"/>
        <w:bottom w:val="none" w:sz="0" w:space="0" w:color="auto"/>
        <w:right w:val="none" w:sz="0" w:space="0" w:color="auto"/>
      </w:divBdr>
    </w:div>
    <w:div w:id="1867865030">
      <w:bodyDiv w:val="1"/>
      <w:marLeft w:val="0"/>
      <w:marRight w:val="0"/>
      <w:marTop w:val="0"/>
      <w:marBottom w:val="0"/>
      <w:divBdr>
        <w:top w:val="none" w:sz="0" w:space="0" w:color="auto"/>
        <w:left w:val="none" w:sz="0" w:space="0" w:color="auto"/>
        <w:bottom w:val="none" w:sz="0" w:space="0" w:color="auto"/>
        <w:right w:val="none" w:sz="0" w:space="0" w:color="auto"/>
      </w:divBdr>
    </w:div>
    <w:div w:id="1981156221">
      <w:bodyDiv w:val="1"/>
      <w:marLeft w:val="0"/>
      <w:marRight w:val="0"/>
      <w:marTop w:val="0"/>
      <w:marBottom w:val="0"/>
      <w:divBdr>
        <w:top w:val="none" w:sz="0" w:space="0" w:color="auto"/>
        <w:left w:val="none" w:sz="0" w:space="0" w:color="auto"/>
        <w:bottom w:val="none" w:sz="0" w:space="0" w:color="auto"/>
        <w:right w:val="none" w:sz="0" w:space="0" w:color="auto"/>
      </w:divBdr>
      <w:divsChild>
        <w:div w:id="1979913050">
          <w:marLeft w:val="0"/>
          <w:marRight w:val="0"/>
          <w:marTop w:val="0"/>
          <w:marBottom w:val="0"/>
          <w:divBdr>
            <w:top w:val="none" w:sz="0" w:space="0" w:color="auto"/>
            <w:left w:val="none" w:sz="0" w:space="0" w:color="auto"/>
            <w:bottom w:val="none" w:sz="0" w:space="0" w:color="auto"/>
            <w:right w:val="none" w:sz="0" w:space="0" w:color="auto"/>
          </w:divBdr>
          <w:divsChild>
            <w:div w:id="1943103084">
              <w:marLeft w:val="0"/>
              <w:marRight w:val="0"/>
              <w:marTop w:val="0"/>
              <w:marBottom w:val="0"/>
              <w:divBdr>
                <w:top w:val="none" w:sz="0" w:space="0" w:color="auto"/>
                <w:left w:val="none" w:sz="0" w:space="0" w:color="auto"/>
                <w:bottom w:val="none" w:sz="0" w:space="0" w:color="auto"/>
                <w:right w:val="none" w:sz="0" w:space="0" w:color="auto"/>
              </w:divBdr>
              <w:divsChild>
                <w:div w:id="1784418341">
                  <w:marLeft w:val="0"/>
                  <w:marRight w:val="0"/>
                  <w:marTop w:val="0"/>
                  <w:marBottom w:val="0"/>
                  <w:divBdr>
                    <w:top w:val="none" w:sz="0" w:space="0" w:color="auto"/>
                    <w:left w:val="none" w:sz="0" w:space="0" w:color="auto"/>
                    <w:bottom w:val="none" w:sz="0" w:space="0" w:color="auto"/>
                    <w:right w:val="none" w:sz="0" w:space="0" w:color="auto"/>
                  </w:divBdr>
                  <w:divsChild>
                    <w:div w:id="173616057">
                      <w:marLeft w:val="0"/>
                      <w:marRight w:val="0"/>
                      <w:marTop w:val="0"/>
                      <w:marBottom w:val="0"/>
                      <w:divBdr>
                        <w:top w:val="none" w:sz="0" w:space="0" w:color="auto"/>
                        <w:left w:val="none" w:sz="0" w:space="0" w:color="auto"/>
                        <w:bottom w:val="none" w:sz="0" w:space="0" w:color="auto"/>
                        <w:right w:val="none" w:sz="0" w:space="0" w:color="auto"/>
                      </w:divBdr>
                      <w:divsChild>
                        <w:div w:id="492837873">
                          <w:marLeft w:val="0"/>
                          <w:marRight w:val="0"/>
                          <w:marTop w:val="0"/>
                          <w:marBottom w:val="0"/>
                          <w:divBdr>
                            <w:top w:val="none" w:sz="0" w:space="0" w:color="auto"/>
                            <w:left w:val="none" w:sz="0" w:space="0" w:color="auto"/>
                            <w:bottom w:val="none" w:sz="0" w:space="0" w:color="auto"/>
                            <w:right w:val="none" w:sz="0" w:space="0" w:color="auto"/>
                          </w:divBdr>
                          <w:divsChild>
                            <w:div w:id="1483807953">
                              <w:marLeft w:val="0"/>
                              <w:marRight w:val="0"/>
                              <w:marTop w:val="0"/>
                              <w:marBottom w:val="0"/>
                              <w:divBdr>
                                <w:top w:val="none" w:sz="0" w:space="0" w:color="auto"/>
                                <w:left w:val="none" w:sz="0" w:space="0" w:color="auto"/>
                                <w:bottom w:val="none" w:sz="0" w:space="0" w:color="auto"/>
                                <w:right w:val="none" w:sz="0" w:space="0" w:color="auto"/>
                              </w:divBdr>
                              <w:divsChild>
                                <w:div w:id="792134198">
                                  <w:marLeft w:val="0"/>
                                  <w:marRight w:val="0"/>
                                  <w:marTop w:val="0"/>
                                  <w:marBottom w:val="0"/>
                                  <w:divBdr>
                                    <w:top w:val="none" w:sz="0" w:space="0" w:color="auto"/>
                                    <w:left w:val="none" w:sz="0" w:space="0" w:color="auto"/>
                                    <w:bottom w:val="none" w:sz="0" w:space="0" w:color="auto"/>
                                    <w:right w:val="none" w:sz="0" w:space="0" w:color="auto"/>
                                  </w:divBdr>
                                  <w:divsChild>
                                    <w:div w:id="552935437">
                                      <w:marLeft w:val="0"/>
                                      <w:marRight w:val="0"/>
                                      <w:marTop w:val="0"/>
                                      <w:marBottom w:val="0"/>
                                      <w:divBdr>
                                        <w:top w:val="none" w:sz="0" w:space="0" w:color="auto"/>
                                        <w:left w:val="none" w:sz="0" w:space="0" w:color="auto"/>
                                        <w:bottom w:val="none" w:sz="0" w:space="0" w:color="auto"/>
                                        <w:right w:val="none" w:sz="0" w:space="0" w:color="auto"/>
                                      </w:divBdr>
                                      <w:divsChild>
                                        <w:div w:id="767116804">
                                          <w:marLeft w:val="0"/>
                                          <w:marRight w:val="0"/>
                                          <w:marTop w:val="0"/>
                                          <w:marBottom w:val="0"/>
                                          <w:divBdr>
                                            <w:top w:val="none" w:sz="0" w:space="0" w:color="auto"/>
                                            <w:left w:val="none" w:sz="0" w:space="0" w:color="auto"/>
                                            <w:bottom w:val="none" w:sz="0" w:space="0" w:color="auto"/>
                                            <w:right w:val="none" w:sz="0" w:space="0" w:color="auto"/>
                                          </w:divBdr>
                                          <w:divsChild>
                                            <w:div w:id="1353342053">
                                              <w:marLeft w:val="0"/>
                                              <w:marRight w:val="0"/>
                                              <w:marTop w:val="0"/>
                                              <w:marBottom w:val="0"/>
                                              <w:divBdr>
                                                <w:top w:val="none" w:sz="0" w:space="0" w:color="auto"/>
                                                <w:left w:val="none" w:sz="0" w:space="0" w:color="auto"/>
                                                <w:bottom w:val="none" w:sz="0" w:space="0" w:color="auto"/>
                                                <w:right w:val="none" w:sz="0" w:space="0" w:color="auto"/>
                                              </w:divBdr>
                                              <w:divsChild>
                                                <w:div w:id="2100061143">
                                                  <w:marLeft w:val="0"/>
                                                  <w:marRight w:val="0"/>
                                                  <w:marTop w:val="0"/>
                                                  <w:marBottom w:val="0"/>
                                                  <w:divBdr>
                                                    <w:top w:val="none" w:sz="0" w:space="0" w:color="auto"/>
                                                    <w:left w:val="none" w:sz="0" w:space="0" w:color="auto"/>
                                                    <w:bottom w:val="none" w:sz="0" w:space="0" w:color="auto"/>
                                                    <w:right w:val="none" w:sz="0" w:space="0" w:color="auto"/>
                                                  </w:divBdr>
                                                  <w:divsChild>
                                                    <w:div w:id="1616718177">
                                                      <w:marLeft w:val="0"/>
                                                      <w:marRight w:val="0"/>
                                                      <w:marTop w:val="0"/>
                                                      <w:marBottom w:val="0"/>
                                                      <w:divBdr>
                                                        <w:top w:val="none" w:sz="0" w:space="0" w:color="auto"/>
                                                        <w:left w:val="none" w:sz="0" w:space="0" w:color="auto"/>
                                                        <w:bottom w:val="none" w:sz="0" w:space="0" w:color="auto"/>
                                                        <w:right w:val="none" w:sz="0" w:space="0" w:color="auto"/>
                                                      </w:divBdr>
                                                      <w:divsChild>
                                                        <w:div w:id="1077091849">
                                                          <w:marLeft w:val="0"/>
                                                          <w:marRight w:val="0"/>
                                                          <w:marTop w:val="0"/>
                                                          <w:marBottom w:val="0"/>
                                                          <w:divBdr>
                                                            <w:top w:val="none" w:sz="0" w:space="0" w:color="auto"/>
                                                            <w:left w:val="none" w:sz="0" w:space="0" w:color="auto"/>
                                                            <w:bottom w:val="none" w:sz="0" w:space="0" w:color="auto"/>
                                                            <w:right w:val="none" w:sz="0" w:space="0" w:color="auto"/>
                                                          </w:divBdr>
                                                          <w:divsChild>
                                                            <w:div w:id="21220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7486825">
      <w:bodyDiv w:val="1"/>
      <w:marLeft w:val="0"/>
      <w:marRight w:val="0"/>
      <w:marTop w:val="0"/>
      <w:marBottom w:val="0"/>
      <w:divBdr>
        <w:top w:val="none" w:sz="0" w:space="0" w:color="auto"/>
        <w:left w:val="none" w:sz="0" w:space="0" w:color="auto"/>
        <w:bottom w:val="none" w:sz="0" w:space="0" w:color="auto"/>
        <w:right w:val="none" w:sz="0" w:space="0" w:color="auto"/>
      </w:divBdr>
    </w:div>
    <w:div w:id="213864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chart" Target="charts/chart3.xm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1.xm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hart" Target="charts/chart2.xm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emf"/><Relationship Id="rId28" Type="http://schemas.openxmlformats.org/officeDocument/2006/relationships/chart" Target="charts/chart6.xml"/><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uipo.europa.eu/ohimportal/en/web/observatory/observatory-publications" TargetMode="External"/><Relationship Id="rId13" Type="http://schemas.openxmlformats.org/officeDocument/2006/relationships/hyperlink" Target="http://ec.europa.eu/internal_market/consultations/2012/intellectual-property-rights_en.htm" TargetMode="External"/><Relationship Id="rId18" Type="http://schemas.openxmlformats.org/officeDocument/2006/relationships/hyperlink" Target="http://eur-lex.europa.eu/legal-content/EN/AUTO/?uri=celex:32005C0295" TargetMode="External"/><Relationship Id="rId3" Type="http://schemas.openxmlformats.org/officeDocument/2006/relationships/hyperlink" Target="https://euipo.europa.eu/tunnel-web/secure/webdav/guest/document_library/observatory/documents/Research%20and%20sudies/study_voluntary_collaboration_practices_en.pdf" TargetMode="External"/><Relationship Id="rId7" Type="http://schemas.openxmlformats.org/officeDocument/2006/relationships/hyperlink" Target="http://www.entreprises.gouv.fr/files/files/directions_services/etudes-et-statistiques/etudes/dommages-interets-dans-actions-en-contrefacon.pdf" TargetMode="External"/><Relationship Id="rId12" Type="http://schemas.openxmlformats.org/officeDocument/2006/relationships/hyperlink" Target="http://ec.europa.eu/internal_market/iprenforcement/docs/conference20110607/hearing-report_en.pdf" TargetMode="External"/><Relationship Id="rId17" Type="http://schemas.openxmlformats.org/officeDocument/2006/relationships/hyperlink" Target="http://ec.europa.eu/transparency/regexpert/index.cfm?do=groupDetail.groupDetail&amp;groupID=3216" TargetMode="External"/><Relationship Id="rId2" Type="http://schemas.openxmlformats.org/officeDocument/2006/relationships/hyperlink" Target="https://euipo.europa.eu/tunnel-web/secure/webdav/guest/document_library/observatory/documents/publications/Observatory+update+on+costs+and+damages.pdf" TargetMode="External"/><Relationship Id="rId16" Type="http://schemas.openxmlformats.org/officeDocument/2006/relationships/hyperlink" Target="http://ec.europa.eu/growth/tools-databases/newsroom/cf/itemdetail.cfm?item_id=8580" TargetMode="External"/><Relationship Id="rId1" Type="http://schemas.openxmlformats.org/officeDocument/2006/relationships/hyperlink" Target="http://ec.europa.eu/growth/tools-databases/newsroom/cf/itemdetail.cfm?item_id=8580" TargetMode="External"/><Relationship Id="rId6" Type="http://schemas.openxmlformats.org/officeDocument/2006/relationships/hyperlink" Target="https://euipo.europa.eu/ohimportal/documents/11370/80606/Damages+in+intellectual+property+rights/b0d70979-2af3-48cf-870b-9ed1139d917a" TargetMode="External"/><Relationship Id="rId11" Type="http://schemas.openxmlformats.org/officeDocument/2006/relationships/hyperlink" Target="http://ec.europa.eu/internal_market/consultations/2011/intellectual_property_rights_en.htm" TargetMode="External"/><Relationship Id="rId5" Type="http://schemas.openxmlformats.org/officeDocument/2006/relationships/hyperlink" Target="https://euipo.europa.eu/ohimportal/en/web/observatory/quantification-of-ipr-infringement" TargetMode="External"/><Relationship Id="rId15" Type="http://schemas.openxmlformats.org/officeDocument/2006/relationships/hyperlink" Target="https://euipo.europa.eu/ohimportal/en/web/observatory/observatory-publications" TargetMode="External"/><Relationship Id="rId10" Type="http://schemas.openxmlformats.org/officeDocument/2006/relationships/hyperlink" Target="http://curia.europa.eu/juris/document/document.jsf;jsessionid=9ea7d2dc30d66d282d2738334365bc4eb4d8a8dda464.e34KaxiLc3qMb40Rch0SaxyMaNv0?text=&amp;docid=70107&amp;pageIndex=0&amp;doclang=EN&amp;mode=lst&amp;dir=&amp;occ=first&amp;part=1&amp;cid=398120" TargetMode="External"/><Relationship Id="rId19" Type="http://schemas.openxmlformats.org/officeDocument/2006/relationships/hyperlink" Target="https://euipo.europa.eu/ohimportal/en/web/observatory/quantification-of-ipr-infringement" TargetMode="External"/><Relationship Id="rId4" Type="http://schemas.openxmlformats.org/officeDocument/2006/relationships/hyperlink" Target="https://publications.europa.eu/en/publication-detail/-/publication/18fbdb72-9a87-11e6-9bca-01aa75ed71a1/language-en" TargetMode="External"/><Relationship Id="rId9" Type="http://schemas.openxmlformats.org/officeDocument/2006/relationships/hyperlink" Target="https://euipo.europa.eu/tunnel-web/secure/webdav/guest/document_library/observatory/documents/Research%20and%20sudies/study_voluntary_collaboration_practices_en.pdf" TargetMode="External"/><Relationship Id="rId14" Type="http://schemas.openxmlformats.org/officeDocument/2006/relationships/hyperlink" Target="http://ec.europa.eu/internal_market/consultations/2013/copyright-rules/index_en.h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localhost\Users\paresa\Desktop\IPRED\dartsip_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MACRIST\AppData\Local\Microsoft\Windows\Temporary%20Internet%20Files\Content.Outlook\HJ1ZTPMY\Damages%20Indicator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MACRIST\AppData\Local\Microsoft\Windows\Temporary%20Internet%20Files\Content.Outlook\HJ1ZTPMY\Damages%20Indicator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MACRIST\AppData\Local\Microsoft\Windows\Temporary%20Internet%20Files\Content.Outlook\HJ1ZTPMY\Damages%20Indicator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MACRIST\AppData\Local\Microsoft\Windows\Temporary%20Internet%20Files\Content.Outlook\HJ1ZTPMY\Damages%20Indicator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MACRIST\AppData\Local\Microsoft\Windows\Temporary%20Internet%20Files\Content.Outlook\HJ1ZTPMY\Damages%20Indicators.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MACRIST\AppData\Local\Microsoft\Windows\Temporary%20Internet%20Files\Content.Outlook\HJ1ZTPMY\Damages%20Indicators.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'Average Duration report'!$E$16</c:f>
              <c:strCache>
                <c:ptCount val="1"/>
                <c:pt idx="0">
                  <c:v>Before IPRED</c:v>
                </c:pt>
              </c:strCache>
            </c:strRef>
          </c:tx>
          <c:spPr>
            <a:solidFill>
              <a:schemeClr val="accent1"/>
            </a:solidFill>
            <a:ln>
              <a:noFill/>
            </a:ln>
            <a:effectLst/>
          </c:spPr>
          <c:invertIfNegative val="0"/>
          <c:cat>
            <c:multiLvlStrRef>
              <c:f>'Average Duration report'!$A$17:$B$28</c:f>
              <c:multiLvlStrCache>
                <c:ptCount val="12"/>
                <c:lvl>
                  <c:pt idx="0">
                    <c:v>France</c:v>
                  </c:pt>
                  <c:pt idx="1">
                    <c:v>Germany</c:v>
                  </c:pt>
                  <c:pt idx="2">
                    <c:v>The Netherlands</c:v>
                  </c:pt>
                  <c:pt idx="3">
                    <c:v>United Kingdom</c:v>
                  </c:pt>
                  <c:pt idx="4">
                    <c:v>France</c:v>
                  </c:pt>
                  <c:pt idx="5">
                    <c:v>Germany</c:v>
                  </c:pt>
                  <c:pt idx="6">
                    <c:v>The Netherlands</c:v>
                  </c:pt>
                  <c:pt idx="7">
                    <c:v>United Kingdom</c:v>
                  </c:pt>
                  <c:pt idx="8">
                    <c:v>France</c:v>
                  </c:pt>
                  <c:pt idx="9">
                    <c:v>Germany</c:v>
                  </c:pt>
                  <c:pt idx="10">
                    <c:v>The Netherlands</c:v>
                  </c:pt>
                  <c:pt idx="11">
                    <c:v>United Kingdom</c:v>
                  </c:pt>
                </c:lvl>
                <c:lvl>
                  <c:pt idx="0">
                    <c:v>design</c:v>
                  </c:pt>
                  <c:pt idx="4">
                    <c:v>patent</c:v>
                  </c:pt>
                  <c:pt idx="8">
                    <c:v>trademark</c:v>
                  </c:pt>
                </c:lvl>
              </c:multiLvlStrCache>
            </c:multiLvlStrRef>
          </c:cat>
          <c:val>
            <c:numRef>
              <c:f>'Average Duration report'!$E$17:$E$28</c:f>
              <c:numCache>
                <c:formatCode>0.0</c:formatCode>
                <c:ptCount val="12"/>
                <c:pt idx="0">
                  <c:v>1.6236263736263741</c:v>
                </c:pt>
                <c:pt idx="1">
                  <c:v>0.79395604395604402</c:v>
                </c:pt>
                <c:pt idx="2">
                  <c:v>0.625</c:v>
                </c:pt>
                <c:pt idx="3">
                  <c:v>2.4739010989010999</c:v>
                </c:pt>
                <c:pt idx="4">
                  <c:v>2.4423076923076921</c:v>
                </c:pt>
                <c:pt idx="5">
                  <c:v>1.1181318681318679</c:v>
                </c:pt>
                <c:pt idx="6">
                  <c:v>0.99038461538461497</c:v>
                </c:pt>
                <c:pt idx="7">
                  <c:v>2.6016483516483522</c:v>
                </c:pt>
                <c:pt idx="8">
                  <c:v>1.6565934065934069</c:v>
                </c:pt>
                <c:pt idx="9">
                  <c:v>0.38186813186813201</c:v>
                </c:pt>
                <c:pt idx="10">
                  <c:v>0.120879120879121</c:v>
                </c:pt>
                <c:pt idx="11">
                  <c:v>1.516483516483516</c:v>
                </c:pt>
              </c:numCache>
            </c:numRef>
          </c:val>
        </c:ser>
        <c:ser>
          <c:idx val="1"/>
          <c:order val="1"/>
          <c:tx>
            <c:strRef>
              <c:f>'Average Duration report'!$F$16</c:f>
              <c:strCache>
                <c:ptCount val="1"/>
                <c:pt idx="0">
                  <c:v>After IPRED</c:v>
                </c:pt>
              </c:strCache>
            </c:strRef>
          </c:tx>
          <c:spPr>
            <a:solidFill>
              <a:schemeClr val="accent2"/>
            </a:solidFill>
            <a:ln>
              <a:noFill/>
            </a:ln>
            <a:effectLst/>
          </c:spPr>
          <c:invertIfNegative val="0"/>
          <c:cat>
            <c:multiLvlStrRef>
              <c:f>'Average Duration report'!$A$17:$B$28</c:f>
              <c:multiLvlStrCache>
                <c:ptCount val="12"/>
                <c:lvl>
                  <c:pt idx="0">
                    <c:v>France</c:v>
                  </c:pt>
                  <c:pt idx="1">
                    <c:v>Germany</c:v>
                  </c:pt>
                  <c:pt idx="2">
                    <c:v>The Netherlands</c:v>
                  </c:pt>
                  <c:pt idx="3">
                    <c:v>United Kingdom</c:v>
                  </c:pt>
                  <c:pt idx="4">
                    <c:v>France</c:v>
                  </c:pt>
                  <c:pt idx="5">
                    <c:v>Germany</c:v>
                  </c:pt>
                  <c:pt idx="6">
                    <c:v>The Netherlands</c:v>
                  </c:pt>
                  <c:pt idx="7">
                    <c:v>United Kingdom</c:v>
                  </c:pt>
                  <c:pt idx="8">
                    <c:v>France</c:v>
                  </c:pt>
                  <c:pt idx="9">
                    <c:v>Germany</c:v>
                  </c:pt>
                  <c:pt idx="10">
                    <c:v>The Netherlands</c:v>
                  </c:pt>
                  <c:pt idx="11">
                    <c:v>United Kingdom</c:v>
                  </c:pt>
                </c:lvl>
                <c:lvl>
                  <c:pt idx="0">
                    <c:v>design</c:v>
                  </c:pt>
                  <c:pt idx="4">
                    <c:v>patent</c:v>
                  </c:pt>
                  <c:pt idx="8">
                    <c:v>trademark</c:v>
                  </c:pt>
                </c:lvl>
              </c:multiLvlStrCache>
            </c:multiLvlStrRef>
          </c:cat>
          <c:val>
            <c:numRef>
              <c:f>'Average Duration report'!$F$17:$F$28</c:f>
              <c:numCache>
                <c:formatCode>0.0</c:formatCode>
                <c:ptCount val="12"/>
                <c:pt idx="0">
                  <c:v>1.398351648351648</c:v>
                </c:pt>
                <c:pt idx="1">
                  <c:v>0.49313186813186799</c:v>
                </c:pt>
                <c:pt idx="2">
                  <c:v>0.134615384615385</c:v>
                </c:pt>
                <c:pt idx="3">
                  <c:v>0.65384615384615397</c:v>
                </c:pt>
                <c:pt idx="4">
                  <c:v>1.571428571428571</c:v>
                </c:pt>
                <c:pt idx="5">
                  <c:v>1.148351648351648</c:v>
                </c:pt>
                <c:pt idx="6">
                  <c:v>0.76373626373626402</c:v>
                </c:pt>
                <c:pt idx="7">
                  <c:v>1.0934065934065931</c:v>
                </c:pt>
                <c:pt idx="8">
                  <c:v>1.258241758241758</c:v>
                </c:pt>
                <c:pt idx="9">
                  <c:v>0.46978021978022</c:v>
                </c:pt>
                <c:pt idx="10">
                  <c:v>0.15659340659340701</c:v>
                </c:pt>
                <c:pt idx="11">
                  <c:v>1.287087912087912</c:v>
                </c:pt>
              </c:numCache>
            </c:numRef>
          </c:val>
        </c:ser>
        <c:dLbls>
          <c:showLegendKey val="0"/>
          <c:showVal val="0"/>
          <c:showCatName val="0"/>
          <c:showSerName val="0"/>
          <c:showPercent val="0"/>
          <c:showBubbleSize val="0"/>
        </c:dLbls>
        <c:gapWidth val="182"/>
        <c:axId val="365245184"/>
        <c:axId val="365246720"/>
      </c:barChart>
      <c:catAx>
        <c:axId val="365245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246720"/>
        <c:crosses val="autoZero"/>
        <c:auto val="1"/>
        <c:lblAlgn val="ctr"/>
        <c:lblOffset val="100"/>
        <c:noMultiLvlLbl val="0"/>
      </c:catAx>
      <c:valAx>
        <c:axId val="3652467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a:t>
                </a:r>
                <a:r>
                  <a:rPr lang="en-US" baseline="0"/>
                  <a:t> years</a:t>
                </a:r>
                <a:endParaRPr lang="en-US"/>
              </a:p>
            </c:rich>
          </c:tx>
          <c:layout/>
          <c:overlay val="0"/>
          <c:spPr>
            <a:noFill/>
            <a:ln>
              <a:noFill/>
            </a:ln>
            <a:effectLst/>
          </c:sp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2451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Verdana" charset="0"/>
                <a:ea typeface="Verdana" charset="0"/>
                <a:cs typeface="Verdana" charset="0"/>
              </a:defRPr>
            </a:pPr>
            <a:r>
              <a:rPr lang="en-US" sz="900"/>
              <a:t>Accepted damages (%) - Trademark</a:t>
            </a:r>
          </a:p>
        </c:rich>
      </c:tx>
      <c:layout>
        <c:manualLayout>
          <c:xMode val="edge"/>
          <c:yMode val="edge"/>
          <c:x val="0.18431543978630893"/>
          <c:y val="5.943770401656702E-2"/>
        </c:manualLayout>
      </c:layout>
      <c:overlay val="0"/>
      <c:spPr>
        <a:noFill/>
        <a:ln>
          <a:noFill/>
        </a:ln>
        <a:effectLst/>
      </c:spPr>
    </c:title>
    <c:autoTitleDeleted val="0"/>
    <c:plotArea>
      <c:layout/>
      <c:barChart>
        <c:barDir val="col"/>
        <c:grouping val="clustered"/>
        <c:varyColors val="0"/>
        <c:ser>
          <c:idx val="0"/>
          <c:order val="0"/>
          <c:tx>
            <c:strRef>
              <c:f>'[Damages Indicators.xlsx]Gap Awarded &amp; Requested Damages'!$I$8</c:f>
              <c:strCache>
                <c:ptCount val="1"/>
                <c:pt idx="0">
                  <c:v>Accepted damages (%)</c:v>
                </c:pt>
              </c:strCache>
            </c:strRef>
          </c:tx>
          <c:spPr>
            <a:solidFill>
              <a:schemeClr val="accent1"/>
            </a:solidFill>
            <a:ln>
              <a:noFill/>
            </a:ln>
            <a:effectLst/>
          </c:spPr>
          <c:invertIfNegative val="0"/>
          <c:cat>
            <c:multiLvlStrRef>
              <c:f>'[Damages Indicators.xlsx]Gap Awarded &amp; Requested Damages'!$G$9:$H$14</c:f>
              <c:multiLvlStrCache>
                <c:ptCount val="6"/>
                <c:lvl>
                  <c:pt idx="0">
                    <c:v>Mean</c:v>
                  </c:pt>
                  <c:pt idx="1">
                    <c:v>Median</c:v>
                  </c:pt>
                  <c:pt idx="2">
                    <c:v>Mean</c:v>
                  </c:pt>
                  <c:pt idx="3">
                    <c:v>Median</c:v>
                  </c:pt>
                  <c:pt idx="4">
                    <c:v>Mean</c:v>
                  </c:pt>
                  <c:pt idx="5">
                    <c:v>Median</c:v>
                  </c:pt>
                </c:lvl>
                <c:lvl>
                  <c:pt idx="0">
                    <c:v>France</c:v>
                  </c:pt>
                  <c:pt idx="2">
                    <c:v>Netherlands</c:v>
                  </c:pt>
                  <c:pt idx="4">
                    <c:v>Germany</c:v>
                  </c:pt>
                </c:lvl>
              </c:multiLvlStrCache>
            </c:multiLvlStrRef>
          </c:cat>
          <c:val>
            <c:numRef>
              <c:f>'[Damages Indicators.xlsx]Gap Awarded &amp; Requested Damages'!$I$9:$I$14</c:f>
              <c:numCache>
                <c:formatCode>0%</c:formatCode>
                <c:ptCount val="6"/>
                <c:pt idx="0">
                  <c:v>0.25560646229793466</c:v>
                </c:pt>
                <c:pt idx="1">
                  <c:v>0.12500001352480417</c:v>
                </c:pt>
                <c:pt idx="2">
                  <c:v>0.55627041096734942</c:v>
                </c:pt>
                <c:pt idx="3">
                  <c:v>0.58029683817935906</c:v>
                </c:pt>
                <c:pt idx="4">
                  <c:v>0.50956495630661014</c:v>
                </c:pt>
                <c:pt idx="5">
                  <c:v>0.4944289903581579</c:v>
                </c:pt>
              </c:numCache>
            </c:numRef>
          </c:val>
        </c:ser>
        <c:dLbls>
          <c:showLegendKey val="0"/>
          <c:showVal val="0"/>
          <c:showCatName val="0"/>
          <c:showSerName val="0"/>
          <c:showPercent val="0"/>
          <c:showBubbleSize val="0"/>
        </c:dLbls>
        <c:gapWidth val="219"/>
        <c:overlap val="-27"/>
        <c:axId val="405039744"/>
        <c:axId val="408302720"/>
      </c:barChart>
      <c:catAx>
        <c:axId val="40503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charset="0"/>
                <a:ea typeface="Verdana" charset="0"/>
                <a:cs typeface="Verdana" charset="0"/>
              </a:defRPr>
            </a:pPr>
            <a:endParaRPr lang="en-US"/>
          </a:p>
        </c:txPr>
        <c:crossAx val="408302720"/>
        <c:crosses val="autoZero"/>
        <c:auto val="1"/>
        <c:lblAlgn val="ctr"/>
        <c:lblOffset val="100"/>
        <c:noMultiLvlLbl val="0"/>
      </c:catAx>
      <c:valAx>
        <c:axId val="408302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charset="0"/>
                <a:ea typeface="Verdana" charset="0"/>
                <a:cs typeface="Verdana" charset="0"/>
              </a:defRPr>
            </a:pPr>
            <a:endParaRPr lang="en-US"/>
          </a:p>
        </c:txPr>
        <c:crossAx val="405039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Verdana" charset="0"/>
          <a:ea typeface="Verdana" charset="0"/>
          <a:cs typeface="Verdana"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Verdana" charset="0"/>
                <a:ea typeface="Verdana" charset="0"/>
                <a:cs typeface="Verdana" charset="0"/>
              </a:defRPr>
            </a:pPr>
            <a:r>
              <a:rPr lang="en-US" sz="900"/>
              <a:t>Accepted damages (%) - Patent</a:t>
            </a:r>
          </a:p>
        </c:rich>
      </c:tx>
      <c:overlay val="0"/>
      <c:spPr>
        <a:noFill/>
        <a:ln>
          <a:noFill/>
        </a:ln>
        <a:effectLst/>
      </c:spPr>
    </c:title>
    <c:autoTitleDeleted val="0"/>
    <c:plotArea>
      <c:layout/>
      <c:barChart>
        <c:barDir val="col"/>
        <c:grouping val="clustered"/>
        <c:varyColors val="0"/>
        <c:ser>
          <c:idx val="0"/>
          <c:order val="0"/>
          <c:tx>
            <c:strRef>
              <c:f>'[Damages Indicators.xlsx]Gap Awarded &amp; Requested Damages'!$I$35</c:f>
              <c:strCache>
                <c:ptCount val="1"/>
                <c:pt idx="0">
                  <c:v>Accepted damages (%)</c:v>
                </c:pt>
              </c:strCache>
            </c:strRef>
          </c:tx>
          <c:spPr>
            <a:solidFill>
              <a:schemeClr val="accent1"/>
            </a:solidFill>
            <a:ln>
              <a:noFill/>
            </a:ln>
            <a:effectLst/>
          </c:spPr>
          <c:invertIfNegative val="0"/>
          <c:cat>
            <c:multiLvlStrRef>
              <c:f>'[Damages Indicators.xlsx]Gap Awarded &amp; Requested Damages'!$G$36:$H$39</c:f>
              <c:multiLvlStrCache>
                <c:ptCount val="4"/>
                <c:lvl>
                  <c:pt idx="0">
                    <c:v>Mean</c:v>
                  </c:pt>
                  <c:pt idx="1">
                    <c:v>Median</c:v>
                  </c:pt>
                  <c:pt idx="2">
                    <c:v>Mean</c:v>
                  </c:pt>
                  <c:pt idx="3">
                    <c:v>Median</c:v>
                  </c:pt>
                </c:lvl>
                <c:lvl>
                  <c:pt idx="0">
                    <c:v>France</c:v>
                  </c:pt>
                  <c:pt idx="2">
                    <c:v>Germany</c:v>
                  </c:pt>
                </c:lvl>
              </c:multiLvlStrCache>
            </c:multiLvlStrRef>
          </c:cat>
          <c:val>
            <c:numRef>
              <c:f>'[Damages Indicators.xlsx]Gap Awarded &amp; Requested Damages'!$I$36:$I$39</c:f>
              <c:numCache>
                <c:formatCode>0%</c:formatCode>
                <c:ptCount val="4"/>
                <c:pt idx="0">
                  <c:v>0.62844282150737563</c:v>
                </c:pt>
                <c:pt idx="1">
                  <c:v>0.20254576234096699</c:v>
                </c:pt>
                <c:pt idx="2">
                  <c:v>0.45602784347640768</c:v>
                </c:pt>
                <c:pt idx="3">
                  <c:v>0.46270614699039903</c:v>
                </c:pt>
              </c:numCache>
            </c:numRef>
          </c:val>
        </c:ser>
        <c:dLbls>
          <c:showLegendKey val="0"/>
          <c:showVal val="0"/>
          <c:showCatName val="0"/>
          <c:showSerName val="0"/>
          <c:showPercent val="0"/>
          <c:showBubbleSize val="0"/>
        </c:dLbls>
        <c:gapWidth val="219"/>
        <c:overlap val="-27"/>
        <c:axId val="365259392"/>
        <c:axId val="365273472"/>
      </c:barChart>
      <c:catAx>
        <c:axId val="365259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charset="0"/>
                <a:ea typeface="Verdana" charset="0"/>
                <a:cs typeface="Verdana" charset="0"/>
              </a:defRPr>
            </a:pPr>
            <a:endParaRPr lang="en-US"/>
          </a:p>
        </c:txPr>
        <c:crossAx val="365273472"/>
        <c:crosses val="autoZero"/>
        <c:auto val="1"/>
        <c:lblAlgn val="ctr"/>
        <c:lblOffset val="100"/>
        <c:noMultiLvlLbl val="0"/>
      </c:catAx>
      <c:valAx>
        <c:axId val="3652734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charset="0"/>
                <a:ea typeface="Verdana" charset="0"/>
                <a:cs typeface="Verdana" charset="0"/>
              </a:defRPr>
            </a:pPr>
            <a:endParaRPr lang="en-US"/>
          </a:p>
        </c:txPr>
        <c:crossAx val="365259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Verdana" charset="0"/>
          <a:ea typeface="Verdana" charset="0"/>
          <a:cs typeface="Verdana"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Verdana" charset="0"/>
                <a:ea typeface="Verdana" charset="0"/>
                <a:cs typeface="Verdana" charset="0"/>
              </a:defRPr>
            </a:pPr>
            <a:r>
              <a:rPr lang="en-US" sz="900"/>
              <a:t>Accepted damages (%) - Design</a:t>
            </a:r>
          </a:p>
        </c:rich>
      </c:tx>
      <c:overlay val="0"/>
      <c:spPr>
        <a:noFill/>
        <a:ln>
          <a:noFill/>
        </a:ln>
        <a:effectLst/>
      </c:spPr>
    </c:title>
    <c:autoTitleDeleted val="0"/>
    <c:plotArea>
      <c:layout/>
      <c:barChart>
        <c:barDir val="col"/>
        <c:grouping val="clustered"/>
        <c:varyColors val="0"/>
        <c:ser>
          <c:idx val="0"/>
          <c:order val="0"/>
          <c:tx>
            <c:strRef>
              <c:f>'[Damages Indicators.xlsx]Gap Awarded &amp; Requested Damages'!$I$62</c:f>
              <c:strCache>
                <c:ptCount val="1"/>
                <c:pt idx="0">
                  <c:v>Accepted damages (%)</c:v>
                </c:pt>
              </c:strCache>
            </c:strRef>
          </c:tx>
          <c:spPr>
            <a:solidFill>
              <a:schemeClr val="accent1"/>
            </a:solidFill>
            <a:ln>
              <a:noFill/>
            </a:ln>
            <a:effectLst/>
          </c:spPr>
          <c:invertIfNegative val="0"/>
          <c:cat>
            <c:multiLvlStrRef>
              <c:f>'[Damages Indicators.xlsx]Gap Awarded &amp; Requested Damages'!$G$63:$H$68</c:f>
              <c:multiLvlStrCache>
                <c:ptCount val="6"/>
                <c:lvl>
                  <c:pt idx="0">
                    <c:v>Mean</c:v>
                  </c:pt>
                  <c:pt idx="1">
                    <c:v>Median</c:v>
                  </c:pt>
                  <c:pt idx="2">
                    <c:v>Mean</c:v>
                  </c:pt>
                  <c:pt idx="3">
                    <c:v>Median</c:v>
                  </c:pt>
                  <c:pt idx="4">
                    <c:v>Mean</c:v>
                  </c:pt>
                  <c:pt idx="5">
                    <c:v>Median</c:v>
                  </c:pt>
                </c:lvl>
                <c:lvl>
                  <c:pt idx="0">
                    <c:v>France</c:v>
                  </c:pt>
                  <c:pt idx="2">
                    <c:v>Netherlands</c:v>
                  </c:pt>
                  <c:pt idx="4">
                    <c:v>Germany</c:v>
                  </c:pt>
                </c:lvl>
              </c:multiLvlStrCache>
            </c:multiLvlStrRef>
          </c:cat>
          <c:val>
            <c:numRef>
              <c:f>'[Damages Indicators.xlsx]Gap Awarded &amp; Requested Damages'!$I$63:$I$68</c:f>
              <c:numCache>
                <c:formatCode>0%</c:formatCode>
                <c:ptCount val="6"/>
                <c:pt idx="0">
                  <c:v>0.2520483867010434</c:v>
                </c:pt>
                <c:pt idx="1">
                  <c:v>0.10508104959186959</c:v>
                </c:pt>
                <c:pt idx="2">
                  <c:v>0.3010050557379661</c:v>
                </c:pt>
                <c:pt idx="3">
                  <c:v>0.17318005580316703</c:v>
                </c:pt>
                <c:pt idx="4">
                  <c:v>0.7961246480251567</c:v>
                </c:pt>
                <c:pt idx="5">
                  <c:v>0.72497323121800961</c:v>
                </c:pt>
              </c:numCache>
            </c:numRef>
          </c:val>
        </c:ser>
        <c:dLbls>
          <c:showLegendKey val="0"/>
          <c:showVal val="0"/>
          <c:showCatName val="0"/>
          <c:showSerName val="0"/>
          <c:showPercent val="0"/>
          <c:showBubbleSize val="0"/>
        </c:dLbls>
        <c:gapWidth val="219"/>
        <c:overlap val="-27"/>
        <c:axId val="377495552"/>
        <c:axId val="377497088"/>
      </c:barChart>
      <c:catAx>
        <c:axId val="377495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charset="0"/>
                <a:ea typeface="Verdana" charset="0"/>
                <a:cs typeface="Verdana" charset="0"/>
              </a:defRPr>
            </a:pPr>
            <a:endParaRPr lang="en-US"/>
          </a:p>
        </c:txPr>
        <c:crossAx val="377497088"/>
        <c:crosses val="autoZero"/>
        <c:auto val="1"/>
        <c:lblAlgn val="ctr"/>
        <c:lblOffset val="100"/>
        <c:noMultiLvlLbl val="0"/>
      </c:catAx>
      <c:valAx>
        <c:axId val="3774970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charset="0"/>
                <a:ea typeface="Verdana" charset="0"/>
                <a:cs typeface="Verdana" charset="0"/>
              </a:defRPr>
            </a:pPr>
            <a:endParaRPr lang="en-US"/>
          </a:p>
        </c:txPr>
        <c:crossAx val="377495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Verdana" charset="0"/>
          <a:ea typeface="Verdana" charset="0"/>
          <a:cs typeface="Verdana"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Verdana" charset="0"/>
                <a:ea typeface="Verdana" charset="0"/>
                <a:cs typeface="Verdana" charset="0"/>
              </a:defRPr>
            </a:pPr>
            <a:r>
              <a:rPr lang="en-US" sz="1000"/>
              <a:t>Trademark</a:t>
            </a:r>
          </a:p>
        </c:rich>
      </c:tx>
      <c:overlay val="0"/>
      <c:spPr>
        <a:noFill/>
        <a:ln>
          <a:noFill/>
        </a:ln>
        <a:effectLst/>
      </c:spPr>
    </c:title>
    <c:autoTitleDeleted val="0"/>
    <c:plotArea>
      <c:layout/>
      <c:barChart>
        <c:barDir val="col"/>
        <c:grouping val="percentStacked"/>
        <c:varyColors val="0"/>
        <c:ser>
          <c:idx val="0"/>
          <c:order val="0"/>
          <c:tx>
            <c:strRef>
              <c:f>'[Damages Indicators.xlsx]Methods Frequency - both'!$F$9</c:f>
              <c:strCache>
                <c:ptCount val="1"/>
                <c:pt idx="0">
                  <c:v>Loss of Profits</c:v>
                </c:pt>
              </c:strCache>
            </c:strRef>
          </c:tx>
          <c:spPr>
            <a:solidFill>
              <a:schemeClr val="accent1"/>
            </a:solidFill>
            <a:ln>
              <a:noFill/>
            </a:ln>
            <a:effectLst/>
          </c:spPr>
          <c:invertIfNegative val="0"/>
          <c:cat>
            <c:strRef>
              <c:f>'[Damages Indicators.xlsx]Methods Frequency - both'!$G$8:$I$8</c:f>
              <c:strCache>
                <c:ptCount val="3"/>
                <c:pt idx="0">
                  <c:v>France</c:v>
                </c:pt>
                <c:pt idx="1">
                  <c:v>Germany</c:v>
                </c:pt>
                <c:pt idx="2">
                  <c:v>Netherlands</c:v>
                </c:pt>
              </c:strCache>
            </c:strRef>
          </c:cat>
          <c:val>
            <c:numRef>
              <c:f>'[Damages Indicators.xlsx]Methods Frequency - both'!$G$9:$I$9</c:f>
              <c:numCache>
                <c:formatCode>0%</c:formatCode>
                <c:ptCount val="3"/>
                <c:pt idx="0">
                  <c:v>0.13636363636363635</c:v>
                </c:pt>
                <c:pt idx="1">
                  <c:v>0</c:v>
                </c:pt>
                <c:pt idx="2">
                  <c:v>0.5</c:v>
                </c:pt>
              </c:numCache>
            </c:numRef>
          </c:val>
        </c:ser>
        <c:ser>
          <c:idx val="1"/>
          <c:order val="1"/>
          <c:tx>
            <c:strRef>
              <c:f>'[Damages Indicators.xlsx]Methods Frequency - both'!$F$10</c:f>
              <c:strCache>
                <c:ptCount val="1"/>
                <c:pt idx="0">
                  <c:v>Recovery of Profits</c:v>
                </c:pt>
              </c:strCache>
            </c:strRef>
          </c:tx>
          <c:spPr>
            <a:solidFill>
              <a:schemeClr val="accent2"/>
            </a:solidFill>
            <a:ln>
              <a:noFill/>
            </a:ln>
            <a:effectLst/>
          </c:spPr>
          <c:invertIfNegative val="0"/>
          <c:cat>
            <c:strRef>
              <c:f>'[Damages Indicators.xlsx]Methods Frequency - both'!$G$8:$I$8</c:f>
              <c:strCache>
                <c:ptCount val="3"/>
                <c:pt idx="0">
                  <c:v>France</c:v>
                </c:pt>
                <c:pt idx="1">
                  <c:v>Germany</c:v>
                </c:pt>
                <c:pt idx="2">
                  <c:v>Netherlands</c:v>
                </c:pt>
              </c:strCache>
            </c:strRef>
          </c:cat>
          <c:val>
            <c:numRef>
              <c:f>'[Damages Indicators.xlsx]Methods Frequency - both'!$G$10:$I$10</c:f>
              <c:numCache>
                <c:formatCode>0%</c:formatCode>
                <c:ptCount val="3"/>
                <c:pt idx="0">
                  <c:v>0</c:v>
                </c:pt>
                <c:pt idx="1">
                  <c:v>0.16666666666666666</c:v>
                </c:pt>
                <c:pt idx="2">
                  <c:v>0</c:v>
                </c:pt>
              </c:numCache>
            </c:numRef>
          </c:val>
        </c:ser>
        <c:ser>
          <c:idx val="2"/>
          <c:order val="2"/>
          <c:tx>
            <c:strRef>
              <c:f>'[Damages Indicators.xlsx]Methods Frequency - both'!$F$11</c:f>
              <c:strCache>
                <c:ptCount val="1"/>
                <c:pt idx="0">
                  <c:v>Reasonable Royalty</c:v>
                </c:pt>
              </c:strCache>
            </c:strRef>
          </c:tx>
          <c:spPr>
            <a:solidFill>
              <a:schemeClr val="accent3"/>
            </a:solidFill>
            <a:ln>
              <a:noFill/>
            </a:ln>
            <a:effectLst/>
          </c:spPr>
          <c:invertIfNegative val="0"/>
          <c:cat>
            <c:strRef>
              <c:f>'[Damages Indicators.xlsx]Methods Frequency - both'!$G$8:$I$8</c:f>
              <c:strCache>
                <c:ptCount val="3"/>
                <c:pt idx="0">
                  <c:v>France</c:v>
                </c:pt>
                <c:pt idx="1">
                  <c:v>Germany</c:v>
                </c:pt>
                <c:pt idx="2">
                  <c:v>Netherlands</c:v>
                </c:pt>
              </c:strCache>
            </c:strRef>
          </c:cat>
          <c:val>
            <c:numRef>
              <c:f>'[Damages Indicators.xlsx]Methods Frequency - both'!$G$11:$I$11</c:f>
              <c:numCache>
                <c:formatCode>0%</c:formatCode>
                <c:ptCount val="3"/>
                <c:pt idx="0">
                  <c:v>0</c:v>
                </c:pt>
                <c:pt idx="1">
                  <c:v>0.83333333333333337</c:v>
                </c:pt>
                <c:pt idx="2">
                  <c:v>0.5</c:v>
                </c:pt>
              </c:numCache>
            </c:numRef>
          </c:val>
        </c:ser>
        <c:ser>
          <c:idx val="3"/>
          <c:order val="3"/>
          <c:tx>
            <c:strRef>
              <c:f>'[Damages Indicators.xlsx]Methods Frequency - both'!$F$12</c:f>
              <c:strCache>
                <c:ptCount val="1"/>
                <c:pt idx="0">
                  <c:v>Non material</c:v>
                </c:pt>
              </c:strCache>
            </c:strRef>
          </c:tx>
          <c:spPr>
            <a:solidFill>
              <a:schemeClr val="accent4"/>
            </a:solidFill>
            <a:ln>
              <a:noFill/>
            </a:ln>
            <a:effectLst/>
          </c:spPr>
          <c:invertIfNegative val="0"/>
          <c:cat>
            <c:strRef>
              <c:f>'[Damages Indicators.xlsx]Methods Frequency - both'!$G$8:$I$8</c:f>
              <c:strCache>
                <c:ptCount val="3"/>
                <c:pt idx="0">
                  <c:v>France</c:v>
                </c:pt>
                <c:pt idx="1">
                  <c:v>Germany</c:v>
                </c:pt>
                <c:pt idx="2">
                  <c:v>Netherlands</c:v>
                </c:pt>
              </c:strCache>
            </c:strRef>
          </c:cat>
          <c:val>
            <c:numRef>
              <c:f>'[Damages Indicators.xlsx]Methods Frequency - both'!$G$12:$I$12</c:f>
              <c:numCache>
                <c:formatCode>0%</c:formatCode>
                <c:ptCount val="3"/>
                <c:pt idx="0">
                  <c:v>0.52272727272727271</c:v>
                </c:pt>
                <c:pt idx="1">
                  <c:v>0</c:v>
                </c:pt>
                <c:pt idx="2">
                  <c:v>0</c:v>
                </c:pt>
              </c:numCache>
            </c:numRef>
          </c:val>
        </c:ser>
        <c:ser>
          <c:idx val="4"/>
          <c:order val="4"/>
          <c:tx>
            <c:strRef>
              <c:f>'[Damages Indicators.xlsx]Methods Frequency - both'!$F$13</c:f>
              <c:strCache>
                <c:ptCount val="1"/>
                <c:pt idx="0">
                  <c:v>Undefined</c:v>
                </c:pt>
              </c:strCache>
            </c:strRef>
          </c:tx>
          <c:spPr>
            <a:solidFill>
              <a:schemeClr val="accent5"/>
            </a:solidFill>
            <a:ln>
              <a:noFill/>
            </a:ln>
            <a:effectLst/>
          </c:spPr>
          <c:invertIfNegative val="0"/>
          <c:cat>
            <c:strRef>
              <c:f>'[Damages Indicators.xlsx]Methods Frequency - both'!$G$8:$I$8</c:f>
              <c:strCache>
                <c:ptCount val="3"/>
                <c:pt idx="0">
                  <c:v>France</c:v>
                </c:pt>
                <c:pt idx="1">
                  <c:v>Germany</c:v>
                </c:pt>
                <c:pt idx="2">
                  <c:v>Netherlands</c:v>
                </c:pt>
              </c:strCache>
            </c:strRef>
          </c:cat>
          <c:val>
            <c:numRef>
              <c:f>'[Damages Indicators.xlsx]Methods Frequency - both'!$G$13:$I$13</c:f>
              <c:numCache>
                <c:formatCode>0%</c:formatCode>
                <c:ptCount val="3"/>
                <c:pt idx="0">
                  <c:v>0.34090909090909088</c:v>
                </c:pt>
                <c:pt idx="1">
                  <c:v>0</c:v>
                </c:pt>
                <c:pt idx="2">
                  <c:v>0</c:v>
                </c:pt>
              </c:numCache>
            </c:numRef>
          </c:val>
        </c:ser>
        <c:dLbls>
          <c:showLegendKey val="0"/>
          <c:showVal val="0"/>
          <c:showCatName val="0"/>
          <c:showSerName val="0"/>
          <c:showPercent val="0"/>
          <c:showBubbleSize val="0"/>
        </c:dLbls>
        <c:gapWidth val="150"/>
        <c:overlap val="100"/>
        <c:axId val="377541376"/>
        <c:axId val="377542912"/>
      </c:barChart>
      <c:catAx>
        <c:axId val="37754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charset="0"/>
                <a:ea typeface="Verdana" charset="0"/>
                <a:cs typeface="Verdana" charset="0"/>
              </a:defRPr>
            </a:pPr>
            <a:endParaRPr lang="en-US"/>
          </a:p>
        </c:txPr>
        <c:crossAx val="377542912"/>
        <c:crosses val="autoZero"/>
        <c:auto val="1"/>
        <c:lblAlgn val="ctr"/>
        <c:lblOffset val="100"/>
        <c:noMultiLvlLbl val="0"/>
      </c:catAx>
      <c:valAx>
        <c:axId val="3775429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charset="0"/>
                <a:ea typeface="Verdana" charset="0"/>
                <a:cs typeface="Verdana" charset="0"/>
              </a:defRPr>
            </a:pPr>
            <a:endParaRPr lang="en-US"/>
          </a:p>
        </c:txPr>
        <c:crossAx val="377541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erdana" charset="0"/>
              <a:ea typeface="Verdana" charset="0"/>
              <a:cs typeface="Verdana"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Verdana" charset="0"/>
          <a:ea typeface="Verdana" charset="0"/>
          <a:cs typeface="Verdana"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Verdana" charset="0"/>
                <a:ea typeface="Verdana" charset="0"/>
                <a:cs typeface="Verdana" charset="0"/>
              </a:defRPr>
            </a:pPr>
            <a:r>
              <a:rPr lang="en-US" sz="1000"/>
              <a:t>Patent</a:t>
            </a:r>
          </a:p>
        </c:rich>
      </c:tx>
      <c:overlay val="0"/>
      <c:spPr>
        <a:noFill/>
        <a:ln>
          <a:noFill/>
        </a:ln>
        <a:effectLst/>
      </c:spPr>
    </c:title>
    <c:autoTitleDeleted val="0"/>
    <c:plotArea>
      <c:layout>
        <c:manualLayout>
          <c:layoutTarget val="inner"/>
          <c:xMode val="edge"/>
          <c:yMode val="edge"/>
          <c:x val="9.2025162615542597E-2"/>
          <c:y val="0.13763436030227799"/>
          <c:w val="0.87971396781924005"/>
          <c:h val="0.64825899698779299"/>
        </c:manualLayout>
      </c:layout>
      <c:barChart>
        <c:barDir val="col"/>
        <c:grouping val="percentStacked"/>
        <c:varyColors val="0"/>
        <c:ser>
          <c:idx val="0"/>
          <c:order val="0"/>
          <c:tx>
            <c:strRef>
              <c:f>'[Damages Indicators.xlsx]Methods Frequency - both'!$F$28</c:f>
              <c:strCache>
                <c:ptCount val="1"/>
                <c:pt idx="0">
                  <c:v>Loss of Profits</c:v>
                </c:pt>
              </c:strCache>
            </c:strRef>
          </c:tx>
          <c:spPr>
            <a:solidFill>
              <a:schemeClr val="accent1"/>
            </a:solidFill>
            <a:ln>
              <a:noFill/>
            </a:ln>
            <a:effectLst/>
          </c:spPr>
          <c:invertIfNegative val="0"/>
          <c:cat>
            <c:strRef>
              <c:f>'[Damages Indicators.xlsx]Methods Frequency - both'!$G$27:$H$27</c:f>
              <c:strCache>
                <c:ptCount val="2"/>
                <c:pt idx="0">
                  <c:v>France</c:v>
                </c:pt>
                <c:pt idx="1">
                  <c:v>Germany</c:v>
                </c:pt>
              </c:strCache>
            </c:strRef>
          </c:cat>
          <c:val>
            <c:numRef>
              <c:f>'[Damages Indicators.xlsx]Methods Frequency - both'!$G$28:$H$28</c:f>
              <c:numCache>
                <c:formatCode>0%</c:formatCode>
                <c:ptCount val="2"/>
                <c:pt idx="0">
                  <c:v>0.36666666666666664</c:v>
                </c:pt>
                <c:pt idx="1">
                  <c:v>4.5454545454545456E-2</c:v>
                </c:pt>
              </c:numCache>
            </c:numRef>
          </c:val>
        </c:ser>
        <c:ser>
          <c:idx val="1"/>
          <c:order val="1"/>
          <c:tx>
            <c:strRef>
              <c:f>'[Damages Indicators.xlsx]Methods Frequency - both'!$F$29</c:f>
              <c:strCache>
                <c:ptCount val="1"/>
                <c:pt idx="0">
                  <c:v>Recovery of Profits</c:v>
                </c:pt>
              </c:strCache>
            </c:strRef>
          </c:tx>
          <c:spPr>
            <a:solidFill>
              <a:schemeClr val="accent2"/>
            </a:solidFill>
            <a:ln>
              <a:noFill/>
            </a:ln>
            <a:effectLst/>
          </c:spPr>
          <c:invertIfNegative val="0"/>
          <c:cat>
            <c:strRef>
              <c:f>'[Damages Indicators.xlsx]Methods Frequency - both'!$G$27:$H$27</c:f>
              <c:strCache>
                <c:ptCount val="2"/>
                <c:pt idx="0">
                  <c:v>France</c:v>
                </c:pt>
                <c:pt idx="1">
                  <c:v>Germany</c:v>
                </c:pt>
              </c:strCache>
            </c:strRef>
          </c:cat>
          <c:val>
            <c:numRef>
              <c:f>'[Damages Indicators.xlsx]Methods Frequency - both'!$G$29:$H$29</c:f>
              <c:numCache>
                <c:formatCode>0%</c:formatCode>
                <c:ptCount val="2"/>
                <c:pt idx="0">
                  <c:v>3.3333333333333333E-2</c:v>
                </c:pt>
                <c:pt idx="1">
                  <c:v>0.63636363636363635</c:v>
                </c:pt>
              </c:numCache>
            </c:numRef>
          </c:val>
        </c:ser>
        <c:ser>
          <c:idx val="2"/>
          <c:order val="2"/>
          <c:tx>
            <c:strRef>
              <c:f>'[Damages Indicators.xlsx]Methods Frequency - both'!$F$30</c:f>
              <c:strCache>
                <c:ptCount val="1"/>
                <c:pt idx="0">
                  <c:v>Reasonable Royalty</c:v>
                </c:pt>
              </c:strCache>
            </c:strRef>
          </c:tx>
          <c:spPr>
            <a:solidFill>
              <a:schemeClr val="accent3"/>
            </a:solidFill>
            <a:ln>
              <a:noFill/>
            </a:ln>
            <a:effectLst/>
          </c:spPr>
          <c:invertIfNegative val="0"/>
          <c:cat>
            <c:strRef>
              <c:f>'[Damages Indicators.xlsx]Methods Frequency - both'!$G$27:$H$27</c:f>
              <c:strCache>
                <c:ptCount val="2"/>
                <c:pt idx="0">
                  <c:v>France</c:v>
                </c:pt>
                <c:pt idx="1">
                  <c:v>Germany</c:v>
                </c:pt>
              </c:strCache>
            </c:strRef>
          </c:cat>
          <c:val>
            <c:numRef>
              <c:f>'[Damages Indicators.xlsx]Methods Frequency - both'!$G$30:$H$30</c:f>
              <c:numCache>
                <c:formatCode>0%</c:formatCode>
                <c:ptCount val="2"/>
                <c:pt idx="0">
                  <c:v>0.16666666666666666</c:v>
                </c:pt>
                <c:pt idx="1">
                  <c:v>0.31818181818181818</c:v>
                </c:pt>
              </c:numCache>
            </c:numRef>
          </c:val>
        </c:ser>
        <c:ser>
          <c:idx val="3"/>
          <c:order val="3"/>
          <c:tx>
            <c:strRef>
              <c:f>'[Damages Indicators.xlsx]Methods Frequency - both'!$F$31</c:f>
              <c:strCache>
                <c:ptCount val="1"/>
                <c:pt idx="0">
                  <c:v>Non material</c:v>
                </c:pt>
              </c:strCache>
            </c:strRef>
          </c:tx>
          <c:spPr>
            <a:solidFill>
              <a:schemeClr val="accent4"/>
            </a:solidFill>
            <a:ln>
              <a:noFill/>
            </a:ln>
            <a:effectLst/>
          </c:spPr>
          <c:invertIfNegative val="0"/>
          <c:cat>
            <c:strRef>
              <c:f>'[Damages Indicators.xlsx]Methods Frequency - both'!$G$27:$H$27</c:f>
              <c:strCache>
                <c:ptCount val="2"/>
                <c:pt idx="0">
                  <c:v>France</c:v>
                </c:pt>
                <c:pt idx="1">
                  <c:v>Germany</c:v>
                </c:pt>
              </c:strCache>
            </c:strRef>
          </c:cat>
          <c:val>
            <c:numRef>
              <c:f>'[Damages Indicators.xlsx]Methods Frequency - both'!$G$31:$H$31</c:f>
              <c:numCache>
                <c:formatCode>0%</c:formatCode>
                <c:ptCount val="2"/>
                <c:pt idx="0">
                  <c:v>0.33333333333333331</c:v>
                </c:pt>
                <c:pt idx="1">
                  <c:v>0</c:v>
                </c:pt>
              </c:numCache>
            </c:numRef>
          </c:val>
        </c:ser>
        <c:ser>
          <c:idx val="4"/>
          <c:order val="4"/>
          <c:tx>
            <c:strRef>
              <c:f>'[Damages Indicators.xlsx]Methods Frequency - both'!$F$32</c:f>
              <c:strCache>
                <c:ptCount val="1"/>
                <c:pt idx="0">
                  <c:v>Undefined</c:v>
                </c:pt>
              </c:strCache>
            </c:strRef>
          </c:tx>
          <c:spPr>
            <a:solidFill>
              <a:schemeClr val="accent5"/>
            </a:solidFill>
            <a:ln>
              <a:noFill/>
            </a:ln>
            <a:effectLst/>
          </c:spPr>
          <c:invertIfNegative val="0"/>
          <c:cat>
            <c:strRef>
              <c:f>'[Damages Indicators.xlsx]Methods Frequency - both'!$G$27:$H$27</c:f>
              <c:strCache>
                <c:ptCount val="2"/>
                <c:pt idx="0">
                  <c:v>France</c:v>
                </c:pt>
                <c:pt idx="1">
                  <c:v>Germany</c:v>
                </c:pt>
              </c:strCache>
            </c:strRef>
          </c:cat>
          <c:val>
            <c:numRef>
              <c:f>'[Damages Indicators.xlsx]Methods Frequency - both'!$G$32:$H$32</c:f>
              <c:numCache>
                <c:formatCode>0%</c:formatCode>
                <c:ptCount val="2"/>
                <c:pt idx="0">
                  <c:v>0.1</c:v>
                </c:pt>
                <c:pt idx="1">
                  <c:v>0</c:v>
                </c:pt>
              </c:numCache>
            </c:numRef>
          </c:val>
        </c:ser>
        <c:dLbls>
          <c:showLegendKey val="0"/>
          <c:showVal val="0"/>
          <c:showCatName val="0"/>
          <c:showSerName val="0"/>
          <c:showPercent val="0"/>
          <c:showBubbleSize val="0"/>
        </c:dLbls>
        <c:gapWidth val="150"/>
        <c:overlap val="100"/>
        <c:axId val="380139392"/>
        <c:axId val="380140928"/>
      </c:barChart>
      <c:catAx>
        <c:axId val="380139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charset="0"/>
                <a:ea typeface="Verdana" charset="0"/>
                <a:cs typeface="Verdana" charset="0"/>
              </a:defRPr>
            </a:pPr>
            <a:endParaRPr lang="en-US"/>
          </a:p>
        </c:txPr>
        <c:crossAx val="380140928"/>
        <c:crosses val="autoZero"/>
        <c:auto val="1"/>
        <c:lblAlgn val="ctr"/>
        <c:lblOffset val="100"/>
        <c:noMultiLvlLbl val="0"/>
      </c:catAx>
      <c:valAx>
        <c:axId val="3801409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charset="0"/>
                <a:ea typeface="Verdana" charset="0"/>
                <a:cs typeface="Verdana" charset="0"/>
              </a:defRPr>
            </a:pPr>
            <a:endParaRPr lang="en-US"/>
          </a:p>
        </c:txPr>
        <c:crossAx val="380139392"/>
        <c:crosses val="autoZero"/>
        <c:crossBetween val="between"/>
      </c:valAx>
      <c:spPr>
        <a:noFill/>
        <a:ln>
          <a:noFill/>
        </a:ln>
        <a:effectLst/>
      </c:spPr>
    </c:plotArea>
    <c:legend>
      <c:legendPos val="b"/>
      <c:layout>
        <c:manualLayout>
          <c:xMode val="edge"/>
          <c:yMode val="edge"/>
          <c:x val="0.13604301617470199"/>
          <c:y val="0.85863618720195201"/>
          <c:w val="0.81658391838951205"/>
          <c:h val="0.1109457136519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erdana" charset="0"/>
              <a:ea typeface="Verdana" charset="0"/>
              <a:cs typeface="Verdana"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Verdana" charset="0"/>
          <a:ea typeface="Verdana" charset="0"/>
          <a:cs typeface="Verdana"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Verdana" charset="0"/>
                <a:ea typeface="Verdana" charset="0"/>
                <a:cs typeface="Verdana" charset="0"/>
              </a:defRPr>
            </a:pPr>
            <a:r>
              <a:rPr lang="en-US" sz="1000"/>
              <a:t>Design</a:t>
            </a:r>
          </a:p>
        </c:rich>
      </c:tx>
      <c:overlay val="0"/>
      <c:spPr>
        <a:noFill/>
        <a:ln>
          <a:noFill/>
        </a:ln>
        <a:effectLst/>
      </c:spPr>
    </c:title>
    <c:autoTitleDeleted val="0"/>
    <c:plotArea>
      <c:layout/>
      <c:barChart>
        <c:barDir val="col"/>
        <c:grouping val="percentStacked"/>
        <c:varyColors val="0"/>
        <c:ser>
          <c:idx val="0"/>
          <c:order val="0"/>
          <c:tx>
            <c:strRef>
              <c:f>'[Damages Indicators.xlsx]Methods Frequency - both'!$F$48</c:f>
              <c:strCache>
                <c:ptCount val="1"/>
                <c:pt idx="0">
                  <c:v>Loss of Profits</c:v>
                </c:pt>
              </c:strCache>
            </c:strRef>
          </c:tx>
          <c:spPr>
            <a:solidFill>
              <a:schemeClr val="accent1"/>
            </a:solidFill>
            <a:ln>
              <a:noFill/>
            </a:ln>
            <a:effectLst/>
          </c:spPr>
          <c:invertIfNegative val="0"/>
          <c:cat>
            <c:strRef>
              <c:f>'[Damages Indicators.xlsx]Methods Frequency - both'!$G$47:$I$47</c:f>
              <c:strCache>
                <c:ptCount val="3"/>
                <c:pt idx="0">
                  <c:v>France</c:v>
                </c:pt>
                <c:pt idx="1">
                  <c:v>Germany</c:v>
                </c:pt>
                <c:pt idx="2">
                  <c:v>Netherlands</c:v>
                </c:pt>
              </c:strCache>
            </c:strRef>
          </c:cat>
          <c:val>
            <c:numRef>
              <c:f>'[Damages Indicators.xlsx]Methods Frequency - both'!$G$48:$I$48</c:f>
              <c:numCache>
                <c:formatCode>0%</c:formatCode>
                <c:ptCount val="3"/>
                <c:pt idx="0">
                  <c:v>0.24852071005917159</c:v>
                </c:pt>
                <c:pt idx="1">
                  <c:v>0</c:v>
                </c:pt>
                <c:pt idx="2">
                  <c:v>0.66666666666666663</c:v>
                </c:pt>
              </c:numCache>
            </c:numRef>
          </c:val>
        </c:ser>
        <c:ser>
          <c:idx val="1"/>
          <c:order val="1"/>
          <c:tx>
            <c:strRef>
              <c:f>'[Damages Indicators.xlsx]Methods Frequency - both'!$F$49</c:f>
              <c:strCache>
                <c:ptCount val="1"/>
                <c:pt idx="0">
                  <c:v>Recovery of Profits</c:v>
                </c:pt>
              </c:strCache>
            </c:strRef>
          </c:tx>
          <c:spPr>
            <a:solidFill>
              <a:schemeClr val="accent2"/>
            </a:solidFill>
            <a:ln>
              <a:noFill/>
            </a:ln>
            <a:effectLst/>
          </c:spPr>
          <c:invertIfNegative val="0"/>
          <c:cat>
            <c:strRef>
              <c:f>'[Damages Indicators.xlsx]Methods Frequency - both'!$G$47:$I$47</c:f>
              <c:strCache>
                <c:ptCount val="3"/>
                <c:pt idx="0">
                  <c:v>France</c:v>
                </c:pt>
                <c:pt idx="1">
                  <c:v>Germany</c:v>
                </c:pt>
                <c:pt idx="2">
                  <c:v>Netherlands</c:v>
                </c:pt>
              </c:strCache>
            </c:strRef>
          </c:cat>
          <c:val>
            <c:numRef>
              <c:f>'[Damages Indicators.xlsx]Methods Frequency - both'!$G$49:$I$49</c:f>
              <c:numCache>
                <c:formatCode>0%</c:formatCode>
                <c:ptCount val="3"/>
                <c:pt idx="0">
                  <c:v>5.9171597633136093E-3</c:v>
                </c:pt>
                <c:pt idx="1">
                  <c:v>0.75</c:v>
                </c:pt>
                <c:pt idx="2">
                  <c:v>0</c:v>
                </c:pt>
              </c:numCache>
            </c:numRef>
          </c:val>
        </c:ser>
        <c:ser>
          <c:idx val="2"/>
          <c:order val="2"/>
          <c:tx>
            <c:strRef>
              <c:f>'[Damages Indicators.xlsx]Methods Frequency - both'!$F$50</c:f>
              <c:strCache>
                <c:ptCount val="1"/>
                <c:pt idx="0">
                  <c:v>Reasonable Royalty</c:v>
                </c:pt>
              </c:strCache>
            </c:strRef>
          </c:tx>
          <c:spPr>
            <a:solidFill>
              <a:schemeClr val="accent3"/>
            </a:solidFill>
            <a:ln>
              <a:noFill/>
            </a:ln>
            <a:effectLst/>
          </c:spPr>
          <c:invertIfNegative val="0"/>
          <c:cat>
            <c:strRef>
              <c:f>'[Damages Indicators.xlsx]Methods Frequency - both'!$G$47:$I$47</c:f>
              <c:strCache>
                <c:ptCount val="3"/>
                <c:pt idx="0">
                  <c:v>France</c:v>
                </c:pt>
                <c:pt idx="1">
                  <c:v>Germany</c:v>
                </c:pt>
                <c:pt idx="2">
                  <c:v>Netherlands</c:v>
                </c:pt>
              </c:strCache>
            </c:strRef>
          </c:cat>
          <c:val>
            <c:numRef>
              <c:f>'[Damages Indicators.xlsx]Methods Frequency - both'!$G$50:$I$50</c:f>
              <c:numCache>
                <c:formatCode>0%</c:formatCode>
                <c:ptCount val="3"/>
                <c:pt idx="0">
                  <c:v>0</c:v>
                </c:pt>
                <c:pt idx="1">
                  <c:v>0.25</c:v>
                </c:pt>
                <c:pt idx="2">
                  <c:v>0.33333333333333331</c:v>
                </c:pt>
              </c:numCache>
            </c:numRef>
          </c:val>
        </c:ser>
        <c:ser>
          <c:idx val="3"/>
          <c:order val="3"/>
          <c:tx>
            <c:strRef>
              <c:f>'[Damages Indicators.xlsx]Methods Frequency - both'!$F$51</c:f>
              <c:strCache>
                <c:ptCount val="1"/>
                <c:pt idx="0">
                  <c:v>Non material</c:v>
                </c:pt>
              </c:strCache>
            </c:strRef>
          </c:tx>
          <c:spPr>
            <a:solidFill>
              <a:schemeClr val="accent4"/>
            </a:solidFill>
            <a:ln>
              <a:noFill/>
            </a:ln>
            <a:effectLst/>
          </c:spPr>
          <c:invertIfNegative val="0"/>
          <c:cat>
            <c:strRef>
              <c:f>'[Damages Indicators.xlsx]Methods Frequency - both'!$G$47:$I$47</c:f>
              <c:strCache>
                <c:ptCount val="3"/>
                <c:pt idx="0">
                  <c:v>France</c:v>
                </c:pt>
                <c:pt idx="1">
                  <c:v>Germany</c:v>
                </c:pt>
                <c:pt idx="2">
                  <c:v>Netherlands</c:v>
                </c:pt>
              </c:strCache>
            </c:strRef>
          </c:cat>
          <c:val>
            <c:numRef>
              <c:f>'[Damages Indicators.xlsx]Methods Frequency - both'!$G$51:$I$51</c:f>
              <c:numCache>
                <c:formatCode>0%</c:formatCode>
                <c:ptCount val="3"/>
                <c:pt idx="0">
                  <c:v>0.69230769230769229</c:v>
                </c:pt>
                <c:pt idx="1">
                  <c:v>0</c:v>
                </c:pt>
                <c:pt idx="2">
                  <c:v>0</c:v>
                </c:pt>
              </c:numCache>
            </c:numRef>
          </c:val>
        </c:ser>
        <c:ser>
          <c:idx val="4"/>
          <c:order val="4"/>
          <c:tx>
            <c:strRef>
              <c:f>'[Damages Indicators.xlsx]Methods Frequency - both'!$F$52</c:f>
              <c:strCache>
                <c:ptCount val="1"/>
                <c:pt idx="0">
                  <c:v>Undefined</c:v>
                </c:pt>
              </c:strCache>
            </c:strRef>
          </c:tx>
          <c:spPr>
            <a:solidFill>
              <a:schemeClr val="accent5"/>
            </a:solidFill>
            <a:ln>
              <a:noFill/>
            </a:ln>
            <a:effectLst/>
          </c:spPr>
          <c:invertIfNegative val="0"/>
          <c:cat>
            <c:strRef>
              <c:f>'[Damages Indicators.xlsx]Methods Frequency - both'!$G$47:$I$47</c:f>
              <c:strCache>
                <c:ptCount val="3"/>
                <c:pt idx="0">
                  <c:v>France</c:v>
                </c:pt>
                <c:pt idx="1">
                  <c:v>Germany</c:v>
                </c:pt>
                <c:pt idx="2">
                  <c:v>Netherlands</c:v>
                </c:pt>
              </c:strCache>
            </c:strRef>
          </c:cat>
          <c:val>
            <c:numRef>
              <c:f>'[Damages Indicators.xlsx]Methods Frequency - both'!$G$52:$I$52</c:f>
              <c:numCache>
                <c:formatCode>0%</c:formatCode>
                <c:ptCount val="3"/>
                <c:pt idx="0">
                  <c:v>5.3254437869822487E-2</c:v>
                </c:pt>
                <c:pt idx="1">
                  <c:v>0</c:v>
                </c:pt>
                <c:pt idx="2">
                  <c:v>0</c:v>
                </c:pt>
              </c:numCache>
            </c:numRef>
          </c:val>
        </c:ser>
        <c:dLbls>
          <c:showLegendKey val="0"/>
          <c:showVal val="0"/>
          <c:showCatName val="0"/>
          <c:showSerName val="0"/>
          <c:showPercent val="0"/>
          <c:showBubbleSize val="0"/>
        </c:dLbls>
        <c:gapWidth val="150"/>
        <c:overlap val="100"/>
        <c:axId val="382708352"/>
        <c:axId val="382710144"/>
      </c:barChart>
      <c:catAx>
        <c:axId val="382708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charset="0"/>
                <a:ea typeface="Verdana" charset="0"/>
                <a:cs typeface="Verdana" charset="0"/>
              </a:defRPr>
            </a:pPr>
            <a:endParaRPr lang="en-US"/>
          </a:p>
        </c:txPr>
        <c:crossAx val="382710144"/>
        <c:crosses val="autoZero"/>
        <c:auto val="1"/>
        <c:lblAlgn val="ctr"/>
        <c:lblOffset val="100"/>
        <c:noMultiLvlLbl val="0"/>
      </c:catAx>
      <c:valAx>
        <c:axId val="382710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charset="0"/>
                <a:ea typeface="Verdana" charset="0"/>
                <a:cs typeface="Verdana" charset="0"/>
              </a:defRPr>
            </a:pPr>
            <a:endParaRPr lang="en-US"/>
          </a:p>
        </c:txPr>
        <c:crossAx val="382708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erdana" charset="0"/>
              <a:ea typeface="Verdana" charset="0"/>
              <a:cs typeface="Verdana"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Verdana" charset="0"/>
          <a:ea typeface="Verdana" charset="0"/>
          <a:cs typeface="Verdana"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'[Damages Indicators.xlsx]Gap by Method'!$B$6</c:f>
              <c:strCache>
                <c:ptCount val="1"/>
                <c:pt idx="0">
                  <c:v>Awarded damages (%) - mean</c:v>
                </c:pt>
              </c:strCache>
            </c:strRef>
          </c:tx>
          <c:spPr>
            <a:solidFill>
              <a:schemeClr val="accent1"/>
            </a:solidFill>
            <a:ln>
              <a:noFill/>
            </a:ln>
            <a:effectLst/>
          </c:spPr>
          <c:invertIfNegative val="0"/>
          <c:cat>
            <c:strRef>
              <c:f>'[Damages Indicators.xlsx]Gap by Method'!$A$15:$A$19</c:f>
              <c:strCache>
                <c:ptCount val="5"/>
                <c:pt idx="0">
                  <c:v>Loss of Profits</c:v>
                </c:pt>
                <c:pt idx="1">
                  <c:v>Recovery of Profits</c:v>
                </c:pt>
                <c:pt idx="2">
                  <c:v>Reasonable Royalty</c:v>
                </c:pt>
                <c:pt idx="3">
                  <c:v>Non material</c:v>
                </c:pt>
                <c:pt idx="4">
                  <c:v>Undefined</c:v>
                </c:pt>
              </c:strCache>
            </c:strRef>
          </c:cat>
          <c:val>
            <c:numRef>
              <c:f>'[Damages Indicators.xlsx]Gap by Method'!$B$7:$B$11</c:f>
              <c:numCache>
                <c:formatCode>0%</c:formatCode>
                <c:ptCount val="5"/>
                <c:pt idx="0">
                  <c:v>0.42</c:v>
                </c:pt>
                <c:pt idx="1">
                  <c:v>0.54</c:v>
                </c:pt>
                <c:pt idx="2">
                  <c:v>0.41</c:v>
                </c:pt>
                <c:pt idx="3">
                  <c:v>0.27</c:v>
                </c:pt>
                <c:pt idx="4">
                  <c:v>0.32</c:v>
                </c:pt>
              </c:numCache>
            </c:numRef>
          </c:val>
        </c:ser>
        <c:ser>
          <c:idx val="1"/>
          <c:order val="1"/>
          <c:tx>
            <c:strRef>
              <c:f>'[Damages Indicators.xlsx]Gap by Method'!$C$6</c:f>
              <c:strCache>
                <c:ptCount val="1"/>
                <c:pt idx="0">
                  <c:v>Rejected damages (%) - mean</c:v>
                </c:pt>
              </c:strCache>
            </c:strRef>
          </c:tx>
          <c:spPr>
            <a:solidFill>
              <a:schemeClr val="accent2"/>
            </a:solidFill>
            <a:ln>
              <a:noFill/>
            </a:ln>
            <a:effectLst/>
          </c:spPr>
          <c:invertIfNegative val="0"/>
          <c:cat>
            <c:strRef>
              <c:f>'[Damages Indicators.xlsx]Gap by Method'!$A$15:$A$19</c:f>
              <c:strCache>
                <c:ptCount val="5"/>
                <c:pt idx="0">
                  <c:v>Loss of Profits</c:v>
                </c:pt>
                <c:pt idx="1">
                  <c:v>Recovery of Profits</c:v>
                </c:pt>
                <c:pt idx="2">
                  <c:v>Reasonable Royalty</c:v>
                </c:pt>
                <c:pt idx="3">
                  <c:v>Non material</c:v>
                </c:pt>
                <c:pt idx="4">
                  <c:v>Undefined</c:v>
                </c:pt>
              </c:strCache>
            </c:strRef>
          </c:cat>
          <c:val>
            <c:numRef>
              <c:f>'[Damages Indicators.xlsx]Gap by Method'!$C$7:$C$11</c:f>
              <c:numCache>
                <c:formatCode>0%</c:formatCode>
                <c:ptCount val="5"/>
                <c:pt idx="0">
                  <c:v>0.58000000000000007</c:v>
                </c:pt>
                <c:pt idx="1">
                  <c:v>0.45999999999999996</c:v>
                </c:pt>
                <c:pt idx="2">
                  <c:v>0.59000000000000008</c:v>
                </c:pt>
                <c:pt idx="3">
                  <c:v>0.73</c:v>
                </c:pt>
                <c:pt idx="4">
                  <c:v>0.67999999999999994</c:v>
                </c:pt>
              </c:numCache>
            </c:numRef>
          </c:val>
        </c:ser>
        <c:dLbls>
          <c:showLegendKey val="0"/>
          <c:showVal val="0"/>
          <c:showCatName val="0"/>
          <c:showSerName val="0"/>
          <c:showPercent val="0"/>
          <c:showBubbleSize val="0"/>
        </c:dLbls>
        <c:gapWidth val="150"/>
        <c:overlap val="100"/>
        <c:axId val="385237760"/>
        <c:axId val="385239296"/>
      </c:barChart>
      <c:catAx>
        <c:axId val="385237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charset="0"/>
                <a:ea typeface="Verdana" charset="0"/>
                <a:cs typeface="Verdana" charset="0"/>
              </a:defRPr>
            </a:pPr>
            <a:endParaRPr lang="en-US"/>
          </a:p>
        </c:txPr>
        <c:crossAx val="385239296"/>
        <c:crosses val="autoZero"/>
        <c:auto val="1"/>
        <c:lblAlgn val="ctr"/>
        <c:lblOffset val="100"/>
        <c:noMultiLvlLbl val="0"/>
      </c:catAx>
      <c:valAx>
        <c:axId val="3852392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Verdana" charset="0"/>
                <a:ea typeface="Verdana" charset="0"/>
                <a:cs typeface="Verdana" charset="0"/>
              </a:defRPr>
            </a:pPr>
            <a:endParaRPr lang="en-US"/>
          </a:p>
        </c:txPr>
        <c:crossAx val="385237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Verdana" charset="0"/>
              <a:ea typeface="Verdana" charset="0"/>
              <a:cs typeface="Verdana"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Verdana" charset="0"/>
          <a:ea typeface="Verdana" charset="0"/>
          <a:cs typeface="Verdana"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Technopolis DEF">
    <a:dk1>
      <a:sysClr val="windowText" lastClr="000000"/>
    </a:dk1>
    <a:lt1>
      <a:sysClr val="window" lastClr="FFFFFF"/>
    </a:lt1>
    <a:dk2>
      <a:srgbClr val="44546A"/>
    </a:dk2>
    <a:lt2>
      <a:srgbClr val="E7E6E6"/>
    </a:lt2>
    <a:accent1>
      <a:srgbClr val="C3343E"/>
    </a:accent1>
    <a:accent2>
      <a:srgbClr val="00DBD6"/>
    </a:accent2>
    <a:accent3>
      <a:srgbClr val="3F3F3F"/>
    </a:accent3>
    <a:accent4>
      <a:srgbClr val="9D9D9D"/>
    </a:accent4>
    <a:accent5>
      <a:srgbClr val="FFABAB"/>
    </a:accent5>
    <a:accent6>
      <a:srgbClr val="D8D8D8"/>
    </a:accent6>
    <a:hlink>
      <a:srgbClr val="0000FF"/>
    </a:hlink>
    <a:folHlink>
      <a:srgbClr val="800080"/>
    </a:folHlink>
  </a:clrScheme>
  <a:fontScheme name="Georgia">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401EFF5BC5DE4EAACBFCA9B95B44D5" ma:contentTypeVersion="0" ma:contentTypeDescription="Create a new document." ma:contentTypeScope="" ma:versionID="2f48547e9fc6db4fed6fd947be3e993a">
  <xsd:schema xmlns:xsd="http://www.w3.org/2001/XMLSchema" xmlns:xs="http://www.w3.org/2001/XMLSchema" xmlns:p="http://schemas.microsoft.com/office/2006/metadata/properties" targetNamespace="http://schemas.microsoft.com/office/2006/metadata/properties" ma:root="true" ma:fieldsID="f6c3f72e597a0705184f631a63a1ec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065E0-41C9-404D-9E08-D5A4D891B1F7}">
  <ds:schemaRefs>
    <ds:schemaRef ds:uri="http://schemas.microsoft.com/sharepoint/v3/contenttype/forms"/>
  </ds:schemaRefs>
</ds:datastoreItem>
</file>

<file path=customXml/itemProps2.xml><?xml version="1.0" encoding="utf-8"?>
<ds:datastoreItem xmlns:ds="http://schemas.openxmlformats.org/officeDocument/2006/customXml" ds:itemID="{11AA00D9-5D7E-4E0A-B921-B4C432C9A33E}">
  <ds:schemaRefs>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3BB009E-A2C3-460B-BF2C-F535666A8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D8E2E4-569D-43DD-BCCD-F62953684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72</Pages>
  <Words>21173</Words>
  <Characters>149694</Characters>
  <Application>Microsoft Office Word</Application>
  <DocSecurity>0</DocSecurity>
  <Lines>2201</Lines>
  <Paragraphs>412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Manager/>
  <Company/>
  <LinksUpToDate>false</LinksUpToDate>
  <CharactersWithSpaces>170455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17</cp:revision>
  <cp:lastPrinted>2017-11-20T17:02:00Z</cp:lastPrinted>
  <dcterms:created xsi:type="dcterms:W3CDTF">2017-11-21T08:35:00Z</dcterms:created>
  <dcterms:modified xsi:type="dcterms:W3CDTF">2017-11-28T14:59:00Z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0x01010084401EFF5BC5DE4EAACBFCA9B95B44D5</vt:lpwstr>
  </property>
  <property fmtid="{D5CDD505-2E9C-101B-9397-08002B2CF9AE}" pid="3" name="IsMyDocuments">
    <vt:bool>true</vt:bool>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Level of sensitivity">
    <vt:lpwstr>Standard treatment</vt:lpwstr>
  </property>
</Properties>
</file>