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69F" w:rsidRDefault="00B3606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6435467-D66B-4975-8C91-7ECDB336D93A" style="width:451.15pt;height:333.55pt">
            <v:imagedata r:id="rId9" o:title=""/>
          </v:shape>
        </w:pict>
      </w:r>
    </w:p>
    <w:bookmarkEnd w:id="0"/>
    <w:p w:rsidR="0070369F" w:rsidRDefault="0070369F">
      <w:pPr>
        <w:spacing w:line="240" w:lineRule="auto"/>
        <w:rPr>
          <w:rFonts w:ascii="Times New Roman" w:hAnsi="Times New Roman" w:cs="Times New Roman"/>
          <w:noProof/>
          <w:sz w:val="24"/>
          <w:szCs w:val="24"/>
        </w:rPr>
        <w:sectPr w:rsidR="0070369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70369F" w:rsidRDefault="00B36066">
      <w:pPr>
        <w:pStyle w:val="ListParagraph"/>
        <w:numPr>
          <w:ilvl w:val="0"/>
          <w:numId w:val="1"/>
        </w:numPr>
        <w:spacing w:before="360" w:after="240" w:line="240" w:lineRule="auto"/>
        <w:rPr>
          <w:rFonts w:ascii="Times New Roman" w:hAnsi="Times New Roman" w:cs="Times New Roman"/>
          <w:b/>
          <w:noProof/>
          <w:sz w:val="24"/>
          <w:szCs w:val="24"/>
        </w:rPr>
      </w:pPr>
      <w:r>
        <w:rPr>
          <w:rFonts w:ascii="Times New Roman" w:hAnsi="Times New Roman"/>
          <w:b/>
          <w:noProof/>
          <w:sz w:val="24"/>
        </w:rPr>
        <w:lastRenderedPageBreak/>
        <w:t>INTRODUCTION</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droits de propriété intellectuelle (ci-après les «DPI») protègent les biens incorporels, permettant aux créateurs, aux inventeurs et aux artistes de tirer profit de leurs activités créatives et innovatrices. Les biens incorporels représentent plus de l</w:t>
      </w:r>
      <w:r>
        <w:rPr>
          <w:rFonts w:ascii="Times New Roman" w:hAnsi="Times New Roman"/>
          <w:noProof/>
          <w:sz w:val="24"/>
          <w:lang w:val="fr-BE"/>
        </w:rPr>
        <w:t>a moitié de la valeur des entreprises et leur importance va croissante. Dans un monde où les entreprises de l’UE font face à une concurrence accrue en termes d’innovation, de créativité et de qualité, la propriété intellectuelle (ci-après la «PI») est un i</w:t>
      </w:r>
      <w:r>
        <w:rPr>
          <w:rFonts w:ascii="Times New Roman" w:hAnsi="Times New Roman"/>
          <w:noProof/>
          <w:sz w:val="24"/>
          <w:lang w:val="fr-BE"/>
        </w:rPr>
        <w:t xml:space="preserve">nstrument utile pour renforcer la compétitivité de l’ensemble des entreprises, y compris les PME.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2004/48/CE relative au respect des droits de propriété intellectuelle (ci-après la «directive» ou la «directive IPRED»)</w:t>
      </w:r>
      <w:r>
        <w:rPr>
          <w:rStyle w:val="FootnoteReference"/>
          <w:rFonts w:ascii="Times New Roman" w:hAnsi="Times New Roman"/>
          <w:noProof/>
          <w:sz w:val="24"/>
        </w:rPr>
        <w:footnoteReference w:id="1"/>
      </w:r>
      <w:r>
        <w:rPr>
          <w:rFonts w:ascii="Times New Roman" w:hAnsi="Times New Roman"/>
          <w:noProof/>
          <w:sz w:val="24"/>
          <w:lang w:val="fr-BE"/>
        </w:rPr>
        <w:t xml:space="preserve"> prévoit un ensemble min</w:t>
      </w:r>
      <w:r>
        <w:rPr>
          <w:rFonts w:ascii="Times New Roman" w:hAnsi="Times New Roman"/>
          <w:noProof/>
          <w:sz w:val="24"/>
          <w:lang w:val="fr-BE"/>
        </w:rPr>
        <w:t>imal, mais homogène de mesures, de procédures et de réparations permettant de faire respecter efficacement les droits de propriété intellectuelle. L'objectif de la directive IPRED consiste à rapprocher ces législations afin d'assurer un niveau de protectio</w:t>
      </w:r>
      <w:r>
        <w:rPr>
          <w:rFonts w:ascii="Times New Roman" w:hAnsi="Times New Roman"/>
          <w:noProof/>
          <w:sz w:val="24"/>
          <w:lang w:val="fr-BE"/>
        </w:rPr>
        <w:t>n élevé, équivalent et homogène de la propriété intellectuelle sur le marché intérieur</w:t>
      </w:r>
      <w:r>
        <w:rPr>
          <w:rStyle w:val="FootnoteReference"/>
          <w:rFonts w:ascii="Times New Roman" w:hAnsi="Times New Roman"/>
          <w:noProof/>
          <w:sz w:val="24"/>
        </w:rPr>
        <w:footnoteReference w:id="2"/>
      </w:r>
      <w:r>
        <w:rPr>
          <w:rFonts w:ascii="Times New Roman" w:hAnsi="Times New Roman"/>
          <w:noProof/>
          <w:sz w:val="24"/>
          <w:lang w:val="fr-BE"/>
        </w:rPr>
        <w: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L’évaluation de la directive a montré que les mesures, les procédures et les réparations exposées dans la directive IPRED ont effectivement contribué à mieux protéger </w:t>
      </w:r>
      <w:r>
        <w:rPr>
          <w:rFonts w:ascii="Times New Roman" w:hAnsi="Times New Roman"/>
          <w:noProof/>
          <w:sz w:val="24"/>
          <w:lang w:val="fr-BE"/>
        </w:rPr>
        <w:t>les DPI dans l’ensemble de l’UE et à mieux régler les cas d’atteintes aux DPI soumis aux tribunaux civils. La directive a conduit à la création d’un cadre législatif commun prévoyant le recours à un même ensemble d’outils partout dans l’Union. À cet égard,</w:t>
      </w:r>
      <w:r>
        <w:rPr>
          <w:rFonts w:ascii="Times New Roman" w:hAnsi="Times New Roman"/>
          <w:noProof/>
          <w:sz w:val="24"/>
          <w:lang w:val="fr-BE"/>
        </w:rPr>
        <w:t xml:space="preserve"> elle a permis d’atteindre l’objectif de rapprochement des législations des États membres pour les besoins de la mise en œuvre des DPI</w:t>
      </w:r>
      <w:r>
        <w:rPr>
          <w:rStyle w:val="FootnoteReference"/>
          <w:rFonts w:ascii="Times New Roman" w:hAnsi="Times New Roman"/>
          <w:noProof/>
          <w:sz w:val="24"/>
        </w:rPr>
        <w:footnoteReference w:id="3"/>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mesures, procédures et réparations prévues par la directive ne sont toutefois pas mises en œuvre et appliquées de </w:t>
      </w:r>
      <w:r>
        <w:rPr>
          <w:rFonts w:ascii="Times New Roman" w:hAnsi="Times New Roman"/>
          <w:noProof/>
          <w:sz w:val="24"/>
          <w:lang w:val="fr-BE"/>
        </w:rPr>
        <w:t>manière uniforme par les États membres. Ceci s’explique par le fait que la directive prévoit une harmonisation minimale (l’article 2 permet expressément de prévoir des moyens qui sont plus favorables aux titulaires de droits), qu’il n’existe pas d’interpré</w:t>
      </w:r>
      <w:r>
        <w:rPr>
          <w:rFonts w:ascii="Times New Roman" w:hAnsi="Times New Roman"/>
          <w:noProof/>
          <w:sz w:val="24"/>
          <w:lang w:val="fr-BE"/>
        </w:rPr>
        <w:t>tation uniforme des dispositions de la directive et qu’il y a des différences entre les procédures de droit civil et les traditions judiciaires nationales</w:t>
      </w:r>
      <w:r>
        <w:rPr>
          <w:rStyle w:val="FootnoteReference"/>
          <w:rFonts w:ascii="Times New Roman" w:hAnsi="Times New Roman"/>
          <w:noProof/>
          <w:sz w:val="24"/>
        </w:rPr>
        <w:footnoteReference w:id="4"/>
      </w:r>
      <w:r>
        <w:rPr>
          <w:rFonts w:ascii="Times New Roman" w:hAnsi="Times New Roman"/>
          <w:noProof/>
          <w:sz w:val="24"/>
          <w:lang w:val="fr-BE"/>
        </w:rPr>
        <w:t>. Le cadre législatif de l’UE pour l’application au civil des DPI pourrait donc bénéficier de la clar</w:t>
      </w:r>
      <w:r>
        <w:rPr>
          <w:rFonts w:ascii="Times New Roman" w:hAnsi="Times New Roman"/>
          <w:noProof/>
          <w:sz w:val="24"/>
          <w:lang w:val="fr-BE"/>
        </w:rPr>
        <w:t>ification de certains aspects de la directive, de manière à déboucher sur une interprétation et une application plus cohérentes et plus efficaces.</w:t>
      </w:r>
    </w:p>
    <w:p w:rsidR="0070369F" w:rsidRDefault="00B36066">
      <w:pPr>
        <w:spacing w:before="60" w:after="60" w:line="240" w:lineRule="auto"/>
        <w:jc w:val="both"/>
        <w:rPr>
          <w:rFonts w:ascii="Times New Roman" w:hAnsi="Times New Roman" w:cs="Times New Roman"/>
          <w:noProof/>
          <w:sz w:val="24"/>
          <w:szCs w:val="24"/>
          <w:lang w:val="fr-BE"/>
        </w:rPr>
      </w:pPr>
      <w:r>
        <w:rPr>
          <w:rFonts w:ascii="Times New Roman" w:hAnsi="Times New Roman"/>
          <w:noProof/>
          <w:sz w:val="24"/>
          <w:lang w:val="fr-BE"/>
        </w:rPr>
        <w:t>Ceci étant, il est clair aussi que le champ d’application de la directive IPRED, même si elle est appliquée c</w:t>
      </w:r>
      <w:r>
        <w:rPr>
          <w:rFonts w:ascii="Times New Roman" w:hAnsi="Times New Roman"/>
          <w:noProof/>
          <w:sz w:val="24"/>
          <w:lang w:val="fr-BE"/>
        </w:rPr>
        <w:t>onvenablement, ne vise qu’à réglementer les mesures, procédures et réparations permettant de faire respecter au civil les DPI. En tant que telle, la directive IPRED ne permet donc pas de traiter l’ensemble des problèmes observés par les parties prenantes d</w:t>
      </w:r>
      <w:r>
        <w:rPr>
          <w:rFonts w:ascii="Times New Roman" w:hAnsi="Times New Roman"/>
          <w:noProof/>
          <w:sz w:val="24"/>
          <w:lang w:val="fr-BE"/>
        </w:rPr>
        <w:t>ans le cadre de l’évaluation de la directive</w:t>
      </w:r>
      <w:r>
        <w:rPr>
          <w:rStyle w:val="FootnoteReference"/>
          <w:rFonts w:ascii="Times New Roman" w:hAnsi="Times New Roman"/>
          <w:noProof/>
          <w:sz w:val="24"/>
        </w:rPr>
        <w:footnoteReference w:id="5"/>
      </w:r>
      <w:r>
        <w:rPr>
          <w:rFonts w:ascii="Times New Roman" w:hAnsi="Times New Roman"/>
          <w:noProof/>
          <w:sz w:val="24"/>
          <w:lang w:val="fr-BE"/>
        </w:rPr>
        <w:t>, en particulier ceux qui concernent plus généralement la protection des DPI en dehors du cadre des litiges ou préalablement à ceux-ci. Par exemple, certaines parties prenantes souhaiteraient des éclaircissement</w:t>
      </w:r>
      <w:r>
        <w:rPr>
          <w:rFonts w:ascii="Times New Roman" w:hAnsi="Times New Roman"/>
          <w:noProof/>
          <w:sz w:val="24"/>
          <w:lang w:val="fr-BE"/>
        </w:rPr>
        <w:t xml:space="preserve">s ou un réexamen des règles sur </w:t>
      </w:r>
      <w:r>
        <w:rPr>
          <w:rFonts w:ascii="Times New Roman" w:hAnsi="Times New Roman"/>
          <w:noProof/>
          <w:sz w:val="24"/>
          <w:lang w:val="fr-BE"/>
        </w:rPr>
        <w:lastRenderedPageBreak/>
        <w:t>la limitation de la responsabilité des services d’intermédiation, qui est traitée en premier lieu dans la directive sur le commerce électronique</w:t>
      </w:r>
      <w:r>
        <w:rPr>
          <w:rStyle w:val="FootnoteReference"/>
          <w:rFonts w:ascii="Times New Roman" w:hAnsi="Times New Roman"/>
          <w:noProof/>
          <w:sz w:val="24"/>
        </w:rPr>
        <w:footnoteReference w:id="6"/>
      </w:r>
      <w:r>
        <w:rPr>
          <w:rFonts w:ascii="Times New Roman" w:hAnsi="Times New Roman"/>
          <w:noProof/>
          <w:sz w:val="24"/>
          <w:lang w:val="fr-BE"/>
        </w:rPr>
        <w:t>. La Commission a tenu compte du retour d’informations reçu de la part des part</w:t>
      </w:r>
      <w:r>
        <w:rPr>
          <w:rFonts w:ascii="Times New Roman" w:hAnsi="Times New Roman"/>
          <w:noProof/>
          <w:sz w:val="24"/>
          <w:lang w:val="fr-BE"/>
        </w:rPr>
        <w:t>ies prenantes sur cette question et, si elle s’est engagée à maintenir le régime actuel de responsabilité</w:t>
      </w:r>
      <w:r>
        <w:rPr>
          <w:rStyle w:val="FootnoteReference"/>
          <w:rFonts w:ascii="Times New Roman" w:hAnsi="Times New Roman"/>
          <w:noProof/>
          <w:sz w:val="24"/>
        </w:rPr>
        <w:footnoteReference w:id="7"/>
      </w:r>
      <w:r>
        <w:rPr>
          <w:rFonts w:ascii="Times New Roman" w:hAnsi="Times New Roman"/>
          <w:noProof/>
          <w:sz w:val="24"/>
          <w:lang w:val="fr-BE"/>
        </w:rPr>
        <w:t>, elle a aussi – dans une récente initiative – clarifié la responsabilité des intermédiaires en ce qui concerne la détection et la suppression des con</w:t>
      </w:r>
      <w:r>
        <w:rPr>
          <w:rFonts w:ascii="Times New Roman" w:hAnsi="Times New Roman"/>
          <w:noProof/>
          <w:sz w:val="24"/>
          <w:lang w:val="fr-BE"/>
        </w:rPr>
        <w:t>tenus en ligne illicites (y compris les contenus portant atteinte aux DPI)</w:t>
      </w:r>
      <w:r>
        <w:rPr>
          <w:rStyle w:val="FootnoteReference"/>
          <w:rFonts w:ascii="Times New Roman" w:hAnsi="Times New Roman"/>
          <w:noProof/>
          <w:sz w:val="24"/>
        </w:rPr>
        <w:footnoteReference w:id="8"/>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C’est dans ce contexte, et notamment sur la base des réactions des parties prenantes durant l’évaluation de la directive IPRED, que la Commission a décidé de publier les </w:t>
      </w:r>
      <w:r>
        <w:rPr>
          <w:rFonts w:ascii="Times New Roman" w:hAnsi="Times New Roman"/>
          <w:noProof/>
          <w:sz w:val="24"/>
          <w:lang w:val="fr-BE"/>
        </w:rPr>
        <w:t>présentes orientations en vue de clarifier ses vues sur les dispositions de la directive qui ont fait l’objet d’interprétations divergentes</w:t>
      </w:r>
      <w:r>
        <w:rPr>
          <w:rStyle w:val="FootnoteReference"/>
          <w:rFonts w:ascii="Times New Roman" w:hAnsi="Times New Roman"/>
          <w:noProof/>
          <w:sz w:val="24"/>
        </w:rPr>
        <w:footnoteReference w:id="9"/>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présentes orientations font partie intégrante d’un vaste train de mesures concernant les DPI. Les défis liés à l’application des DPI qui ne concernent pas l’interprétation et l’application de ces dispositions, de même que les moyens envisageables pour </w:t>
      </w:r>
      <w:r>
        <w:rPr>
          <w:rFonts w:ascii="Times New Roman" w:hAnsi="Times New Roman"/>
          <w:noProof/>
          <w:sz w:val="24"/>
          <w:lang w:val="fr-BE"/>
        </w:rPr>
        <w:t xml:space="preserve">relever ces défis, sont présentés dans la communication de la Commission intitulée </w:t>
      </w:r>
      <w:r>
        <w:rPr>
          <w:rFonts w:ascii="Times New Roman" w:hAnsi="Times New Roman"/>
          <w:i/>
          <w:noProof/>
          <w:sz w:val="24"/>
          <w:lang w:val="fr-BE"/>
        </w:rPr>
        <w:t>«Un système équilibré d’application des DPI répondant aux défis sociétaux d’aujourd’hui»</w:t>
      </w:r>
      <w:r>
        <w:rPr>
          <w:rFonts w:ascii="Times New Roman" w:hAnsi="Times New Roman"/>
          <w:noProof/>
          <w:sz w:val="24"/>
          <w:lang w:val="fr-BE"/>
        </w:rPr>
        <w:t>, laquelle fait également partie de ce train de mesures</w:t>
      </w:r>
      <w:r>
        <w:rPr>
          <w:rStyle w:val="FootnoteReference"/>
          <w:rFonts w:ascii="Times New Roman" w:hAnsi="Times New Roman"/>
          <w:noProof/>
          <w:sz w:val="24"/>
        </w:rPr>
        <w:footnoteReference w:id="10"/>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présentes orientations</w:t>
      </w:r>
      <w:r>
        <w:rPr>
          <w:rFonts w:ascii="Times New Roman" w:hAnsi="Times New Roman"/>
          <w:noProof/>
          <w:sz w:val="24"/>
          <w:lang w:val="fr-BE"/>
        </w:rPr>
        <w:t xml:space="preserve"> mettent l’accent sur les dispositions suivantes de la directive IPRED:</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champ d’application (articles 1</w:t>
      </w:r>
      <w:r>
        <w:rPr>
          <w:rFonts w:ascii="Times New Roman" w:hAnsi="Times New Roman"/>
          <w:noProof/>
          <w:sz w:val="24"/>
          <w:vertAlign w:val="superscript"/>
          <w:lang w:val="fr-BE"/>
        </w:rPr>
        <w:t>er</w:t>
      </w:r>
      <w:r>
        <w:rPr>
          <w:rFonts w:ascii="Times New Roman" w:hAnsi="Times New Roman"/>
          <w:noProof/>
          <w:sz w:val="24"/>
          <w:lang w:val="fr-BE"/>
        </w:rPr>
        <w:t xml:space="preserve"> et 2)</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objet et obligation générale (article 3)</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personnes ayant qualité pour demander l'application des mesures, procédures et réparations (article 4)</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présomption de la qualité d'auteur ou de titulaire du droit (article 5)</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preuves et éléments de preuve (articles 6 et 7)</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droit d'information (article 8)</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injonctions (articles 9 et 11)</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mesures correctives (article 10)</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dommages-intérêts (articles 13) </w:t>
      </w:r>
    </w:p>
    <w:p w:rsidR="0070369F" w:rsidRDefault="00B36066">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noProof/>
          <w:sz w:val="24"/>
        </w:rPr>
        <w:t>frais d</w:t>
      </w:r>
      <w:r>
        <w:rPr>
          <w:rFonts w:ascii="Times New Roman" w:hAnsi="Times New Roman"/>
          <w:noProof/>
          <w:sz w:val="24"/>
        </w:rPr>
        <w:t xml:space="preserve">e justice (article 14). </w:t>
      </w:r>
    </w:p>
    <w:p w:rsidR="0070369F" w:rsidRDefault="00B36066">
      <w:pPr>
        <w:spacing w:before="120"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présentes orientations visent à faciliter l’interprétation et l’application de la directive par les autorités judiciaires compétentes et les autres parties concernées par la mise en œuvre des DPI dans les procédures soumises au</w:t>
      </w:r>
      <w:r>
        <w:rPr>
          <w:rFonts w:ascii="Times New Roman" w:hAnsi="Times New Roman"/>
          <w:noProof/>
          <w:sz w:val="24"/>
          <w:lang w:val="fr-BE"/>
        </w:rPr>
        <w:t>xdites autorités. Plus précisément, les orientations visent à:</w:t>
      </w:r>
    </w:p>
    <w:p w:rsidR="0070369F" w:rsidRDefault="00B36066">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 améliorer l’efficacité et l’efficience du cadre d’application civile des DPI (partie II), </w:t>
      </w:r>
    </w:p>
    <w:p w:rsidR="0070369F" w:rsidRDefault="00B36066">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assurer une approche équilibrée en matière d’application des DPI et de prévention d’usage abusif d</w:t>
      </w:r>
      <w:r>
        <w:rPr>
          <w:rFonts w:ascii="Times New Roman" w:hAnsi="Times New Roman"/>
          <w:noProof/>
          <w:sz w:val="24"/>
          <w:lang w:val="fr-BE"/>
        </w:rPr>
        <w:t xml:space="preserve">es mesures, procédures et réparations exposées dans la directive (partie III), </w:t>
      </w:r>
    </w:p>
    <w:p w:rsidR="0070369F" w:rsidRDefault="00B36066">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 assurer la bonne application des DPI, y compris dans un environnement numérique (partie IV), </w:t>
      </w:r>
    </w:p>
    <w:p w:rsidR="0070369F" w:rsidRDefault="00B3606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tenir compte de la dimension «marché unique» dans l’application des DPI (parti</w:t>
      </w:r>
      <w:r>
        <w:rPr>
          <w:rFonts w:ascii="Times New Roman" w:hAnsi="Times New Roman"/>
          <w:noProof/>
          <w:sz w:val="24"/>
          <w:lang w:val="fr-BE"/>
        </w:rPr>
        <w:t xml:space="preserve">e V).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lastRenderedPageBreak/>
        <w:t xml:space="preserve">Si les orientations prennent en considération le fait que les mesures, procédures et réparations exposées dans la directive sont accessibles à tous les utilisateurs des systèmes d’application des DPI, elles accordent une attention accrue aux moyens </w:t>
      </w:r>
      <w:r>
        <w:rPr>
          <w:rFonts w:ascii="Times New Roman" w:hAnsi="Times New Roman"/>
          <w:noProof/>
          <w:sz w:val="24"/>
          <w:lang w:val="fr-BE"/>
        </w:rPr>
        <w:t>qui revêtent une importance toute particulière pour les PME. Elles s’intéressent notamment aux règles de calcul des dommages-intérêts et des frais de justice ainsi qu’aux moyens de prévenir les abus.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vues exposées dans les orientations sont basées sur les décisions préjudicielles rendues par la Cour de justice de l’Union européenne (ci-après la «CJUE») depuis l’adoption de la directive et sur les conclusions de l’évaluation de la directive IPRED, y</w:t>
      </w:r>
      <w:r>
        <w:rPr>
          <w:rFonts w:ascii="Times New Roman" w:hAnsi="Times New Roman"/>
          <w:noProof/>
          <w:sz w:val="24"/>
          <w:lang w:val="fr-BE"/>
        </w:rPr>
        <w:t xml:space="preserve"> compris les consultations publiques, ainsi que les meilleures pratiques recensées au niveau national. Ces orientations associent par conséquent une interprétation juridique de référence avec les avis de la Commission qui pourraient servir d’inspiration au</w:t>
      </w:r>
      <w:r>
        <w:rPr>
          <w:rFonts w:ascii="Times New Roman" w:hAnsi="Times New Roman"/>
          <w:noProof/>
          <w:sz w:val="24"/>
          <w:lang w:val="fr-BE"/>
        </w:rPr>
        <w:t xml:space="preserve">x utilisateurs des orientations.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présent document n’est pas juridiquement contraignant et les orientations fournies n’affectent en rien la jurisprudence de la CJUE. Les orientations devraient simplifier l’interprétation de la directive IPRED et, ce fai</w:t>
      </w:r>
      <w:r>
        <w:rPr>
          <w:rFonts w:ascii="Times New Roman" w:hAnsi="Times New Roman"/>
          <w:noProof/>
          <w:sz w:val="24"/>
          <w:lang w:val="fr-BE"/>
        </w:rPr>
        <w:t xml:space="preserve">sant, sensibiliser et contribuer à la politique de mise en œuvre de la Commission au titre de l’article 258 TFUE. </w:t>
      </w:r>
    </w:p>
    <w:p w:rsidR="0070369F" w:rsidRDefault="00B36066">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lang w:val="fr-BE"/>
        </w:rPr>
      </w:pPr>
      <w:r>
        <w:rPr>
          <w:rFonts w:ascii="Times New Roman" w:hAnsi="Times New Roman"/>
          <w:b/>
          <w:noProof/>
          <w:sz w:val="24"/>
          <w:lang w:val="fr-BE"/>
        </w:rPr>
        <w:t>AMÉLIORER L’EFFICACITÉ ET L’EFFICIENCE DU CADRE D’APPLICATION CIVILE DES DPI</w:t>
      </w:r>
    </w:p>
    <w:p w:rsidR="0070369F" w:rsidRDefault="00B36066">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Veiller à une indemnisation appropriée pour le préjudice subi</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w:t>
      </w:r>
      <w:r>
        <w:rPr>
          <w:rFonts w:ascii="Times New Roman" w:hAnsi="Times New Roman"/>
          <w:noProof/>
          <w:sz w:val="24"/>
          <w:lang w:val="fr-BE"/>
        </w:rPr>
        <w:t xml:space="preserve"> montant imprévisible de l’indemnité à accorder et la faible probabilité d’obtenir une indemnisation adéquate en contrepartie du préjudice subi figuraient au nombre des principales raisons invoquées pour expliquer pourquoi les titulaires de droits ne cherc</w:t>
      </w:r>
      <w:r>
        <w:rPr>
          <w:rFonts w:ascii="Times New Roman" w:hAnsi="Times New Roman"/>
          <w:noProof/>
          <w:sz w:val="24"/>
          <w:lang w:val="fr-BE"/>
        </w:rPr>
        <w:t>hent pas à obtenir gain de cause par une procédure au civil en cas d’atteinte aux DPI</w:t>
      </w:r>
      <w:r>
        <w:rPr>
          <w:rStyle w:val="FootnoteReference"/>
          <w:rFonts w:ascii="Times New Roman" w:hAnsi="Times New Roman"/>
          <w:noProof/>
          <w:sz w:val="24"/>
        </w:rPr>
        <w:footnoteReference w:id="11"/>
      </w:r>
      <w:r>
        <w:rPr>
          <w:rFonts w:ascii="Times New Roman" w:hAnsi="Times New Roman"/>
          <w:noProof/>
          <w:sz w:val="24"/>
          <w:lang w:val="fr-BE"/>
        </w:rPr>
        <w:t>. Cet aspect revêt une importance particulière pour les PME</w:t>
      </w:r>
      <w:r>
        <w:rPr>
          <w:rStyle w:val="FootnoteReference"/>
          <w:rFonts w:ascii="Times New Roman" w:hAnsi="Times New Roman"/>
          <w:noProof/>
          <w:sz w:val="24"/>
        </w:rPr>
        <w:footnoteReference w:id="12"/>
      </w:r>
      <w:r>
        <w:rPr>
          <w:rFonts w:ascii="Times New Roman" w:hAnsi="Times New Roman"/>
          <w:noProof/>
          <w:sz w:val="24"/>
          <w:lang w:val="fr-BE"/>
        </w:rPr>
        <w: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pratique, l’évaluation des dommages subis lors d’une atteinte aux DPI peut s’avérer difficile. De ce fait</w:t>
      </w:r>
      <w:r>
        <w:rPr>
          <w:rFonts w:ascii="Times New Roman" w:hAnsi="Times New Roman"/>
          <w:noProof/>
          <w:sz w:val="24"/>
          <w:lang w:val="fr-BE"/>
        </w:rPr>
        <w:t>, les titulaires de droits, les services judiciaires, les professionnels du droit et le public ont demandé davantage de clarté dans le calcul des dommages-intérêts, de même qu’une répartition plus équitable des sommes octroyées.</w:t>
      </w:r>
    </w:p>
    <w:p w:rsidR="0070369F" w:rsidRDefault="00B36066">
      <w:pPr>
        <w:autoSpaceDE w:val="0"/>
        <w:autoSpaceDN w:val="0"/>
        <w:adjustRightInd w:val="0"/>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Calcul des dommages et inté</w:t>
      </w:r>
      <w:r>
        <w:rPr>
          <w:rFonts w:ascii="Times New Roman" w:hAnsi="Times New Roman"/>
          <w:b/>
          <w:i/>
          <w:noProof/>
          <w:sz w:val="24"/>
          <w:lang w:val="fr-BE"/>
        </w:rPr>
        <w:t xml:space="preserve">rêts </w:t>
      </w:r>
    </w:p>
    <w:p w:rsidR="0070369F" w:rsidRDefault="00B36066">
      <w:pPr>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Conformément à l’article 13, paragraphe 1, de la directive, les États membres sont tenus de permettre aux autorités judiciaires compétentes d’ordonner au contrevenant qui s'est livré à une activité contrefaisante en le sachant ou en ayant des motifs </w:t>
      </w:r>
      <w:r>
        <w:rPr>
          <w:rFonts w:ascii="Times New Roman" w:hAnsi="Times New Roman"/>
          <w:noProof/>
          <w:sz w:val="24"/>
          <w:lang w:val="fr-BE"/>
        </w:rPr>
        <w:t>raisonnables de le savoir de verser au titulaire du droit des dommages-intérêts adaptés au préjudice que celui-ci a réellement subi du fait de l'atteinte. Lorsque le contrevenant s'est livré à une activité contrefaisante sans le savoir ou sans avoir de mot</w:t>
      </w:r>
      <w:r>
        <w:rPr>
          <w:rFonts w:ascii="Times New Roman" w:hAnsi="Times New Roman"/>
          <w:noProof/>
          <w:sz w:val="24"/>
          <w:lang w:val="fr-BE"/>
        </w:rPr>
        <w:t>ifs raisonnables de le savoir, les États membres peuvent prévoir que les autorités judiciaires pourront ordonner le recouvrement des bénéfices ou le paiement de dommages-intérêts susceptibles d'être préétablis (article 13, paragraphe 2).</w:t>
      </w:r>
    </w:p>
    <w:p w:rsidR="0070369F" w:rsidRDefault="00B36066">
      <w:pPr>
        <w:spacing w:before="120"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Selon l’article 13</w:t>
      </w:r>
      <w:r>
        <w:rPr>
          <w:rFonts w:ascii="Times New Roman" w:hAnsi="Times New Roman"/>
          <w:noProof/>
          <w:sz w:val="24"/>
          <w:lang w:val="fr-BE"/>
        </w:rPr>
        <w:t>, paragraphe 1, les dommages-intérêts doivent être adaptés au préjudice réellement subi du fait de l'atteinte. L’objectif est de réparer ce préjudice dans son intégralité</w:t>
      </w:r>
      <w:r>
        <w:rPr>
          <w:rStyle w:val="FootnoteReference"/>
          <w:rFonts w:ascii="Times New Roman" w:hAnsi="Times New Roman"/>
          <w:noProof/>
          <w:sz w:val="24"/>
        </w:rPr>
        <w:footnoteReference w:id="13"/>
      </w:r>
      <w:r>
        <w:rPr>
          <w:rFonts w:ascii="Times New Roman" w:hAnsi="Times New Roman"/>
          <w:noProof/>
          <w:sz w:val="24"/>
          <w:lang w:val="fr-BE"/>
        </w:rPr>
        <w:t xml:space="preserve">. </w:t>
      </w:r>
    </w:p>
    <w:p w:rsidR="0070369F" w:rsidRDefault="00B36066">
      <w:pPr>
        <w:spacing w:before="120" w:after="0" w:line="240" w:lineRule="auto"/>
        <w:jc w:val="both"/>
        <w:rPr>
          <w:rFonts w:ascii="Times New Roman" w:hAnsi="Times New Roman" w:cs="Times New Roman"/>
          <w:noProof/>
          <w:sz w:val="24"/>
          <w:szCs w:val="24"/>
        </w:rPr>
      </w:pPr>
      <w:r>
        <w:rPr>
          <w:rFonts w:ascii="Times New Roman" w:hAnsi="Times New Roman"/>
          <w:noProof/>
          <w:sz w:val="24"/>
          <w:lang w:val="fr-BE"/>
        </w:rPr>
        <w:t xml:space="preserve">La directive prévoit deux possibilités d’indemnisation pour de tels dommages. </w:t>
      </w:r>
      <w:r>
        <w:rPr>
          <w:rFonts w:ascii="Times New Roman" w:hAnsi="Times New Roman"/>
          <w:noProof/>
          <w:sz w:val="24"/>
        </w:rPr>
        <w:t>Leur</w:t>
      </w:r>
      <w:r>
        <w:rPr>
          <w:rFonts w:ascii="Times New Roman" w:hAnsi="Times New Roman"/>
          <w:noProof/>
          <w:sz w:val="24"/>
        </w:rPr>
        <w:t xml:space="preserve"> montant peut être déterminé par les autorités judiciaires: </w:t>
      </w:r>
    </w:p>
    <w:p w:rsidR="0070369F" w:rsidRDefault="00B36066">
      <w:pPr>
        <w:pStyle w:val="ListParagraph"/>
        <w:numPr>
          <w:ilvl w:val="0"/>
          <w:numId w:val="12"/>
        </w:numPr>
        <w:tabs>
          <w:tab w:val="left" w:pos="284"/>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en prenant en considération tous les aspects appropriés tels que les conséquences économiques négatives, notamment le manque à gagner, subies par la partie lésée, les bénéfices injustement réalis</w:t>
      </w:r>
      <w:r>
        <w:rPr>
          <w:rFonts w:ascii="Times New Roman" w:hAnsi="Times New Roman"/>
          <w:noProof/>
          <w:sz w:val="24"/>
          <w:lang w:val="fr-BE"/>
        </w:rPr>
        <w:t>és par le contrevenant et, le cas échéant, des éléments autres que des facteurs économiques, comme le préjudice moral causé au titulaire du droit du fait de l'atteinte [article 13, paragraphe 1, point a)],</w:t>
      </w:r>
    </w:p>
    <w:p w:rsidR="0070369F" w:rsidRDefault="00B36066">
      <w:pPr>
        <w:pStyle w:val="ListParagraph"/>
        <w:numPr>
          <w:ilvl w:val="0"/>
          <w:numId w:val="12"/>
        </w:numPr>
        <w:tabs>
          <w:tab w:val="left" w:pos="284"/>
        </w:tabs>
        <w:spacing w:after="12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à titre d'alternative, en décidant, le cas </w:t>
      </w:r>
      <w:r>
        <w:rPr>
          <w:rFonts w:ascii="Times New Roman" w:hAnsi="Times New Roman"/>
          <w:noProof/>
          <w:sz w:val="24"/>
          <w:lang w:val="fr-BE"/>
        </w:rPr>
        <w:t>échéant, de fixer un montant forfaitaire pour les dommages-intérêts, sur la base d'éléments tels que –au minimum – le montant des redevances ou droits qui auraient été dus si le contrevenant avait demandé l'autorisation d'utiliser le droit de propriété int</w:t>
      </w:r>
      <w:r>
        <w:rPr>
          <w:rFonts w:ascii="Times New Roman" w:hAnsi="Times New Roman"/>
          <w:noProof/>
          <w:sz w:val="24"/>
          <w:lang w:val="fr-BE"/>
        </w:rPr>
        <w:t>ellectuelle en question [article 13, paragraphe 1, point b)].</w:t>
      </w:r>
    </w:p>
    <w:p w:rsidR="0070369F" w:rsidRDefault="00B36066">
      <w:pPr>
        <w:pStyle w:val="ListParagraph"/>
        <w:tabs>
          <w:tab w:val="left" w:pos="284"/>
        </w:tabs>
        <w:spacing w:before="120" w:after="12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Le but de cette disposition consiste non pas à introduire une obligation de dommages-intérêts punitifs, mais à permettre un dédommagement fondé sur une base objective tout en tenant compte des f</w:t>
      </w:r>
      <w:r>
        <w:rPr>
          <w:rFonts w:ascii="Times New Roman" w:hAnsi="Times New Roman"/>
          <w:noProof/>
          <w:sz w:val="24"/>
          <w:lang w:val="fr-BE"/>
        </w:rPr>
        <w:t>rais encourus par le titulaire du droit, notamment les frais de recherche et d'identification</w:t>
      </w:r>
      <w:r>
        <w:rPr>
          <w:rStyle w:val="FootnoteReference"/>
          <w:rFonts w:ascii="Times New Roman" w:hAnsi="Times New Roman"/>
          <w:noProof/>
          <w:sz w:val="24"/>
        </w:rPr>
        <w:footnoteReference w:id="14"/>
      </w:r>
      <w:r>
        <w:rPr>
          <w:rFonts w:ascii="Times New Roman" w:hAnsi="Times New Roman"/>
          <w:noProof/>
          <w:sz w:val="24"/>
          <w:lang w:val="fr-BE"/>
        </w:rPr>
        <w:t xml:space="preserve">. </w:t>
      </w:r>
    </w:p>
    <w:p w:rsidR="0070369F" w:rsidRDefault="00B36066">
      <w:pPr>
        <w:pStyle w:val="ListParagraph"/>
        <w:tabs>
          <w:tab w:val="left" w:pos="284"/>
        </w:tabs>
        <w:spacing w:before="120" w:after="12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 libellé de l’article 13, paragraphe 1, de la directive IPRED indique que les États membres sont tenus de veiller à ce que les deux méthodes de fixation des </w:t>
      </w:r>
      <w:r>
        <w:rPr>
          <w:rFonts w:ascii="Times New Roman" w:hAnsi="Times New Roman"/>
          <w:noProof/>
          <w:sz w:val="24"/>
          <w:lang w:val="fr-BE"/>
        </w:rPr>
        <w:t>dommages-intérêts établies dans cette disposition se reflètent dans le droit national. À la différence de l’article 13, paragraphe 2, il n’y a donc pas deux options pour les États membres; en fait, il appartient au demandeur et, en dernier ressort, à l’aut</w:t>
      </w:r>
      <w:r>
        <w:rPr>
          <w:rFonts w:ascii="Times New Roman" w:hAnsi="Times New Roman"/>
          <w:noProof/>
          <w:sz w:val="24"/>
          <w:lang w:val="fr-BE"/>
        </w:rPr>
        <w:t xml:space="preserve">orité judiciaire compétente de décider laquelle de ces deux méthodes doit être appliquée pour fixer le montant des dommages-intérêts dans un cas donné. </w:t>
      </w:r>
    </w:p>
    <w:p w:rsidR="0070369F" w:rsidRDefault="00B36066">
      <w:pPr>
        <w:pStyle w:val="ListParagraph"/>
        <w:tabs>
          <w:tab w:val="left" w:pos="284"/>
        </w:tabs>
        <w:spacing w:before="120" w:after="12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Lorsqu’il y a lieu de choisir entre deux méthodes dans un cas donné, le libellé de l’article 13, paragr</w:t>
      </w:r>
      <w:r>
        <w:rPr>
          <w:rFonts w:ascii="Times New Roman" w:hAnsi="Times New Roman"/>
          <w:noProof/>
          <w:sz w:val="24"/>
          <w:lang w:val="fr-BE"/>
        </w:rPr>
        <w:t>aphe 1, indique que, «dans des cas appropriés», il faudrait appliquer la méthode du montant forfaitaire des dommages-intérêts, laquelle est visée au point b) dudit paragraphe. Le considérant 26 de la directive IPRED donne un exemple, à savoir celui des sit</w:t>
      </w:r>
      <w:r>
        <w:rPr>
          <w:rFonts w:ascii="Times New Roman" w:hAnsi="Times New Roman"/>
          <w:noProof/>
          <w:sz w:val="24"/>
          <w:lang w:val="fr-BE"/>
        </w:rPr>
        <w:t>uations dans lesquelles il serait difficile de déterminer le montant du préjudice véritablement subi. Il a été rapporté</w:t>
      </w:r>
      <w:r>
        <w:rPr>
          <w:rStyle w:val="FootnoteReference"/>
          <w:rFonts w:ascii="Times New Roman" w:hAnsi="Times New Roman"/>
          <w:noProof/>
          <w:sz w:val="24"/>
        </w:rPr>
        <w:footnoteReference w:id="15"/>
      </w:r>
      <w:r>
        <w:rPr>
          <w:rFonts w:ascii="Times New Roman" w:hAnsi="Times New Roman"/>
          <w:noProof/>
          <w:sz w:val="24"/>
          <w:lang w:val="fr-BE"/>
        </w:rPr>
        <w:t xml:space="preserve"> que, dans certains cas, les règles nationales applicables ne permettent aux requérants de solliciter le calcul de dommages-intérêts en </w:t>
      </w:r>
      <w:r>
        <w:rPr>
          <w:rFonts w:ascii="Times New Roman" w:hAnsi="Times New Roman"/>
          <w:noProof/>
          <w:sz w:val="24"/>
          <w:lang w:val="fr-BE"/>
        </w:rPr>
        <w:t>application de cette méthode que s’il est impossible de recourir à la méthode visée au point a). De l’avis de la Commission, une telle interprétation n’est pas conforme à la directive, étant donné que le considérant 26 ne mentionne ce cas qu’à titre d’exem</w:t>
      </w:r>
      <w:r>
        <w:rPr>
          <w:rFonts w:ascii="Times New Roman" w:hAnsi="Times New Roman"/>
          <w:noProof/>
          <w:sz w:val="24"/>
          <w:lang w:val="fr-BE"/>
        </w:rPr>
        <w:t>ple et qu’il renvoie également au fait que le recours à l’autre méthode est difficile, mais pas impossible. Au vu du considérant 17, des exigences générales de l’article 3, y compris en ce qui concerne l’efficacité et la proportionnalité, ainsi que de l’ob</w:t>
      </w:r>
      <w:r>
        <w:rPr>
          <w:rFonts w:ascii="Times New Roman" w:hAnsi="Times New Roman"/>
          <w:noProof/>
          <w:sz w:val="24"/>
          <w:lang w:val="fr-BE"/>
        </w:rPr>
        <w:t>jectif consistant à permettre une indemnisation basée sur un critère objectif, il conviendrait de déterminer s’il y a lieu d’appliquer la méthode du versement forfaitaire en se basant sur les circonstances de chaque cas particulier.</w:t>
      </w:r>
    </w:p>
    <w:p w:rsidR="0070369F" w:rsidRDefault="00B36066">
      <w:pPr>
        <w:pStyle w:val="ListParagraph"/>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De l’avis de la Commiss</w:t>
      </w:r>
      <w:r>
        <w:rPr>
          <w:rFonts w:ascii="Times New Roman" w:hAnsi="Times New Roman"/>
          <w:noProof/>
          <w:sz w:val="24"/>
          <w:lang w:val="fr-BE"/>
        </w:rPr>
        <w:t>ion, la possibilité de verser des dommages-intérêts sur la base d’un montant forfaitaire conformément à l’article 13, paragraphe 1, point b), constitue une solution de substitution à la méthode, exposée à l’article 13, paragraphe 1, point a), qui nécessite</w:t>
      </w:r>
      <w:r>
        <w:rPr>
          <w:rFonts w:ascii="Times New Roman" w:hAnsi="Times New Roman"/>
          <w:noProof/>
          <w:sz w:val="24"/>
          <w:lang w:val="fr-BE"/>
        </w:rPr>
        <w:t xml:space="preserve"> l’identification et la quantification de tous les aspects appropriés, et les autorités judiciaires compétentes devraient en principe avoir la possibilité d’appliquer l'une ou l'autre de ces deux méthodes. Ce mêmes autorités devraient être en mesure d’acco</w:t>
      </w:r>
      <w:r>
        <w:rPr>
          <w:rFonts w:ascii="Times New Roman" w:hAnsi="Times New Roman"/>
          <w:noProof/>
          <w:sz w:val="24"/>
          <w:lang w:val="fr-BE"/>
        </w:rPr>
        <w:t>rder des dommages-intérêts fixés sur la base d’une somme forfaitaire au titre du point b) lorsqu’elles considèrent qu’il s’agit là d’une solution appropriée à la lumière des circonstances du cas particulier qui leur est soumis, notamment lorsqu’il est diff</w:t>
      </w:r>
      <w:r>
        <w:rPr>
          <w:rFonts w:ascii="Times New Roman" w:hAnsi="Times New Roman"/>
          <w:noProof/>
          <w:sz w:val="24"/>
          <w:lang w:val="fr-BE"/>
        </w:rPr>
        <w:t xml:space="preserve">icile de fixer le montant des dommages-intérêts sur la base de la méthode exposée au point a). </w:t>
      </w:r>
    </w:p>
    <w:p w:rsidR="0070369F" w:rsidRDefault="00B36066">
      <w:pPr>
        <w:autoSpaceDE w:val="0"/>
        <w:autoSpaceDN w:val="0"/>
        <w:adjustRightInd w:val="0"/>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Dommages-intérêts pour préjudice moral</w:t>
      </w:r>
    </w:p>
    <w:p w:rsidR="0070369F" w:rsidRDefault="00B36066">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Une difficulté a été signalée en ce qui concerne le calcul des dommages-intérêts lorsqu’il est possible d’obtenir une ind</w:t>
      </w:r>
      <w:r>
        <w:rPr>
          <w:rFonts w:ascii="Times New Roman" w:hAnsi="Times New Roman"/>
          <w:noProof/>
          <w:sz w:val="24"/>
          <w:lang w:val="fr-BE"/>
        </w:rPr>
        <w:t>emnisation pour le préjudice moral subi</w:t>
      </w:r>
      <w:r>
        <w:rPr>
          <w:rStyle w:val="FootnoteReference"/>
          <w:rFonts w:ascii="Times New Roman" w:hAnsi="Times New Roman"/>
          <w:noProof/>
          <w:sz w:val="24"/>
        </w:rPr>
        <w:footnoteReference w:id="16"/>
      </w:r>
      <w:r>
        <w:rPr>
          <w:rFonts w:ascii="Times New Roman" w:hAnsi="Times New Roman"/>
          <w:noProof/>
          <w:sz w:val="24"/>
          <w:lang w:val="fr-BE"/>
        </w:rPr>
        <w:t>. Au nombre des exemples de dommages-intérêts réclamés pour préjudice moral figurent des cas dans lesquels le préjudice portait sur la réputation du titulaire du droit, le stress émotionnel subi, une souffrance indui</w:t>
      </w:r>
      <w:r>
        <w:rPr>
          <w:rFonts w:ascii="Times New Roman" w:hAnsi="Times New Roman"/>
          <w:noProof/>
          <w:sz w:val="24"/>
          <w:lang w:val="fr-BE"/>
        </w:rPr>
        <w:t>te par une infraction, etc.</w:t>
      </w:r>
      <w:r>
        <w:rPr>
          <w:rStyle w:val="FootnoteReference"/>
          <w:rFonts w:ascii="Times New Roman" w:hAnsi="Times New Roman"/>
          <w:noProof/>
          <w:sz w:val="24"/>
        </w:rPr>
        <w:footnoteReference w:id="17"/>
      </w:r>
      <w:r>
        <w:rPr>
          <w:noProof/>
          <w:lang w:val="fr-BE"/>
        </w:rPr>
        <w:t>.</w:t>
      </w:r>
    </w:p>
    <w:p w:rsidR="0070369F" w:rsidRDefault="00B36066">
      <w:pPr>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À cet égard, l’article 13, paragraphe 1, point a), de la directive IPRED est clair, dans la mesure où il mentionne expressément le fait que des éléments autres que des facteurs économiques, tels que le préjudice moral subi par le titulaire du droit, peuven</w:t>
      </w:r>
      <w:r>
        <w:rPr>
          <w:rFonts w:ascii="Times New Roman" w:hAnsi="Times New Roman"/>
          <w:noProof/>
          <w:sz w:val="24"/>
          <w:lang w:val="fr-BE"/>
        </w:rPr>
        <w:t xml:space="preserve">t constituer des «aspects appropriés» à prendre en compte pour fixer le montant des dommages-intérêts conformément à la méthode prévue dans ladite disposition.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13, paragraphe 1, point b), de la directive IPRED ne mentionne pas expressément la po</w:t>
      </w:r>
      <w:r>
        <w:rPr>
          <w:rFonts w:ascii="Times New Roman" w:hAnsi="Times New Roman"/>
          <w:noProof/>
          <w:sz w:val="24"/>
          <w:lang w:val="fr-BE"/>
        </w:rPr>
        <w:t>ssibilité d’une indemnisation de préjudice moral lors du calcul des dommages-intérêts conformément à la méthode du montant forfaitaire. Toutefois, la CJUE a indiqué</w:t>
      </w:r>
      <w:r>
        <w:rPr>
          <w:rStyle w:val="FootnoteReference"/>
          <w:rFonts w:ascii="Times New Roman" w:hAnsi="Times New Roman"/>
          <w:noProof/>
          <w:sz w:val="24"/>
        </w:rPr>
        <w:footnoteReference w:id="18"/>
      </w:r>
      <w:r>
        <w:rPr>
          <w:rFonts w:ascii="Times New Roman" w:hAnsi="Times New Roman"/>
          <w:noProof/>
          <w:sz w:val="24"/>
          <w:lang w:val="fr-BE"/>
        </w:rPr>
        <w:t xml:space="preserve"> que cette disposition ne s’opposait pas non plus à l’octroi d’une telle indemnisation et q</w:t>
      </w:r>
      <w:r>
        <w:rPr>
          <w:rFonts w:ascii="Times New Roman" w:hAnsi="Times New Roman"/>
          <w:noProof/>
          <w:sz w:val="24"/>
          <w:lang w:val="fr-BE"/>
        </w:rPr>
        <w:t xml:space="preserve">u’il est en fait obligatoire de tenir compte du préjudice moral subi lors du calcul du montant forfaitaire de l’indemnité en vue d’atteindre l’objectif de réparation intégrale du préjudice réellement subi.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Une partie qui a subi un préjudice pour atteinte </w:t>
      </w:r>
      <w:r>
        <w:rPr>
          <w:rFonts w:ascii="Times New Roman" w:hAnsi="Times New Roman"/>
          <w:noProof/>
          <w:sz w:val="24"/>
          <w:lang w:val="fr-BE"/>
        </w:rPr>
        <w:t>aux DPI et qui introduit une demande de dommages-intérêts, fixée conformément à la méthode du montant forfaitaire visée à l’article 13, paragraphe 1, point b), de la directive IPRED, peut demander et, le cas échéant, se voir accorder, non seulement l’indem</w:t>
      </w:r>
      <w:r>
        <w:rPr>
          <w:rFonts w:ascii="Times New Roman" w:hAnsi="Times New Roman"/>
          <w:noProof/>
          <w:sz w:val="24"/>
          <w:lang w:val="fr-BE"/>
        </w:rPr>
        <w:t>nisation des dommages matériels subis, mais aussi du préjudice moral causé par cette atteinte.</w:t>
      </w:r>
    </w:p>
    <w:p w:rsidR="0070369F" w:rsidRDefault="00B36066">
      <w:pPr>
        <w:pStyle w:val="ListParagraph"/>
        <w:tabs>
          <w:tab w:val="left" w:pos="284"/>
        </w:tabs>
        <w:spacing w:before="120" w:after="120" w:line="240" w:lineRule="auto"/>
        <w:ind w:left="0"/>
        <w:contextualSpacing w:val="0"/>
        <w:jc w:val="both"/>
        <w:rPr>
          <w:rFonts w:ascii="Times New Roman" w:hAnsi="Times New Roman" w:cs="Times New Roman"/>
          <w:b/>
          <w:i/>
          <w:noProof/>
          <w:sz w:val="24"/>
          <w:szCs w:val="24"/>
          <w:lang w:val="fr-BE"/>
        </w:rPr>
      </w:pPr>
      <w:r>
        <w:rPr>
          <w:rFonts w:ascii="Times New Roman" w:hAnsi="Times New Roman"/>
          <w:b/>
          <w:i/>
          <w:noProof/>
          <w:sz w:val="24"/>
          <w:lang w:val="fr-BE"/>
        </w:rPr>
        <w:t>Montant forfaitaire de dommages-intérêts</w:t>
      </w:r>
    </w:p>
    <w:p w:rsidR="0070369F" w:rsidRDefault="00B36066">
      <w:pPr>
        <w:pStyle w:val="ListParagraph"/>
        <w:tabs>
          <w:tab w:val="left" w:pos="284"/>
        </w:tabs>
        <w:spacing w:after="12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L’évaluation IPRED mentionne que des difficultés ont été rencontrées en ce qui concerne le calcul des dommages-intérêts </w:t>
      </w:r>
      <w:r>
        <w:rPr>
          <w:rFonts w:ascii="Times New Roman" w:hAnsi="Times New Roman"/>
          <w:noProof/>
          <w:sz w:val="24"/>
          <w:lang w:val="fr-BE"/>
        </w:rPr>
        <w:t>sur la base de la méthode visée à l’article 13, paragraphe 1, point b)</w:t>
      </w:r>
      <w:r>
        <w:rPr>
          <w:rStyle w:val="FootnoteReference"/>
          <w:rFonts w:ascii="Times New Roman" w:hAnsi="Times New Roman"/>
          <w:noProof/>
          <w:sz w:val="24"/>
        </w:rPr>
        <w:footnoteReference w:id="19"/>
      </w:r>
      <w:r>
        <w:rPr>
          <w:rFonts w:ascii="Times New Roman" w:hAnsi="Times New Roman"/>
          <w:noProof/>
          <w:sz w:val="24"/>
          <w:lang w:val="fr-BE"/>
        </w:rPr>
        <w:t>. En particulier, il a été affirmé que l’octroi de dommages-intérêts correspondant au montant unique de la redevance ou du droit n’était pas suffisant pour compenser le préjudice réelle</w:t>
      </w:r>
      <w:r>
        <w:rPr>
          <w:rFonts w:ascii="Times New Roman" w:hAnsi="Times New Roman"/>
          <w:noProof/>
          <w:sz w:val="24"/>
          <w:lang w:val="fr-BE"/>
        </w:rPr>
        <w:t>ment subi et n’avait pas d’effet suffisamment dissuasif. Dans ce contexte, la question a été posée de savoir si la directive prévoit la possibilité d’accorder des dommages-intérêts correspondant à un multiple de la redevance ou du droit hypothétique.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Dans </w:t>
      </w:r>
      <w:r>
        <w:rPr>
          <w:rFonts w:ascii="Times New Roman" w:hAnsi="Times New Roman"/>
          <w:noProof/>
          <w:sz w:val="24"/>
          <w:lang w:val="fr-BE"/>
        </w:rPr>
        <w:t>une affaire récente</w:t>
      </w:r>
      <w:r>
        <w:rPr>
          <w:rStyle w:val="FootnoteReference"/>
          <w:rFonts w:ascii="Times New Roman" w:hAnsi="Times New Roman"/>
          <w:noProof/>
          <w:sz w:val="24"/>
        </w:rPr>
        <w:footnoteReference w:id="20"/>
      </w:r>
      <w:r>
        <w:rPr>
          <w:rFonts w:ascii="Times New Roman" w:hAnsi="Times New Roman"/>
          <w:noProof/>
          <w:sz w:val="24"/>
          <w:lang w:val="fr-BE"/>
        </w:rPr>
        <w:t>, la CJUE a indiqué qu’un titulaire des droits économiques liés à des droits d’auteur qui ont été bafoués pouvait demander à la personne qui a porté atteinte à ces droits de l’indemniser pour les pertes occasionnées en versant une somme</w:t>
      </w:r>
      <w:r>
        <w:rPr>
          <w:rFonts w:ascii="Times New Roman" w:hAnsi="Times New Roman"/>
          <w:noProof/>
          <w:sz w:val="24"/>
          <w:lang w:val="fr-BE"/>
        </w:rPr>
        <w:t xml:space="preserve"> correspondant au double du montant d’une redevance ou d’un droit hypothétique, dans les cas où le droit national applicable prévoit une telle possibilité. La CJUE a en outre expliqué qu’en cas d’atteinte à un DPI, le simple paiement d’une redevance hypoth</w:t>
      </w:r>
      <w:r>
        <w:rPr>
          <w:rFonts w:ascii="Times New Roman" w:hAnsi="Times New Roman"/>
          <w:noProof/>
          <w:sz w:val="24"/>
          <w:lang w:val="fr-BE"/>
        </w:rPr>
        <w:t>étique ne garantissait pas l’indemnisation de l’ensemble du préjudice réellement subi. En effet, le paiement d’une redevance hypothétique ne permettait pas, en tant que tel, de rembourser l’ensemble des frais liés à la recherche et à l’identification d’éve</w:t>
      </w:r>
      <w:r>
        <w:rPr>
          <w:rFonts w:ascii="Times New Roman" w:hAnsi="Times New Roman"/>
          <w:noProof/>
          <w:sz w:val="24"/>
          <w:lang w:val="fr-BE"/>
        </w:rPr>
        <w:t>ntuelles atteintes aux DPI, à l’indemnisation du préjudice moral éventuellement subi ou au paiement d’intérêts sur le montant dû</w:t>
      </w:r>
      <w:r>
        <w:rPr>
          <w:rStyle w:val="FootnoteReference"/>
          <w:rFonts w:ascii="Times New Roman" w:hAnsi="Times New Roman"/>
          <w:noProof/>
          <w:sz w:val="24"/>
        </w:rPr>
        <w:footnoteReference w:id="21"/>
      </w:r>
      <w:r>
        <w:rPr>
          <w:rFonts w:ascii="Times New Roman" w:hAnsi="Times New Roman"/>
          <w:noProof/>
          <w:sz w:val="24"/>
          <w:lang w:val="fr-BE"/>
        </w:rPr>
        <w:t>. La Cour a précisé dans cette affaire que le recours à la méthode du montant forfaitaire signifiait obligatoirement que les do</w:t>
      </w:r>
      <w:r>
        <w:rPr>
          <w:rFonts w:ascii="Times New Roman" w:hAnsi="Times New Roman"/>
          <w:noProof/>
          <w:sz w:val="24"/>
          <w:lang w:val="fr-BE"/>
        </w:rPr>
        <w:t>mmages-intérêts ainsi fixés ne seront pas forcément proportionnels à la perte réellement occasionnée et que l’exigence de causalité ne doit pas être interprétée et appliquée de manière trop stricte à cet égard</w:t>
      </w:r>
      <w:r>
        <w:rPr>
          <w:rStyle w:val="FootnoteReference"/>
          <w:rFonts w:ascii="Times New Roman" w:hAnsi="Times New Roman"/>
          <w:noProof/>
          <w:sz w:val="24"/>
        </w:rPr>
        <w:footnoteReference w:id="22"/>
      </w:r>
      <w:r>
        <w:rPr>
          <w:rFonts w:ascii="Times New Roman" w:hAnsi="Times New Roman"/>
          <w:noProof/>
          <w:sz w:val="24"/>
          <w:lang w:val="fr-BE"/>
        </w:rPr>
        <w:t>.</w:t>
      </w:r>
    </w:p>
    <w:p w:rsidR="0070369F" w:rsidRDefault="00B36066">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Sur la base de cette jurisprudence, la Commi</w:t>
      </w:r>
      <w:r>
        <w:rPr>
          <w:rFonts w:ascii="Times New Roman" w:hAnsi="Times New Roman"/>
          <w:noProof/>
          <w:sz w:val="24"/>
          <w:lang w:val="fr-BE"/>
        </w:rPr>
        <w:t>ssion conclut que les dommages-intérêts fixés au moyen de la méthode du montant forfaitaire ne sont en aucune manière limités au seul total d’une redevance ou d’un droit hypothétique, mais peuvent – le cas échéant – être fixés à un niveau supérieur. Il app</w:t>
      </w:r>
      <w:r>
        <w:rPr>
          <w:rFonts w:ascii="Times New Roman" w:hAnsi="Times New Roman"/>
          <w:noProof/>
          <w:sz w:val="24"/>
          <w:lang w:val="fr-BE"/>
        </w:rPr>
        <w:t>araît en outre que les autorités judiciaires compétentes disposent d’une marge d’appréciation lorsqu’il s’agit de déterminer les dommages-intérêts au moyen de cette méthode. Aussi, la méthode décrite à l’article 13, paragraphe 1, point b), peut-elle être p</w:t>
      </w:r>
      <w:r>
        <w:rPr>
          <w:rFonts w:ascii="Times New Roman" w:hAnsi="Times New Roman"/>
          <w:noProof/>
          <w:sz w:val="24"/>
          <w:lang w:val="fr-BE"/>
        </w:rPr>
        <w:t>erçue comme ressemblant à une habilitation accordée à ces autorités en vue de l'évaluation du montant du préjudice subi sur la base des éléments disponibles</w:t>
      </w:r>
      <w:r>
        <w:rPr>
          <w:rFonts w:ascii="Times New Roman" w:hAnsi="Times New Roman"/>
          <w:noProof/>
          <w:sz w:val="24"/>
          <w:vertAlign w:val="superscript"/>
        </w:rPr>
        <w:footnoteReference w:id="23"/>
      </w:r>
      <w:r>
        <w:rPr>
          <w:rFonts w:ascii="Times New Roman" w:hAnsi="Times New Roman"/>
          <w:noProof/>
          <w:sz w:val="24"/>
          <w:lang w:val="fr-BE"/>
        </w:rPr>
        <w:t>.</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lang w:val="fr-BE"/>
        </w:rPr>
      </w:pPr>
      <w:r>
        <w:rPr>
          <w:rFonts w:ascii="Times New Roman" w:hAnsi="Times New Roman"/>
          <w:noProof/>
          <w:sz w:val="24"/>
          <w:lang w:val="fr-BE"/>
        </w:rPr>
        <w:t>L’article 13, paragraphe 1, point b), de la directive IPRED ne fait pas obstacle à une législatio</w:t>
      </w:r>
      <w:r>
        <w:rPr>
          <w:rFonts w:ascii="Times New Roman" w:hAnsi="Times New Roman"/>
          <w:noProof/>
          <w:sz w:val="24"/>
          <w:lang w:val="fr-BE"/>
        </w:rPr>
        <w:t>n nationale en vertu de laquelle le titulaire d’un DPI ayant fait l’objet d’une atteinte peut réclamer au contrevenant le paiement d’une somme correspondant au double de la redevance ou du droit hypothétique. Si l’article 13, paragraphe 1, point b) de la d</w:t>
      </w:r>
      <w:r>
        <w:rPr>
          <w:rFonts w:ascii="Times New Roman" w:hAnsi="Times New Roman"/>
          <w:noProof/>
          <w:sz w:val="24"/>
          <w:lang w:val="fr-BE"/>
        </w:rPr>
        <w:t>irective IPRED n’exige pas nécessairement de tel doublement de cette redevance ou de ce droit hypothétique, la législation nationale portant mise en œuvre de cette redevance ou de ce droit devrait permettre au détenteur du droit de demander que les dommage</w:t>
      </w:r>
      <w:r>
        <w:rPr>
          <w:rFonts w:ascii="Times New Roman" w:hAnsi="Times New Roman"/>
          <w:noProof/>
          <w:sz w:val="24"/>
          <w:lang w:val="fr-BE"/>
        </w:rPr>
        <w:t>s-intérêts versés sous la forme d’un montant forfaitaire soient calculés non seulement sur la base du simple montant de la redevance ou du droit hypothétique, mais aussi sur la base d’autres aspects appropriés. Au nombre de ceux-ci peuvent figurer tous les</w:t>
      </w:r>
      <w:r>
        <w:rPr>
          <w:rFonts w:ascii="Times New Roman" w:hAnsi="Times New Roman"/>
          <w:noProof/>
          <w:sz w:val="24"/>
          <w:lang w:val="fr-BE"/>
        </w:rPr>
        <w:t xml:space="preserve"> coûts qui sont liés à la recherche et à l’identification d’éventuelles atteintes aux DPI ainsi que l’indemnisation éventuelle du préjudice moral ou des intérêts sur les sommes dues. </w:t>
      </w:r>
    </w:p>
    <w:p w:rsidR="0070369F" w:rsidRDefault="00B36066">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Prévoir des règles claires et efficaces en ce qui concerne le remboursem</w:t>
      </w:r>
      <w:r>
        <w:rPr>
          <w:rFonts w:ascii="Times New Roman" w:hAnsi="Times New Roman"/>
          <w:b/>
          <w:noProof/>
          <w:sz w:val="24"/>
          <w:lang w:val="fr-BE"/>
        </w:rPr>
        <w:t>ent des frais de justice</w:t>
      </w:r>
    </w:p>
    <w:p w:rsidR="0070369F" w:rsidRDefault="00B36066">
      <w:pPr>
        <w:spacing w:before="24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Comme le montrent les résultats de la consultation publique</w:t>
      </w:r>
      <w:r>
        <w:rPr>
          <w:rStyle w:val="FootnoteReference"/>
          <w:rFonts w:ascii="Times New Roman" w:hAnsi="Times New Roman"/>
          <w:noProof/>
          <w:sz w:val="24"/>
        </w:rPr>
        <w:footnoteReference w:id="24"/>
      </w:r>
      <w:r>
        <w:rPr>
          <w:rFonts w:ascii="Times New Roman" w:hAnsi="Times New Roman"/>
          <w:noProof/>
          <w:sz w:val="24"/>
          <w:lang w:val="fr-BE"/>
        </w:rPr>
        <w:t>, les titulaires de droits hésitent à demander réparation au civil pour des atteintes présumées à leurs DPI essentiellement en raison des honoraires d’avocat et autres fra</w:t>
      </w:r>
      <w:r>
        <w:rPr>
          <w:rFonts w:ascii="Times New Roman" w:hAnsi="Times New Roman"/>
          <w:noProof/>
          <w:sz w:val="24"/>
          <w:lang w:val="fr-BE"/>
        </w:rPr>
        <w:t>is associés au contentieux et en raison de l’incertitude quant à l’indemnisation des frais de justice et autres dépenses. L’évaluation de la directive IPRED</w:t>
      </w:r>
      <w:r>
        <w:rPr>
          <w:rStyle w:val="FootnoteReference"/>
          <w:rFonts w:ascii="Times New Roman" w:hAnsi="Times New Roman"/>
          <w:noProof/>
          <w:sz w:val="24"/>
        </w:rPr>
        <w:footnoteReference w:id="25"/>
      </w:r>
      <w:r>
        <w:rPr>
          <w:rFonts w:ascii="Times New Roman" w:hAnsi="Times New Roman"/>
          <w:noProof/>
          <w:sz w:val="24"/>
          <w:lang w:val="fr-BE"/>
        </w:rPr>
        <w:t xml:space="preserve"> indique que les règles concernant le remboursement des frais de justice varient selon les États me</w:t>
      </w:r>
      <w:r>
        <w:rPr>
          <w:rFonts w:ascii="Times New Roman" w:hAnsi="Times New Roman"/>
          <w:noProof/>
          <w:sz w:val="24"/>
          <w:lang w:val="fr-BE"/>
        </w:rPr>
        <w:t xml:space="preserve">mbres et sont parfois insuffisantes à couvrir la totalité des frais supportés par la partie ayant obtenu gain de cause. </w:t>
      </w:r>
    </w:p>
    <w:p w:rsidR="0070369F" w:rsidRDefault="00B36066">
      <w:pPr>
        <w:spacing w:before="60" w:after="60" w:line="240" w:lineRule="auto"/>
        <w:jc w:val="both"/>
        <w:rPr>
          <w:rFonts w:ascii="Times New Roman" w:hAnsi="Times New Roman" w:cs="Times New Roman"/>
          <w:noProof/>
          <w:sz w:val="24"/>
          <w:szCs w:val="24"/>
          <w:lang w:val="fr-BE"/>
        </w:rPr>
      </w:pPr>
      <w:r>
        <w:rPr>
          <w:rFonts w:ascii="Times New Roman" w:hAnsi="Times New Roman"/>
          <w:noProof/>
          <w:sz w:val="24"/>
          <w:lang w:val="fr-BE"/>
        </w:rPr>
        <w:t>Aux termes de l’article 14 de la directive, les frais de justice raisonnables et proportionnés et les autres frais exposés par la parti</w:t>
      </w:r>
      <w:r>
        <w:rPr>
          <w:rFonts w:ascii="Times New Roman" w:hAnsi="Times New Roman"/>
          <w:noProof/>
          <w:sz w:val="24"/>
          <w:lang w:val="fr-BE"/>
        </w:rPr>
        <w:t xml:space="preserve">e ayant obtenu gain de cause sont supportés par la partie qui succombe, à moins que l’équité ne le permette pas. Le principe de remboursement des frais de justice énoncé à l’article 14 s’applique à tous les types de procédures judiciaires couvertes par la </w:t>
      </w:r>
      <w:r>
        <w:rPr>
          <w:rFonts w:ascii="Times New Roman" w:hAnsi="Times New Roman"/>
          <w:noProof/>
          <w:sz w:val="24"/>
          <w:lang w:val="fr-BE"/>
        </w:rPr>
        <w:t>directive, c’est-à-dire aux procédures engagées pour atteinte aux DPI. Comme l’a précisé la CJUE, sont notamment concernées les procédures d’indemnisation de préjudices subis par des parties soumises à tort à certaines mesures d’exécution conformément à l’</w:t>
      </w:r>
      <w:r>
        <w:rPr>
          <w:rFonts w:ascii="Times New Roman" w:hAnsi="Times New Roman"/>
          <w:noProof/>
          <w:sz w:val="24"/>
          <w:lang w:val="fr-BE"/>
        </w:rPr>
        <w:t>article 7, paragraphe 4, et à l’article 9, paragraphe 7, de la directive</w:t>
      </w:r>
      <w:r>
        <w:rPr>
          <w:rFonts w:ascii="Times New Roman" w:hAnsi="Times New Roman"/>
          <w:noProof/>
          <w:sz w:val="24"/>
          <w:vertAlign w:val="superscript"/>
        </w:rPr>
        <w:footnoteReference w:id="26"/>
      </w:r>
      <w:r>
        <w:rPr>
          <w:rFonts w:ascii="Times New Roman" w:hAnsi="Times New Roman"/>
          <w:noProof/>
          <w:sz w:val="24"/>
          <w:lang w:val="fr-BE"/>
        </w:rPr>
        <w:t>, de même que les procédures exequatur visant à reconnaître et à appliquer un arrêt destiné à faire respecter un DPI</w:t>
      </w:r>
      <w:r>
        <w:rPr>
          <w:rStyle w:val="FootnoteReference"/>
          <w:rFonts w:ascii="Times New Roman" w:hAnsi="Times New Roman"/>
          <w:noProof/>
          <w:sz w:val="24"/>
        </w:rPr>
        <w:footnoteReference w:id="27"/>
      </w:r>
      <w:r>
        <w:rPr>
          <w:rFonts w:ascii="Times New Roman" w:hAnsi="Times New Roman"/>
          <w:noProof/>
          <w:sz w:val="24"/>
          <w:lang w:val="fr-BE"/>
        </w:rPr>
        <w:t>. Les procédures d’invalidation ne sont pas couvertes</w:t>
      </w:r>
      <w:r>
        <w:rPr>
          <w:rStyle w:val="FootnoteReference"/>
          <w:rFonts w:ascii="Times New Roman" w:hAnsi="Times New Roman"/>
          <w:noProof/>
          <w:sz w:val="24"/>
        </w:rPr>
        <w:footnoteReference w:id="28"/>
      </w:r>
      <w:r>
        <w:rPr>
          <w:rFonts w:ascii="Times New Roman" w:hAnsi="Times New Roman"/>
          <w:noProof/>
          <w:sz w:val="24"/>
          <w:lang w:val="fr-BE"/>
        </w:rPr>
        <w:t>.</w:t>
      </w:r>
    </w:p>
    <w:p w:rsidR="0070369F" w:rsidRDefault="00B36066">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Si ce prin</w:t>
      </w:r>
      <w:r>
        <w:rPr>
          <w:rFonts w:ascii="Times New Roman" w:hAnsi="Times New Roman"/>
          <w:noProof/>
          <w:sz w:val="24"/>
          <w:lang w:val="fr-BE"/>
        </w:rPr>
        <w:t>cipe général sert de base aux autorités judiciaires nationales pour le remboursement des frais, ces mêmes autorités sont généralement tenues de respecter des cadres nationaux plus détaillés lorsqu’elles calculent le montant à octroyer concrètement. Certain</w:t>
      </w:r>
      <w:r>
        <w:rPr>
          <w:rFonts w:ascii="Times New Roman" w:hAnsi="Times New Roman"/>
          <w:noProof/>
          <w:sz w:val="24"/>
          <w:lang w:val="fr-BE"/>
        </w:rPr>
        <w:t xml:space="preserve">s des régimes nationaux ne sont pas spécifiques à la propriété intellectuelle, sont fondés sur un régime forfaitaire (plafonds) et/ou renvoient à des dispositions nationales régissant le montant minimum des frais d’assistance par des avocats ou des agents </w:t>
      </w:r>
      <w:r>
        <w:rPr>
          <w:rFonts w:ascii="Times New Roman" w:hAnsi="Times New Roman"/>
          <w:noProof/>
          <w:sz w:val="24"/>
          <w:lang w:val="fr-BE"/>
        </w:rPr>
        <w:t>en brevets. De ce fait, les régimes des États membres varient considérablement en ce qui concerne le calcul et le remboursement des frais de justice ainsi que les procédures qui s’appliquent à cette question</w:t>
      </w:r>
      <w:r>
        <w:rPr>
          <w:rStyle w:val="FootnoteReference"/>
          <w:rFonts w:ascii="Times New Roman" w:hAnsi="Times New Roman"/>
          <w:noProof/>
          <w:sz w:val="24"/>
        </w:rPr>
        <w:footnoteReference w:id="29"/>
      </w:r>
      <w:r>
        <w:rPr>
          <w:rFonts w:ascii="Times New Roman" w:hAnsi="Times New Roman"/>
          <w:noProof/>
          <w:sz w:val="24"/>
          <w:lang w:val="fr-BE"/>
        </w:rPr>
        <w:t xml:space="preserve">. </w:t>
      </w:r>
    </w:p>
    <w:p w:rsidR="0070369F" w:rsidRDefault="00B36066">
      <w:pPr>
        <w:autoSpaceDE w:val="0"/>
        <w:autoSpaceDN w:val="0"/>
        <w:adjustRightInd w:val="0"/>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Régime forfaitaire</w:t>
      </w:r>
    </w:p>
    <w:p w:rsidR="0070369F" w:rsidRDefault="00B36066">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Dans ce contexte, il a été demandé si les régimes nationaux à base de montants forfaitaires, lesquels fixent un montant maximum de frais pouvant être remboursés, sont conformes à l’article 14 de la directive IPRED. </w:t>
      </w:r>
    </w:p>
    <w:p w:rsidR="0070369F" w:rsidRDefault="00B36066">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expliqué</w:t>
      </w:r>
      <w:r>
        <w:rPr>
          <w:rStyle w:val="FootnoteReference"/>
          <w:rFonts w:ascii="Times New Roman" w:hAnsi="Times New Roman"/>
          <w:noProof/>
          <w:sz w:val="24"/>
        </w:rPr>
        <w:footnoteReference w:id="30"/>
      </w:r>
      <w:r>
        <w:rPr>
          <w:rFonts w:ascii="Times New Roman" w:hAnsi="Times New Roman"/>
          <w:noProof/>
          <w:sz w:val="24"/>
          <w:lang w:val="fr-BE"/>
        </w:rPr>
        <w:t xml:space="preserve"> que les législations</w:t>
      </w:r>
      <w:r>
        <w:rPr>
          <w:rFonts w:ascii="Times New Roman" w:hAnsi="Times New Roman"/>
          <w:noProof/>
          <w:sz w:val="24"/>
          <w:lang w:val="fr-BE"/>
        </w:rPr>
        <w:t xml:space="preserve"> prévoyant un taux de remboursement basé sur un montant forfaitaire pouvaient être justifiées en principe, pour autant qu’elles visaient à faire en sorte que les frais à rembourser soient d’un montant raisonnable. Elles doivent tenir compte de facteurs tel</w:t>
      </w:r>
      <w:r>
        <w:rPr>
          <w:rFonts w:ascii="Times New Roman" w:hAnsi="Times New Roman"/>
          <w:noProof/>
          <w:sz w:val="24"/>
          <w:lang w:val="fr-BE"/>
        </w:rPr>
        <w:t>s que l’objet du litige, la somme en jeu ou la charge de travail liée à la représentation du client concerné. Tel peut être le cas lorsque la législation concernée vise à exclure le remboursement de coûts excessifs. Ces coûts sont liés à des redevances d’u</w:t>
      </w:r>
      <w:r>
        <w:rPr>
          <w:rFonts w:ascii="Times New Roman" w:hAnsi="Times New Roman"/>
          <w:noProof/>
          <w:sz w:val="24"/>
          <w:lang w:val="fr-BE"/>
        </w:rPr>
        <w:t>n montant anormalement élevé, convenues par la partie ayant obtenu gain de cause et son avocat, ou au fait que l’avocat concerné n’a pas jugé nécessaire de faire appliquer les droits de propriété en question.</w:t>
      </w:r>
    </w:p>
    <w:p w:rsidR="0070369F" w:rsidRDefault="00B36066">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également jugé</w:t>
      </w:r>
      <w:r>
        <w:rPr>
          <w:rStyle w:val="FootnoteReference"/>
          <w:rFonts w:ascii="Times New Roman" w:hAnsi="Times New Roman"/>
          <w:noProof/>
          <w:sz w:val="24"/>
        </w:rPr>
        <w:footnoteReference w:id="31"/>
      </w:r>
      <w:r>
        <w:rPr>
          <w:rFonts w:ascii="Times New Roman" w:hAnsi="Times New Roman"/>
          <w:noProof/>
          <w:sz w:val="24"/>
          <w:lang w:val="fr-BE"/>
        </w:rPr>
        <w:t xml:space="preserve"> que l’exigence de l’a</w:t>
      </w:r>
      <w:r>
        <w:rPr>
          <w:rFonts w:ascii="Times New Roman" w:hAnsi="Times New Roman"/>
          <w:noProof/>
          <w:sz w:val="24"/>
          <w:lang w:val="fr-BE"/>
        </w:rPr>
        <w:t>rticle 14 de la directive IPRED, en vertu duquel la partie qui succombe est tenue de supporter des frais de justice «raisonnables», ne pouvait justifier une législation nationale qui met en œuvre cette disposition en imposant un montant forfaitaire sensibl</w:t>
      </w:r>
      <w:r>
        <w:rPr>
          <w:rFonts w:ascii="Times New Roman" w:hAnsi="Times New Roman"/>
          <w:noProof/>
          <w:sz w:val="24"/>
          <w:lang w:val="fr-BE"/>
        </w:rPr>
        <w:t>ement inférieur à la moyenne du taux effectivement appliqué aux services d’avocat dans l’État membre en question.</w:t>
      </w:r>
      <w:r>
        <w:rPr>
          <w:noProof/>
          <w:lang w:val="fr-BE"/>
        </w:rPr>
        <w:t xml:space="preserve"> </w:t>
      </w:r>
      <w:r>
        <w:rPr>
          <w:rFonts w:ascii="Times New Roman" w:hAnsi="Times New Roman"/>
          <w:noProof/>
          <w:sz w:val="24"/>
          <w:lang w:val="fr-BE"/>
        </w:rPr>
        <w:t>Une telle législation serait incompatible avec l’article 3, paragraphe 2, de la directive IPRED, qui dispose que les mesures, procédures et ré</w:t>
      </w:r>
      <w:r>
        <w:rPr>
          <w:rFonts w:ascii="Times New Roman" w:hAnsi="Times New Roman"/>
          <w:noProof/>
          <w:sz w:val="24"/>
          <w:lang w:val="fr-BE"/>
        </w:rPr>
        <w:t xml:space="preserve">parations doivent être dissuasives. </w:t>
      </w:r>
    </w:p>
    <w:p w:rsidR="0070369F" w:rsidRDefault="00B36066">
      <w:pPr>
        <w:autoSpaceDE w:val="0"/>
        <w:autoSpaceDN w:val="0"/>
        <w:adjustRightInd w:val="0"/>
        <w:spacing w:before="120" w:after="120" w:line="240" w:lineRule="auto"/>
        <w:jc w:val="both"/>
        <w:rPr>
          <w:rFonts w:ascii="Times New Roman" w:hAnsi="Times New Roman" w:cs="Times New Roman"/>
          <w:b/>
          <w:noProof/>
          <w:sz w:val="24"/>
          <w:szCs w:val="24"/>
          <w:lang w:val="fr-BE"/>
        </w:rPr>
      </w:pPr>
      <w:r>
        <w:rPr>
          <w:rFonts w:ascii="Times New Roman" w:hAnsi="Times New Roman"/>
          <w:noProof/>
          <w:sz w:val="24"/>
          <w:lang w:val="fr-BE"/>
        </w:rPr>
        <w:t>En outre, l’article 14 de la directive IPRED prévoit que les frais de justice supportés par la partie qui succombe doivent être «proportionnés». À cet égard, la CJUE a jugé que si l’exigence de proportionnalité n’impliq</w:t>
      </w:r>
      <w:r>
        <w:rPr>
          <w:rFonts w:ascii="Times New Roman" w:hAnsi="Times New Roman"/>
          <w:noProof/>
          <w:sz w:val="24"/>
          <w:lang w:val="fr-BE"/>
        </w:rPr>
        <w:t>uait pas que la partie ayant succombé rembourse nécessairement les frais encourus par l’autre partie, elle signifie néanmoins que la partie ayant obtenu gain de cause a droit au moins au remboursement d’une partie significative et appropriée des frais rais</w:t>
      </w:r>
      <w:r>
        <w:rPr>
          <w:rFonts w:ascii="Times New Roman" w:hAnsi="Times New Roman"/>
          <w:noProof/>
          <w:sz w:val="24"/>
          <w:lang w:val="fr-BE"/>
        </w:rPr>
        <w:t>onnables qui lui ont été occasionnés.</w:t>
      </w:r>
      <w:r>
        <w:rPr>
          <w:noProof/>
          <w:lang w:val="fr-BE"/>
        </w:rPr>
        <w:t xml:space="preserve"> </w:t>
      </w:r>
      <w:r>
        <w:rPr>
          <w:rFonts w:ascii="Times New Roman" w:hAnsi="Times New Roman"/>
          <w:noProof/>
          <w:sz w:val="24"/>
          <w:lang w:val="fr-BE"/>
        </w:rPr>
        <w:t xml:space="preserve">C’est pourquoi la législation nationale qui prévoit une limite absolue pour les frais d’avocat doit s’assurer, d’une part, que la limite rende compte de la réalité des tarifs pratiqués pour les services concernés dans </w:t>
      </w:r>
      <w:r>
        <w:rPr>
          <w:rFonts w:ascii="Times New Roman" w:hAnsi="Times New Roman"/>
          <w:noProof/>
          <w:sz w:val="24"/>
          <w:lang w:val="fr-BE"/>
        </w:rPr>
        <w:t>le domaine de la propriété intellectuelle. D’autre part, la législation doit aussi veiller au minimum à ce qu’une partie significative et appropriée des frais raisonnables effectivement encourus par la partie ayant obtenu gain de cause soit supportée par l</w:t>
      </w:r>
      <w:r>
        <w:rPr>
          <w:rFonts w:ascii="Times New Roman" w:hAnsi="Times New Roman"/>
          <w:noProof/>
          <w:sz w:val="24"/>
          <w:lang w:val="fr-BE"/>
        </w:rPr>
        <w:t>a partie qui succombe</w:t>
      </w:r>
      <w:r>
        <w:rPr>
          <w:rStyle w:val="FootnoteReference"/>
          <w:rFonts w:ascii="Times New Roman" w:hAnsi="Times New Roman"/>
          <w:noProof/>
          <w:sz w:val="24"/>
        </w:rPr>
        <w:footnoteReference w:id="32"/>
      </w:r>
      <w:r>
        <w:rPr>
          <w:rFonts w:ascii="Times New Roman" w:hAnsi="Times New Roman"/>
          <w:noProof/>
          <w:sz w:val="24"/>
          <w:lang w:val="fr-BE"/>
        </w:rPr>
        <w:t>.</w:t>
      </w:r>
    </w:p>
    <w:p w:rsidR="0070369F" w:rsidRDefault="00B36066">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14 de la directive IPRED ne fait pas obstacle à ce qu’une législation nationale prévoyant un régime forfaitaire rembourse les frais d’avocat, pour autant que ces régimes permettent de veiller à ce que les frais supportés p</w:t>
      </w:r>
      <w:r>
        <w:rPr>
          <w:rFonts w:ascii="Times New Roman" w:hAnsi="Times New Roman"/>
          <w:noProof/>
          <w:sz w:val="24"/>
          <w:lang w:val="fr-BE"/>
        </w:rPr>
        <w:t>ar la partie qui succombe soient raisonnables, compte tenu des caractéristiques propres à l’affaire. Toutefois, l’article 14 s’oppose à ce que des législations nationales prévoient des montants forfaitaires trop bas pour assurer au minimum qu’une partie si</w:t>
      </w:r>
      <w:r>
        <w:rPr>
          <w:rFonts w:ascii="Times New Roman" w:hAnsi="Times New Roman"/>
          <w:noProof/>
          <w:sz w:val="24"/>
          <w:lang w:val="fr-BE"/>
        </w:rPr>
        <w:t>gnificative et appropriée des frais raisonnables effectivement encourus par la partie ayant obtenu gain de cause soit supportée par la partie qui succombe.</w:t>
      </w: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Types de frais à rembourser</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D’autres différences entre les États membres et dans leur législation na</w:t>
      </w:r>
      <w:r>
        <w:rPr>
          <w:rFonts w:ascii="Times New Roman" w:hAnsi="Times New Roman"/>
          <w:noProof/>
          <w:sz w:val="24"/>
          <w:lang w:val="fr-BE"/>
        </w:rPr>
        <w:t>tionale renvoient aux types de frais couverts par des dispositions du droit national portant mise en œuvre de l’article 14 de la directive IPRED. En pratique, si les frais de justice nécessaires pour engager des poursuites de même que les autres frais de p</w:t>
      </w:r>
      <w:r>
        <w:rPr>
          <w:rFonts w:ascii="Times New Roman" w:hAnsi="Times New Roman"/>
          <w:noProof/>
          <w:sz w:val="24"/>
          <w:lang w:val="fr-BE"/>
        </w:rPr>
        <w:t>rocédure sont souvent couverts en totalité, les frais d’expertise externe, les honoraires d’avocats et d’autres frais de justice ne sont parfois couverts qu’en partie</w:t>
      </w:r>
      <w:r>
        <w:rPr>
          <w:rStyle w:val="FootnoteReference"/>
          <w:rFonts w:ascii="Times New Roman" w:hAnsi="Times New Roman"/>
          <w:noProof/>
          <w:sz w:val="24"/>
        </w:rPr>
        <w:footnoteReference w:id="33"/>
      </w:r>
      <w:r>
        <w:rPr>
          <w:rFonts w:ascii="Times New Roman" w:hAnsi="Times New Roman"/>
          <w:noProof/>
          <w:sz w:val="24"/>
          <w:lang w:val="fr-BE"/>
        </w:rPr>
        <w:t>.</w:t>
      </w:r>
    </w:p>
    <w:p w:rsidR="0070369F" w:rsidRDefault="00B36066">
      <w:pPr>
        <w:spacing w:before="120" w:after="120" w:line="240" w:lineRule="auto"/>
        <w:ind w:left="23" w:hanging="23"/>
        <w:jc w:val="both"/>
        <w:rPr>
          <w:rFonts w:ascii="Times New Roman" w:hAnsi="Times New Roman" w:cs="Times New Roman"/>
          <w:noProof/>
          <w:sz w:val="24"/>
          <w:szCs w:val="24"/>
          <w:lang w:val="fr-BE"/>
        </w:rPr>
      </w:pPr>
      <w:r>
        <w:rPr>
          <w:rFonts w:ascii="Times New Roman" w:hAnsi="Times New Roman"/>
          <w:noProof/>
          <w:sz w:val="24"/>
          <w:lang w:val="fr-BE"/>
        </w:rPr>
        <w:t>En vertu de l’article 14, la partie qui porte atteinte aux DPI doit généralement suppor</w:t>
      </w:r>
      <w:r>
        <w:rPr>
          <w:rFonts w:ascii="Times New Roman" w:hAnsi="Times New Roman"/>
          <w:noProof/>
          <w:sz w:val="24"/>
          <w:lang w:val="fr-BE"/>
        </w:rPr>
        <w:t>ter intégralement les conséquences financières de sa conduite</w:t>
      </w:r>
      <w:r>
        <w:rPr>
          <w:rFonts w:ascii="Times New Roman" w:hAnsi="Times New Roman"/>
          <w:noProof/>
          <w:sz w:val="24"/>
          <w:vertAlign w:val="superscript"/>
        </w:rPr>
        <w:footnoteReference w:id="34"/>
      </w:r>
      <w:r>
        <w:rPr>
          <w:rFonts w:ascii="Times New Roman" w:hAnsi="Times New Roman"/>
          <w:noProof/>
          <w:sz w:val="24"/>
          <w:lang w:val="fr-BE"/>
        </w:rPr>
        <w:t>; à l’inverse, la partie ayant obtenu gain de cause est habilitée au remboursement d’une partie au moins significative et appropriée des frais de justice raisonnables qu’elle a effectivement sup</w:t>
      </w:r>
      <w:r>
        <w:rPr>
          <w:rFonts w:ascii="Times New Roman" w:hAnsi="Times New Roman"/>
          <w:noProof/>
          <w:sz w:val="24"/>
          <w:lang w:val="fr-BE"/>
        </w:rPr>
        <w:t>portés</w:t>
      </w:r>
      <w:r>
        <w:rPr>
          <w:rFonts w:ascii="Times New Roman" w:hAnsi="Times New Roman"/>
          <w:noProof/>
          <w:sz w:val="24"/>
          <w:vertAlign w:val="superscript"/>
        </w:rPr>
        <w:footnoteReference w:id="35"/>
      </w:r>
      <w:r>
        <w:rPr>
          <w:rFonts w:ascii="Times New Roman" w:hAnsi="Times New Roman"/>
          <w:noProof/>
          <w:sz w:val="24"/>
          <w:lang w:val="fr-BE"/>
        </w:rPr>
        <w:t xml:space="preserve">. </w:t>
      </w:r>
    </w:p>
    <w:p w:rsidR="0070369F" w:rsidRDefault="00B36066">
      <w:pPr>
        <w:spacing w:before="120" w:after="120" w:line="240" w:lineRule="auto"/>
        <w:ind w:left="23" w:hanging="23"/>
        <w:jc w:val="both"/>
        <w:rPr>
          <w:rFonts w:ascii="Times New Roman" w:hAnsi="Times New Roman" w:cs="Times New Roman"/>
          <w:noProof/>
          <w:sz w:val="24"/>
          <w:szCs w:val="24"/>
          <w:lang w:val="fr-BE"/>
        </w:rPr>
      </w:pPr>
      <w:r>
        <w:rPr>
          <w:rFonts w:ascii="Times New Roman" w:hAnsi="Times New Roman"/>
          <w:noProof/>
          <w:sz w:val="24"/>
          <w:lang w:val="fr-BE"/>
        </w:rPr>
        <w:t xml:space="preserve">En particulier, si l’article 14 de la directive IPRED renvoie aux </w:t>
      </w:r>
      <w:r>
        <w:rPr>
          <w:rFonts w:ascii="Times New Roman" w:hAnsi="Times New Roman"/>
          <w:i/>
          <w:noProof/>
          <w:sz w:val="24"/>
          <w:lang w:val="fr-BE"/>
        </w:rPr>
        <w:t>frais de justice et autres frais exposés par la partie ayant obtenu gain de cause</w:t>
      </w:r>
      <w:r>
        <w:rPr>
          <w:rFonts w:ascii="Times New Roman" w:hAnsi="Times New Roman"/>
          <w:noProof/>
          <w:sz w:val="24"/>
          <w:lang w:val="fr-BE"/>
        </w:rPr>
        <w:t>, la directive ne définit pas ce que ces notions impliquent précisément. La CJUE a considéré que la</w:t>
      </w:r>
      <w:r>
        <w:rPr>
          <w:rFonts w:ascii="Times New Roman" w:hAnsi="Times New Roman"/>
          <w:noProof/>
          <w:sz w:val="24"/>
          <w:lang w:val="fr-BE"/>
        </w:rPr>
        <w:t xml:space="preserve"> notion de «frais de justice» englobait, entre autres, les frais d’avocat</w:t>
      </w:r>
      <w:r>
        <w:rPr>
          <w:rStyle w:val="FootnoteReference"/>
          <w:rFonts w:ascii="Times New Roman" w:hAnsi="Times New Roman"/>
          <w:noProof/>
          <w:sz w:val="24"/>
        </w:rPr>
        <w:footnoteReference w:id="36"/>
      </w:r>
      <w:r>
        <w:rPr>
          <w:rFonts w:ascii="Times New Roman" w:hAnsi="Times New Roman"/>
          <w:noProof/>
          <w:sz w:val="24"/>
          <w:lang w:val="fr-BE"/>
        </w:rPr>
        <w:t>. Elle a également jugé que la notion d’«autres frais» englobait, en principe, les frais liés aux services fournis par un conseiller technique</w:t>
      </w:r>
      <w:r>
        <w:rPr>
          <w:rStyle w:val="FootnoteReference"/>
          <w:rFonts w:ascii="Times New Roman" w:hAnsi="Times New Roman"/>
          <w:noProof/>
          <w:sz w:val="24"/>
        </w:rPr>
        <w:footnoteReference w:id="37"/>
      </w:r>
      <w:r>
        <w:rPr>
          <w:rFonts w:ascii="Times New Roman" w:hAnsi="Times New Roman"/>
          <w:noProof/>
          <w:sz w:val="24"/>
          <w:lang w:val="fr-BE"/>
        </w:rPr>
        <w:t>. Toutefois, la CJUE a également indiqu</w:t>
      </w:r>
      <w:r>
        <w:rPr>
          <w:rFonts w:ascii="Times New Roman" w:hAnsi="Times New Roman"/>
          <w:noProof/>
          <w:sz w:val="24"/>
          <w:lang w:val="fr-BE"/>
        </w:rPr>
        <w:t>é que cette dernière notion devait être interprétée de façon restrictive et que, par conséquent, seuls les coûts directement et étroitement liés aux procédures judiciaires concernées pouvaient être considérés comme des «autres frais» au sens de l’article 1</w:t>
      </w:r>
      <w:r>
        <w:rPr>
          <w:rFonts w:ascii="Times New Roman" w:hAnsi="Times New Roman"/>
          <w:noProof/>
          <w:sz w:val="24"/>
          <w:lang w:val="fr-BE"/>
        </w:rPr>
        <w:t>4</w:t>
      </w:r>
      <w:r>
        <w:rPr>
          <w:rStyle w:val="FootnoteReference"/>
          <w:rFonts w:ascii="Times New Roman" w:hAnsi="Times New Roman"/>
          <w:noProof/>
          <w:sz w:val="24"/>
        </w:rPr>
        <w:footnoteReference w:id="38"/>
      </w:r>
      <w:r>
        <w:rPr>
          <w:rFonts w:ascii="Times New Roman" w:hAnsi="Times New Roman"/>
          <w:noProof/>
          <w:sz w:val="24"/>
          <w:lang w:val="fr-BE"/>
        </w:rPr>
        <w:t xml:space="preserve">. </w:t>
      </w:r>
    </w:p>
    <w:p w:rsidR="0070369F" w:rsidRDefault="00B36066">
      <w:pPr>
        <w:pStyle w:val="c01pointnumerotealtn"/>
        <w:spacing w:before="120" w:beforeAutospacing="0" w:after="120"/>
        <w:ind w:left="28" w:firstLine="0"/>
        <w:rPr>
          <w:noProof/>
          <w:lang w:val="fr-BE"/>
        </w:rPr>
      </w:pPr>
      <w:r>
        <w:rPr>
          <w:noProof/>
          <w:lang w:val="fr-BE"/>
        </w:rPr>
        <w:t xml:space="preserve">Dans ce contexte, la CJUE a jugé que les frais de recherche et d’identification encourus </w:t>
      </w:r>
      <w:r>
        <w:rPr>
          <w:i/>
          <w:noProof/>
          <w:lang w:val="fr-BE"/>
        </w:rPr>
        <w:t>notamment</w:t>
      </w:r>
      <w:r>
        <w:rPr>
          <w:noProof/>
          <w:lang w:val="fr-BE"/>
        </w:rPr>
        <w:t xml:space="preserve"> lorsqu’un conseiller technique procède à une observation générale du marché et détecte de possibles atteintes aux DPI, attribuables à un acteur inconnu à cette date, ne semblaient pas présenter de lien direct et étroit avec les procédures judiciaires conc</w:t>
      </w:r>
      <w:r>
        <w:rPr>
          <w:noProof/>
          <w:lang w:val="fr-BE"/>
        </w:rPr>
        <w:t>ernées. À l’inverse, la Cour a jugé que si les services d’un conseiller technique, indépendamment de leur nature, étaient essentiels pour intenter utilement une action en justice visant à faire respecter un droit, les frais liés à l’assistance de ce consei</w:t>
      </w:r>
      <w:r>
        <w:rPr>
          <w:noProof/>
          <w:lang w:val="fr-BE"/>
        </w:rPr>
        <w:t>ller entrent dans la catégorie des «autres frais». En application de l’article 14 de la directive IPRED, ces «autres frais» doivent être supportés par la partie qui succombe</w:t>
      </w:r>
      <w:r>
        <w:rPr>
          <w:rStyle w:val="FootnoteReference"/>
          <w:noProof/>
        </w:rPr>
        <w:footnoteReference w:id="39"/>
      </w:r>
      <w:r>
        <w:rPr>
          <w:noProof/>
          <w:lang w:val="fr-BE"/>
        </w:rPr>
        <w:t>.</w:t>
      </w:r>
    </w:p>
    <w:p w:rsidR="0070369F" w:rsidRDefault="00B36066">
      <w:pPr>
        <w:pStyle w:val="c01pointnumerotealtn"/>
        <w:spacing w:before="120" w:beforeAutospacing="0" w:after="120"/>
        <w:ind w:left="28" w:firstLine="0"/>
        <w:rPr>
          <w:noProof/>
          <w:lang w:val="fr-BE"/>
        </w:rPr>
      </w:pPr>
      <w:r>
        <w:rPr>
          <w:noProof/>
          <w:lang w:val="fr-BE"/>
        </w:rPr>
        <w:t>La CJUE a également précisé</w:t>
      </w:r>
      <w:r>
        <w:rPr>
          <w:rStyle w:val="FootnoteReference"/>
          <w:noProof/>
        </w:rPr>
        <w:footnoteReference w:id="40"/>
      </w:r>
      <w:r>
        <w:rPr>
          <w:noProof/>
          <w:lang w:val="fr-BE"/>
        </w:rPr>
        <w:t xml:space="preserve"> que l’article 14 de la directive IPRED faisait obst</w:t>
      </w:r>
      <w:r>
        <w:rPr>
          <w:noProof/>
          <w:lang w:val="fr-BE"/>
        </w:rPr>
        <w:t>acle à ce que des dispositions nationales prévoient que les frais d’un conseiller technique ne puissent être remboursés que si la partie ayant succombé a commis une faute, étant donné que ces frais sont directement et étroitement liés à une action judiciai</w:t>
      </w:r>
      <w:r>
        <w:rPr>
          <w:noProof/>
          <w:lang w:val="fr-BE"/>
        </w:rPr>
        <w:t>re visant à faire respecter un droit de propriété intellectuelle.</w:t>
      </w:r>
    </w:p>
    <w:p w:rsidR="0070369F" w:rsidRDefault="00B36066">
      <w:pPr>
        <w:pStyle w:val="c01pointnumerotealtn"/>
        <w:spacing w:before="120" w:beforeAutospacing="0" w:after="120"/>
        <w:ind w:left="28" w:firstLine="0"/>
        <w:rPr>
          <w:noProof/>
          <w:lang w:val="fr-BE"/>
        </w:rPr>
      </w:pPr>
      <w:r>
        <w:rPr>
          <w:noProof/>
          <w:lang w:val="fr-BE"/>
        </w:rPr>
        <w:t>Enfin, il est important d’indiquer ici que ce qui précède ne signifie pas nécessairement que les frais qui ne sont pas couverts par l’article 14 ne peuvent pas faire l’objet d’une indemnisat</w:t>
      </w:r>
      <w:r>
        <w:rPr>
          <w:noProof/>
          <w:lang w:val="fr-BE"/>
        </w:rPr>
        <w:t>ion. En fait, les paragraphes susmentionnés impliquent, le cas échéant, que les demandes d’indemnisation de ces frais, par exemple les frais de recherche et d’identification</w:t>
      </w:r>
      <w:r>
        <w:rPr>
          <w:rFonts w:eastAsiaTheme="minorHAnsi"/>
          <w:noProof/>
          <w:vertAlign w:val="superscript"/>
        </w:rPr>
        <w:footnoteReference w:id="41"/>
      </w:r>
      <w:r>
        <w:rPr>
          <w:noProof/>
          <w:lang w:val="fr-BE"/>
        </w:rPr>
        <w:t>, doivent être introduites par la voie d’un recours en dommages-intérêts conformém</w:t>
      </w:r>
      <w:r>
        <w:rPr>
          <w:noProof/>
          <w:lang w:val="fr-BE"/>
        </w:rPr>
        <w:t>ent à l’article 13.</w:t>
      </w:r>
    </w:p>
    <w:p w:rsidR="0070369F" w:rsidRDefault="00B36066">
      <w:pPr>
        <w:pBdr>
          <w:top w:val="single" w:sz="4" w:space="1" w:color="auto"/>
          <w:left w:val="single" w:sz="4" w:space="4" w:color="auto"/>
          <w:bottom w:val="single" w:sz="4" w:space="2" w:color="auto"/>
          <w:right w:val="single" w:sz="4" w:space="4" w:color="auto"/>
        </w:pBdr>
        <w:spacing w:before="60" w:after="60" w:line="240" w:lineRule="auto"/>
        <w:jc w:val="both"/>
        <w:rPr>
          <w:rFonts w:ascii="Times New Roman" w:hAnsi="Times New Roman" w:cs="Times New Roman"/>
          <w:b/>
          <w:noProof/>
          <w:sz w:val="24"/>
          <w:szCs w:val="24"/>
          <w:lang w:val="fr-BE"/>
        </w:rPr>
      </w:pPr>
      <w:r>
        <w:rPr>
          <w:rFonts w:ascii="Times New Roman" w:hAnsi="Times New Roman"/>
          <w:noProof/>
          <w:sz w:val="24"/>
          <w:lang w:val="fr-BE"/>
        </w:rPr>
        <w:t>L'article 14 de la directive IPRED s’applique aux frais de justice, dont font partie les frais d’avocat, ainsi qu’aux autres frais directement et étroitement liés à la procédure judiciaire concernée. Au nombre de ces derniers figurent les frais encourus po</w:t>
      </w:r>
      <w:r>
        <w:rPr>
          <w:rFonts w:ascii="Times New Roman" w:hAnsi="Times New Roman"/>
          <w:noProof/>
          <w:sz w:val="24"/>
          <w:lang w:val="fr-BE"/>
        </w:rPr>
        <w:t xml:space="preserve">ur les services d’un conseiller technique, lorsque ces services sont essentiels pour qu’une action en justice puisse être engagée utilement en vue de faire respecter un droit dans une affaire particulière. </w:t>
      </w:r>
    </w:p>
    <w:p w:rsidR="0070369F" w:rsidRDefault="00B36066">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Mise en avant des atteintes aux DPI commises à un</w:t>
      </w:r>
      <w:r>
        <w:rPr>
          <w:rFonts w:ascii="Times New Roman" w:hAnsi="Times New Roman"/>
          <w:b/>
          <w:noProof/>
          <w:sz w:val="24"/>
          <w:lang w:val="fr-BE"/>
        </w:rPr>
        <w:t>e échelle commerciale</w:t>
      </w:r>
    </w:p>
    <w:p w:rsidR="0070369F" w:rsidRDefault="00B36066">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Certains des moyens exposés dans la directive IPRED ne doivent être appliqués qu’aux atteintes aux DPI commises à une échelle commerciale (article 6, paragraphe 2, et article 9, paragraphe 2) ou concernant toute personne autre que les</w:t>
      </w:r>
      <w:r>
        <w:rPr>
          <w:rFonts w:ascii="Times New Roman" w:hAnsi="Times New Roman"/>
          <w:noProof/>
          <w:sz w:val="24"/>
          <w:lang w:val="fr-BE"/>
        </w:rPr>
        <w:t xml:space="preserve"> contrevenants [article 8, paragraphe 1, points a) à c)] qui a été trouvée en possession des marchandises contrefaisantes à l'échelle commerciale ou en train d'utiliser des services contrefaisants à l'échelle commerciale ou en train de fournir, à l'échelle</w:t>
      </w:r>
      <w:r>
        <w:rPr>
          <w:rFonts w:ascii="Times New Roman" w:hAnsi="Times New Roman"/>
          <w:noProof/>
          <w:sz w:val="24"/>
          <w:lang w:val="fr-BE"/>
        </w:rPr>
        <w:t xml:space="preserve"> commerciale, des services utilisés dans des activités contrefaisantes</w:t>
      </w:r>
      <w:r>
        <w:rPr>
          <w:rStyle w:val="FootnoteReference"/>
          <w:rFonts w:ascii="Times New Roman" w:hAnsi="Times New Roman"/>
          <w:noProof/>
          <w:sz w:val="24"/>
        </w:rPr>
        <w:footnoteReference w:id="42"/>
      </w:r>
      <w:r>
        <w:rPr>
          <w:rFonts w:ascii="Times New Roman" w:hAnsi="Times New Roman"/>
          <w:noProof/>
          <w:sz w:val="24"/>
          <w:lang w:val="fr-BE"/>
        </w:rPr>
        <w:t xml:space="preserve">. </w:t>
      </w:r>
    </w:p>
    <w:p w:rsidR="0070369F" w:rsidRDefault="00B36066">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contexte du cadre juridique visant au respect des DPI, la notion d’«échelle commerciale» exige l’application de certaines mesures d’envergure ou intrusives en cas d’atteintes</w:t>
      </w:r>
      <w:r>
        <w:rPr>
          <w:rFonts w:ascii="Times New Roman" w:hAnsi="Times New Roman"/>
          <w:noProof/>
          <w:sz w:val="24"/>
          <w:lang w:val="fr-BE"/>
        </w:rPr>
        <w:t xml:space="preserve"> particulièrement graves, garantissant ainsi que les atteintes les plus nuisibles soient combattues efficacement tout en préservant aussi les principes de proportionnalité et d’approche équilibrée. Il apparaît toutefois que cette notion soit comprise et ap</w:t>
      </w:r>
      <w:r>
        <w:rPr>
          <w:rFonts w:ascii="Times New Roman" w:hAnsi="Times New Roman"/>
          <w:noProof/>
          <w:sz w:val="24"/>
          <w:lang w:val="fr-BE"/>
        </w:rPr>
        <w:t>pliquée différemment selon les États membres.</w:t>
      </w:r>
    </w:p>
    <w:p w:rsidR="0070369F" w:rsidRDefault="00B36066">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notion d’échelle commerciale n’est pas définie dans la directive. La directive ne comporte pas non plus de renvoi exprès au droit des États membres pour en déterminer le sens. La jurisprudence constante veut</w:t>
      </w:r>
      <w:r>
        <w:rPr>
          <w:rFonts w:ascii="Times New Roman" w:hAnsi="Times New Roman"/>
          <w:noProof/>
          <w:sz w:val="24"/>
          <w:lang w:val="fr-BE"/>
        </w:rPr>
        <w:t xml:space="preserve"> qu’en vertu de la nécessité d’une application uniforme du droit de l’Union et du principe d’égalité, cette notion devrait faire l’objet dans ces cas d’une interprétation autonome et uniforme à travers l’ensemble de l’UE</w:t>
      </w:r>
      <w:r>
        <w:rPr>
          <w:rStyle w:val="FootnoteReference"/>
          <w:rFonts w:ascii="Times New Roman" w:hAnsi="Times New Roman"/>
          <w:noProof/>
          <w:sz w:val="24"/>
        </w:rPr>
        <w:footnoteReference w:id="43"/>
      </w:r>
      <w:r>
        <w:rPr>
          <w:rFonts w:ascii="Times New Roman" w:hAnsi="Times New Roman"/>
          <w:noProof/>
          <w:sz w:val="24"/>
          <w:lang w:val="fr-BE"/>
        </w:rPr>
        <w:t>.</w:t>
      </w:r>
    </w:p>
    <w:p w:rsidR="0070369F" w:rsidRDefault="00B36066">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outre, le considérant 14 de la</w:t>
      </w:r>
      <w:r>
        <w:rPr>
          <w:rFonts w:ascii="Times New Roman" w:hAnsi="Times New Roman"/>
          <w:noProof/>
          <w:sz w:val="24"/>
          <w:lang w:val="fr-BE"/>
        </w:rPr>
        <w:t xml:space="preserve"> directive IPRED prévoit certains éclaircissements, puisqu’il indique qu’il concerne les actes</w:t>
      </w:r>
      <w:r>
        <w:rPr>
          <w:rFonts w:ascii="Times New Roman" w:hAnsi="Times New Roman"/>
          <w:i/>
          <w:noProof/>
          <w:sz w:val="24"/>
          <w:lang w:val="fr-BE"/>
        </w:rPr>
        <w:t> «perpétrés en vue d'obtenir un avantage économique ou commercial direct ou indirect, ce qui exclut normalement les actes qui sont perpétrés par des consommateurs</w:t>
      </w:r>
      <w:r>
        <w:rPr>
          <w:rFonts w:ascii="Times New Roman" w:hAnsi="Times New Roman"/>
          <w:i/>
          <w:noProof/>
          <w:sz w:val="24"/>
          <w:lang w:val="fr-BE"/>
        </w:rPr>
        <w:t xml:space="preserve"> finaux agissant de bonne foi</w:t>
      </w:r>
      <w:r>
        <w:rPr>
          <w:rFonts w:ascii="Times New Roman" w:hAnsi="Times New Roman"/>
          <w:noProof/>
          <w:sz w:val="24"/>
          <w:lang w:val="fr-BE"/>
        </w:rPr>
        <w:t xml:space="preserve">». </w:t>
      </w:r>
    </w:p>
    <w:p w:rsidR="0070369F" w:rsidRDefault="00B36066">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Par ailleurs, la notion d’échelle commerciale au sens de l’article 61 de l’accord sur les ADPIC a été discutée en profondeur dans un rapport du groupe spécial de règlement des différends de l’Organisation mondiale du commer</w:t>
      </w:r>
      <w:r>
        <w:rPr>
          <w:rFonts w:ascii="Times New Roman" w:hAnsi="Times New Roman"/>
          <w:noProof/>
          <w:sz w:val="24"/>
          <w:lang w:val="fr-BE"/>
        </w:rPr>
        <w:t>ce (ci-après l’«OMC»)</w:t>
      </w:r>
      <w:r>
        <w:rPr>
          <w:rStyle w:val="FootnoteReference"/>
          <w:rFonts w:ascii="Times New Roman" w:hAnsi="Times New Roman"/>
          <w:noProof/>
          <w:sz w:val="24"/>
        </w:rPr>
        <w:footnoteReference w:id="44"/>
      </w:r>
      <w:r>
        <w:rPr>
          <w:rFonts w:ascii="Times New Roman" w:hAnsi="Times New Roman"/>
          <w:noProof/>
          <w:sz w:val="24"/>
          <w:lang w:val="fr-BE"/>
        </w:rPr>
        <w:t xml:space="preserve">. Le groupe spécial en question a tenu compte du sens ordinaire des termes «échelle» et «commerciale» et a déterminé que la notion doit être comprise au regard d’éléments aussi bien qualitatifs que quantitatifs et qu’elle se réfère à </w:t>
      </w:r>
      <w:r>
        <w:rPr>
          <w:rFonts w:ascii="Times New Roman" w:hAnsi="Times New Roman"/>
          <w:noProof/>
          <w:sz w:val="24"/>
          <w:lang w:val="fr-BE"/>
        </w:rPr>
        <w:t>l’importance ou à l’étendue de l’activité commerciale typique ou habituelle pour un produit particulier sur un marché donné</w:t>
      </w:r>
      <w:r>
        <w:rPr>
          <w:rStyle w:val="FootnoteReference"/>
          <w:rFonts w:ascii="Times New Roman" w:hAnsi="Times New Roman"/>
          <w:noProof/>
          <w:sz w:val="24"/>
        </w:rPr>
        <w:footnoteReference w:id="45"/>
      </w:r>
      <w:r>
        <w:rPr>
          <w:rFonts w:ascii="Times New Roman" w:hAnsi="Times New Roman"/>
          <w:noProof/>
          <w:sz w:val="24"/>
          <w:lang w:val="fr-BE"/>
        </w:rPr>
        <w:t>. Même si l’accord sur les ADPIC utilise cette notion dans un contexte quelque peu différent de celui de la directive IPRED</w:t>
      </w:r>
      <w:r>
        <w:rPr>
          <w:rStyle w:val="FootnoteReference"/>
          <w:rFonts w:ascii="Times New Roman" w:hAnsi="Times New Roman"/>
          <w:noProof/>
          <w:sz w:val="24"/>
        </w:rPr>
        <w:footnoteReference w:id="46"/>
      </w:r>
      <w:r>
        <w:rPr>
          <w:rFonts w:ascii="Times New Roman" w:hAnsi="Times New Roman"/>
          <w:noProof/>
          <w:sz w:val="24"/>
          <w:lang w:val="fr-BE"/>
        </w:rPr>
        <w:t xml:space="preserve"> et que </w:t>
      </w:r>
      <w:r>
        <w:rPr>
          <w:rFonts w:ascii="Times New Roman" w:hAnsi="Times New Roman"/>
          <w:noProof/>
          <w:sz w:val="24"/>
          <w:lang w:val="fr-BE"/>
        </w:rPr>
        <w:t xml:space="preserve">dans l’ordre juridique de l’Union de tels rapports de groupes spéciaux ne sont pas contraignants en tant que tels lorsqu’il s’agit d’interpréter un acte de droit dérivé de l’Union, comme la directive IPRED, la Commission considère néanmoins que ce rapport </w:t>
      </w:r>
      <w:r>
        <w:rPr>
          <w:rFonts w:ascii="Times New Roman" w:hAnsi="Times New Roman"/>
          <w:noProof/>
          <w:sz w:val="24"/>
          <w:lang w:val="fr-BE"/>
        </w:rPr>
        <w:t>constitue un élément de référence utile</w:t>
      </w:r>
      <w:r>
        <w:rPr>
          <w:rStyle w:val="FootnoteReference"/>
          <w:rFonts w:ascii="Times New Roman" w:hAnsi="Times New Roman"/>
          <w:noProof/>
          <w:sz w:val="24"/>
        </w:rPr>
        <w:footnoteReference w:id="47"/>
      </w:r>
      <w:r>
        <w:rPr>
          <w:rFonts w:ascii="Times New Roman" w:hAnsi="Times New Roman"/>
          <w:noProof/>
          <w:sz w:val="24"/>
          <w:lang w:val="fr-BE"/>
        </w:rPr>
        <w:t xml:space="preserve">.  </w:t>
      </w:r>
    </w:p>
    <w:p w:rsidR="0070369F" w:rsidRDefault="00B36066">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Compte tenu de ce qui précède, la Commission est d’avis que la notion d’échelle commerciale telle qu’elle est utilisée dans différentes dispositions de la directive IPRED ne devrait pas être comprise en termes pu</w:t>
      </w:r>
      <w:r>
        <w:rPr>
          <w:rFonts w:ascii="Times New Roman" w:hAnsi="Times New Roman"/>
          <w:noProof/>
          <w:sz w:val="24"/>
          <w:lang w:val="fr-BE"/>
        </w:rPr>
        <w:t>rement quantitatifs; en fait, certains éléments qualitatifs, concernant par exemple la question de savoir si l’activité en question est normalement effectuée dans le but d'obtenir un avantage économique ou commercial, devraient également être pris en compt</w:t>
      </w:r>
      <w:r>
        <w:rPr>
          <w:rFonts w:ascii="Times New Roman" w:hAnsi="Times New Roman"/>
          <w:noProof/>
          <w:sz w:val="24"/>
          <w:lang w:val="fr-BE"/>
        </w:rPr>
        <w:t xml:space="preserve">e. </w:t>
      </w:r>
    </w:p>
    <w:p w:rsidR="0070369F" w:rsidRDefault="00B36066">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notion d’«échelle commerciale» prévue à l’article 6, paragraphe 2, à l’article 8, paragraphe 1, et à l’article 9, paragraphe 2, de la directive IPRED doit être interprétée et appliquée en tenant compte d’éléments qualitatifs, tels que l’avantage éco</w:t>
      </w:r>
      <w:r>
        <w:rPr>
          <w:rFonts w:ascii="Times New Roman" w:hAnsi="Times New Roman"/>
          <w:noProof/>
          <w:sz w:val="24"/>
          <w:lang w:val="fr-BE"/>
        </w:rPr>
        <w:t>nomique ou commercial éventuellement visé par les atteintes en cause, ainsi que d’éléments quantitatifs, tels que le nombre et l’étendue des atteintes mises en cause dans l’affaire examinée.</w:t>
      </w:r>
    </w:p>
    <w:p w:rsidR="0070369F" w:rsidRDefault="00B36066">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lang w:val="fr-BE"/>
        </w:rPr>
      </w:pPr>
      <w:r>
        <w:rPr>
          <w:rFonts w:ascii="Times New Roman" w:hAnsi="Times New Roman"/>
          <w:b/>
          <w:noProof/>
          <w:sz w:val="24"/>
          <w:lang w:val="fr-BE"/>
        </w:rPr>
        <w:t xml:space="preserve">ASSURER UNE APPROCHE ÉQUILIBRÉE EN MATIÈRE D’APPLICATION DES DPI </w:t>
      </w:r>
      <w:r>
        <w:rPr>
          <w:rFonts w:ascii="Times New Roman" w:hAnsi="Times New Roman"/>
          <w:b/>
          <w:noProof/>
          <w:sz w:val="24"/>
          <w:lang w:val="fr-BE"/>
        </w:rPr>
        <w:t xml:space="preserve">ET DE PRÉVENTION D’ABUS </w:t>
      </w:r>
    </w:p>
    <w:p w:rsidR="0070369F" w:rsidRDefault="00B36066">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Obligation générale et droits fondamentaux</w:t>
      </w:r>
    </w:p>
    <w:p w:rsidR="0070369F" w:rsidRDefault="00B36066">
      <w:pPr>
        <w:spacing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L’obligation générale de la directive consiste à prévoir les mesures, procédures et réparations nécessaires pour faire respecter les DPI. Ces mesures, procédures et réparations doivent </w:t>
      </w:r>
      <w:r>
        <w:rPr>
          <w:rFonts w:ascii="Times New Roman" w:hAnsi="Times New Roman"/>
          <w:noProof/>
          <w:sz w:val="24"/>
          <w:lang w:val="fr-BE"/>
        </w:rPr>
        <w:t>être loyales et équitables, ne doivent pas être inutilement complexes ou coûteuses et ne doivent pas comporter de délais déraisonnables ni entraîner de retards injustifiés; elles doivent aussi être effectives, proportionnées et dissuasives et être appliqué</w:t>
      </w:r>
      <w:r>
        <w:rPr>
          <w:rFonts w:ascii="Times New Roman" w:hAnsi="Times New Roman"/>
          <w:noProof/>
          <w:sz w:val="24"/>
          <w:lang w:val="fr-BE"/>
        </w:rPr>
        <w:t>es de manière à éviter la création d'obstacles au commerce légitime et comporter des sauvegardes contre leur usage abusif (article 3, paragraphes 1 et 2). En outre, ces mesures, procédures et réparations devraient être déterminées dans chaque cas de manièr</w:t>
      </w:r>
      <w:r>
        <w:rPr>
          <w:rFonts w:ascii="Times New Roman" w:hAnsi="Times New Roman"/>
          <w:noProof/>
          <w:sz w:val="24"/>
          <w:lang w:val="fr-BE"/>
        </w:rPr>
        <w:t>e à pouvoir prendre en considération les caractéristiques spécifiques de l’affaire, y compris celles qui ont trait à la propriété intellectuelle et, le cas échéant, le caractère intentionnel ou non de l’atteinte</w:t>
      </w:r>
      <w:r>
        <w:rPr>
          <w:rStyle w:val="FootnoteReference"/>
          <w:rFonts w:ascii="Times New Roman" w:hAnsi="Times New Roman"/>
          <w:noProof/>
          <w:sz w:val="24"/>
        </w:rPr>
        <w:footnoteReference w:id="48"/>
      </w:r>
      <w:r>
        <w:rPr>
          <w:rFonts w:ascii="Times New Roman" w:hAnsi="Times New Roman"/>
          <w:noProof/>
          <w:sz w:val="24"/>
          <w:lang w:val="fr-BE"/>
        </w:rPr>
        <w:t xml:space="preserve">. Aussi, pour assurer un usage équilibré du </w:t>
      </w:r>
      <w:r>
        <w:rPr>
          <w:rFonts w:ascii="Times New Roman" w:hAnsi="Times New Roman"/>
          <w:noProof/>
          <w:sz w:val="24"/>
          <w:lang w:val="fr-BE"/>
        </w:rPr>
        <w:t>système de protection des DPI, les autorités judiciaires compétentes devraient-elles généralement mener une évaluation au cas par cas lorsqu’elles envisagent d’appliquer les mesures, procédures et réparations prévues par l’IPRED.</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IPRED respect</w:t>
      </w:r>
      <w:r>
        <w:rPr>
          <w:rFonts w:ascii="Times New Roman" w:hAnsi="Times New Roman"/>
          <w:noProof/>
          <w:sz w:val="24"/>
          <w:lang w:val="fr-BE"/>
        </w:rPr>
        <w:t>e les droits fondamentaux et observe les principes reconnus, en particulier, par la Charte des droits fondamentaux de l'Union européenne (ci-après la «Charte»); en particulier, elle vise à assurer le plein respect de la propriété intellectuelle, conforméme</w:t>
      </w:r>
      <w:r>
        <w:rPr>
          <w:rFonts w:ascii="Times New Roman" w:hAnsi="Times New Roman"/>
          <w:noProof/>
          <w:sz w:val="24"/>
          <w:lang w:val="fr-BE"/>
        </w:rPr>
        <w:t>nt à l'article 17, paragraphe 2, de la Charte</w:t>
      </w:r>
      <w:r>
        <w:rPr>
          <w:rStyle w:val="FootnoteReference"/>
          <w:rFonts w:ascii="Times New Roman" w:hAnsi="Times New Roman"/>
          <w:noProof/>
          <w:sz w:val="24"/>
        </w:rPr>
        <w:footnoteReference w:id="49"/>
      </w:r>
      <w:r>
        <w:rPr>
          <w:rFonts w:ascii="Times New Roman" w:hAnsi="Times New Roman"/>
          <w:noProof/>
          <w:sz w:val="24"/>
          <w:lang w:val="fr-BE"/>
        </w:rPr>
        <w:t xml:space="preserve">. Par conséquent, les règles exposées dans la directive doivent être interprétées et appliquées non seulement de manière à sauvegarder ce droit fondamental, mais aussi de manière à prendre en compte et à faire </w:t>
      </w:r>
      <w:r>
        <w:rPr>
          <w:rFonts w:ascii="Times New Roman" w:hAnsi="Times New Roman"/>
          <w:noProof/>
          <w:sz w:val="24"/>
          <w:lang w:val="fr-BE"/>
        </w:rPr>
        <w:t>respecter d’autres droits fondamentaux également en cause. Ces derniers peuvent comprendre, le cas échéant, des droits effectifs de protection judiciaire et de protection de la vie privée et des données à caractère personnel, de même que la liberté d’expre</w:t>
      </w:r>
      <w:r>
        <w:rPr>
          <w:rFonts w:ascii="Times New Roman" w:hAnsi="Times New Roman"/>
          <w:noProof/>
          <w:sz w:val="24"/>
          <w:lang w:val="fr-BE"/>
        </w:rPr>
        <w:t>ssion et d’entreprise</w:t>
      </w:r>
      <w:r>
        <w:rPr>
          <w:rStyle w:val="FootnoteReference"/>
          <w:rFonts w:ascii="Times New Roman" w:hAnsi="Times New Roman"/>
          <w:noProof/>
          <w:sz w:val="24"/>
        </w:rPr>
        <w:footnoteReference w:id="50"/>
      </w:r>
      <w:r>
        <w:rPr>
          <w:rFonts w:ascii="Times New Roman" w:hAnsi="Times New Roman"/>
          <w:noProof/>
          <w:sz w:val="24"/>
          <w:lang w:val="fr-BE"/>
        </w:rPr>
        <w:t xml:space="preserve">. Plusieurs arrêts de la CJUE rendus après l’adoption de la directive portent sur cette question.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particulier, dans l’arrêt</w:t>
      </w:r>
      <w:r>
        <w:rPr>
          <w:rStyle w:val="FootnoteReference"/>
          <w:rFonts w:ascii="Times New Roman" w:hAnsi="Times New Roman"/>
          <w:noProof/>
          <w:sz w:val="24"/>
        </w:rPr>
        <w:footnoteReference w:id="51"/>
      </w:r>
      <w:r>
        <w:rPr>
          <w:rFonts w:ascii="Times New Roman" w:hAnsi="Times New Roman"/>
          <w:noProof/>
          <w:sz w:val="24"/>
          <w:lang w:val="fr-BE"/>
        </w:rPr>
        <w:t xml:space="preserve"> </w:t>
      </w:r>
      <w:r>
        <w:rPr>
          <w:rFonts w:ascii="Times New Roman" w:hAnsi="Times New Roman"/>
          <w:i/>
          <w:noProof/>
          <w:sz w:val="24"/>
          <w:lang w:val="fr-BE"/>
        </w:rPr>
        <w:t>Promusicae</w:t>
      </w:r>
      <w:r>
        <w:rPr>
          <w:rFonts w:ascii="Times New Roman" w:hAnsi="Times New Roman"/>
          <w:noProof/>
          <w:sz w:val="24"/>
          <w:lang w:val="fr-BE"/>
        </w:rPr>
        <w:t xml:space="preserve">, la CJUE a traité la question de l’équilibre entre différents droits fondamentaux lorsqu’elle </w:t>
      </w:r>
      <w:r>
        <w:rPr>
          <w:rFonts w:ascii="Times New Roman" w:hAnsi="Times New Roman"/>
          <w:noProof/>
          <w:sz w:val="24"/>
          <w:lang w:val="fr-BE"/>
        </w:rPr>
        <w:t>a interprété les dispositions de la directive sur le commerce électronique, de la directive sur la société de l'information</w:t>
      </w:r>
      <w:r>
        <w:rPr>
          <w:rStyle w:val="FootnoteReference"/>
          <w:rFonts w:ascii="Times New Roman" w:hAnsi="Times New Roman"/>
          <w:noProof/>
          <w:sz w:val="24"/>
        </w:rPr>
        <w:footnoteReference w:id="52"/>
      </w:r>
      <w:r>
        <w:rPr>
          <w:rFonts w:ascii="Times New Roman" w:hAnsi="Times New Roman"/>
          <w:noProof/>
          <w:sz w:val="24"/>
          <w:lang w:val="fr-BE"/>
        </w:rPr>
        <w:t>, de la directive IPRED et de la directive sur la vie privée et les communications en ligne</w:t>
      </w:r>
      <w:r>
        <w:rPr>
          <w:rStyle w:val="FootnoteReference"/>
          <w:rFonts w:ascii="Times New Roman" w:hAnsi="Times New Roman"/>
          <w:noProof/>
          <w:sz w:val="24"/>
        </w:rPr>
        <w:footnoteReference w:id="53"/>
      </w:r>
      <w:r>
        <w:rPr>
          <w:rFonts w:ascii="Times New Roman" w:hAnsi="Times New Roman"/>
          <w:noProof/>
          <w:sz w:val="24"/>
          <w:lang w:val="fr-BE"/>
        </w:rPr>
        <w:t>, à la lumière de la Charte. La CJUE a e</w:t>
      </w:r>
      <w:r>
        <w:rPr>
          <w:rFonts w:ascii="Times New Roman" w:hAnsi="Times New Roman"/>
          <w:noProof/>
          <w:sz w:val="24"/>
          <w:lang w:val="fr-BE"/>
        </w:rPr>
        <w:t xml:space="preserve">xpliqué que, lors de l’interprétation de ces directives, les autorités et les autorités judiciaires nationales compétentes doivent s’assurer qu’un juste équilibre soit trouvé entre les différents droits fondamentaux concernés et veiller à ce qu’il n’y ait </w:t>
      </w:r>
      <w:r>
        <w:rPr>
          <w:rFonts w:ascii="Times New Roman" w:hAnsi="Times New Roman"/>
          <w:noProof/>
          <w:sz w:val="24"/>
          <w:lang w:val="fr-BE"/>
        </w:rPr>
        <w:t>pas de conflit avec les autres principes généraux du droit de l’UE, notamment le principe de proportionnalité. Dans l’affaire en question, la CJUE a conclu que les États membres n'étaient pas tenus de prévoir l’obligation de communiquer des données à carac</w:t>
      </w:r>
      <w:r>
        <w:rPr>
          <w:rFonts w:ascii="Times New Roman" w:hAnsi="Times New Roman"/>
          <w:noProof/>
          <w:sz w:val="24"/>
          <w:lang w:val="fr-BE"/>
        </w:rPr>
        <w:t>tère personnel afin de garantir une protection efficace du droit d’auteur dans le cadre d’une procédure au civil. Toutefois, en ce qui concerne la transposition des directives susmentionnées, la CJUE a également conclu que les États membres devaient interp</w:t>
      </w:r>
      <w:r>
        <w:rPr>
          <w:rFonts w:ascii="Times New Roman" w:hAnsi="Times New Roman"/>
          <w:noProof/>
          <w:sz w:val="24"/>
          <w:lang w:val="fr-BE"/>
        </w:rPr>
        <w:t>réter celles-ci de manière à trouver un juste équilibre entre la protection des données à caractère personnel et les droits fondamentaux à la propriété et à une protection judiciaire efficace.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Cette approche a également été prise en compte dans les arrêts </w:t>
      </w:r>
      <w:r>
        <w:rPr>
          <w:rFonts w:ascii="Times New Roman" w:hAnsi="Times New Roman"/>
          <w:noProof/>
          <w:sz w:val="24"/>
          <w:lang w:val="fr-BE"/>
        </w:rPr>
        <w:t>ultérieurs de la CJUE</w:t>
      </w:r>
      <w:r>
        <w:rPr>
          <w:rStyle w:val="FootnoteReference"/>
          <w:rFonts w:ascii="Times New Roman" w:hAnsi="Times New Roman"/>
          <w:noProof/>
          <w:sz w:val="24"/>
        </w:rPr>
        <w:footnoteReference w:id="54"/>
      </w:r>
      <w:r>
        <w:rPr>
          <w:rFonts w:ascii="Times New Roman" w:hAnsi="Times New Roman"/>
          <w:noProof/>
          <w:sz w:val="24"/>
          <w:lang w:val="fr-BE"/>
        </w:rPr>
        <w:t xml:space="preserve">, qui apportent des éclaircissements sur la façon de trouver le bon équilibre entre différents droits fondamentaux contradictoires, </w:t>
      </w:r>
      <w:r>
        <w:rPr>
          <w:rFonts w:ascii="Times New Roman" w:hAnsi="Times New Roman"/>
          <w:i/>
          <w:noProof/>
          <w:sz w:val="24"/>
          <w:lang w:val="fr-BE"/>
        </w:rPr>
        <w:t>notamment</w:t>
      </w:r>
      <w:r>
        <w:rPr>
          <w:rFonts w:ascii="Times New Roman" w:hAnsi="Times New Roman"/>
          <w:noProof/>
          <w:sz w:val="24"/>
          <w:lang w:val="fr-BE"/>
        </w:rPr>
        <w:t xml:space="preserve"> pour statuer sur les demandes relevant du droit d’information et les ordonnances d’injonctio</w:t>
      </w:r>
      <w:r>
        <w:rPr>
          <w:rFonts w:ascii="Times New Roman" w:hAnsi="Times New Roman"/>
          <w:noProof/>
          <w:sz w:val="24"/>
          <w:lang w:val="fr-BE"/>
        </w:rPr>
        <w:t>n</w:t>
      </w:r>
      <w:r>
        <w:rPr>
          <w:rStyle w:val="FootnoteReference"/>
          <w:rFonts w:ascii="Times New Roman" w:hAnsi="Times New Roman"/>
          <w:noProof/>
          <w:sz w:val="24"/>
        </w:rPr>
        <w:footnoteReference w:id="55"/>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Même si ces arrêts ont été rendus dans le contexte particulier des contentieux relatif aux atteintes au droit d’auteur, l’analyse de la CJUE traite de façon générale la question de l’équilibre entre les droits fondamentaux en cause. La Commission esti</w:t>
      </w:r>
      <w:r>
        <w:rPr>
          <w:rFonts w:ascii="Times New Roman" w:hAnsi="Times New Roman"/>
          <w:noProof/>
          <w:sz w:val="24"/>
          <w:lang w:val="fr-BE"/>
        </w:rPr>
        <w:t>me par conséquent que l’exigence de juste équilibre entre ces droits, à la lumière du principe général de proportionnalité, ne s’applique pas seulement aux affaires d’atteinte au droit d’auteur, mais aussi aux affaires concernant l’ensemble des DPI relevan</w:t>
      </w:r>
      <w:r>
        <w:rPr>
          <w:rFonts w:ascii="Times New Roman" w:hAnsi="Times New Roman"/>
          <w:noProof/>
          <w:sz w:val="24"/>
          <w:lang w:val="fr-BE"/>
        </w:rPr>
        <w:t>t du champ d’application de la directive IPRED.</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Dans tous les cas dans lesquels les dispositions de la directive IPRED sont interprétées et appliquées et dans lesquels différents intérêts fondamentaux contradictoires protégés par l’ordre juridique de l’UE </w:t>
      </w:r>
      <w:r>
        <w:rPr>
          <w:rFonts w:ascii="Times New Roman" w:hAnsi="Times New Roman"/>
          <w:noProof/>
          <w:sz w:val="24"/>
          <w:lang w:val="fr-BE"/>
        </w:rPr>
        <w:t xml:space="preserve">sont en cause, il convient de veiller à un bon équilibre, à la lumière du principe de proportionnalité. </w:t>
      </w:r>
    </w:p>
    <w:p w:rsidR="0070369F" w:rsidRDefault="00B36066">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Trouver le bon équilibre entre les droits fondamentaux applicables dans le cas du droit d’information</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Il est particulièrement important de trouver un b</w:t>
      </w:r>
      <w:r>
        <w:rPr>
          <w:rFonts w:ascii="Times New Roman" w:hAnsi="Times New Roman"/>
          <w:noProof/>
          <w:sz w:val="24"/>
          <w:lang w:val="fr-BE"/>
        </w:rPr>
        <w:t>on équilibre entre les différents droits fondamentaux lorsqu’il s’agit d’appliquer le droit d’information énoncé à l’article 8 de la directive IPRED. L’article 8 fait obligation aux États membres de permettre aux autorités judiciaires compétentes d’ordonne</w:t>
      </w:r>
      <w:r>
        <w:rPr>
          <w:rFonts w:ascii="Times New Roman" w:hAnsi="Times New Roman"/>
          <w:noProof/>
          <w:sz w:val="24"/>
          <w:lang w:val="fr-BE"/>
        </w:rPr>
        <w:t>r à un contrevenant ou à certaines autres personnes de fournir des informations précises sur l'origine des marchandises ou des services contrefaisants, sur les réseaux de distribution et sur l’identité des tiers impliqués dans l’atteinte</w:t>
      </w:r>
      <w:r>
        <w:rPr>
          <w:rStyle w:val="FootnoteReference"/>
          <w:rFonts w:ascii="Times New Roman" w:hAnsi="Times New Roman"/>
          <w:noProof/>
          <w:sz w:val="24"/>
        </w:rPr>
        <w:footnoteReference w:id="56"/>
      </w:r>
      <w:r>
        <w:rPr>
          <w:rFonts w:ascii="Times New Roman" w:hAnsi="Times New Roman"/>
          <w:noProof/>
          <w:sz w:val="24"/>
          <w:lang w:val="fr-BE"/>
        </w:rPr>
        <w: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Lors du traiteme</w:t>
      </w:r>
      <w:r>
        <w:rPr>
          <w:rFonts w:ascii="Times New Roman" w:hAnsi="Times New Roman"/>
          <w:noProof/>
          <w:sz w:val="24"/>
          <w:lang w:val="fr-BE"/>
        </w:rPr>
        <w:t>nt des demandes de droit d’information soumises en vertu de l’article 8, il peut arriver que plusieurs droits fondamentaux doivent être mis en balance. Tel pourrait être le cas notamment avec les droits fondamentaux relatifs à la protection de la propriété</w:t>
      </w:r>
      <w:r>
        <w:rPr>
          <w:rFonts w:ascii="Times New Roman" w:hAnsi="Times New Roman"/>
          <w:noProof/>
          <w:sz w:val="24"/>
          <w:lang w:val="fr-BE"/>
        </w:rPr>
        <w:t xml:space="preserve"> (y compris la propriété intellectuelle) et à une protection juridictionnelle effective, d’une part, et les droits fondamentaux relatifs à la protection de la vie privée et des données à caractère personnel, ainsi qu’à la liberté d’entreprise, d’autre part</w:t>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Tout ordonnance émise par les autorités judiciaires compétentes, exigeant de fournir des informations en vertu de l’article 8, ne doit porter que sur les informations qui sont effectivement nécessaires pour identifier la source et l’étendue de l’attein</w:t>
      </w:r>
      <w:r>
        <w:rPr>
          <w:rFonts w:ascii="Times New Roman" w:hAnsi="Times New Roman"/>
          <w:noProof/>
          <w:sz w:val="24"/>
          <w:lang w:val="fr-BE"/>
        </w:rPr>
        <w:t>te. De l’avis de la Commission, ceci découle de l’exigence d’une demande dûment justifiée et proportionnée prévue à l’article 8, paragraphe 1, et des obligations générales établies à l’article 3 (notamment les exigences précisant que toute mesure adoptée d</w:t>
      </w:r>
      <w:r>
        <w:rPr>
          <w:rFonts w:ascii="Times New Roman" w:hAnsi="Times New Roman"/>
          <w:noProof/>
          <w:sz w:val="24"/>
          <w:lang w:val="fr-BE"/>
        </w:rPr>
        <w:t xml:space="preserve">oit être juste et équitable et ne doit pas être inutilement complexe ou coûteuse, et que des sauvegardes doivent être prévues contre les abus).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précisé</w:t>
      </w:r>
      <w:r>
        <w:rPr>
          <w:rStyle w:val="FootnoteReference"/>
          <w:rFonts w:ascii="Times New Roman" w:hAnsi="Times New Roman"/>
          <w:noProof/>
          <w:sz w:val="24"/>
        </w:rPr>
        <w:footnoteReference w:id="57"/>
      </w:r>
      <w:r>
        <w:rPr>
          <w:rFonts w:ascii="Times New Roman" w:hAnsi="Times New Roman"/>
          <w:noProof/>
          <w:sz w:val="24"/>
          <w:lang w:val="fr-BE"/>
        </w:rPr>
        <w:t xml:space="preserve"> que le droit de l’Union, en particulier l’article 8, paragraphe 3, de la directive IPRED, lu en liaison avec l’article 15, paragraphe 1, de la directive sur la vie privée et les communications électroniques, ne s’oppose pas à ce que des États membres impo</w:t>
      </w:r>
      <w:r>
        <w:rPr>
          <w:rFonts w:ascii="Times New Roman" w:hAnsi="Times New Roman"/>
          <w:noProof/>
          <w:sz w:val="24"/>
          <w:lang w:val="fr-BE"/>
        </w:rPr>
        <w:t>sent une obligation de divulguer à certains tiers des données à caractère personnel relatives au trafic internet, afin de permettre à ces tiers d’intenter une action en justice au civil pour atteinte aux droits d’auteur. La Cour a toutefois jugé que les di</w:t>
      </w:r>
      <w:r>
        <w:rPr>
          <w:rFonts w:ascii="Times New Roman" w:hAnsi="Times New Roman"/>
          <w:noProof/>
          <w:sz w:val="24"/>
          <w:lang w:val="fr-BE"/>
        </w:rPr>
        <w:t xml:space="preserve">spositions du droit de l’Union qui sont en cause dans ce cas n'exigeaient pas des États membre qu'ils imposent une telle obligation.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également indiqué que ces règles ne s’opposaient pas à l’application d’une législation nationale fondée sur l’ar</w:t>
      </w:r>
      <w:r>
        <w:rPr>
          <w:rFonts w:ascii="Times New Roman" w:hAnsi="Times New Roman"/>
          <w:noProof/>
          <w:sz w:val="24"/>
          <w:lang w:val="fr-BE"/>
        </w:rPr>
        <w:t>ticle 8 de la directive IPRED qui, pour identifier un abonné ou un utilisateur Internet, autorise un opérateur Internet intervenant dans une procédure civile à donner au titulaire d’un droit d’auteur ou à son représentant des informations sur l’abonné auqu</w:t>
      </w:r>
      <w:r>
        <w:rPr>
          <w:rFonts w:ascii="Times New Roman" w:hAnsi="Times New Roman"/>
          <w:noProof/>
          <w:sz w:val="24"/>
          <w:lang w:val="fr-BE"/>
        </w:rPr>
        <w:t>el l’opérateur a fourni une adresse IP supposément utilisée dans le cadre d’une atteinte. Une telle législation nationale devrait toutefois permettre à la juridiction nationale saisie de peser les intérêts contradictoires en présence, sur la base des éléme</w:t>
      </w:r>
      <w:r>
        <w:rPr>
          <w:rFonts w:ascii="Times New Roman" w:hAnsi="Times New Roman"/>
          <w:noProof/>
          <w:sz w:val="24"/>
          <w:lang w:val="fr-BE"/>
        </w:rPr>
        <w:t>nts matériels de chaque affaire et en tenant dûment compte des exigences du principe de proportionnalité</w:t>
      </w:r>
      <w:r>
        <w:rPr>
          <w:rStyle w:val="FootnoteReference"/>
          <w:rFonts w:ascii="Times New Roman" w:hAnsi="Times New Roman"/>
          <w:noProof/>
          <w:sz w:val="24"/>
        </w:rPr>
        <w:footnoteReference w:id="58"/>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Dans une autre affaire, la CJUE a précisé que l’article 8, paragraphe 3, point e), de la directive IPRED s’opposait à des dispositions de droit nati</w:t>
      </w:r>
      <w:r>
        <w:rPr>
          <w:rFonts w:ascii="Times New Roman" w:hAnsi="Times New Roman"/>
          <w:noProof/>
          <w:sz w:val="24"/>
          <w:lang w:val="fr-BE"/>
        </w:rPr>
        <w:t>onal permettant à un établissement bancaire d’invoquer le secret bancaire de manière illimitée et inconditionnelle en vue de s’opposer à la fourniture, conformément à l’article 8, paragraphe 1, point c), de la directive IPRED, d’informations concernant les</w:t>
      </w:r>
      <w:r>
        <w:rPr>
          <w:rFonts w:ascii="Times New Roman" w:hAnsi="Times New Roman"/>
          <w:noProof/>
          <w:sz w:val="24"/>
          <w:lang w:val="fr-BE"/>
        </w:rPr>
        <w:t xml:space="preserve"> nom et adresse du titulaire d’un compte</w:t>
      </w:r>
      <w:r>
        <w:rPr>
          <w:rStyle w:val="FootnoteReference"/>
          <w:rFonts w:ascii="Times New Roman" w:hAnsi="Times New Roman"/>
          <w:noProof/>
          <w:sz w:val="24"/>
        </w:rPr>
        <w:footnoteReference w:id="59"/>
      </w:r>
      <w:r>
        <w:rPr>
          <w:rFonts w:ascii="Times New Roman" w:hAnsi="Times New Roman"/>
          <w:noProof/>
          <w:sz w:val="24"/>
          <w:lang w:val="fr-BE"/>
        </w:rPr>
        <w:t xml:space="preserve">. Une telle autorisation illimitée et inconditionnelle d’invoquer le secret bancaire peut nuire gravement à l’exercice du droit fondamental de propriété intellectuelle pour les besoins du droit des personnes visé à </w:t>
      </w:r>
      <w:r>
        <w:rPr>
          <w:rFonts w:ascii="Times New Roman" w:hAnsi="Times New Roman"/>
          <w:noProof/>
          <w:sz w:val="24"/>
          <w:lang w:val="fr-BE"/>
        </w:rPr>
        <w:t>l’article 8, paragraphe 1, de la directive IPRED, par opposition au droit de protection des données à caractère personnel les concernant</w:t>
      </w:r>
      <w:r>
        <w:rPr>
          <w:rStyle w:val="FootnoteReference"/>
          <w:rFonts w:ascii="Times New Roman" w:hAnsi="Times New Roman"/>
          <w:noProof/>
          <w:sz w:val="24"/>
        </w:rPr>
        <w:footnoteReference w:id="60"/>
      </w:r>
      <w:r>
        <w:rPr>
          <w:rFonts w:ascii="Times New Roman" w:hAnsi="Times New Roman"/>
          <w:noProof/>
          <w:sz w:val="24"/>
          <w:lang w:val="fr-BE"/>
        </w:rPr>
        <w:t>.</w:t>
      </w:r>
    </w:p>
    <w:p w:rsidR="0070369F" w:rsidRDefault="00B36066">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bCs/>
          <w:noProof/>
          <w:sz w:val="24"/>
          <w:szCs w:val="24"/>
          <w:lang w:val="fr-BE"/>
        </w:rPr>
      </w:pPr>
      <w:r>
        <w:rPr>
          <w:rFonts w:ascii="Times New Roman" w:hAnsi="Times New Roman"/>
          <w:noProof/>
          <w:sz w:val="24"/>
          <w:lang w:val="fr-BE"/>
        </w:rPr>
        <w:t xml:space="preserve">Aux termes de l’article 8 de la directive IPRED, les autorités judiciaires compétentes peuvent exiger d’un contrevenant ou de certaines autres personnes qu’elles fournissent des informations sur l’origine et les réseaux de distribution des marchandises ou </w:t>
      </w:r>
      <w:r>
        <w:rPr>
          <w:rFonts w:ascii="Times New Roman" w:hAnsi="Times New Roman"/>
          <w:noProof/>
          <w:sz w:val="24"/>
          <w:lang w:val="fr-BE"/>
        </w:rPr>
        <w:t>des services qui portent atteinte à un DPI. Au nombre de ces informations peuvent figurer des données à caractère personnel, sous réserve que ces données soient communiquées en accord avec la législation applicable relative à la protection des données à ca</w:t>
      </w:r>
      <w:r>
        <w:rPr>
          <w:rFonts w:ascii="Times New Roman" w:hAnsi="Times New Roman"/>
          <w:noProof/>
          <w:sz w:val="24"/>
          <w:lang w:val="fr-BE"/>
        </w:rPr>
        <w:t xml:space="preserve">ractère personnel et que des sauvegardes soient prévues, visant à assurer un juste équilibre entre les différents droits fondamentaux en cause. </w:t>
      </w:r>
    </w:p>
    <w:p w:rsidR="0070369F" w:rsidRDefault="00B36066">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Présentation de preuves spécifiques sous le contrôle de la partie adverse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Conformément à l’article 6, paragraph</w:t>
      </w:r>
      <w:r>
        <w:rPr>
          <w:rFonts w:ascii="Times New Roman" w:hAnsi="Times New Roman"/>
          <w:noProof/>
          <w:sz w:val="24"/>
          <w:lang w:val="fr-BE"/>
        </w:rPr>
        <w:t>e 1, de la directive IPRED, les autorités judiciaires compétentes peuvent ordonner que les éléments de preuve qui sont sous le contrôle de la partie adverse soient produits par la partie adverse, dans les cas où le requérant a présenté des éléments de preu</w:t>
      </w:r>
      <w:r>
        <w:rPr>
          <w:rFonts w:ascii="Times New Roman" w:hAnsi="Times New Roman"/>
          <w:noProof/>
          <w:sz w:val="24"/>
          <w:lang w:val="fr-BE"/>
        </w:rPr>
        <w:t>ve raisonnablement accessibles et suffisants pour étayer ses allégations et a précisé les éléments de preuve à l'appui de ses allégations.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Au cours de l’évaluation, il a été rapporté que dans certains États membres, la procédure de spécification des élémen</w:t>
      </w:r>
      <w:r>
        <w:rPr>
          <w:rFonts w:ascii="Times New Roman" w:hAnsi="Times New Roman"/>
          <w:noProof/>
          <w:sz w:val="24"/>
          <w:lang w:val="fr-BE"/>
        </w:rPr>
        <w:t>ts de preuve qui sont sous le contrôle de la partie adverse peut être très lourde pour le requérant, ce qui limite sensiblement la possibilité d’obtenir de tels éléments dans la pratique. Il a été signalé que les requérants sont parfois tenus de préciser l</w:t>
      </w:r>
      <w:r>
        <w:rPr>
          <w:rFonts w:ascii="Times New Roman" w:hAnsi="Times New Roman"/>
          <w:noProof/>
          <w:sz w:val="24"/>
          <w:lang w:val="fr-BE"/>
        </w:rPr>
        <w:t xml:space="preserve">a nature exacte, la localisation, les numéros de référence ou les contenus des documents demandés, même si de telles informations sont évidemment difficiles, voire impossibles à obtenir pour une personne externe qui n’a pas nécessairement vu les documents </w:t>
      </w:r>
      <w:r>
        <w:rPr>
          <w:rFonts w:ascii="Times New Roman" w:hAnsi="Times New Roman"/>
          <w:noProof/>
          <w:sz w:val="24"/>
          <w:lang w:val="fr-BE"/>
        </w:rPr>
        <w:t>en question</w:t>
      </w:r>
      <w:r>
        <w:rPr>
          <w:rStyle w:val="FootnoteReference"/>
          <w:rFonts w:ascii="Times New Roman" w:hAnsi="Times New Roman"/>
          <w:noProof/>
          <w:sz w:val="24"/>
        </w:rPr>
        <w:footnoteReference w:id="61"/>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b/>
          <w:noProof/>
          <w:sz w:val="24"/>
          <w:szCs w:val="24"/>
          <w:lang w:val="fr-BE"/>
        </w:rPr>
      </w:pPr>
      <w:r>
        <w:rPr>
          <w:rFonts w:ascii="Times New Roman" w:hAnsi="Times New Roman"/>
          <w:noProof/>
          <w:sz w:val="24"/>
          <w:lang w:val="fr-BE"/>
        </w:rPr>
        <w:t>Si un certain degré de précision est certes nécessaire, exiger un niveau excessif de détail remet en question l’efficacité des mesures de production des preuves prévues à l’article 6, paragraphe 1, et soulève des questions sur la proportionn</w:t>
      </w:r>
      <w:r>
        <w:rPr>
          <w:rFonts w:ascii="Times New Roman" w:hAnsi="Times New Roman"/>
          <w:noProof/>
          <w:sz w:val="24"/>
          <w:lang w:val="fr-BE"/>
        </w:rPr>
        <w:t>alité des exigences fixées au niveau national. Il y a également lieu de s’interroger sur le caractère «loyal et équitable» de telles exigences, car le recours aux mesures prévues par la directive pourrait s’avérer très compliqué, le cas échéant. En tant qu</w:t>
      </w:r>
      <w:r>
        <w:rPr>
          <w:rFonts w:ascii="Times New Roman" w:hAnsi="Times New Roman"/>
          <w:noProof/>
          <w:sz w:val="24"/>
          <w:lang w:val="fr-BE"/>
        </w:rPr>
        <w:t>e telles, des exigences nationales détaillées de cette nature pourraient être contraires à l’article 6, paragraphe 1, lu en liaison avec les obligations énoncées à l’article 3 de la directive.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régissant les actions en dommages-intérêts dans le</w:t>
      </w:r>
      <w:r>
        <w:rPr>
          <w:rFonts w:ascii="Times New Roman" w:hAnsi="Times New Roman"/>
          <w:noProof/>
          <w:sz w:val="24"/>
          <w:lang w:val="fr-BE"/>
        </w:rPr>
        <w:t xml:space="preserve"> droit de la concurrence</w:t>
      </w:r>
      <w:r>
        <w:rPr>
          <w:rStyle w:val="FootnoteReference"/>
          <w:rFonts w:ascii="Times New Roman" w:hAnsi="Times New Roman"/>
          <w:noProof/>
          <w:sz w:val="24"/>
        </w:rPr>
        <w:footnoteReference w:id="62"/>
      </w:r>
      <w:r>
        <w:rPr>
          <w:rFonts w:ascii="Times New Roman" w:hAnsi="Times New Roman"/>
          <w:noProof/>
          <w:sz w:val="24"/>
          <w:lang w:val="fr-BE"/>
        </w:rPr>
        <w:t xml:space="preserve"> est plus élaborée à cet égard. Les dispositions concernant la production de preuves, visées à l’article 5, paragraphe 2, de la directive, font obligation aux États membres de veiller à ce que les juridictions soient en mesure d’or</w:t>
      </w:r>
      <w:r>
        <w:rPr>
          <w:rFonts w:ascii="Times New Roman" w:hAnsi="Times New Roman"/>
          <w:noProof/>
          <w:sz w:val="24"/>
          <w:lang w:val="fr-BE"/>
        </w:rPr>
        <w:t>donner la production de certains éléments de preuves ou de catégories pertinentes de preuves, circonscrites de manière aussi précise et étroite que possible, sur la base de données factuelles raisonnablement disponibles dans la justification motivée.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w:t>
      </w:r>
      <w:r>
        <w:rPr>
          <w:rFonts w:ascii="Times New Roman" w:hAnsi="Times New Roman"/>
          <w:noProof/>
          <w:sz w:val="24"/>
          <w:lang w:val="fr-BE"/>
        </w:rPr>
        <w:t>mmission est d’avis qu’il pourrait être justifié d’adopter une approche similaire dans le cadre de l’interprétation et de l’application de l’article 6, paragraphe 1, de la directive IPRED. Certes, le requérant devrait préciser les informations qu’il demand</w:t>
      </w:r>
      <w:r>
        <w:rPr>
          <w:rFonts w:ascii="Times New Roman" w:hAnsi="Times New Roman"/>
          <w:noProof/>
          <w:sz w:val="24"/>
          <w:lang w:val="fr-BE"/>
        </w:rPr>
        <w:t>e dans toute la mesure du possible, mais cette obligation doit être interprétée dans les limites du raisonnable, à la lumière des particularités du cas d'espèce. En d’autres termes, selon la Commission, le fait que le requérant doive en principe indiquer d</w:t>
      </w:r>
      <w:r>
        <w:rPr>
          <w:rFonts w:ascii="Times New Roman" w:hAnsi="Times New Roman"/>
          <w:noProof/>
          <w:sz w:val="24"/>
          <w:lang w:val="fr-BE"/>
        </w:rPr>
        <w:t>ans sa demande les différents éléments de preuve concernés, l’article 6, paragraphe 1, ne s’oppose pas à ce qu’un requérant précise, dans certains cas, une catégorie concrète d’éléments, pour autant que le degré de précision permette à la partie adverse d’</w:t>
      </w:r>
      <w:r>
        <w:rPr>
          <w:rFonts w:ascii="Times New Roman" w:hAnsi="Times New Roman"/>
          <w:noProof/>
          <w:sz w:val="24"/>
          <w:lang w:val="fr-BE"/>
        </w:rPr>
        <w:t xml:space="preserve">identifier les éléments concrets qui sont sous son contrôle et à l’autorité judiciaire compétente de statuer sur la demande de production des preuves.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outre, des difficultés subsistent sur la question de savoir ce qu’il faut entendre par «</w:t>
      </w:r>
      <w:r>
        <w:rPr>
          <w:rFonts w:ascii="Times New Roman" w:hAnsi="Times New Roman"/>
          <w:i/>
          <w:noProof/>
          <w:sz w:val="24"/>
          <w:lang w:val="fr-BE"/>
        </w:rPr>
        <w:t>éléments de p</w:t>
      </w:r>
      <w:r>
        <w:rPr>
          <w:rFonts w:ascii="Times New Roman" w:hAnsi="Times New Roman"/>
          <w:i/>
          <w:noProof/>
          <w:sz w:val="24"/>
          <w:lang w:val="fr-BE"/>
        </w:rPr>
        <w:t>reuve qui se trouvent sous le contrôle de la partie adverse</w:t>
      </w:r>
      <w:r>
        <w:rPr>
          <w:rFonts w:ascii="Times New Roman" w:hAnsi="Times New Roman"/>
          <w:noProof/>
          <w:sz w:val="24"/>
          <w:lang w:val="fr-BE"/>
        </w:rPr>
        <w:t>». Plus précisément, des incertitudes sont apparues quant à la question de savoir si le terme «contrôle» ne devait renvoyer qu’à la possession d’éléments de preuve ou s’il doit être compris dans un</w:t>
      </w:r>
      <w:r>
        <w:rPr>
          <w:rFonts w:ascii="Times New Roman" w:hAnsi="Times New Roman"/>
          <w:noProof/>
          <w:sz w:val="24"/>
          <w:lang w:val="fr-BE"/>
        </w:rPr>
        <w:t xml:space="preserve"> sens plus large et même être étendu à l’obligation pour la partie adverse d’effectuer une recherche raisonnable</w:t>
      </w:r>
      <w:r>
        <w:rPr>
          <w:rStyle w:val="FootnoteReference"/>
          <w:rFonts w:ascii="Times New Roman" w:hAnsi="Times New Roman"/>
          <w:noProof/>
          <w:sz w:val="24"/>
        </w:rPr>
        <w:footnoteReference w:id="63"/>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Si la Commission est d’avis que l’article 6, paragraphe 1, n’offre pas de base claire pour obliger une partie à rechercher activement les pr</w:t>
      </w:r>
      <w:r>
        <w:rPr>
          <w:rFonts w:ascii="Times New Roman" w:hAnsi="Times New Roman"/>
          <w:noProof/>
          <w:sz w:val="24"/>
          <w:lang w:val="fr-BE"/>
        </w:rPr>
        <w:t>euves en possession de tierces parties qui échappent à son contrôle en vue de la production de ces éléments, elle note que l’utilisation du mot «contrôle» donne à penser qu’il n’est pas obligatoire que la partie en question soit en possession de telles pre</w:t>
      </w:r>
      <w:r>
        <w:rPr>
          <w:rFonts w:ascii="Times New Roman" w:hAnsi="Times New Roman"/>
          <w:noProof/>
          <w:sz w:val="24"/>
          <w:lang w:val="fr-BE"/>
        </w:rPr>
        <w:t>uves. C’est pourquoi la Commission estime que, le cas échéant, l’article 6, paragraphe 1, pourrait faire obligation à une partie d’effectuer une recherche des éléments de preuve au sein de son organisation (y compris auprès des entités juridiques distincte</w:t>
      </w:r>
      <w:r>
        <w:rPr>
          <w:rFonts w:ascii="Times New Roman" w:hAnsi="Times New Roman"/>
          <w:noProof/>
          <w:sz w:val="24"/>
          <w:lang w:val="fr-BE"/>
        </w:rPr>
        <w:t>s qui sont sous son contrôle), pour autant que le requérant ait dûment étayé et précisé la demande d’éléments de preuve en question, que l’obligation n’aille pas au-delà de ce qui est proportionné et qu’elle ne soit pas inutilement coûteuse, et que des sau</w:t>
      </w:r>
      <w:r>
        <w:rPr>
          <w:rFonts w:ascii="Times New Roman" w:hAnsi="Times New Roman"/>
          <w:noProof/>
          <w:sz w:val="24"/>
          <w:lang w:val="fr-BE"/>
        </w:rPr>
        <w:t>vegardes contre les abus soient prévues si nécessaire</w:t>
      </w:r>
      <w:r>
        <w:rPr>
          <w:rStyle w:val="FootnoteReference"/>
          <w:rFonts w:ascii="Times New Roman" w:hAnsi="Times New Roman"/>
          <w:noProof/>
          <w:sz w:val="24"/>
        </w:rPr>
        <w:footnoteReference w:id="64"/>
      </w:r>
      <w:r>
        <w:rPr>
          <w:rFonts w:ascii="Times New Roman" w:hAnsi="Times New Roman"/>
          <w:noProof/>
          <w:sz w:val="24"/>
          <w:lang w:val="fr-BE"/>
        </w:rPr>
        <w:t>.</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Toute demande de production d’éléments de preuve en vertu de l’article 6, paragraphe 1, de la directive IPRED devrait être dûment justifiée et précisée, et se limiter à ce qui est proportionné dans le</w:t>
      </w:r>
      <w:r>
        <w:rPr>
          <w:rFonts w:ascii="Times New Roman" w:hAnsi="Times New Roman"/>
          <w:noProof/>
          <w:sz w:val="24"/>
          <w:lang w:val="fr-BE"/>
        </w:rPr>
        <w:t>s circonstances spécifiques de l’affaire. Cette exigence n’exclut toutefois pas la possibilité d’exiger de la partie soumise à cette mesure qu’elle produise, dans certains cas, des catégories concrètes d’éléments de preuve ou qu’elle diligente une recherch</w:t>
      </w:r>
      <w:r>
        <w:rPr>
          <w:rFonts w:ascii="Times New Roman" w:hAnsi="Times New Roman"/>
          <w:noProof/>
          <w:sz w:val="24"/>
          <w:lang w:val="fr-BE"/>
        </w:rPr>
        <w:t>e approfondie de preuves au sein de son organisation.</w:t>
      </w:r>
    </w:p>
    <w:p w:rsidR="0070369F" w:rsidRDefault="00B36066">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Assurer la protection des informations confidentielles</w:t>
      </w:r>
    </w:p>
    <w:p w:rsidR="0070369F" w:rsidRDefault="00B36066">
      <w:pP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possibilité d’obtenir des mesures prévues à l’article 6, paragraphes 1 et 2, à l’article 7, paragraphe 1, ainsi qu’à l’article 8, paragraphes 1 </w:t>
      </w:r>
      <w:r>
        <w:rPr>
          <w:rFonts w:ascii="Times New Roman" w:hAnsi="Times New Roman"/>
          <w:noProof/>
          <w:sz w:val="24"/>
          <w:lang w:val="fr-BE"/>
        </w:rPr>
        <w:t xml:space="preserve">et 2, existe sous réserve de la protection des informations confidentielles. Cette restriction est particulièrement importante lorsque les documents mentionnés en tant qu’éléments de preuve ou d’information devant éventuellement être présentés contiennent </w:t>
      </w:r>
      <w:r>
        <w:rPr>
          <w:rFonts w:ascii="Times New Roman" w:hAnsi="Times New Roman"/>
          <w:noProof/>
          <w:sz w:val="24"/>
          <w:lang w:val="fr-BE"/>
        </w:rPr>
        <w:t>des secrets d’affaires ou d’autres informations commercialement sensibles de la partie soumise aux mesures susmentionnées.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ce qui concerne les demandes d’information au titre de l’article 8, il a été rapporté</w:t>
      </w:r>
      <w:r>
        <w:rPr>
          <w:rStyle w:val="FootnoteReference"/>
          <w:rFonts w:ascii="Times New Roman" w:hAnsi="Times New Roman"/>
          <w:noProof/>
          <w:sz w:val="24"/>
        </w:rPr>
        <w:footnoteReference w:id="65"/>
      </w:r>
      <w:r>
        <w:rPr>
          <w:rFonts w:ascii="Times New Roman" w:hAnsi="Times New Roman"/>
          <w:noProof/>
          <w:sz w:val="24"/>
          <w:lang w:val="fr-BE"/>
        </w:rPr>
        <w:t xml:space="preserve"> que le fait que certains types d’informatio</w:t>
      </w:r>
      <w:r>
        <w:rPr>
          <w:rFonts w:ascii="Times New Roman" w:hAnsi="Times New Roman"/>
          <w:noProof/>
          <w:sz w:val="24"/>
          <w:lang w:val="fr-BE"/>
        </w:rPr>
        <w:t>ns soient éventuellement soumis à différents régimes de confidentialité dans les différents États membres peut provoquer des problèmes supplémentaires pour les titulaires de droits. En effet, il n’était pas clair si les titulaires de droits ayant obtenu lé</w:t>
      </w:r>
      <w:r>
        <w:rPr>
          <w:rFonts w:ascii="Times New Roman" w:hAnsi="Times New Roman"/>
          <w:noProof/>
          <w:sz w:val="24"/>
          <w:lang w:val="fr-BE"/>
        </w:rPr>
        <w:t xml:space="preserve">galement des informations dans un pays donné pouvaient les utiliser dans un autre pays où la confidentialité de telles informations relèverait de règles plus strictes. </w:t>
      </w:r>
    </w:p>
    <w:p w:rsidR="0070369F" w:rsidRDefault="00B36066">
      <w:pP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Pour des raisons de proportionnalité, les demandes de production d’éléments de preuve introduites en vertu de l’article 6 pour les besoins des mesures de conservation relevant de l’article 7 et de la fourniture d’informations conformément à l’article 8 doi</w:t>
      </w:r>
      <w:r>
        <w:rPr>
          <w:rFonts w:ascii="Times New Roman" w:hAnsi="Times New Roman"/>
          <w:noProof/>
          <w:sz w:val="24"/>
          <w:lang w:val="fr-BE"/>
        </w:rPr>
        <w:t>vent être pertinentes pour prouver les allégations formulées dans la procédure judiciaire concernée. Toutefois, même si certaines des informations en possession de la partie adverse sont cruciales pour démontrer l’atteinte alléguée ou son étendue et ses co</w:t>
      </w:r>
      <w:r>
        <w:rPr>
          <w:rFonts w:ascii="Times New Roman" w:hAnsi="Times New Roman"/>
          <w:noProof/>
          <w:sz w:val="24"/>
          <w:lang w:val="fr-BE"/>
        </w:rPr>
        <w:t>nséquences, la nature spécifique de ces informations pourrait être d’une telle importance commerciale dans certains cas qu’elles ne devraient pas être communiquées au requérant. D'après les réactions recueillies lors de l’évaluation, les autorités judiciai</w:t>
      </w:r>
      <w:r>
        <w:rPr>
          <w:rFonts w:ascii="Times New Roman" w:hAnsi="Times New Roman"/>
          <w:noProof/>
          <w:sz w:val="24"/>
          <w:lang w:val="fr-BE"/>
        </w:rPr>
        <w:t xml:space="preserve">res peuvent avoir des difficultés à traiter ces intérêts contradictoires, notamment quand les parties concernées sont des concurrents. </w:t>
      </w:r>
    </w:p>
    <w:p w:rsidR="0070369F" w:rsidRDefault="00B36066">
      <w:pP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note à cet égard que les articles en question ne font pas obstacle à l’utilisation de telles informations </w:t>
      </w:r>
      <w:r>
        <w:rPr>
          <w:rFonts w:ascii="Times New Roman" w:hAnsi="Times New Roman"/>
          <w:noProof/>
          <w:sz w:val="24"/>
          <w:lang w:val="fr-BE"/>
        </w:rPr>
        <w:t>confidentielles dans les procédures en cours. En revanche, ces articles disposent que les informations doivent être protégées. Dans certains États membres</w:t>
      </w:r>
      <w:r>
        <w:rPr>
          <w:rStyle w:val="FootnoteReference"/>
          <w:rFonts w:ascii="Times New Roman" w:hAnsi="Times New Roman"/>
          <w:noProof/>
          <w:sz w:val="24"/>
        </w:rPr>
        <w:footnoteReference w:id="66"/>
      </w:r>
      <w:r>
        <w:rPr>
          <w:rFonts w:ascii="Times New Roman" w:hAnsi="Times New Roman"/>
          <w:noProof/>
          <w:sz w:val="24"/>
          <w:lang w:val="fr-BE"/>
        </w:rPr>
        <w:t xml:space="preserve">, des mesures ont été prises pour permettre la production d’informations confidentielles uniquement </w:t>
      </w:r>
      <w:r>
        <w:rPr>
          <w:rFonts w:ascii="Times New Roman" w:hAnsi="Times New Roman"/>
          <w:noProof/>
          <w:sz w:val="24"/>
          <w:lang w:val="fr-BE"/>
        </w:rPr>
        <w:t>au tribunal ou à une tierce partie tenue de respecter des règles spécifiques de confidentialité. En outre, l’article 60, paragraphe 3, de l'Accord relatif à une juridiction unifiée du brevet</w:t>
      </w:r>
      <w:r>
        <w:rPr>
          <w:rStyle w:val="FootnoteReference"/>
          <w:rFonts w:ascii="Times New Roman" w:hAnsi="Times New Roman"/>
          <w:noProof/>
          <w:sz w:val="24"/>
        </w:rPr>
        <w:footnoteReference w:id="67"/>
      </w:r>
      <w:r>
        <w:rPr>
          <w:rFonts w:ascii="Times New Roman" w:hAnsi="Times New Roman"/>
          <w:noProof/>
          <w:sz w:val="24"/>
          <w:lang w:val="fr-BE"/>
        </w:rPr>
        <w:t xml:space="preserve"> prévoit la possibilité pour cette juridiction d’ordonner une des</w:t>
      </w:r>
      <w:r>
        <w:rPr>
          <w:rFonts w:ascii="Times New Roman" w:hAnsi="Times New Roman"/>
          <w:noProof/>
          <w:sz w:val="24"/>
          <w:lang w:val="fr-BE"/>
        </w:rPr>
        <w:t>cente sur les lieux qui est effectuée par une personne qu’elle a nommée. Lors de la descente sur les lieux, le requérant n'est pas présent en personne, mais il peut être représenté par un professionnel indépendant dont le nom doit être indiqué dans l’ordon</w:t>
      </w:r>
      <w:r>
        <w:rPr>
          <w:rFonts w:ascii="Times New Roman" w:hAnsi="Times New Roman"/>
          <w:noProof/>
          <w:sz w:val="24"/>
          <w:lang w:val="fr-BE"/>
        </w:rPr>
        <w:t>nance.</w:t>
      </w:r>
    </w:p>
    <w:p w:rsidR="0070369F" w:rsidRDefault="00B36066">
      <w:pP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 l’avis de la Commission, les autorités judiciaires compétentes devraient être en mesure de statuer, conformément aux dispositions détaillées du droit national, de leur propre initiative ou à la demande d’une partie à la procédure, sur les moyens </w:t>
      </w:r>
      <w:r>
        <w:rPr>
          <w:rFonts w:ascii="Times New Roman" w:hAnsi="Times New Roman"/>
          <w:noProof/>
          <w:sz w:val="24"/>
          <w:lang w:val="fr-BE"/>
        </w:rPr>
        <w:t>appropriés permettant de protéger des informations confidentielles lorsque ces informations sont susceptibles d’être affectées par les mesures prévues aux articles 6, 7 ou 8. Cette possibilité n’est pas expressément exigée par ces dispositions mais la Comm</w:t>
      </w:r>
      <w:r>
        <w:rPr>
          <w:rFonts w:ascii="Times New Roman" w:hAnsi="Times New Roman"/>
          <w:noProof/>
          <w:sz w:val="24"/>
          <w:lang w:val="fr-BE"/>
        </w:rPr>
        <w:t>ission estime que de tels moyens pourraient inclure, le cas échéant, la possibilité de présenter de telles informations aux seules autorités judiciaires compétentes ou à une tierce partie indépendante et impartiale qui a été désignée pour participer à la p</w:t>
      </w:r>
      <w:r>
        <w:rPr>
          <w:rFonts w:ascii="Times New Roman" w:hAnsi="Times New Roman"/>
          <w:noProof/>
          <w:sz w:val="24"/>
          <w:lang w:val="fr-BE"/>
        </w:rPr>
        <w:t>rocédure ou à des descentes sur les lieux en vue de la description ou de la saisie des produits litigieux et qui est soumise à des obligations de confidentialité appropriées. De tels moyens devraient garantir que les informations ne soient pas divulguées a</w:t>
      </w:r>
      <w:r>
        <w:rPr>
          <w:rFonts w:ascii="Times New Roman" w:hAnsi="Times New Roman"/>
          <w:noProof/>
          <w:sz w:val="24"/>
          <w:lang w:val="fr-BE"/>
        </w:rPr>
        <w:t>u requérant, à une autre partie à la procédure ou au grand public, tout en tenant dûment compte des droits de défense du requérant ou d’autres parties concernées</w:t>
      </w:r>
      <w:r>
        <w:rPr>
          <w:rStyle w:val="FootnoteReference"/>
          <w:rFonts w:ascii="Times New Roman" w:hAnsi="Times New Roman"/>
          <w:noProof/>
          <w:sz w:val="24"/>
        </w:rPr>
        <w:footnoteReference w:id="68"/>
      </w:r>
      <w:r>
        <w:rPr>
          <w:rFonts w:ascii="Times New Roman" w:hAnsi="Times New Roman"/>
          <w:noProof/>
          <w:sz w:val="24"/>
          <w:lang w:val="fr-BE"/>
        </w:rPr>
        <w:t>.</w:t>
      </w:r>
    </w:p>
    <w:p w:rsidR="0070369F" w:rsidRDefault="00B36066">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Il convient de donner effet à l’obligation de protéger les informations confidentielles expo</w:t>
      </w:r>
      <w:r>
        <w:rPr>
          <w:rFonts w:ascii="Times New Roman" w:hAnsi="Times New Roman"/>
          <w:noProof/>
          <w:sz w:val="24"/>
          <w:lang w:val="fr-BE"/>
        </w:rPr>
        <w:t>sées dans les articles 6, 7 et 8 de la directive IPRED par des moyens appropriés offrant les sauvegardes qui nécessaires. Au nombre de tels moyens figurent la production d’informations confidentielles aux seules autorités judiciaires compétentes ou la desc</w:t>
      </w:r>
      <w:r>
        <w:rPr>
          <w:rFonts w:ascii="Times New Roman" w:hAnsi="Times New Roman"/>
          <w:noProof/>
          <w:sz w:val="24"/>
          <w:lang w:val="fr-BE"/>
        </w:rPr>
        <w:t xml:space="preserve">ente sur les lieux en vue de la description ou de la saisie des produits litigieux réalisée uniquement par certaines tierces parties indépendantes et impartiales. </w:t>
      </w:r>
    </w:p>
    <w:p w:rsidR="0070369F" w:rsidRDefault="0070369F">
      <w:pPr>
        <w:spacing w:before="60" w:after="60" w:line="240" w:lineRule="auto"/>
        <w:jc w:val="both"/>
        <w:rPr>
          <w:rFonts w:ascii="Times New Roman" w:hAnsi="Times New Roman" w:cs="Times New Roman"/>
          <w:noProof/>
          <w:sz w:val="24"/>
          <w:szCs w:val="24"/>
          <w:lang w:val="fr-BE"/>
        </w:rPr>
      </w:pPr>
    </w:p>
    <w:p w:rsidR="0070369F" w:rsidRDefault="00B36066">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Importance des cautions et garanties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IPRED prévoit que les mesures de conserva</w:t>
      </w:r>
      <w:r>
        <w:rPr>
          <w:rFonts w:ascii="Times New Roman" w:hAnsi="Times New Roman"/>
          <w:noProof/>
          <w:sz w:val="24"/>
          <w:lang w:val="fr-BE"/>
        </w:rPr>
        <w:t>tion des preuves (article 7, paragraphe 2) et les mesures provisoires (article 9, paragraphe 6) peuvent être subordonnées à la constitution par le demandeur d'une caution ou d'une garantie équivalente adéquate, destinée à assurer l'indemnisation éventuelle</w:t>
      </w:r>
      <w:r>
        <w:rPr>
          <w:rFonts w:ascii="Times New Roman" w:hAnsi="Times New Roman"/>
          <w:noProof/>
          <w:sz w:val="24"/>
          <w:lang w:val="fr-BE"/>
        </w:rPr>
        <w:t xml:space="preserve"> du préjudice subi par le défendeur. Ces cautions ou garanties sont un outil important non seulement pour compenser un tel préjudice ex post si nécessaire, mais aussi pour prévenir toute utilisation potentiellement abusive des mesures prévues par la direct</w:t>
      </w:r>
      <w:r>
        <w:rPr>
          <w:rFonts w:ascii="Times New Roman" w:hAnsi="Times New Roman"/>
          <w:noProof/>
          <w:sz w:val="24"/>
          <w:lang w:val="fr-BE"/>
        </w:rPr>
        <w:t>ive IPRED. À cet égard, les obligations spécifiques prévues par l’article 7, paragraphe 2, et l’article 9, paragraphe 6, mettent en œuvre l’obligation générale visée à l’article 3, paragraphe 2, à savoir en particulier le fait que les mesures, procédures e</w:t>
      </w:r>
      <w:r>
        <w:rPr>
          <w:rFonts w:ascii="Times New Roman" w:hAnsi="Times New Roman"/>
          <w:noProof/>
          <w:sz w:val="24"/>
          <w:lang w:val="fr-BE"/>
        </w:rPr>
        <w:t xml:space="preserve">t réparations prévues par la directive doivent être appliquées de manière à offrir des sauvegardes contre leur usage abusif.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3, paragraphe 2, précise toutefois que les mesures, procédures et réparations doivent être effectives, proportionnées et</w:t>
      </w:r>
      <w:r>
        <w:rPr>
          <w:rFonts w:ascii="Times New Roman" w:hAnsi="Times New Roman"/>
          <w:noProof/>
          <w:sz w:val="24"/>
          <w:lang w:val="fr-BE"/>
        </w:rPr>
        <w:t xml:space="preserve"> dissuasives et l’article 3, paragraphe 1, que celles-ci doivent être loyales et équitables et ne pas être inutilement coûteuses. Ces précisions soulignent que si les abus doivent être évités, les moyens choisis pour ce faire ne doivent pas être en conflit</w:t>
      </w:r>
      <w:r>
        <w:rPr>
          <w:rFonts w:ascii="Times New Roman" w:hAnsi="Times New Roman"/>
          <w:noProof/>
          <w:sz w:val="24"/>
          <w:lang w:val="fr-BE"/>
        </w:rPr>
        <w:t xml:space="preserve"> avec ces exigences. Cela signifie, par exemple, que les cautions à constituer en vue de l’ordonnance des mesures provisoires ne devraient pas être fixées à des niveaux qui décourageraient dans la pratique les demandeurs à solliciter l’application des mesu</w:t>
      </w:r>
      <w:r>
        <w:rPr>
          <w:rFonts w:ascii="Times New Roman" w:hAnsi="Times New Roman"/>
          <w:noProof/>
          <w:sz w:val="24"/>
          <w:lang w:val="fr-BE"/>
        </w:rPr>
        <w:t>res provisoires en question. Cet aspect revêt une importance particulière pour les PME, étant donné que les coûts des actions civiles, qui comportent le risque de succomber et d’avoir à payer les dépens des deux parties, ont un effet dissuasif majeur sur l</w:t>
      </w:r>
      <w:r>
        <w:rPr>
          <w:rFonts w:ascii="Times New Roman" w:hAnsi="Times New Roman"/>
          <w:noProof/>
          <w:sz w:val="24"/>
          <w:lang w:val="fr-BE"/>
        </w:rPr>
        <w:t>es demandes d’application des DPI dans le cadre de procédures judiciaires au civil</w:t>
      </w:r>
      <w:r>
        <w:rPr>
          <w:rFonts w:ascii="Times New Roman" w:hAnsi="Times New Roman"/>
          <w:noProof/>
          <w:sz w:val="24"/>
          <w:vertAlign w:val="superscript"/>
        </w:rPr>
        <w:footnoteReference w:id="69"/>
      </w:r>
      <w:r>
        <w:rPr>
          <w:rFonts w:ascii="Times New Roman" w:hAnsi="Times New Roman"/>
          <w:noProof/>
          <w:sz w:val="24"/>
          <w:lang w:val="fr-BE"/>
        </w:rPr>
        <w:t xml:space="preserve">.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Obliger le demandeur à constituer une caution appropriée ou une garantie équivalente en tant que condition préalable à l’institution de mesures provisoires et conservatoi</w:t>
      </w:r>
      <w:r>
        <w:rPr>
          <w:rFonts w:ascii="Times New Roman" w:hAnsi="Times New Roman"/>
          <w:noProof/>
          <w:sz w:val="24"/>
          <w:lang w:val="fr-BE"/>
        </w:rPr>
        <w:t>res, conformément aux articles 7 et 9 de la directive IPRED, peut être un moyen approprié pour empêcher le recours abusif à ces mesures. Pour déterminer quelle caution ou garantie équivalente est jugée adéquate dans une affaire donnée, il convient de tenir</w:t>
      </w:r>
      <w:r>
        <w:rPr>
          <w:rFonts w:ascii="Times New Roman" w:hAnsi="Times New Roman"/>
          <w:noProof/>
          <w:sz w:val="24"/>
          <w:lang w:val="fr-BE"/>
        </w:rPr>
        <w:t xml:space="preserve"> compte, entres autres, de la capacité économique du demandeur et des conséquences possibles sur l’efficacité des mesures demandées, en particulier pour les PME. </w:t>
      </w:r>
    </w:p>
    <w:p w:rsidR="0070369F" w:rsidRDefault="00B36066">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Possibilités et avantages d’un mémoire préventif</w:t>
      </w:r>
    </w:p>
    <w:p w:rsidR="0070369F" w:rsidRDefault="00B36066">
      <w:pP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7, paragraphe 1, de la directive I</w:t>
      </w:r>
      <w:r>
        <w:rPr>
          <w:rFonts w:ascii="Times New Roman" w:hAnsi="Times New Roman"/>
          <w:noProof/>
          <w:sz w:val="24"/>
          <w:lang w:val="fr-BE"/>
        </w:rPr>
        <w:t>PRED prévoit la possibilité, dans les cas appropriés, d’ordonner des mesures de conservation des preuves sans que l’autre partie ait été entendue (c’est-à-dire ex parte), notamment lorsque tout retard est susceptible de causer un préjudice irréparable au t</w:t>
      </w:r>
      <w:r>
        <w:rPr>
          <w:rFonts w:ascii="Times New Roman" w:hAnsi="Times New Roman"/>
          <w:noProof/>
          <w:sz w:val="24"/>
          <w:lang w:val="fr-BE"/>
        </w:rPr>
        <w:t>itulaire du droit ou lorsqu’il existe un risque démontrable de destruction des éléments de preuve. De même, ainsi qu’il est prévu à l’article 9, paragraphe 4, de la directive IPRED, il est possible dans certains cas d’ordonner des mesures provisoires et co</w:t>
      </w:r>
      <w:r>
        <w:rPr>
          <w:rFonts w:ascii="Times New Roman" w:hAnsi="Times New Roman"/>
          <w:noProof/>
          <w:sz w:val="24"/>
          <w:lang w:val="fr-BE"/>
        </w:rPr>
        <w:t>nservatoires ex parte, en particulier lorsque tout retard serait de nature à causer un préjudice irréparable au titulaire du droit. Dans ces cas, en raison de l’urgence et/ou de la nécessité de ne pas informer le défendeur à l’avance, la décision sur l’ins</w:t>
      </w:r>
      <w:r>
        <w:rPr>
          <w:rFonts w:ascii="Times New Roman" w:hAnsi="Times New Roman"/>
          <w:noProof/>
          <w:sz w:val="24"/>
          <w:lang w:val="fr-BE"/>
        </w:rPr>
        <w:t>titution des mesures est prise sur une base unilatérale sans notification ni audition préalables. Le défendeur n’a alors aucune possibilité de soumettre des arguments pour sa défense, même s’il risque de subir un sérieux préjudice en conséquence de l’évent</w:t>
      </w:r>
      <w:r>
        <w:rPr>
          <w:rFonts w:ascii="Times New Roman" w:hAnsi="Times New Roman"/>
          <w:noProof/>
          <w:sz w:val="24"/>
          <w:lang w:val="fr-BE"/>
        </w:rPr>
        <w:t xml:space="preserve">uelle sévérité de la mesure prononcée. </w:t>
      </w:r>
    </w:p>
    <w:p w:rsidR="0070369F" w:rsidRDefault="00B36066">
      <w:pP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articles 7 et 9 prévoient un certain nombre de sauvegardes, notamment le fait que de telles injonctions ex parte ne sont possibles qu’en vertu de motifs particuliers, qu’elles doivent être notifiées sans délais </w:t>
      </w:r>
      <w:r>
        <w:rPr>
          <w:rFonts w:ascii="Times New Roman" w:hAnsi="Times New Roman"/>
          <w:noProof/>
          <w:sz w:val="24"/>
          <w:lang w:val="fr-BE"/>
        </w:rPr>
        <w:t>au défendeur après leur exécution et qu’elles sont susceptibles d’un recours juridictionnel ex post, dans le cadre duquel le défendeur peut être entendu. Il n’en demeure pas moins que de telles mesures ex parte affectent considérablement le droit fondament</w:t>
      </w:r>
      <w:r>
        <w:rPr>
          <w:rFonts w:ascii="Times New Roman" w:hAnsi="Times New Roman"/>
          <w:noProof/>
          <w:sz w:val="24"/>
          <w:lang w:val="fr-BE"/>
        </w:rPr>
        <w:t>al du défendeur à être entendu et à se pourvoir devant une juridiction, composantes essentielles du droit fondamental à un procès équitable</w:t>
      </w:r>
      <w:r>
        <w:rPr>
          <w:rFonts w:ascii="Times New Roman" w:hAnsi="Times New Roman"/>
          <w:noProof/>
          <w:sz w:val="24"/>
          <w:vertAlign w:val="superscript"/>
        </w:rPr>
        <w:footnoteReference w:id="70"/>
      </w:r>
      <w:r>
        <w:rPr>
          <w:rFonts w:ascii="Times New Roman" w:hAnsi="Times New Roman"/>
          <w:noProof/>
          <w:sz w:val="24"/>
          <w:lang w:val="fr-BE"/>
        </w:rPr>
        <w:t>. Par conséquent, les limitations du droit à être entendu devraient n’être imposées en principe qu’en vertu de ces a</w:t>
      </w:r>
      <w:r>
        <w:rPr>
          <w:rFonts w:ascii="Times New Roman" w:hAnsi="Times New Roman"/>
          <w:noProof/>
          <w:sz w:val="24"/>
          <w:lang w:val="fr-BE"/>
        </w:rPr>
        <w:t>rticles, tout en prévoyant les sauvegardes nécessaires et pour autant que ces limitations soient nécessaires afin de garantir les droits à la protection de la propriété intellectuelle et à une protection juridictionnelle effective du demandeur, lesquels so</w:t>
      </w:r>
      <w:r>
        <w:rPr>
          <w:rFonts w:ascii="Times New Roman" w:hAnsi="Times New Roman"/>
          <w:noProof/>
          <w:sz w:val="24"/>
          <w:lang w:val="fr-BE"/>
        </w:rPr>
        <w:t xml:space="preserve">nt aussi des droits fondamentaux garantis par la Charte. </w:t>
      </w:r>
    </w:p>
    <w:p w:rsidR="0070369F" w:rsidRDefault="00B36066">
      <w:pP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Afin de parvenir à un équilibre équitable entre ces intérêts et les droits fondamentaux contradictoires, l’instrument du mémoire préventif est utilisé dans certains États membres (Belgique, France, </w:t>
      </w:r>
      <w:r>
        <w:rPr>
          <w:rFonts w:ascii="Times New Roman" w:hAnsi="Times New Roman"/>
          <w:noProof/>
          <w:sz w:val="24"/>
          <w:lang w:val="fr-BE"/>
        </w:rPr>
        <w:t>Allemagne, Pays-Bas et Espagne) et est prévu à la règle 207 du règlement de procédure de la juridiction unifiée du brevet</w:t>
      </w:r>
      <w:r>
        <w:rPr>
          <w:rStyle w:val="FootnoteReference"/>
          <w:rFonts w:ascii="Times New Roman" w:hAnsi="Times New Roman"/>
          <w:noProof/>
          <w:sz w:val="24"/>
        </w:rPr>
        <w:footnoteReference w:id="71"/>
      </w:r>
      <w:r>
        <w:rPr>
          <w:rFonts w:ascii="Times New Roman" w:hAnsi="Times New Roman"/>
          <w:noProof/>
          <w:sz w:val="24"/>
          <w:lang w:val="fr-BE"/>
        </w:rPr>
        <w:t>. Par ce mémoire préventif, un défendeur craignant d’être poursuivi pour une atteinte aux DPI (par exemple, parce qu’il a reçu une let</w:t>
      </w:r>
      <w:r>
        <w:rPr>
          <w:rFonts w:ascii="Times New Roman" w:hAnsi="Times New Roman"/>
          <w:noProof/>
          <w:sz w:val="24"/>
          <w:lang w:val="fr-BE"/>
        </w:rPr>
        <w:t>tre d’avertissement du titulaire de droits) informe à l’avance (c’est-à-dire avant même l’introduction de la demande) les autorités judiciaires compétentes des raisons pour lesquelles, selon lui, l’infraction potentielle n’est pas fondée. L’objectif princi</w:t>
      </w:r>
      <w:r>
        <w:rPr>
          <w:rFonts w:ascii="Times New Roman" w:hAnsi="Times New Roman"/>
          <w:noProof/>
          <w:sz w:val="24"/>
          <w:lang w:val="fr-BE"/>
        </w:rPr>
        <w:t>pal du mémoire préventif est de fournir aux autorités judiciaires le plus d’informations pertinentes possibles, sans que la partie défenderesse ne soit entendue, une fois que la demande d’injonction préliminaire a été introduite et avant qu’une décision su</w:t>
      </w:r>
      <w:r>
        <w:rPr>
          <w:rFonts w:ascii="Times New Roman" w:hAnsi="Times New Roman"/>
          <w:noProof/>
          <w:sz w:val="24"/>
          <w:lang w:val="fr-BE"/>
        </w:rPr>
        <w:t>r cette demande ne soit rendue.</w:t>
      </w:r>
    </w:p>
    <w:p w:rsidR="0070369F" w:rsidRDefault="00B36066">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cs="Times New Roman"/>
          <w:noProof/>
          <w:sz w:val="24"/>
          <w:szCs w:val="24"/>
          <w:lang w:val="fr-BE"/>
        </w:rPr>
      </w:pPr>
      <w:r>
        <w:rPr>
          <w:rFonts w:ascii="Times New Roman" w:hAnsi="Times New Roman"/>
          <w:noProof/>
          <w:sz w:val="24"/>
          <w:lang w:val="fr-BE"/>
        </w:rPr>
        <w:t>Même s'il n'est pas expressément prévu dans la directive IPRED, le mémoire préventif peut être considéré comme un instrument approprié pour contribuer à équilibrer, de façon équitable et proportionnée, les intérêts et droits</w:t>
      </w:r>
      <w:r>
        <w:rPr>
          <w:rFonts w:ascii="Times New Roman" w:hAnsi="Times New Roman"/>
          <w:noProof/>
          <w:sz w:val="24"/>
          <w:lang w:val="fr-BE"/>
        </w:rPr>
        <w:t xml:space="preserve"> fondamentaux contradictoires en cause en ce qui concerne la possibilité d’ordonner des mesures ex parte, telle que prévue à l’article 7, paragraphe 1, et à l’article 9, paragraphe 4, de la directive IPRED. </w:t>
      </w:r>
    </w:p>
    <w:p w:rsidR="0070369F" w:rsidRDefault="00B36066">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lang w:val="fr-BE"/>
        </w:rPr>
      </w:pPr>
      <w:r>
        <w:rPr>
          <w:rFonts w:ascii="Times New Roman" w:hAnsi="Times New Roman"/>
          <w:b/>
          <w:noProof/>
          <w:sz w:val="24"/>
          <w:lang w:val="fr-BE"/>
        </w:rPr>
        <w:t>GARANTIR UN CONTRÔLE EFFICACE DE L’APPLICATION D</w:t>
      </w:r>
      <w:r>
        <w:rPr>
          <w:rFonts w:ascii="Times New Roman" w:hAnsi="Times New Roman"/>
          <w:b/>
          <w:noProof/>
          <w:sz w:val="24"/>
          <w:lang w:val="fr-BE"/>
        </w:rPr>
        <w:t>ES DPI, Y COMPRIS DANS UN CONTEXTE NUMÉRIQUE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présent chapitre est axé sur la question des injonctions et des intermédiaires. Les points de vue exprimés dans le cadre de la consultation publique montrent que les titulaires de droits considèrent les injon</w:t>
      </w:r>
      <w:r>
        <w:rPr>
          <w:rFonts w:ascii="Times New Roman" w:hAnsi="Times New Roman"/>
          <w:noProof/>
          <w:sz w:val="24"/>
          <w:lang w:val="fr-BE"/>
        </w:rPr>
        <w:t>ctions préliminaires comme un instrument essentiel pour protéger leurs droits. En outre, comme indiqué dans la directive sur l’harmonisation de certains aspects du droit d'auteur et des droits voisins dans la société de l'information («directive sur la soc</w:t>
      </w:r>
      <w:r>
        <w:rPr>
          <w:rFonts w:ascii="Times New Roman" w:hAnsi="Times New Roman"/>
          <w:noProof/>
          <w:sz w:val="24"/>
          <w:lang w:val="fr-BE"/>
        </w:rPr>
        <w:t>iété de l’information»)</w:t>
      </w:r>
      <w:r>
        <w:rPr>
          <w:rFonts w:ascii="Times New Roman" w:hAnsi="Times New Roman"/>
          <w:noProof/>
          <w:sz w:val="24"/>
          <w:vertAlign w:val="superscript"/>
        </w:rPr>
        <w:footnoteReference w:id="72"/>
      </w:r>
      <w:r>
        <w:rPr>
          <w:rFonts w:ascii="Times New Roman" w:hAnsi="Times New Roman"/>
          <w:noProof/>
          <w:sz w:val="24"/>
          <w:lang w:val="fr-BE"/>
        </w:rPr>
        <w:t xml:space="preserve">, dans le contexte de l’environnement numérique, en particulier, les services d’intermédiaires pourraient être de plus en plus utilisés par des tiers impliqués dans des activités portant atteinte à la propriété intellectuelle. Dans </w:t>
      </w:r>
      <w:r>
        <w:rPr>
          <w:rFonts w:ascii="Times New Roman" w:hAnsi="Times New Roman"/>
          <w:noProof/>
          <w:sz w:val="24"/>
          <w:lang w:val="fr-BE"/>
        </w:rPr>
        <w:t xml:space="preserve">de nombreux cas, ces intermédiaires sont les mieux à même de mettre fin à ces atteintes. </w:t>
      </w:r>
    </w:p>
    <w:p w:rsidR="0070369F" w:rsidRDefault="00B36066">
      <w:pPr>
        <w:pStyle w:val="ListParagraph"/>
        <w:numPr>
          <w:ilvl w:val="0"/>
          <w:numId w:val="15"/>
        </w:numPr>
        <w:spacing w:before="360" w:after="240" w:line="240" w:lineRule="auto"/>
        <w:ind w:left="426" w:hanging="284"/>
        <w:contextualSpacing w:val="0"/>
        <w:rPr>
          <w:rFonts w:ascii="Times New Roman" w:hAnsi="Times New Roman" w:cs="Times New Roman"/>
          <w:noProof/>
          <w:sz w:val="24"/>
          <w:szCs w:val="24"/>
        </w:rPr>
      </w:pPr>
      <w:r>
        <w:rPr>
          <w:rFonts w:ascii="Times New Roman" w:hAnsi="Times New Roman"/>
          <w:b/>
          <w:noProof/>
          <w:sz w:val="24"/>
        </w:rPr>
        <w:t>Injonctions et responsabilité</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IPRED prévoit deux types d’injonctions. D’une part, en vertu de l’article 9, paragraphe 1, point a), les États membres sont</w:t>
      </w:r>
      <w:r>
        <w:rPr>
          <w:rFonts w:ascii="Times New Roman" w:hAnsi="Times New Roman"/>
          <w:noProof/>
          <w:sz w:val="24"/>
          <w:lang w:val="fr-BE"/>
        </w:rPr>
        <w:t xml:space="preserve"> tenus de veiller à ce que les titulaires de droits soient en mesure de demander une ordonnance de référé à l’encontre d’un contrevenant ou d’un intermédiaire. L’objectif d’injonctions de ce type est d’empêcher toute atteinte imminente ou d’interdire la po</w:t>
      </w:r>
      <w:r>
        <w:rPr>
          <w:rFonts w:ascii="Times New Roman" w:hAnsi="Times New Roman"/>
          <w:noProof/>
          <w:sz w:val="24"/>
          <w:lang w:val="fr-BE"/>
        </w:rPr>
        <w:t>ursuite d’une infraction. D’autre part, l’article 11 oblige les États membres à veiller à ce que, dans le cadre d’une procédure sur le fond de l’affaire, les autorités judiciaires compétentes puissent rendre à l'encontre du contrevenant une injonction visa</w:t>
      </w:r>
      <w:r>
        <w:rPr>
          <w:rFonts w:ascii="Times New Roman" w:hAnsi="Times New Roman"/>
          <w:noProof/>
          <w:sz w:val="24"/>
          <w:lang w:val="fr-BE"/>
        </w:rPr>
        <w:t xml:space="preserve">nt à interdire la poursuite de cette atteinte ou, à l’encontre d’un intermédiaire, une injonction visant non seulement à mettre un terme aux infractions, mais aussi à en prévenir de nouvelles </w:t>
      </w:r>
      <w:r>
        <w:rPr>
          <w:rStyle w:val="FootnoteReference"/>
          <w:rFonts w:ascii="Times New Roman" w:hAnsi="Times New Roman"/>
          <w:noProof/>
          <w:sz w:val="24"/>
        </w:rPr>
        <w:footnoteReference w:id="73"/>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Dans ce contexte, il est important de souligner que le droit</w:t>
      </w:r>
      <w:r>
        <w:rPr>
          <w:rFonts w:ascii="Times New Roman" w:hAnsi="Times New Roman"/>
          <w:noProof/>
          <w:sz w:val="24"/>
          <w:lang w:val="fr-BE"/>
        </w:rPr>
        <w:t xml:space="preserve"> de l’Union opère une distinction entre la notion de la responsabilité et la possibilité d’ordonner des injonctions à l’encontre d’un intermédiaire, comme établi à l’article 9, paragraphe 1, point a), et à l’article 11 de la directive IPRED</w:t>
      </w:r>
      <w:r>
        <w:rPr>
          <w:rStyle w:val="FootnoteReference"/>
          <w:rFonts w:ascii="Times New Roman" w:hAnsi="Times New Roman"/>
          <w:noProof/>
          <w:sz w:val="24"/>
        </w:rPr>
        <w:footnoteReference w:id="74"/>
      </w:r>
      <w:r>
        <w:rPr>
          <w:rFonts w:ascii="Times New Roman" w:hAnsi="Times New Roman"/>
          <w:noProof/>
          <w:sz w:val="24"/>
          <w:lang w:val="fr-BE"/>
        </w:rPr>
        <w:t>. La CJUE a con</w:t>
      </w:r>
      <w:r>
        <w:rPr>
          <w:rFonts w:ascii="Times New Roman" w:hAnsi="Times New Roman"/>
          <w:noProof/>
          <w:sz w:val="24"/>
          <w:lang w:val="fr-BE"/>
        </w:rPr>
        <w:t>firmé que l’obligation imposée aux États membres par l’article 11 de la directive IPRED s’appliquait «</w:t>
      </w:r>
      <w:r>
        <w:rPr>
          <w:rFonts w:ascii="Times New Roman" w:hAnsi="Times New Roman"/>
          <w:i/>
          <w:noProof/>
          <w:sz w:val="24"/>
          <w:lang w:val="fr-BE"/>
        </w:rPr>
        <w:t>indépendamment de sa propre responsabilité éventuelle</w:t>
      </w:r>
      <w:r>
        <w:rPr>
          <w:rFonts w:ascii="Times New Roman" w:hAnsi="Times New Roman"/>
          <w:noProof/>
          <w:sz w:val="24"/>
          <w:lang w:val="fr-BE"/>
        </w:rPr>
        <w:t xml:space="preserve"> [c’est-à-dire de la responsabilité de l’intermédiaire] </w:t>
      </w:r>
      <w:r>
        <w:rPr>
          <w:rFonts w:ascii="Times New Roman" w:hAnsi="Times New Roman"/>
          <w:i/>
          <w:noProof/>
          <w:sz w:val="24"/>
          <w:lang w:val="fr-BE"/>
        </w:rPr>
        <w:t>dans les faits litigieux</w:t>
      </w:r>
      <w:r>
        <w:rPr>
          <w:rFonts w:ascii="Times New Roman" w:hAnsi="Times New Roman"/>
          <w:noProof/>
          <w:sz w:val="24"/>
          <w:lang w:val="fr-BE"/>
        </w:rPr>
        <w:t>»</w:t>
      </w:r>
      <w:r>
        <w:rPr>
          <w:rStyle w:val="FootnoteReference"/>
          <w:rFonts w:ascii="Times New Roman" w:hAnsi="Times New Roman"/>
          <w:noProof/>
          <w:sz w:val="24"/>
        </w:rPr>
        <w:footnoteReference w:id="75"/>
      </w:r>
      <w:r>
        <w:rPr>
          <w:rFonts w:ascii="Times New Roman" w:hAnsi="Times New Roman"/>
          <w:noProof/>
          <w:sz w:val="24"/>
          <w:lang w:val="fr-BE"/>
        </w:rPr>
        <w:t xml:space="preserve">.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possibilité d</w:t>
      </w:r>
      <w:r>
        <w:rPr>
          <w:rFonts w:ascii="Times New Roman" w:hAnsi="Times New Roman"/>
          <w:noProof/>
          <w:sz w:val="24"/>
          <w:lang w:val="fr-BE"/>
        </w:rPr>
        <w:t>’ordonner une injonction à l’encontre d’un intermédiaire sur la base de l’article 9, paragraphe 1, point a), et de l’article 11 de la directive IPRED ne dépend pas de la responsabilité de l’intermédiaire en ce qui concerne la violation (alléguée) en questi</w:t>
      </w:r>
      <w:r>
        <w:rPr>
          <w:rFonts w:ascii="Times New Roman" w:hAnsi="Times New Roman"/>
          <w:noProof/>
          <w:sz w:val="24"/>
          <w:lang w:val="fr-BE"/>
        </w:rPr>
        <w:t>on. Par conséquent, les autorités judiciaires compétentes ne peuvent pas exiger des demandeurs qu’ils démontrent que l’intermédiaire est responsable, même indirectement, en ce qui concerne une violation (alléguée), en tant que condition à l’ordonnance d’un</w:t>
      </w:r>
      <w:r>
        <w:rPr>
          <w:rFonts w:ascii="Times New Roman" w:hAnsi="Times New Roman"/>
          <w:noProof/>
          <w:sz w:val="24"/>
          <w:lang w:val="fr-BE"/>
        </w:rPr>
        <w:t>e injonction.</w:t>
      </w:r>
    </w:p>
    <w:p w:rsidR="0070369F" w:rsidRDefault="00B36066">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Clarification de la notion d’intermédiaire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IPRED fait référence, à l’article 9, paragraphe 1, point a), et à l’article 11, à la possibilité d’émettre des «</w:t>
      </w:r>
      <w:r>
        <w:rPr>
          <w:rFonts w:ascii="Times New Roman" w:hAnsi="Times New Roman"/>
          <w:i/>
          <w:noProof/>
          <w:sz w:val="24"/>
          <w:lang w:val="fr-BE"/>
        </w:rPr>
        <w:t xml:space="preserve">injonctions à l’encontre d'un intermédiaire dont les services sont </w:t>
      </w:r>
      <w:r>
        <w:rPr>
          <w:rFonts w:ascii="Times New Roman" w:hAnsi="Times New Roman"/>
          <w:i/>
          <w:noProof/>
          <w:sz w:val="24"/>
          <w:lang w:val="fr-BE"/>
        </w:rPr>
        <w:t>utilisés par un tiers pour porter atteinte à un droit de propriété intellectuelle</w:t>
      </w:r>
      <w:r>
        <w:rPr>
          <w:rFonts w:ascii="Times New Roman" w:hAnsi="Times New Roman"/>
          <w:noProof/>
          <w:sz w:val="24"/>
          <w:lang w:val="fr-BE"/>
        </w:rPr>
        <w:t xml:space="preserve">». La directive ne précise pas quels sont les opérateurs économiques à considérer comme des intermédiaires au sens de la directive.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précisé qu’un opérateur économiq</w:t>
      </w:r>
      <w:r>
        <w:rPr>
          <w:rFonts w:ascii="Times New Roman" w:hAnsi="Times New Roman"/>
          <w:noProof/>
          <w:sz w:val="24"/>
          <w:lang w:val="fr-BE"/>
        </w:rPr>
        <w:t>ue pouvait être considéré comme un intermédiaire au sens de ces dispositions dès lors qu’il fournit un service susceptible d’être utilisé par une ou plusieurs autres personnes pour porter atteinte à un ou plusieurs DPI ou pour accéder à des contenus ou pro</w:t>
      </w:r>
      <w:r>
        <w:rPr>
          <w:rFonts w:ascii="Times New Roman" w:hAnsi="Times New Roman"/>
          <w:noProof/>
          <w:sz w:val="24"/>
          <w:lang w:val="fr-BE"/>
        </w:rPr>
        <w:t>duits mis à disposition illégalement.</w:t>
      </w:r>
      <w:r>
        <w:rPr>
          <w:rStyle w:val="Ninguno"/>
          <w:rFonts w:ascii="Times New Roman" w:hAnsi="Times New Roman"/>
          <w:noProof/>
          <w:sz w:val="24"/>
          <w:vertAlign w:val="superscript"/>
        </w:rPr>
        <w:footnoteReference w:id="76"/>
      </w:r>
      <w:r>
        <w:rPr>
          <w:rFonts w:ascii="Times New Roman" w:hAnsi="Times New Roman"/>
          <w:noProof/>
          <w:sz w:val="24"/>
          <w:lang w:val="fr-BE"/>
        </w:rPr>
        <w:t xml:space="preserve"> Pour être considéré comme un intermédiaire, l’opérateur économique ne doit pas nécessairement entretenir une relation particulière, par exemple par un lien contractuel, avec ces personnes</w:t>
      </w:r>
      <w:r>
        <w:rPr>
          <w:rStyle w:val="FootnoteReference"/>
          <w:rFonts w:ascii="Times New Roman" w:hAnsi="Times New Roman"/>
          <w:noProof/>
          <w:sz w:val="24"/>
        </w:rPr>
        <w:footnoteReference w:id="77"/>
      </w:r>
      <w:r>
        <w:rPr>
          <w:rFonts w:ascii="Times New Roman" w:hAnsi="Times New Roman"/>
          <w:noProof/>
          <w:sz w:val="24"/>
          <w:lang w:val="fr-BE"/>
        </w:rPr>
        <w: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conséquence, l’applicati</w:t>
      </w:r>
      <w:r>
        <w:rPr>
          <w:rFonts w:ascii="Times New Roman" w:hAnsi="Times New Roman"/>
          <w:noProof/>
          <w:sz w:val="24"/>
          <w:lang w:val="fr-BE"/>
        </w:rPr>
        <w:t>on de l’article 9, paragraphe 1, point a), et de l’article 11 de la directive IPRED n’est pas limitée à un groupe spécifique d’intermédiaires, mais s’étend à des intermédiaires de différents secteurs, et inclut à la fois les services en ligne et hors ligne</w:t>
      </w:r>
      <w:r>
        <w:rPr>
          <w:rStyle w:val="FootnoteReference"/>
          <w:rFonts w:ascii="Times New Roman" w:hAnsi="Times New Roman"/>
          <w:noProof/>
          <w:sz w:val="24"/>
        </w:rPr>
        <w:footnoteReference w:id="78"/>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précisé expressément que les fournisseurs de services internet</w:t>
      </w:r>
      <w:r>
        <w:rPr>
          <w:rStyle w:val="FootnoteReference"/>
          <w:rFonts w:ascii="Times New Roman" w:hAnsi="Times New Roman"/>
          <w:noProof/>
          <w:sz w:val="24"/>
        </w:rPr>
        <w:footnoteReference w:id="79"/>
      </w:r>
      <w:r>
        <w:rPr>
          <w:rFonts w:ascii="Times New Roman" w:hAnsi="Times New Roman"/>
          <w:noProof/>
          <w:sz w:val="24"/>
          <w:lang w:val="fr-BE"/>
        </w:rPr>
        <w:t>, les plateformes de réseaux sociaux</w:t>
      </w:r>
      <w:r>
        <w:rPr>
          <w:rStyle w:val="FootnoteReference"/>
          <w:rFonts w:ascii="Times New Roman" w:hAnsi="Times New Roman"/>
          <w:noProof/>
          <w:sz w:val="24"/>
        </w:rPr>
        <w:footnoteReference w:id="80"/>
      </w:r>
      <w:r>
        <w:rPr>
          <w:rFonts w:ascii="Times New Roman" w:hAnsi="Times New Roman"/>
          <w:noProof/>
          <w:sz w:val="24"/>
          <w:lang w:val="fr-BE"/>
        </w:rPr>
        <w:t>, les places de marché en ligne</w:t>
      </w:r>
      <w:r>
        <w:rPr>
          <w:rStyle w:val="FootnoteReference"/>
          <w:rFonts w:ascii="Times New Roman" w:hAnsi="Times New Roman"/>
          <w:noProof/>
          <w:sz w:val="24"/>
        </w:rPr>
        <w:footnoteReference w:id="81"/>
      </w:r>
      <w:r>
        <w:rPr>
          <w:rFonts w:ascii="Times New Roman" w:hAnsi="Times New Roman"/>
          <w:noProof/>
          <w:sz w:val="24"/>
          <w:lang w:val="fr-BE"/>
        </w:rPr>
        <w:t xml:space="preserve"> et les locataires de halles de marché</w:t>
      </w:r>
      <w:r>
        <w:rPr>
          <w:rStyle w:val="FootnoteReference"/>
          <w:rFonts w:ascii="Times New Roman" w:hAnsi="Times New Roman"/>
          <w:noProof/>
          <w:sz w:val="24"/>
        </w:rPr>
        <w:footnoteReference w:id="82"/>
      </w:r>
      <w:r>
        <w:rPr>
          <w:rFonts w:ascii="Times New Roman" w:hAnsi="Times New Roman"/>
          <w:noProof/>
          <w:sz w:val="24"/>
          <w:lang w:val="fr-BE"/>
        </w:rPr>
        <w:t xml:space="preserve"> devaient être considérées comme des intermédiaires dans les circonstan</w:t>
      </w:r>
      <w:r>
        <w:rPr>
          <w:rFonts w:ascii="Times New Roman" w:hAnsi="Times New Roman"/>
          <w:noProof/>
          <w:sz w:val="24"/>
          <w:lang w:val="fr-BE"/>
        </w:rPr>
        <w:t>ces des faits en cause dans la procédure judiciaire en question.</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estime, sur la base de la jurisprudence de la CJUE disponible à ce jour, qu’il n’y a aucune raison de penser qu’il s’agit d’une liste exhaustive et que de nombreux autres opérat</w:t>
      </w:r>
      <w:r>
        <w:rPr>
          <w:rFonts w:ascii="Times New Roman" w:hAnsi="Times New Roman"/>
          <w:noProof/>
          <w:sz w:val="24"/>
          <w:lang w:val="fr-BE"/>
        </w:rPr>
        <w:t>eurs économiques fournissant des services susceptibles d’être utilisés par d’autres personnes pour enfreindre les DPI peuvent donc également relever du champ d’application de la notion d’intermédiaire telle que visée dans la directive, notion qu’il convien</w:t>
      </w:r>
      <w:r>
        <w:rPr>
          <w:rFonts w:ascii="Times New Roman" w:hAnsi="Times New Roman"/>
          <w:noProof/>
          <w:sz w:val="24"/>
          <w:lang w:val="fr-BE"/>
        </w:rPr>
        <w:t>t de déterminer au cas par cas. De l’avis de la Commission, ces opérateurs économiques peuvent également inclure, selon le cas, des prestataires de certains services de la société de l’information, des services postaux et services de colis, des sociétés de</w:t>
      </w:r>
      <w:r>
        <w:rPr>
          <w:rFonts w:ascii="Times New Roman" w:hAnsi="Times New Roman"/>
          <w:noProof/>
          <w:sz w:val="24"/>
          <w:lang w:val="fr-BE"/>
        </w:rPr>
        <w:t xml:space="preserve"> transport et de logistique et des détaillants.</w:t>
      </w:r>
    </w:p>
    <w:p w:rsidR="0070369F" w:rsidRDefault="00B36066">
      <w:pPr>
        <w:spacing w:before="120"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La Commission rappelle en outre que l’article 9, paragraphe 1, point a), et l’article 11 doivent être interprétés et appliqués à la lumière des exigences générales de l’article 3 et des droits fondamentaux ap</w:t>
      </w:r>
      <w:r>
        <w:rPr>
          <w:rFonts w:ascii="Times New Roman" w:hAnsi="Times New Roman"/>
          <w:noProof/>
          <w:sz w:val="24"/>
          <w:lang w:val="fr-BE"/>
        </w:rPr>
        <w:t>plicables qui sont protégés dans l’ordre juridique de l’Union. D’une part, la participation des opérateurs économiques n’ayant pas eux-mêmes commis d’infraction dans le processus d’application des DPI au titre de la directive IPRED peut donc être exigée af</w:t>
      </w:r>
      <w:r>
        <w:rPr>
          <w:rFonts w:ascii="Times New Roman" w:hAnsi="Times New Roman"/>
          <w:noProof/>
          <w:sz w:val="24"/>
          <w:lang w:val="fr-BE"/>
        </w:rPr>
        <w:t>in de garantir que les titulaires de droits soient en mesure de faire appliquer effectivement leurs droits. D’autre part, il est possible, dans une situation particulière, qu’une telle participation ne se justifie pas, lorsque les services fournis sont tel</w:t>
      </w:r>
      <w:r>
        <w:rPr>
          <w:rFonts w:ascii="Times New Roman" w:hAnsi="Times New Roman"/>
          <w:noProof/>
          <w:sz w:val="24"/>
          <w:lang w:val="fr-BE"/>
        </w:rPr>
        <w:t>lement éloignés ou détachés de l’atteinte (alléguée) qu’il ne peut être raisonnablement attendu que l’opérateur économique en question contribue de manière significative à l’application effective de la réglementation, en ce sens que sa participation représ</w:t>
      </w:r>
      <w:r>
        <w:rPr>
          <w:rFonts w:ascii="Times New Roman" w:hAnsi="Times New Roman"/>
          <w:noProof/>
          <w:sz w:val="24"/>
          <w:lang w:val="fr-BE"/>
        </w:rPr>
        <w:t>enterait une tâche disproportionnée et inutilement contraignante</w:t>
      </w:r>
      <w:r>
        <w:rPr>
          <w:rStyle w:val="FootnoteReference"/>
          <w:rFonts w:ascii="Times New Roman" w:hAnsi="Times New Roman"/>
          <w:noProof/>
          <w:sz w:val="24"/>
        </w:rPr>
        <w:footnoteReference w:id="83"/>
      </w:r>
      <w:r>
        <w:rPr>
          <w:rFonts w:ascii="Times New Roman" w:hAnsi="Times New Roman"/>
          <w:noProof/>
          <w:sz w:val="24"/>
          <w:lang w:val="fr-BE"/>
        </w:rPr>
        <w:t xml:space="preserve">.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opérateurs économiques qui fournissent un service susceptible d’être utilisé par des tiers pour porter atteinte aux DPI peuvent, en fonction des circonstances de l’espèce, être considé</w:t>
      </w:r>
      <w:r>
        <w:rPr>
          <w:rFonts w:ascii="Times New Roman" w:hAnsi="Times New Roman"/>
          <w:noProof/>
          <w:sz w:val="24"/>
          <w:lang w:val="fr-BE"/>
        </w:rPr>
        <w:t xml:space="preserve">rés comme des intermédiaires au sens de l’article 9, paragraphe 1, point a), et de l’article 11 de la directive IPRED, même en l’absence d’une relation particulière, tel qu’un lien contractuel, entre ces deux parties. </w:t>
      </w:r>
    </w:p>
    <w:p w:rsidR="0070369F" w:rsidRDefault="00B36066">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 xml:space="preserve">Garantir un système équilibré pour les injonctions et les intermédiaires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cadre de la mise en balance des droits et des intérêts, généralement requis pour l’interprétation et l’application des réglementations de la directive IPRED concernant les in</w:t>
      </w:r>
      <w:r>
        <w:rPr>
          <w:rFonts w:ascii="Times New Roman" w:hAnsi="Times New Roman"/>
          <w:noProof/>
          <w:sz w:val="24"/>
          <w:lang w:val="fr-BE"/>
        </w:rPr>
        <w:t>jonctions et les intermédiaires, deux aspects, en plus de ceux décrits plus haut, revêtent une importance particulière, à savoir, la portée des injonctions émises ainsi que leur filtrage.</w:t>
      </w: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Portée des injonctions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S’il incombe dans un premier temps au demande</w:t>
      </w:r>
      <w:r>
        <w:rPr>
          <w:rFonts w:ascii="Times New Roman" w:hAnsi="Times New Roman"/>
          <w:noProof/>
          <w:sz w:val="24"/>
          <w:lang w:val="fr-BE"/>
        </w:rPr>
        <w:t>ur de préciser dans sa demande la portée d’une injonction qu’il jugera appropriée pour prévenir une atteinte imminente ou pour mettre fin à une atteinte en cours, c’est l’autorité judiciaire compétente qui statue sur la demande. C’est donc elle qui détermi</w:t>
      </w:r>
      <w:r>
        <w:rPr>
          <w:rFonts w:ascii="Times New Roman" w:hAnsi="Times New Roman"/>
          <w:noProof/>
          <w:sz w:val="24"/>
          <w:lang w:val="fr-BE"/>
        </w:rPr>
        <w:t>ne les mesures que devra prendre (le cas échéant) le défendeur. L’autorité judiciaire devrait apprécier la demande en tenant compte des caractéristiques spécifiques de l’espèce (voir le considérant 17 de la directive IPRED), et toute injonction prononcée d</w:t>
      </w:r>
      <w:r>
        <w:rPr>
          <w:rFonts w:ascii="Times New Roman" w:hAnsi="Times New Roman"/>
          <w:noProof/>
          <w:sz w:val="24"/>
          <w:lang w:val="fr-BE"/>
        </w:rPr>
        <w:t>oit respecter le principe de proportionnalité et les autres conditions générales prévues à l’article 3, ainsi que les droits fondamentaux applicables.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Il s’ensuit que l’autorité judiciaire compétente ne devrait pas émettre des injonctions qui nécessitent l</w:t>
      </w:r>
      <w:r>
        <w:rPr>
          <w:rFonts w:ascii="Times New Roman" w:hAnsi="Times New Roman"/>
          <w:noProof/>
          <w:sz w:val="24"/>
          <w:lang w:val="fr-BE"/>
        </w:rPr>
        <w:t>’adoption de mesures allant au-delà de ce qui est approprié et nécessaire à la lumière des faits et circonstances de l’espèce pour prévenir toute atteinte imminente ou interdire la poursuite d’une atteinte.</w:t>
      </w:r>
      <w:r>
        <w:rPr>
          <w:rFonts w:ascii="Times New Roman" w:hAnsi="Times New Roman"/>
          <w:noProof/>
          <w:lang w:val="fr-BE"/>
        </w:rPr>
        <w:t xml:space="preserve"> </w:t>
      </w:r>
      <w:r>
        <w:rPr>
          <w:rFonts w:ascii="Times New Roman" w:hAnsi="Times New Roman"/>
          <w:noProof/>
          <w:sz w:val="24"/>
          <w:lang w:val="fr-BE"/>
        </w:rPr>
        <w:t>Par conséquent, toute injonction prononcée devrai</w:t>
      </w:r>
      <w:r>
        <w:rPr>
          <w:rFonts w:ascii="Times New Roman" w:hAnsi="Times New Roman"/>
          <w:noProof/>
          <w:sz w:val="24"/>
          <w:lang w:val="fr-BE"/>
        </w:rPr>
        <w:t>t pouvoir produire des effets, tout en ayant la portée la plus limitée possible qui est nécessaire à la réalisation de cet objectif. Les mesures requises par l’injonction ne doivent pas nécessairement conduire à la cessation complète de l’atteinte aux DPI;</w:t>
      </w:r>
      <w:r>
        <w:rPr>
          <w:rFonts w:ascii="Times New Roman" w:hAnsi="Times New Roman"/>
          <w:noProof/>
          <w:sz w:val="24"/>
          <w:lang w:val="fr-BE"/>
        </w:rPr>
        <w:t xml:space="preserve"> il peut suffire, dans certaines circonstances, de rendre les atteintes difficilement réalisables ou de sérieusement les décourager</w:t>
      </w:r>
      <w:r>
        <w:rPr>
          <w:rStyle w:val="FootnoteReference"/>
          <w:rFonts w:ascii="Times New Roman" w:hAnsi="Times New Roman"/>
          <w:noProof/>
          <w:sz w:val="24"/>
        </w:rPr>
        <w:footnoteReference w:id="84"/>
      </w:r>
      <w:r>
        <w:rPr>
          <w:rFonts w:ascii="Times New Roman" w:hAnsi="Times New Roman"/>
          <w:noProof/>
          <w:sz w:val="24"/>
          <w:lang w:val="fr-BE"/>
        </w:rPr>
        <w:t>. Dans le même temps, le destinataire de l’injonction ne devrait pas être tenu de consentir des sacrifices insupportables</w:t>
      </w:r>
      <w:r>
        <w:rPr>
          <w:rStyle w:val="FootnoteReference"/>
          <w:rFonts w:ascii="Times New Roman" w:hAnsi="Times New Roman"/>
          <w:noProof/>
          <w:sz w:val="24"/>
        </w:rPr>
        <w:footnoteReference w:id="85"/>
      </w:r>
      <w:r>
        <w:rPr>
          <w:rFonts w:ascii="Times New Roman" w:hAnsi="Times New Roman"/>
          <w:noProof/>
          <w:sz w:val="24"/>
          <w:lang w:val="fr-BE"/>
        </w:rPr>
        <w:t xml:space="preser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les litiges relatifs à des atteintes au droit d’auteur, la CJUE a indiqué que les mesures adoptées par un fournisseur d’accès à Internet, en tant qu’intermédiaire destinataire de l’injonction, devaient être strictement ciblées</w:t>
      </w:r>
      <w:r>
        <w:rPr>
          <w:rStyle w:val="FootnoteReference"/>
          <w:rFonts w:ascii="Times New Roman" w:hAnsi="Times New Roman"/>
          <w:noProof/>
          <w:sz w:val="24"/>
        </w:rPr>
        <w:footnoteReference w:id="86"/>
      </w:r>
      <w:r>
        <w:rPr>
          <w:rFonts w:ascii="Times New Roman" w:hAnsi="Times New Roman"/>
          <w:noProof/>
          <w:sz w:val="24"/>
          <w:lang w:val="fr-BE"/>
        </w:rPr>
        <w:t>. Plus précisément, ces</w:t>
      </w:r>
      <w:r>
        <w:rPr>
          <w:rFonts w:ascii="Times New Roman" w:hAnsi="Times New Roman"/>
          <w:noProof/>
          <w:sz w:val="24"/>
          <w:lang w:val="fr-BE"/>
        </w:rPr>
        <w:t xml:space="preserve"> mesures doivent servir à mettre fin à l’atteinte portée par un tiers au droit d’auteur ou à un droit voisin, mais sans que les utilisateurs d’Internet ayant recours aux services de ce fournisseur afin d’accéder de façon licite à des informations s’en trou</w:t>
      </w:r>
      <w:r>
        <w:rPr>
          <w:rFonts w:ascii="Times New Roman" w:hAnsi="Times New Roman"/>
          <w:noProof/>
          <w:sz w:val="24"/>
          <w:lang w:val="fr-BE"/>
        </w:rPr>
        <w:t>vent affectés. À défaut, la CJUE a jugé que dans les circonstances de cette affaire, l’ingérence du fournisseur dans la liberté d’information des utilisateurs serait injustifiée au regard de l’objectif poursuivi. Comme indiqué ci-dessus</w:t>
      </w:r>
      <w:r>
        <w:rPr>
          <w:rStyle w:val="FootnoteReference"/>
          <w:rFonts w:ascii="Times New Roman" w:hAnsi="Times New Roman"/>
          <w:noProof/>
          <w:sz w:val="24"/>
        </w:rPr>
        <w:footnoteReference w:id="87"/>
      </w:r>
      <w:r>
        <w:rPr>
          <w:rFonts w:ascii="Times New Roman" w:hAnsi="Times New Roman"/>
          <w:noProof/>
          <w:sz w:val="24"/>
          <w:lang w:val="fr-BE"/>
        </w:rPr>
        <w:t>, s’agissant des in</w:t>
      </w:r>
      <w:r>
        <w:rPr>
          <w:rFonts w:ascii="Times New Roman" w:hAnsi="Times New Roman"/>
          <w:noProof/>
          <w:sz w:val="24"/>
          <w:lang w:val="fr-BE"/>
        </w:rPr>
        <w:t>termédiaires, la CJUE a clarifié en outre que les injonctions pouvaient servir non seulement à mettre un terme à l’atteinte mais aussi à prévenir de nouvelles atteintes.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conséquence, dans le cas d’une atteinte au DPI correspondant à la publication d’un </w:t>
      </w:r>
      <w:r>
        <w:rPr>
          <w:rFonts w:ascii="Times New Roman" w:hAnsi="Times New Roman"/>
          <w:noProof/>
          <w:sz w:val="24"/>
          <w:lang w:val="fr-BE"/>
        </w:rPr>
        <w:t>certain contenu en ligne, il peut être approprié, s’agissant d’une injonction adressée à un intermédiaire, d’exiger de celui-ci qu’il retire le contenu concerné ou y empêche l’accès. De façon générale, exiger le blocage de l’accès au site entier pourrait ê</w:t>
      </w:r>
      <w:r>
        <w:rPr>
          <w:rFonts w:ascii="Times New Roman" w:hAnsi="Times New Roman"/>
          <w:noProof/>
          <w:sz w:val="24"/>
          <w:lang w:val="fr-BE"/>
        </w:rPr>
        <w:t xml:space="preserve">tre une mesure trop radicale, même s'il est possible, dans des circonstances particulières, que l’autorité judiciaire compétente juge cette mesure nécessaire et appropriée (par exemple dans le cas d’infractions à grande échelle ou d'infractions organisées </w:t>
      </w:r>
      <w:r>
        <w:rPr>
          <w:rFonts w:ascii="Times New Roman" w:hAnsi="Times New Roman"/>
          <w:noProof/>
          <w:sz w:val="24"/>
          <w:lang w:val="fr-BE"/>
        </w:rPr>
        <w:t>de manière structurelle). De l’avis de la Commission, une telle décision devrait cependant toujours être prise en fonction des spécificités du cas d’espèce.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également précisé</w:t>
      </w:r>
      <w:r>
        <w:rPr>
          <w:rFonts w:ascii="Times New Roman" w:hAnsi="Times New Roman"/>
          <w:noProof/>
          <w:sz w:val="24"/>
          <w:vertAlign w:val="superscript"/>
        </w:rPr>
        <w:footnoteReference w:id="88"/>
      </w:r>
      <w:r>
        <w:rPr>
          <w:rFonts w:ascii="Times New Roman" w:hAnsi="Times New Roman"/>
          <w:noProof/>
          <w:sz w:val="24"/>
          <w:lang w:val="fr-BE"/>
        </w:rPr>
        <w:t xml:space="preserve"> que les autorités judiciaires compétentes pouvaient décider de ne pas </w:t>
      </w:r>
      <w:r>
        <w:rPr>
          <w:rFonts w:ascii="Times New Roman" w:hAnsi="Times New Roman"/>
          <w:noProof/>
          <w:sz w:val="24"/>
          <w:lang w:val="fr-BE"/>
        </w:rPr>
        <w:t xml:space="preserve">décrire explicitement les mesures spécifiques que le prestataire doit prendre pour obtenir le résultat recherché. Elle a toutefois ajouté qu’il convenait dans pareil cas de respecter un certain nombre de conditions, et notamment les suivantes: les mesures </w:t>
      </w:r>
      <w:r>
        <w:rPr>
          <w:rFonts w:ascii="Times New Roman" w:hAnsi="Times New Roman"/>
          <w:noProof/>
          <w:sz w:val="24"/>
          <w:lang w:val="fr-BE"/>
        </w:rPr>
        <w:t>ne doivent pas aller au-delà de ce qui est raisonnable, respect du principe de sécurité juridique, conformité avec les droits fondamentaux des parties concernées, y compris la liberté d’information pour les utilisateurs d’Internet, ciblage strict des mesur</w:t>
      </w:r>
      <w:r>
        <w:rPr>
          <w:rFonts w:ascii="Times New Roman" w:hAnsi="Times New Roman"/>
          <w:noProof/>
          <w:sz w:val="24"/>
          <w:lang w:val="fr-BE"/>
        </w:rPr>
        <w:t xml:space="preserve">es et possibilité pour les autorités judiciaires compétentes de vérifier que lesdites conditions ont été respectées, notamment en donnant la possibilité aux internautes concernés de faire valoir leurs droits une fois que ces mesures sont connues.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Du point</w:t>
      </w:r>
      <w:r>
        <w:rPr>
          <w:rFonts w:ascii="Times New Roman" w:hAnsi="Times New Roman"/>
          <w:noProof/>
          <w:sz w:val="24"/>
          <w:lang w:val="fr-BE"/>
        </w:rPr>
        <w:t xml:space="preserve"> de vue de la Commission, si la jurisprudence mentionnée ci-dessus concerne des atteintes au droit d’auteur, les principes qui y sont énoncés devraient également s’appliquer, par analogie, aux atteintes aux DPI autres que le droit d’auteur et les droits vo</w:t>
      </w:r>
      <w:r>
        <w:rPr>
          <w:rFonts w:ascii="Times New Roman" w:hAnsi="Times New Roman"/>
          <w:noProof/>
          <w:sz w:val="24"/>
          <w:lang w:val="fr-BE"/>
        </w:rPr>
        <w:t>isins.</w:t>
      </w:r>
    </w:p>
    <w:p w:rsidR="0070369F" w:rsidRDefault="00B36066">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injonctions émises au titre de l’article 9, paragraphe 1, point a), et de l’article 11 de la directive IPRED devraient pouvoir être efficaces, mais sans aller au-delà de ce qui est nécessaire et proportionné, dans les circonstances du cas </w:t>
      </w:r>
      <w:r>
        <w:rPr>
          <w:rFonts w:ascii="Times New Roman" w:hAnsi="Times New Roman"/>
          <w:noProof/>
          <w:sz w:val="24"/>
          <w:lang w:val="fr-BE"/>
        </w:rPr>
        <w:t>d’espèce, pour atteindre cet objectif. Il peut suffire qu’elles rendent les atteintes concernées difficilement réalisables ou qu’elles les découragent sérieusement, sans nécessairement conduire à leur arrêt complet. Toutefois, conformément à la jurispruden</w:t>
      </w:r>
      <w:r>
        <w:rPr>
          <w:rFonts w:ascii="Times New Roman" w:hAnsi="Times New Roman"/>
          <w:noProof/>
          <w:sz w:val="24"/>
          <w:lang w:val="fr-BE"/>
        </w:rPr>
        <w:t>ce de la CJUE, le destinataire de l’injonction ne saurait être tenu d’effectuer des «sacrifices insupportables»</w:t>
      </w:r>
      <w:r>
        <w:rPr>
          <w:rStyle w:val="FootnoteReference"/>
          <w:rFonts w:ascii="Times New Roman" w:hAnsi="Times New Roman"/>
          <w:noProof/>
          <w:sz w:val="24"/>
        </w:rPr>
        <w:footnoteReference w:id="89"/>
      </w:r>
      <w:r>
        <w:rPr>
          <w:rFonts w:ascii="Times New Roman" w:hAnsi="Times New Roman"/>
          <w:noProof/>
          <w:sz w:val="24"/>
          <w:lang w:val="fr-BE"/>
        </w:rPr>
        <w:t>. Les mesures instituées doivent être suffisamment précises et efficaces, sans qu’il ne soit exigé qu’une mesure garantisse qu’il soit mis fin à</w:t>
      </w:r>
      <w:r>
        <w:rPr>
          <w:rFonts w:ascii="Times New Roman" w:hAnsi="Times New Roman"/>
          <w:noProof/>
          <w:sz w:val="24"/>
          <w:lang w:val="fr-BE"/>
        </w:rPr>
        <w:t xml:space="preserve"> l’atteinte</w:t>
      </w:r>
      <w:r>
        <w:rPr>
          <w:rStyle w:val="FootnoteReference"/>
          <w:rFonts w:ascii="Times New Roman" w:hAnsi="Times New Roman"/>
          <w:noProof/>
          <w:sz w:val="24"/>
        </w:rPr>
        <w:footnoteReference w:id="90"/>
      </w:r>
      <w:r>
        <w:rPr>
          <w:rFonts w:ascii="Times New Roman" w:hAnsi="Times New Roman"/>
          <w:noProof/>
          <w:sz w:val="24"/>
          <w:lang w:val="fr-BE"/>
        </w:rPr>
        <w:t>. Le respect des droits fondamentaux de toutes les parties concernées devrait être garanti à cet égard, y compris ceux de tiers, par exemple les internautes, susceptibles d’être affectés par les mesures prises pour se conformer à l’injonction.</w:t>
      </w: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Systèmes de filtrage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Une distinction doit être faite entre une injonction exigeant le retrait d’un ou plusieurs éléments spécifiques de contenu illicite à partir d’un site web et une injonction qui pourrait avoir pour conséquence en définitive d’obliger un</w:t>
      </w:r>
      <w:r>
        <w:rPr>
          <w:rFonts w:ascii="Times New Roman" w:hAnsi="Times New Roman"/>
          <w:noProof/>
          <w:sz w:val="24"/>
          <w:lang w:val="fr-BE"/>
        </w:rPr>
        <w:t xml:space="preserve"> intermédiaire à surveiller activement tous les contenus mis à disposition en un lieu donné afin de garantir qu’aucun des éléments individuels ne porte atteinte aux DPI.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Conformément à l’article 15, paragraphe 1, de la directive sur le commerce électroniq</w:t>
      </w:r>
      <w:r>
        <w:rPr>
          <w:rFonts w:ascii="Times New Roman" w:hAnsi="Times New Roman"/>
          <w:noProof/>
          <w:sz w:val="24"/>
          <w:lang w:val="fr-BE"/>
        </w:rPr>
        <w:t>ue, il est interdit aux États membres d’imposer une obligation de surveillance générale pour les intermédiaires en ligne, au sens des articles 12 à 14 de ladite directive</w:t>
      </w:r>
      <w:r>
        <w:rPr>
          <w:rStyle w:val="FootnoteReference"/>
          <w:rFonts w:ascii="Times New Roman" w:hAnsi="Times New Roman"/>
          <w:noProof/>
          <w:sz w:val="24"/>
        </w:rPr>
        <w:footnoteReference w:id="91"/>
      </w:r>
      <w:r>
        <w:rPr>
          <w:rFonts w:ascii="Times New Roman" w:hAnsi="Times New Roman"/>
          <w:noProof/>
          <w:sz w:val="24"/>
          <w:lang w:val="fr-BE"/>
        </w:rPr>
        <w:t>. Une telle obligation serait également incompatible avec les exigences générales d’é</w:t>
      </w:r>
      <w:r>
        <w:rPr>
          <w:rFonts w:ascii="Times New Roman" w:hAnsi="Times New Roman"/>
          <w:noProof/>
          <w:sz w:val="24"/>
          <w:lang w:val="fr-BE"/>
        </w:rPr>
        <w:t>quité, de proportionnalité et de coût non excessif énoncées à l’article 3 de la directive IPRED</w:t>
      </w:r>
      <w:r>
        <w:rPr>
          <w:rStyle w:val="FootnoteReference"/>
          <w:rFonts w:ascii="Times New Roman" w:hAnsi="Times New Roman"/>
          <w:noProof/>
          <w:sz w:val="24"/>
        </w:rPr>
        <w:footnoteReference w:id="92"/>
      </w:r>
      <w:r>
        <w:rPr>
          <w:rFonts w:ascii="Times New Roman" w:hAnsi="Times New Roman"/>
          <w:noProof/>
          <w:sz w:val="24"/>
          <w:lang w:val="fr-BE"/>
        </w:rPr>
        <w:t xml:space="preserve">. </w:t>
      </w:r>
    </w:p>
    <w:p w:rsidR="0070369F" w:rsidRDefault="00B36066">
      <w:pPr>
        <w:spacing w:before="120"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Dans les affaires précitées </w:t>
      </w:r>
      <w:r>
        <w:rPr>
          <w:rFonts w:ascii="Times New Roman" w:hAnsi="Times New Roman"/>
          <w:i/>
          <w:noProof/>
          <w:sz w:val="24"/>
          <w:lang w:val="fr-BE"/>
        </w:rPr>
        <w:t>Scarlet Extended</w:t>
      </w:r>
      <w:r>
        <w:rPr>
          <w:rStyle w:val="FootnoteReference"/>
          <w:rFonts w:ascii="Times New Roman" w:hAnsi="Times New Roman"/>
          <w:noProof/>
          <w:sz w:val="24"/>
        </w:rPr>
        <w:footnoteReference w:id="93"/>
      </w:r>
      <w:r>
        <w:rPr>
          <w:rFonts w:ascii="Times New Roman" w:hAnsi="Times New Roman"/>
          <w:noProof/>
          <w:sz w:val="24"/>
          <w:lang w:val="fr-BE"/>
        </w:rPr>
        <w:t xml:space="preserve"> et </w:t>
      </w:r>
      <w:r>
        <w:rPr>
          <w:rFonts w:ascii="Times New Roman" w:hAnsi="Times New Roman"/>
          <w:i/>
          <w:noProof/>
          <w:sz w:val="24"/>
          <w:lang w:val="fr-BE"/>
        </w:rPr>
        <w:t>SABAM</w:t>
      </w:r>
      <w:r>
        <w:rPr>
          <w:rStyle w:val="FootnoteReference"/>
          <w:rFonts w:ascii="Times New Roman" w:hAnsi="Times New Roman"/>
          <w:noProof/>
          <w:sz w:val="24"/>
        </w:rPr>
        <w:footnoteReference w:id="94"/>
      </w:r>
      <w:r>
        <w:rPr>
          <w:rFonts w:ascii="Times New Roman" w:hAnsi="Times New Roman"/>
          <w:noProof/>
          <w:sz w:val="24"/>
          <w:lang w:val="fr-BE"/>
        </w:rPr>
        <w:t xml:space="preserve">, la CJUE a précisé les limites à la portée d’une injonction résultant de ces dispositions ainsi que des droits fondamentaux applicables des parties concernées. Dans l’affaire </w:t>
      </w:r>
      <w:r>
        <w:rPr>
          <w:rFonts w:ascii="Times New Roman" w:hAnsi="Times New Roman"/>
          <w:i/>
          <w:noProof/>
          <w:sz w:val="24"/>
          <w:lang w:val="fr-BE"/>
        </w:rPr>
        <w:t>Scarlet Extended</w:t>
      </w:r>
      <w:r>
        <w:rPr>
          <w:rFonts w:ascii="Times New Roman" w:hAnsi="Times New Roman"/>
          <w:noProof/>
          <w:sz w:val="24"/>
          <w:lang w:val="fr-BE"/>
        </w:rPr>
        <w:t>, il était question d’un fournisseur d’accès à Internet à qui il</w:t>
      </w:r>
      <w:r>
        <w:rPr>
          <w:rFonts w:ascii="Times New Roman" w:hAnsi="Times New Roman"/>
          <w:noProof/>
          <w:sz w:val="24"/>
          <w:lang w:val="fr-BE"/>
        </w:rPr>
        <w:t xml:space="preserve"> était demandé de mettre en place un système de filtrage: </w:t>
      </w:r>
    </w:p>
    <w:p w:rsidR="0070369F" w:rsidRDefault="00B36066">
      <w:pPr>
        <w:pStyle w:val="ListParagraph"/>
        <w:numPr>
          <w:ilvl w:val="0"/>
          <w:numId w:val="7"/>
        </w:numPr>
        <w:spacing w:after="6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de toutes les communications électroniques transitant par ses services, notamment par l’emploi de logiciels «peer-to-peer»,</w:t>
      </w:r>
    </w:p>
    <w:p w:rsidR="0070369F" w:rsidRDefault="00B36066">
      <w:pPr>
        <w:pStyle w:val="ListParagraph"/>
        <w:numPr>
          <w:ilvl w:val="0"/>
          <w:numId w:val="7"/>
        </w:numPr>
        <w:spacing w:before="60" w:after="6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qui s’applique indistinctement à l’égard de toute sa clientèle</w:t>
      </w:r>
    </w:p>
    <w:p w:rsidR="0070369F" w:rsidRDefault="00B36066">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à titre pr</w:t>
      </w:r>
      <w:r>
        <w:rPr>
          <w:rFonts w:ascii="Times New Roman" w:hAnsi="Times New Roman"/>
          <w:noProof/>
          <w:sz w:val="24"/>
        </w:rPr>
        <w:t>éventif,</w:t>
      </w:r>
    </w:p>
    <w:p w:rsidR="0070369F" w:rsidRDefault="00B36066">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noProof/>
          <w:sz w:val="24"/>
        </w:rPr>
        <w:t>à ses frais exclusifs, et</w:t>
      </w:r>
    </w:p>
    <w:p w:rsidR="0070369F" w:rsidRDefault="00B36066">
      <w:pPr>
        <w:pStyle w:val="ListParagraph"/>
        <w:numPr>
          <w:ilvl w:val="0"/>
          <w:numId w:val="7"/>
        </w:numPr>
        <w:spacing w:before="60" w:after="60" w:line="240" w:lineRule="auto"/>
        <w:ind w:left="284" w:hanging="284"/>
        <w:jc w:val="both"/>
        <w:rPr>
          <w:rFonts w:ascii="Times New Roman" w:hAnsi="Times New Roman" w:cs="Times New Roman"/>
          <w:noProof/>
          <w:sz w:val="24"/>
          <w:szCs w:val="24"/>
          <w:lang w:val="fr-BE"/>
        </w:rPr>
      </w:pPr>
      <w:r>
        <w:rPr>
          <w:rFonts w:ascii="Times New Roman" w:hAnsi="Times New Roman"/>
          <w:noProof/>
          <w:sz w:val="24"/>
          <w:lang w:val="fr-BE"/>
        </w:rPr>
        <w:t xml:space="preserve">sans limitation dans le temps, </w:t>
      </w:r>
    </w:p>
    <w:p w:rsidR="0070369F" w:rsidRDefault="00B3606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capable d’identifier sur le réseau de ce fournisseur la circulation de fichiers électroniques contenant une œuvre musicale, cinématographique ou audiovisuelle sur laquelle le demandeur prét</w:t>
      </w:r>
      <w:r>
        <w:rPr>
          <w:rFonts w:ascii="Times New Roman" w:hAnsi="Times New Roman"/>
          <w:noProof/>
          <w:sz w:val="24"/>
          <w:lang w:val="fr-BE"/>
        </w:rPr>
        <w:t xml:space="preserve">end détenir des droits de propriété intellectuelle, en vue de bloquer le transfert de fichiers dont l’échange porte atteinte au droit d’auteur. L’affaire </w:t>
      </w:r>
      <w:r>
        <w:rPr>
          <w:rFonts w:ascii="Times New Roman" w:hAnsi="Times New Roman"/>
          <w:i/>
          <w:noProof/>
          <w:sz w:val="24"/>
          <w:lang w:val="fr-BE"/>
        </w:rPr>
        <w:t>SABAM</w:t>
      </w:r>
      <w:r>
        <w:rPr>
          <w:rFonts w:ascii="Times New Roman" w:hAnsi="Times New Roman"/>
          <w:noProof/>
          <w:sz w:val="24"/>
          <w:lang w:val="fr-BE"/>
        </w:rPr>
        <w:t xml:space="preserve"> concernait un système en grande partie similaire qu’un prestataire de service d’hébergement deva</w:t>
      </w:r>
      <w:r>
        <w:rPr>
          <w:rFonts w:ascii="Times New Roman" w:hAnsi="Times New Roman"/>
          <w:noProof/>
          <w:sz w:val="24"/>
          <w:lang w:val="fr-BE"/>
        </w:rPr>
        <w:t xml:space="preserve">it mettre en place à l’égard des informations stockées sur ses serveurs. </w:t>
      </w:r>
    </w:p>
    <w:p w:rsidR="0070369F" w:rsidRDefault="00B3606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les deux cas, la CJUE a jugé que le fait d’obliger les prestataires concernés à installer de tels systèmes de filtrage général ne serait pas compatible avec l’article 15 de la d</w:t>
      </w:r>
      <w:r>
        <w:rPr>
          <w:rFonts w:ascii="Times New Roman" w:hAnsi="Times New Roman"/>
          <w:noProof/>
          <w:sz w:val="24"/>
          <w:lang w:val="fr-BE"/>
        </w:rPr>
        <w:t>irective sur le commerce électronique et l’article 3 de la directive IPRED, lus conjointement, et interprétés à la lumière des exigences résultant de la protection des droits fondamentaux applicables.</w:t>
      </w:r>
    </w:p>
    <w:p w:rsidR="0070369F" w:rsidRDefault="00B36066">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Il est par ailleurs rappelé au considérant 47 de la dir</w:t>
      </w:r>
      <w:r>
        <w:rPr>
          <w:rFonts w:ascii="Times New Roman" w:hAnsi="Times New Roman"/>
          <w:noProof/>
          <w:sz w:val="24"/>
          <w:lang w:val="fr-BE"/>
        </w:rPr>
        <w:t xml:space="preserve">ective sur le commerce électronique que l’article 15 concerne uniquement les obligations de surveillance à caractère général et ne couvre pas automatiquement les obligations applicables à un cas spécifique. En particulier, il n’affecte pas les ordonnances </w:t>
      </w:r>
      <w:r>
        <w:rPr>
          <w:rFonts w:ascii="Times New Roman" w:hAnsi="Times New Roman"/>
          <w:noProof/>
          <w:sz w:val="24"/>
          <w:lang w:val="fr-BE"/>
        </w:rPr>
        <w:t>émises par des autorités nationales conformément à la législation nationale. Le considérant 48 ajoute que cette directive n’affecte en rien la possibilité qu’ont les États membres d’exiger des prestataires de services concernés qu’ils agissent avec les pré</w:t>
      </w:r>
      <w:r>
        <w:rPr>
          <w:rFonts w:ascii="Times New Roman" w:hAnsi="Times New Roman"/>
          <w:noProof/>
          <w:sz w:val="24"/>
          <w:lang w:val="fr-BE"/>
        </w:rPr>
        <w:t>cautions que l’on peut raisonnablement attendre d’eux afin de détecter et d’empêcher certains types d’activités illicites.</w:t>
      </w:r>
    </w:p>
    <w:p w:rsidR="0070369F" w:rsidRDefault="00B36066">
      <w:pPr>
        <w:pStyle w:val="ListParagraph"/>
        <w:spacing w:before="60" w:after="60" w:line="240" w:lineRule="auto"/>
        <w:ind w:left="0"/>
        <w:jc w:val="both"/>
        <w:rPr>
          <w:rFonts w:ascii="Times New Roman" w:hAnsi="Times New Roman" w:cs="Times New Roman"/>
          <w:noProof/>
          <w:sz w:val="24"/>
          <w:szCs w:val="24"/>
          <w:lang w:val="fr-BE"/>
        </w:rPr>
      </w:pPr>
      <w:r>
        <w:rPr>
          <w:rFonts w:ascii="Times New Roman" w:hAnsi="Times New Roman"/>
          <w:noProof/>
          <w:sz w:val="24"/>
          <w:lang w:val="fr-BE"/>
        </w:rPr>
        <w:t xml:space="preserve">Par conséquent, lorsque cela est approprié et dans les limites des dispositions susmentionnées, certaines obligations de diligence </w:t>
      </w:r>
      <w:r>
        <w:rPr>
          <w:rFonts w:ascii="Times New Roman" w:hAnsi="Times New Roman"/>
          <w:noProof/>
          <w:sz w:val="24"/>
          <w:lang w:val="fr-BE"/>
        </w:rPr>
        <w:t>pourraient être imposées, par exemple aux fournisseurs de services d’hébergement en ligne afin d’empêcher le téléchargement de contenus portant atteinte aux DPI identifiés par les titulaires de droits et en coopération avec ces derniers</w:t>
      </w:r>
      <w:r>
        <w:rPr>
          <w:rStyle w:val="FootnoteReference"/>
          <w:rFonts w:ascii="Times New Roman" w:hAnsi="Times New Roman"/>
          <w:noProof/>
          <w:sz w:val="24"/>
        </w:rPr>
        <w:footnoteReference w:id="95"/>
      </w:r>
      <w:r>
        <w:rPr>
          <w:rFonts w:ascii="Times New Roman" w:hAnsi="Times New Roman"/>
          <w:noProof/>
          <w:sz w:val="24"/>
          <w:lang w:val="fr-BE"/>
        </w:rPr>
        <w:t xml:space="preserve">. </w:t>
      </w:r>
    </w:p>
    <w:p w:rsidR="0070369F" w:rsidRDefault="00B36066">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lang w:val="fr-BE"/>
        </w:rPr>
      </w:pPr>
      <w:r>
        <w:rPr>
          <w:rFonts w:ascii="Times New Roman" w:hAnsi="Times New Roman"/>
          <w:noProof/>
          <w:sz w:val="24"/>
          <w:lang w:val="fr-BE"/>
        </w:rPr>
        <w:t>Lorsqu’elle ordo</w:t>
      </w:r>
      <w:r>
        <w:rPr>
          <w:rFonts w:ascii="Times New Roman" w:hAnsi="Times New Roman"/>
          <w:noProof/>
          <w:sz w:val="24"/>
          <w:lang w:val="fr-BE"/>
        </w:rPr>
        <w:t>nne aux intermédiaires de prendre certaines mesures visant à prévenir de nouvelles infractions conformément à l’article 9, paragraphe 1, point a), et à l’article 11 de la directive IPRED, les autorités judiciaires compétentes peuvent, le cas échéant, émett</w:t>
      </w:r>
      <w:r>
        <w:rPr>
          <w:rFonts w:ascii="Times New Roman" w:hAnsi="Times New Roman"/>
          <w:noProof/>
          <w:sz w:val="24"/>
          <w:lang w:val="fr-BE"/>
        </w:rPr>
        <w:t>re des injonctions comportant des obligations spécifiques de contrôle. Toutefois, l’interdiction d’imposer une obligation générale de surveillance découlant de l’article 15, paragraphe 1, de la directive sur le commerce électronique et de l’article 3 de la</w:t>
      </w:r>
      <w:r>
        <w:rPr>
          <w:rFonts w:ascii="Times New Roman" w:hAnsi="Times New Roman"/>
          <w:noProof/>
          <w:sz w:val="24"/>
          <w:lang w:val="fr-BE"/>
        </w:rPr>
        <w:t xml:space="preserve"> directive IPRED, lus conjointement avec les exigences découlant des droits fondamentaux applicables, s’oppose à ce que des intermédiaires soient soumis, au moyen de telles injonctions, à des obligations leur imposant d’installer et de gérer des systèmes d</w:t>
      </w:r>
      <w:r>
        <w:rPr>
          <w:rFonts w:ascii="Times New Roman" w:hAnsi="Times New Roman"/>
          <w:noProof/>
          <w:sz w:val="24"/>
          <w:lang w:val="fr-BE"/>
        </w:rPr>
        <w:t xml:space="preserve">e filtrage excessivement larges, imprécis et coûteux systèmes de filtrage, du type et dans les circonstances en cause dans les affaires </w:t>
      </w:r>
      <w:r>
        <w:rPr>
          <w:rFonts w:ascii="Times New Roman" w:hAnsi="Times New Roman"/>
          <w:i/>
          <w:noProof/>
          <w:sz w:val="24"/>
          <w:lang w:val="fr-BE"/>
        </w:rPr>
        <w:t>Scarlet Extended</w:t>
      </w:r>
      <w:r>
        <w:rPr>
          <w:rFonts w:ascii="Times New Roman" w:hAnsi="Times New Roman"/>
          <w:noProof/>
          <w:sz w:val="24"/>
          <w:lang w:val="fr-BE"/>
        </w:rPr>
        <w:t xml:space="preserve"> et </w:t>
      </w:r>
      <w:r>
        <w:rPr>
          <w:rFonts w:ascii="Times New Roman" w:hAnsi="Times New Roman"/>
          <w:i/>
          <w:noProof/>
          <w:sz w:val="24"/>
          <w:lang w:val="fr-BE"/>
        </w:rPr>
        <w:t>SABAM</w:t>
      </w:r>
      <w:r>
        <w:rPr>
          <w:rFonts w:ascii="Times New Roman" w:hAnsi="Times New Roman"/>
          <w:noProof/>
          <w:sz w:val="24"/>
          <w:lang w:val="fr-BE"/>
        </w:rPr>
        <w:t>.</w:t>
      </w:r>
    </w:p>
    <w:p w:rsidR="0070369F" w:rsidRDefault="00B36066">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Injonctions anticipatrices, injonctions «catalogue» et injonctions dynamiques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Il existe des d</w:t>
      </w:r>
      <w:r>
        <w:rPr>
          <w:rFonts w:ascii="Times New Roman" w:hAnsi="Times New Roman"/>
          <w:noProof/>
          <w:sz w:val="24"/>
          <w:lang w:val="fr-BE"/>
        </w:rPr>
        <w:t xml:space="preserve">ifférences, dans la législation nationale des États membres, concernant la portée d’une injonction délivrée par une autorité judiciaire compétente, en particulier sur la façon dont elle peut répondre à des atteintes imminentes ou répétée aux DPI. Si elles </w:t>
      </w:r>
      <w:r>
        <w:rPr>
          <w:rFonts w:ascii="Times New Roman" w:hAnsi="Times New Roman"/>
          <w:noProof/>
          <w:sz w:val="24"/>
          <w:lang w:val="fr-BE"/>
        </w:rPr>
        <w:t>sont disponibles notamment en Irlande et au Royaume-Uni, les injonctions concernant tout un catalogue ou tout un répertoire</w:t>
      </w:r>
      <w:r>
        <w:rPr>
          <w:rStyle w:val="FootnoteReference"/>
          <w:rFonts w:ascii="Times New Roman" w:hAnsi="Times New Roman"/>
          <w:noProof/>
          <w:sz w:val="24"/>
        </w:rPr>
        <w:footnoteReference w:id="96"/>
      </w:r>
      <w:r>
        <w:rPr>
          <w:rFonts w:ascii="Times New Roman" w:hAnsi="Times New Roman"/>
          <w:noProof/>
          <w:sz w:val="24"/>
          <w:lang w:val="fr-BE"/>
        </w:rPr>
        <w:t xml:space="preserve"> n’existent pas dans tous les États membres.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outre, les injonctions peuvent dans certains cas perdre une partie de leur efficacit</w:t>
      </w:r>
      <w:r>
        <w:rPr>
          <w:rFonts w:ascii="Times New Roman" w:hAnsi="Times New Roman"/>
          <w:noProof/>
          <w:sz w:val="24"/>
          <w:lang w:val="fr-BE"/>
        </w:rPr>
        <w:t>é en raison de modifications de l’objet à l’égard duquel l’injonction avait été prononcée. Cela peut être le cas, par exemple, d’injonctions ordonnant le blocage de sites internet, lorsque l’autorité judiciaire compétente émet l’injonction en mentionnant c</w:t>
      </w:r>
      <w:r>
        <w:rPr>
          <w:rFonts w:ascii="Times New Roman" w:hAnsi="Times New Roman"/>
          <w:noProof/>
          <w:sz w:val="24"/>
          <w:lang w:val="fr-BE"/>
        </w:rPr>
        <w:t>ertains noms de domaine spécifiques et que des sites web miroirs peuvent aisément apparaître sous d’autres noms de domaines, échappant ainsi à l’injonction.</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injonctions dynamiques sont un moyen possible pour remédier à ce problème. Il s’agit d’injoncti</w:t>
      </w:r>
      <w:r>
        <w:rPr>
          <w:rFonts w:ascii="Times New Roman" w:hAnsi="Times New Roman"/>
          <w:noProof/>
          <w:sz w:val="24"/>
          <w:lang w:val="fr-BE"/>
        </w:rPr>
        <w:t>ons pouvant être prononcées par exemple dans les cas où matériellement, le même site web devient disponible, immédiatement après la délivrance de l’injonction, sous une autre adresse IP ou URL et qui sont rédigées de manière à pouvoir s’appliquer également</w:t>
      </w:r>
      <w:r>
        <w:rPr>
          <w:rFonts w:ascii="Times New Roman" w:hAnsi="Times New Roman"/>
          <w:noProof/>
          <w:sz w:val="24"/>
          <w:lang w:val="fr-BE"/>
        </w:rPr>
        <w:t xml:space="preserve"> à la nouvelle adresse IP ou URL, sans qu’il soit nécessaire d’engager une nouvelle procédure judiciaire afin d’obtenir une nouvelle injonction. La possibilité d’émettre de telles injonctions existe notamment au Royaume-Uni et en Irlande. Une autorité publ</w:t>
      </w:r>
      <w:r>
        <w:rPr>
          <w:rFonts w:ascii="Times New Roman" w:hAnsi="Times New Roman"/>
          <w:noProof/>
          <w:sz w:val="24"/>
          <w:lang w:val="fr-BE"/>
        </w:rPr>
        <w:t>ique ou la police pourrait également intervenir pour contribuer à cet objectif, comme cela s’est produit dans un cas particulier en Belgique</w:t>
      </w:r>
      <w:r>
        <w:rPr>
          <w:rStyle w:val="Ninguno"/>
          <w:rFonts w:ascii="Times New Roman" w:hAnsi="Times New Roman"/>
          <w:noProof/>
          <w:sz w:val="24"/>
          <w:vertAlign w:val="superscript"/>
        </w:rPr>
        <w:footnoteReference w:id="97"/>
      </w:r>
      <w:r>
        <w:rPr>
          <w:rFonts w:ascii="Times New Roman" w:hAnsi="Times New Roman"/>
          <w:noProof/>
          <w:sz w:val="24"/>
          <w:lang w:val="fr-BE"/>
        </w:rPr>
        <w: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Comme indiqué ci-dessus, il ressort de leur libellé même que les ordonnances de référé prévues à l’article 9, par</w:t>
      </w:r>
      <w:r>
        <w:rPr>
          <w:rFonts w:ascii="Times New Roman" w:hAnsi="Times New Roman"/>
          <w:noProof/>
          <w:sz w:val="24"/>
          <w:lang w:val="fr-BE"/>
        </w:rPr>
        <w:t>agraphe 1, point a), de la directive IPRED peuvent être délivrées afin de prévenir une atteinte imminente et la CJUE a précisé</w:t>
      </w:r>
      <w:r>
        <w:rPr>
          <w:rStyle w:val="FootnoteReference"/>
          <w:rFonts w:ascii="Times New Roman" w:hAnsi="Times New Roman"/>
          <w:noProof/>
          <w:sz w:val="24"/>
        </w:rPr>
        <w:footnoteReference w:id="98"/>
      </w:r>
      <w:r>
        <w:rPr>
          <w:rFonts w:ascii="Times New Roman" w:hAnsi="Times New Roman"/>
          <w:noProof/>
          <w:sz w:val="24"/>
          <w:lang w:val="fr-BE"/>
        </w:rPr>
        <w:t xml:space="preserve">, en ce qui concerne les intermédiaires, que les injonctions visées à l’article 11 pouvaient également être ordonnées pour </w:t>
      </w:r>
      <w:r>
        <w:rPr>
          <w:rFonts w:ascii="Times New Roman" w:hAnsi="Times New Roman"/>
          <w:noProof/>
          <w:sz w:val="24"/>
          <w:lang w:val="fr-BE"/>
        </w:rPr>
        <w:t>empêcher de nouvelles infractions. Par ailleurs, il n’existe actuellement aucune indication claire quant à la compatibilité de ce type d’injonctions avec la directive IPRED ou quant à leur nécessité dans le cadre de la directive IPRED. De l’avis de la Comm</w:t>
      </w:r>
      <w:r>
        <w:rPr>
          <w:rFonts w:ascii="Times New Roman" w:hAnsi="Times New Roman"/>
          <w:noProof/>
          <w:sz w:val="24"/>
          <w:lang w:val="fr-BE"/>
        </w:rPr>
        <w:t>ission, cette question devrait être évaluée au cas par cas, étant entendu que, en ce qui concerne les injonctions à l’encontre d’intermédiaires, les conditions et les procédures y afférentes doivent en principe être précisées dans la législation nationale</w:t>
      </w:r>
      <w:r>
        <w:rPr>
          <w:rFonts w:ascii="Times New Roman" w:hAnsi="Times New Roman"/>
          <w:noProof/>
          <w:sz w:val="24"/>
          <w:vertAlign w:val="superscript"/>
        </w:rPr>
        <w:footnoteReference w:id="99"/>
      </w:r>
      <w:r>
        <w:rPr>
          <w:rFonts w:ascii="Times New Roman" w:hAnsi="Times New Roman"/>
          <w:noProof/>
          <w:sz w:val="24"/>
          <w:lang w:val="fr-BE"/>
        </w:rPr>
        <w:t>. En tout état de cause, il convient de tenir compte de l’objectif poursuivi par ces deux articles, des exigences générales de l’article 3 de la directive IPRED, ainsi que des droits fondamentaux applicables.</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prend note du fait que certains É</w:t>
      </w:r>
      <w:r>
        <w:rPr>
          <w:rFonts w:ascii="Times New Roman" w:hAnsi="Times New Roman"/>
          <w:noProof/>
          <w:sz w:val="24"/>
          <w:lang w:val="fr-BE"/>
        </w:rPr>
        <w:t>tats membres prévoient la possibilité de délivrer des injonctions anticipatrices, des injonctions «catalogue» et des injonctions dynamiques. Alors que cette question n’est pas expressément abordée dans la directive IPRED, la Commission estime que, des injo</w:t>
      </w:r>
      <w:r>
        <w:rPr>
          <w:rFonts w:ascii="Times New Roman" w:hAnsi="Times New Roman"/>
          <w:noProof/>
          <w:sz w:val="24"/>
          <w:lang w:val="fr-BE"/>
        </w:rPr>
        <w:t xml:space="preserve">nctions de ce type peuvent être un moyen efficace pour empêcher la poursuite d’une atteinte aux DPI, sous réserve que les sauvegardes nécessaires soient prévues. </w:t>
      </w:r>
    </w:p>
    <w:p w:rsidR="0070369F" w:rsidRDefault="00B36066">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Preuves numériques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collecte, la présentation et la conservation des preuves d’atteintes co</w:t>
      </w:r>
      <w:r>
        <w:rPr>
          <w:rFonts w:ascii="Times New Roman" w:hAnsi="Times New Roman"/>
          <w:noProof/>
          <w:sz w:val="24"/>
          <w:lang w:val="fr-BE"/>
        </w:rPr>
        <w:t xml:space="preserve">mmises en ligne peuvent constituer, dans certaines situations, un défi majeur. La directive ne fait pas explicitement référence à l’utilisation et à la présentation de preuves numériques dans les procédures visant à faire respecter les droits de propriété </w:t>
      </w:r>
      <w:r>
        <w:rPr>
          <w:rFonts w:ascii="Times New Roman" w:hAnsi="Times New Roman"/>
          <w:noProof/>
          <w:sz w:val="24"/>
          <w:lang w:val="fr-BE"/>
        </w:rPr>
        <w:t>intellectuelle.</w:t>
      </w:r>
    </w:p>
    <w:p w:rsidR="0070369F" w:rsidRDefault="00B36066">
      <w:pPr>
        <w:pStyle w:val="ListParagraph"/>
        <w:spacing w:before="60" w:after="6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Il a été souligné au cours de l’évaluation que les preuves sous forme numérique pouvaient être difficiles à préserver et que les images du contenu d’une page web à un moment donné («captures d’écran») n’étaient parfois pas acceptées comme d</w:t>
      </w:r>
      <w:r>
        <w:rPr>
          <w:rFonts w:ascii="Times New Roman" w:hAnsi="Times New Roman"/>
          <w:noProof/>
          <w:sz w:val="24"/>
          <w:lang w:val="fr-BE"/>
        </w:rPr>
        <w:t>es preuves suffisantes par les autorités judiciaires compétentes de certains États membres. Or, l’utilisation des captures d’écran est l’une des méthodes les plus courantes pour démontrer qu’une certaine activité a eu lieu dans un environnement en ligne. D</w:t>
      </w:r>
      <w:r>
        <w:rPr>
          <w:rFonts w:ascii="Times New Roman" w:hAnsi="Times New Roman"/>
          <w:noProof/>
          <w:sz w:val="24"/>
          <w:lang w:val="fr-BE"/>
        </w:rPr>
        <w:t>ans la pratique, une capture d’écran peut par exemple montrer une caractéristique de la distribution en ligne d’un produit contrefaisant, étant donné que le contenu d’une page web peut illustrer quel type de produit a été mis en vente, par qui, sur quel te</w:t>
      </w:r>
      <w:r>
        <w:rPr>
          <w:rFonts w:ascii="Times New Roman" w:hAnsi="Times New Roman"/>
          <w:noProof/>
          <w:sz w:val="24"/>
          <w:lang w:val="fr-BE"/>
        </w:rPr>
        <w:t>rritoire et à quel public il s’adresse. À ce titre, les captures d’écran peuvent aider les titulaires de droits à faire respecter leurs droits efficacement, également dans un environnement en ligne. À l’inverse, les défendeurs pourraient également souhaite</w:t>
      </w:r>
      <w:r>
        <w:rPr>
          <w:rFonts w:ascii="Times New Roman" w:hAnsi="Times New Roman"/>
          <w:noProof/>
          <w:sz w:val="24"/>
          <w:lang w:val="fr-BE"/>
        </w:rPr>
        <w:t>r s’appuyer sur des captures d’écran pour contester des allégations de comportements portant atteinte aux DPI.</w:t>
      </w:r>
    </w:p>
    <w:p w:rsidR="0070369F" w:rsidRDefault="00B36066">
      <w:pPr>
        <w:pStyle w:val="ListParagraph"/>
        <w:spacing w:before="60" w:after="6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Dans certains États membres</w:t>
      </w:r>
      <w:r>
        <w:rPr>
          <w:rStyle w:val="FootnoteReference"/>
          <w:rFonts w:ascii="Times New Roman" w:hAnsi="Times New Roman"/>
          <w:noProof/>
          <w:sz w:val="24"/>
        </w:rPr>
        <w:footnoteReference w:id="100"/>
      </w:r>
      <w:r>
        <w:rPr>
          <w:rFonts w:ascii="Times New Roman" w:hAnsi="Times New Roman"/>
          <w:noProof/>
          <w:sz w:val="24"/>
          <w:lang w:val="fr-BE"/>
        </w:rPr>
        <w:t xml:space="preserve">, la pratique actuelle des autorités judiciaires compétentes est d’admettre des captures d’écran à titre d’éléments de preuve, à condition que celles-ci aient été réalisées par un notaire ou un huissier de justice et qu’elles indiquent les produits ou les </w:t>
      </w:r>
      <w:r>
        <w:rPr>
          <w:rFonts w:ascii="Times New Roman" w:hAnsi="Times New Roman"/>
          <w:noProof/>
          <w:sz w:val="24"/>
          <w:lang w:val="fr-BE"/>
        </w:rPr>
        <w:t>services supposés en infraction de manière suffisamment visible et précise. Compte tenu de l’absence de toute règle explicite à cet égard, la Commission estime qu’il ne peut être considéré que la directive IPRED exige de telles pratiques. La Commission est</w:t>
      </w:r>
      <w:r>
        <w:rPr>
          <w:rFonts w:ascii="Times New Roman" w:hAnsi="Times New Roman"/>
          <w:noProof/>
          <w:sz w:val="24"/>
          <w:lang w:val="fr-BE"/>
        </w:rPr>
        <w:t xml:space="preserve"> toutefois d'avis que cette approche est globalement compatible avec la directive IPRED. Elle peut être considérée comme une bonne pratique, car elle peut être un moyen efficace de répondre aux besoins des parties évoqués plus haut tout en garantissant une</w:t>
      </w:r>
      <w:r>
        <w:rPr>
          <w:rFonts w:ascii="Times New Roman" w:hAnsi="Times New Roman"/>
          <w:noProof/>
          <w:sz w:val="24"/>
          <w:lang w:val="fr-BE"/>
        </w:rPr>
        <w:t xml:space="preserve"> sécurité suffisante quant à l’exactitude et la fiabilité des preuves sur la base desquelles l’autorité judiciaire compétente tranchera le litige. </w:t>
      </w:r>
    </w:p>
    <w:p w:rsidR="0070369F" w:rsidRDefault="00B36066">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cs="Times New Roman"/>
          <w:noProof/>
          <w:sz w:val="24"/>
          <w:szCs w:val="24"/>
          <w:lang w:val="fr-BE"/>
        </w:rPr>
      </w:pPr>
      <w:r>
        <w:rPr>
          <w:rFonts w:ascii="Times New Roman" w:hAnsi="Times New Roman"/>
          <w:noProof/>
          <w:sz w:val="24"/>
          <w:lang w:val="fr-BE"/>
        </w:rPr>
        <w:t>La possibilité, prévue dans le droit national de certains États membres, d’accepter les captures d’écran com</w:t>
      </w:r>
      <w:r>
        <w:rPr>
          <w:rFonts w:ascii="Times New Roman" w:hAnsi="Times New Roman"/>
          <w:noProof/>
          <w:sz w:val="24"/>
          <w:lang w:val="fr-BE"/>
        </w:rPr>
        <w:t>me éléments de preuve dans les procédures judiciaires engagées au titre de la directive IPRED, à condition qu’elles fassent apparaître les produits ou services supposés en infraction de manière suffisamment visible et précise et qu’elles respectent certain</w:t>
      </w:r>
      <w:r>
        <w:rPr>
          <w:rFonts w:ascii="Times New Roman" w:hAnsi="Times New Roman"/>
          <w:noProof/>
          <w:sz w:val="24"/>
          <w:lang w:val="fr-BE"/>
        </w:rPr>
        <w:t>es sauvegardes procédurales, peut, selon la Commission, être considérée comme une bonne pratique. En fonction des systèmes juridiques nationaux, ces sauvegardes peuvent inclure, par exemple, l’exigence que ces éléments de preuve ont été pris par un notaire</w:t>
      </w:r>
      <w:r>
        <w:rPr>
          <w:rFonts w:ascii="Times New Roman" w:hAnsi="Times New Roman"/>
          <w:noProof/>
          <w:sz w:val="24"/>
          <w:lang w:val="fr-BE"/>
        </w:rPr>
        <w:t xml:space="preserve"> ou un huissier de justice.</w:t>
      </w:r>
    </w:p>
    <w:p w:rsidR="0070369F" w:rsidRDefault="00B36066">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lang w:val="fr-BE"/>
        </w:rPr>
      </w:pPr>
      <w:r>
        <w:rPr>
          <w:rFonts w:ascii="Times New Roman" w:hAnsi="Times New Roman"/>
          <w:b/>
          <w:noProof/>
          <w:sz w:val="24"/>
          <w:lang w:val="fr-BE"/>
        </w:rPr>
        <w:t>GARANTIR LA DIMENSION DU MARCHÉ UNIQUE POUR L’APPLICATION DES DPI</w:t>
      </w:r>
    </w:p>
    <w:p w:rsidR="0070369F" w:rsidRDefault="00B36066">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Clarification des droits couverts par la directive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directive IPRED concerne les mesures, les procédures et réparations nécessaires pour assurer le respect des </w:t>
      </w:r>
      <w:r>
        <w:rPr>
          <w:rFonts w:ascii="Times New Roman" w:hAnsi="Times New Roman"/>
          <w:noProof/>
          <w:sz w:val="24"/>
          <w:lang w:val="fr-BE"/>
        </w:rPr>
        <w:t>droits de propriété intellectuelle</w:t>
      </w:r>
      <w:r>
        <w:rPr>
          <w:rStyle w:val="FootnoteReference"/>
          <w:rFonts w:ascii="Times New Roman" w:hAnsi="Times New Roman"/>
          <w:noProof/>
          <w:sz w:val="24"/>
        </w:rPr>
        <w:footnoteReference w:id="101"/>
      </w:r>
      <w:r>
        <w:rPr>
          <w:rFonts w:ascii="Times New Roman" w:hAnsi="Times New Roman"/>
          <w:noProof/>
          <w:sz w:val="24"/>
          <w:lang w:val="fr-BE"/>
        </w:rPr>
        <w:t xml:space="preserve"> (article 1</w:t>
      </w:r>
      <w:r>
        <w:rPr>
          <w:rFonts w:ascii="Times New Roman" w:hAnsi="Times New Roman"/>
          <w:noProof/>
          <w:sz w:val="24"/>
          <w:vertAlign w:val="superscript"/>
          <w:lang w:val="fr-BE"/>
        </w:rPr>
        <w:t>er</w:t>
      </w:r>
      <w:r>
        <w:rPr>
          <w:rFonts w:ascii="Times New Roman" w:hAnsi="Times New Roman"/>
          <w:noProof/>
          <w:sz w:val="24"/>
          <w:lang w:val="fr-BE"/>
        </w:rPr>
        <w:t>). La directive s’applique à toute atteinte aux droits de propriété intellectuelle prévue par le droit de l’Union et/ou nationale de l’État membre concerné, sans préjudice des moyens prévus ou pouvant être pr</w:t>
      </w:r>
      <w:r>
        <w:rPr>
          <w:rFonts w:ascii="Times New Roman" w:hAnsi="Times New Roman"/>
          <w:noProof/>
          <w:sz w:val="24"/>
          <w:lang w:val="fr-BE"/>
        </w:rPr>
        <w:t>évus dans la législation de l’Union ou nationale, pour autant que ces moyens soient plus favorables aux titulaires de droits (article 2, paragraphe 1)</w:t>
      </w:r>
      <w:r>
        <w:rPr>
          <w:rStyle w:val="FootnoteReference"/>
          <w:rFonts w:ascii="Times New Roman" w:hAnsi="Times New Roman"/>
          <w:noProof/>
          <w:sz w:val="24"/>
        </w:rPr>
        <w:footnoteReference w:id="102"/>
      </w:r>
      <w:r>
        <w:rPr>
          <w:rFonts w:ascii="Times New Roman" w:hAnsi="Times New Roman"/>
          <w:noProof/>
          <w:sz w:val="24"/>
          <w:lang w:val="fr-BE"/>
        </w:rPr>
        <w:t>. La directive IPRED s’applique sans préjudice des dispositions particulières concernant le respect des d</w:t>
      </w:r>
      <w:r>
        <w:rPr>
          <w:rFonts w:ascii="Times New Roman" w:hAnsi="Times New Roman"/>
          <w:noProof/>
          <w:sz w:val="24"/>
          <w:lang w:val="fr-BE"/>
        </w:rPr>
        <w:t>roits et les exceptions prévues par la législation de l’Union dans le domaine du droit d'auteur et des droits voisins du droit d'auteur (article 2, paragraphe 2). Elle est également sans préjudice de la législation européenne relative à la protection des d</w:t>
      </w:r>
      <w:r>
        <w:rPr>
          <w:rFonts w:ascii="Times New Roman" w:hAnsi="Times New Roman"/>
          <w:noProof/>
          <w:sz w:val="24"/>
          <w:lang w:val="fr-BE"/>
        </w:rPr>
        <w:t>onnées à caractère personnel ou de la directive sur le commerce électronique en général et, en particulier, des articles 12 à 15 de ladite directive (article 2, paragraphe 3, de la directive IPRED).</w:t>
      </w: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DPI couverts par la directive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Si la directive ne fournit pas de liste des droits spécifiques qui sont considérés comme des droits de propriété intellectuelle aux fins de celle-ci, elle précise à son considérant 13 qu'il convient de définir le champ d'application de la manière la plus l</w:t>
      </w:r>
      <w:r>
        <w:rPr>
          <w:rFonts w:ascii="Times New Roman" w:hAnsi="Times New Roman"/>
          <w:noProof/>
          <w:sz w:val="24"/>
          <w:lang w:val="fr-BE"/>
        </w:rPr>
        <w:t xml:space="preserve">arge possible, afin d'y inclure l'ensemble des droits de propriété intellectuelle couverts par les dispositions de la législation de l’UE en la matière et/ou par la législation nationale de l'État membre concerné.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2005, la Commission a publié une décla</w:t>
      </w:r>
      <w:r>
        <w:rPr>
          <w:rFonts w:ascii="Times New Roman" w:hAnsi="Times New Roman"/>
          <w:noProof/>
          <w:sz w:val="24"/>
          <w:lang w:val="fr-BE"/>
        </w:rPr>
        <w:t>ration non contraignante</w:t>
      </w:r>
      <w:r>
        <w:rPr>
          <w:rStyle w:val="FootnoteReference"/>
          <w:rFonts w:ascii="Times New Roman" w:hAnsi="Times New Roman"/>
          <w:noProof/>
          <w:sz w:val="24"/>
        </w:rPr>
        <w:footnoteReference w:id="103"/>
      </w:r>
      <w:r>
        <w:rPr>
          <w:rFonts w:ascii="Times New Roman" w:hAnsi="Times New Roman"/>
          <w:noProof/>
          <w:sz w:val="24"/>
          <w:lang w:val="fr-BE"/>
        </w:rPr>
        <w:t xml:space="preserve"> sur l’article 2 de la directive afin de clarifier son champ d’application. La Commission a indiqué dans cette déclaration qu’elle considérait qu’au moins les droits de propriété intellectuelle suivants entrent dans le champ d'appl</w:t>
      </w:r>
      <w:r>
        <w:rPr>
          <w:rFonts w:ascii="Times New Roman" w:hAnsi="Times New Roman"/>
          <w:noProof/>
          <w:sz w:val="24"/>
          <w:lang w:val="fr-BE"/>
        </w:rPr>
        <w:t xml:space="preserve">ication de la directive: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 droit d'auteur et les droits voisins,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 droit sui generis d'un fabricant de base de données,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les droits du créateur des topographies d'un produit semi-conducteur,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les droits des marques,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les droits des dessins et modèles,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les droits des brevets, y compris les droits dérivés de certificats de protection supplémentaires,</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noProof/>
          <w:sz w:val="24"/>
        </w:rPr>
        <w:t xml:space="preserve">les indications géographiques,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les droits en matière de modèles d'utilité,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 la protection des obtentions végétales, </w:t>
      </w:r>
    </w:p>
    <w:p w:rsidR="0070369F" w:rsidRDefault="00B36066">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les dénominations commerciales, dans </w:t>
      </w:r>
      <w:r>
        <w:rPr>
          <w:rFonts w:ascii="Times New Roman" w:hAnsi="Times New Roman"/>
          <w:noProof/>
          <w:sz w:val="24"/>
          <w:lang w:val="fr-BE"/>
        </w:rPr>
        <w:t xml:space="preserve">la mesure où elles sont protégées en tant que droits de propriété exclusifs par le droit national concerné.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De l’avis de la Commission, les mesures, procédures et réparations prévues dans la directive devraient en tout état de cause être disponibles dans </w:t>
      </w:r>
      <w:r>
        <w:rPr>
          <w:rFonts w:ascii="Times New Roman" w:hAnsi="Times New Roman"/>
          <w:noProof/>
          <w:sz w:val="24"/>
          <w:lang w:val="fr-BE"/>
        </w:rPr>
        <w:t xml:space="preserve">les procédures d’infraction concernant l’un quelconque des droits énumérés dans sa déclaration de 2005. </w:t>
      </w: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Lien avec la directive sur les secrets d’affaires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Toutefois, certaines incertitudes subsistent, notamment en ce qui concerne d’autres droits protégés p</w:t>
      </w:r>
      <w:r>
        <w:rPr>
          <w:rFonts w:ascii="Times New Roman" w:hAnsi="Times New Roman"/>
          <w:noProof/>
          <w:sz w:val="24"/>
          <w:lang w:val="fr-BE"/>
        </w:rPr>
        <w:t>ar le droit national, comme les noms de domaine, les secrets d’affaires et d’autres actes souvent couverts par des dispositions nationales en matière de concurrence déloyale (par exemple les copies parasites). Si, conformément au considérant 13 de la direc</w:t>
      </w:r>
      <w:r>
        <w:rPr>
          <w:rFonts w:ascii="Times New Roman" w:hAnsi="Times New Roman"/>
          <w:noProof/>
          <w:sz w:val="24"/>
          <w:lang w:val="fr-BE"/>
        </w:rPr>
        <w:t>tive IPRED, les États membres peuvent étendre, pour des besoins internes, les dispositions de la directive à des actes relevant de la concurrence déloyale, y compris les copies parasites, ou à d’activités similaires, ils n’y sont pas obligés. Selon les éva</w:t>
      </w:r>
      <w:r>
        <w:rPr>
          <w:rFonts w:ascii="Times New Roman" w:hAnsi="Times New Roman"/>
          <w:noProof/>
          <w:sz w:val="24"/>
          <w:lang w:val="fr-BE"/>
        </w:rPr>
        <w:t>luations réalisées à ce jour</w:t>
      </w:r>
      <w:r>
        <w:rPr>
          <w:rStyle w:val="FootnoteReference"/>
          <w:rFonts w:ascii="Times New Roman" w:hAnsi="Times New Roman"/>
          <w:noProof/>
          <w:sz w:val="24"/>
        </w:rPr>
        <w:footnoteReference w:id="104"/>
      </w:r>
      <w:r>
        <w:rPr>
          <w:rFonts w:ascii="Times New Roman" w:hAnsi="Times New Roman"/>
          <w:noProof/>
          <w:sz w:val="24"/>
          <w:lang w:val="fr-BE"/>
        </w:rPr>
        <w:t xml:space="preserve">, il semble qu’aucun État membre n’ait décidé d’étendre les dispositions de la directive à de tels actes.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L’adoption de la directive sur les secrets d’affaires</w:t>
      </w:r>
      <w:r>
        <w:rPr>
          <w:rStyle w:val="FootnoteReference"/>
          <w:rFonts w:ascii="Times New Roman" w:hAnsi="Times New Roman"/>
          <w:noProof/>
          <w:sz w:val="24"/>
        </w:rPr>
        <w:footnoteReference w:id="105"/>
      </w:r>
      <w:r>
        <w:rPr>
          <w:rFonts w:ascii="Times New Roman" w:hAnsi="Times New Roman"/>
          <w:noProof/>
          <w:sz w:val="24"/>
          <w:lang w:val="fr-BE"/>
        </w:rPr>
        <w:t xml:space="preserve"> en 2016 a permis d’apporter certains éclaircissements sur les act</w:t>
      </w:r>
      <w:r>
        <w:rPr>
          <w:rFonts w:ascii="Times New Roman" w:hAnsi="Times New Roman"/>
          <w:noProof/>
          <w:sz w:val="24"/>
          <w:lang w:val="fr-BE"/>
        </w:rPr>
        <w:t>es couverts jusqu’ici par les dispositions nationales relatives à la concurrence déloyale. Il y est indiqué que la directive ne devrait pas avoir d’incidence sur l’application des autres dispositions pertinentes dans d’autres domaines, y compris les DPI et</w:t>
      </w:r>
      <w:r>
        <w:rPr>
          <w:rFonts w:ascii="Times New Roman" w:hAnsi="Times New Roman"/>
          <w:noProof/>
          <w:sz w:val="24"/>
          <w:lang w:val="fr-BE"/>
        </w:rPr>
        <w:t xml:space="preserve"> qu’elle devrait être considérée comme une lex specialis lorsque son champ d’application recoupe celui de la directive IPRED</w:t>
      </w:r>
      <w:r>
        <w:rPr>
          <w:rStyle w:val="FootnoteReference"/>
          <w:rFonts w:ascii="Times New Roman" w:hAnsi="Times New Roman"/>
          <w:noProof/>
          <w:sz w:val="24"/>
        </w:rPr>
        <w:footnoteReference w:id="106"/>
      </w:r>
      <w:r>
        <w:rPr>
          <w:rFonts w:ascii="Times New Roman" w:hAnsi="Times New Roman"/>
          <w:noProof/>
          <w:sz w:val="24"/>
          <w:lang w:val="fr-BE"/>
        </w:rPr>
        <w:t>. Par conséquent, une fois que la transposition de la directive sur les secrets d’affaires sera achevée</w:t>
      </w:r>
      <w:r>
        <w:rPr>
          <w:rStyle w:val="FootnoteReference"/>
          <w:rFonts w:ascii="Times New Roman" w:hAnsi="Times New Roman"/>
          <w:noProof/>
          <w:sz w:val="24"/>
        </w:rPr>
        <w:footnoteReference w:id="107"/>
      </w:r>
      <w:r>
        <w:rPr>
          <w:rFonts w:ascii="Times New Roman" w:hAnsi="Times New Roman"/>
          <w:noProof/>
          <w:sz w:val="24"/>
          <w:lang w:val="fr-BE"/>
        </w:rPr>
        <w:t xml:space="preserve">, toute personne subissant </w:t>
      </w:r>
      <w:r>
        <w:rPr>
          <w:rFonts w:ascii="Times New Roman" w:hAnsi="Times New Roman"/>
          <w:noProof/>
          <w:sz w:val="24"/>
          <w:lang w:val="fr-BE"/>
        </w:rPr>
        <w:t>les conséquences d’actes qui pourraient être considérés comme constituant une obtention, une utilisation ou une divulgation illicite de secrets d’affaires, telle que définie dans ladite directive, sera en mesure de bénéficier en premier lieu de l’applicati</w:t>
      </w:r>
      <w:r>
        <w:rPr>
          <w:rFonts w:ascii="Times New Roman" w:hAnsi="Times New Roman"/>
          <w:noProof/>
          <w:sz w:val="24"/>
          <w:lang w:val="fr-BE"/>
        </w:rPr>
        <w:t>on des mesures, procédures et réparations prévues par la directive sur les secrets d’affaires. Cela dit, en ce qui concerne l’ensemble des actes de concurrence déloyale réglementés au niveau national et qui ne relèvent pas du champ d’application de la dire</w:t>
      </w:r>
      <w:r>
        <w:rPr>
          <w:rFonts w:ascii="Times New Roman" w:hAnsi="Times New Roman"/>
          <w:noProof/>
          <w:sz w:val="24"/>
          <w:lang w:val="fr-BE"/>
        </w:rPr>
        <w:t>ctive sur les secrets d’affaires, les règles générales seront d’application; les dispositions de la directive IPRED ne seront applicables que lorsque l’État membre concerné aura décidé d’étendre son application au niveau national, conformément au considéra</w:t>
      </w:r>
      <w:r>
        <w:rPr>
          <w:rFonts w:ascii="Times New Roman" w:hAnsi="Times New Roman"/>
          <w:noProof/>
          <w:sz w:val="24"/>
          <w:lang w:val="fr-BE"/>
        </w:rPr>
        <w:t>nt 13 de la directive IPRED.</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les secrets d’affaires, la directive sur les secrets d’affaires s’applique en tant que lex specialis à l’égard de la directive IPRED.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tous les actes de concurrence déloyale qui sont régis par des dispos</w:t>
      </w:r>
      <w:r>
        <w:rPr>
          <w:rFonts w:ascii="Times New Roman" w:hAnsi="Times New Roman"/>
          <w:noProof/>
          <w:sz w:val="24"/>
          <w:lang w:val="fr-BE"/>
        </w:rPr>
        <w:t xml:space="preserve">itions nationales et ne concernent pas une atteinte à un DPI au sens de la directive IPRED, ni ne relèvent pas du champ d’application de la directive sur les secrets d’affaires, les dispositions de la directive IPRED ne sont applicables que lorsqu’un État </w:t>
      </w:r>
      <w:r>
        <w:rPr>
          <w:rFonts w:ascii="Times New Roman" w:hAnsi="Times New Roman"/>
          <w:noProof/>
          <w:sz w:val="24"/>
          <w:lang w:val="fr-BE"/>
        </w:rPr>
        <w:t>membre a décidé d’étendre, pour des besoins internes, ces dispositions aux actes en cause.</w:t>
      </w:r>
    </w:p>
    <w:p w:rsidR="0070369F" w:rsidRDefault="00B36066">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Procédures</w:t>
      </w:r>
      <w:r>
        <w:rPr>
          <w:rFonts w:ascii="Times New Roman" w:hAnsi="Times New Roman"/>
          <w:b/>
          <w:i/>
          <w:noProof/>
          <w:sz w:val="24"/>
          <w:lang w:val="fr-BE"/>
        </w:rPr>
        <w:t xml:space="preserve"> </w:t>
      </w:r>
      <w:r>
        <w:rPr>
          <w:rFonts w:ascii="Times New Roman" w:hAnsi="Times New Roman"/>
          <w:b/>
          <w:noProof/>
          <w:sz w:val="24"/>
          <w:lang w:val="fr-BE"/>
        </w:rPr>
        <w:t xml:space="preserve">en dehors du champ d’application de la directive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directive se réfère spécifiquement, dans son article 2, paragraphe 1, aux atteintes aux droits de propriété intellectuelle. Dans ce contexte, la possibilité d’appliquer les dispositions mettant en œuvre la directive dans le cadre de procédures visant à </w:t>
      </w:r>
      <w:r>
        <w:rPr>
          <w:rFonts w:ascii="Times New Roman" w:hAnsi="Times New Roman"/>
          <w:noProof/>
          <w:sz w:val="24"/>
          <w:lang w:val="fr-BE"/>
        </w:rPr>
        <w:t xml:space="preserve">l’invalidation des droits a été remise en question.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précisé</w:t>
      </w:r>
      <w:r>
        <w:rPr>
          <w:rFonts w:ascii="Times New Roman" w:hAnsi="Times New Roman"/>
          <w:noProof/>
          <w:sz w:val="24"/>
          <w:vertAlign w:val="superscript"/>
        </w:rPr>
        <w:footnoteReference w:id="108"/>
      </w:r>
      <w:r>
        <w:rPr>
          <w:rFonts w:ascii="Times New Roman" w:hAnsi="Times New Roman"/>
          <w:noProof/>
          <w:sz w:val="24"/>
          <w:lang w:val="fr-BE"/>
        </w:rPr>
        <w:t xml:space="preserve"> que, bien que la directive s’applique à la procédure visant à garantir la protection des DPI, elle ne s’applique pas à une procédure d’invalidation, dans laquelle une personne, sans êt</w:t>
      </w:r>
      <w:r>
        <w:rPr>
          <w:rFonts w:ascii="Times New Roman" w:hAnsi="Times New Roman"/>
          <w:noProof/>
          <w:sz w:val="24"/>
          <w:lang w:val="fr-BE"/>
        </w:rPr>
        <w:t>re titulaire d’un DPI, conteste la protection accordée au titulaire des droits correspondants.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Elle a en outre considéré</w:t>
      </w:r>
      <w:r>
        <w:rPr>
          <w:rFonts w:ascii="Times New Roman" w:hAnsi="Times New Roman"/>
          <w:noProof/>
          <w:sz w:val="24"/>
          <w:vertAlign w:val="superscript"/>
        </w:rPr>
        <w:footnoteReference w:id="109"/>
      </w:r>
      <w:r>
        <w:rPr>
          <w:rFonts w:ascii="Times New Roman" w:hAnsi="Times New Roman"/>
          <w:noProof/>
          <w:sz w:val="24"/>
          <w:lang w:val="fr-BE"/>
        </w:rPr>
        <w:t xml:space="preserve"> que la directive ne s’appliquait pas à une procédure dans laquelle les redevables de la compensation équitable demandent à ladite juri</w:t>
      </w:r>
      <w:r>
        <w:rPr>
          <w:rFonts w:ascii="Times New Roman" w:hAnsi="Times New Roman"/>
          <w:noProof/>
          <w:sz w:val="24"/>
          <w:lang w:val="fr-BE"/>
        </w:rPr>
        <w:t>diction de faire des déclarations pour droit à la charge de l’organisme chargé de percevoir et de répartir cette rémunération parmi les titulaires de droits d’auteur, qui se défend contre cette demande.</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mesures, procédures et réparations prévues par la</w:t>
      </w:r>
      <w:r>
        <w:rPr>
          <w:rFonts w:ascii="Times New Roman" w:hAnsi="Times New Roman"/>
          <w:noProof/>
          <w:sz w:val="24"/>
          <w:lang w:val="fr-BE"/>
        </w:rPr>
        <w:t xml:space="preserve"> directive IPRED ne peuvent être invoquées dans les procédures d’invalidation des DPI, ni dans le cadre de procédures impliquant un acte de versement d’une compensation équitable aux titulaires de droits d’auteur dirigée contre l’entité responsable de la c</w:t>
      </w:r>
      <w:r>
        <w:rPr>
          <w:rFonts w:ascii="Times New Roman" w:hAnsi="Times New Roman"/>
          <w:noProof/>
          <w:sz w:val="24"/>
          <w:lang w:val="fr-BE"/>
        </w:rPr>
        <w:t xml:space="preserve">ollecte et de la distribution de ces rémunérations. </w:t>
      </w:r>
    </w:p>
    <w:p w:rsidR="0070369F" w:rsidRDefault="00B36066">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Droit de demander l’application des mesures, procédures et réparations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L’article 4 de la directive indique que, sous certaines conditions, les États membres doivent reconnaître que les personnes </w:t>
      </w:r>
      <w:r>
        <w:rPr>
          <w:rFonts w:ascii="Times New Roman" w:hAnsi="Times New Roman"/>
          <w:noProof/>
          <w:sz w:val="24"/>
          <w:lang w:val="fr-BE"/>
        </w:rPr>
        <w:t>suivantes ont qualité pour demander l'application des mesures, procédures et réparations visées dans la directive: i) les titulaires de DPI, ii) toutes les autres personnes autorisées à utiliser ces droits, en particulier les licenciés, iii) les organismes</w:t>
      </w:r>
      <w:r>
        <w:rPr>
          <w:rFonts w:ascii="Times New Roman" w:hAnsi="Times New Roman"/>
          <w:noProof/>
          <w:sz w:val="24"/>
          <w:lang w:val="fr-BE"/>
        </w:rPr>
        <w:t xml:space="preserve"> de gestion collective des droits de propriété intellectuelle, et iv) les organismes de défense professionnels.</w:t>
      </w: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Licenciés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L’article 4, point b), de la directive indique que les personnes autorisées à utiliser des DPI, en particulier les licenciés, dans la </w:t>
      </w:r>
      <w:r>
        <w:rPr>
          <w:rFonts w:ascii="Times New Roman" w:hAnsi="Times New Roman"/>
          <w:noProof/>
          <w:sz w:val="24"/>
          <w:lang w:val="fr-BE"/>
        </w:rPr>
        <w:t>mesure où la législation applicable le permet et conformément à celle-ci, ont qualité pour demander l'application des mesures, procédures et réparations visées dans la directive. Toutefois, la question a été posée de savoir si un licencié a également quali</w:t>
      </w:r>
      <w:r>
        <w:rPr>
          <w:rFonts w:ascii="Times New Roman" w:hAnsi="Times New Roman"/>
          <w:noProof/>
          <w:sz w:val="24"/>
          <w:lang w:val="fr-BE"/>
        </w:rPr>
        <w:t xml:space="preserve">té pour demander l’application de ces mesures, dans le cas où, bien qu’ayant obtenu une licence d’un titulaire de droit, il n’a pas, le cas échéant, fait enregistrer cette licence dans le registre prévu à cet effet.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CJUE a constaté</w:t>
      </w:r>
      <w:r>
        <w:rPr>
          <w:rStyle w:val="FootnoteReference"/>
          <w:rFonts w:ascii="Times New Roman" w:hAnsi="Times New Roman"/>
          <w:noProof/>
          <w:sz w:val="24"/>
        </w:rPr>
        <w:footnoteReference w:id="110"/>
      </w:r>
      <w:r>
        <w:rPr>
          <w:rFonts w:ascii="Times New Roman" w:hAnsi="Times New Roman"/>
          <w:noProof/>
          <w:sz w:val="24"/>
          <w:lang w:val="fr-BE"/>
        </w:rPr>
        <w:t xml:space="preserve"> que, dans le cas de</w:t>
      </w:r>
      <w:r>
        <w:rPr>
          <w:rFonts w:ascii="Times New Roman" w:hAnsi="Times New Roman"/>
          <w:noProof/>
          <w:sz w:val="24"/>
          <w:lang w:val="fr-BE"/>
        </w:rPr>
        <w:t xml:space="preserve"> licences délivrées pour un dessin ou modèle communautaire enregistré ou une «marque de l’Union européenne», le licencié pouvait engager une procédure au titre des règlements en question pour atteinte alléguée au dessin ou modèle communautaire ou à la marq</w:t>
      </w:r>
      <w:r>
        <w:rPr>
          <w:rFonts w:ascii="Times New Roman" w:hAnsi="Times New Roman"/>
          <w:noProof/>
          <w:sz w:val="24"/>
          <w:lang w:val="fr-BE"/>
        </w:rPr>
        <w:t>ue de l’UE faisant l’objet de la licence, même si cette dernière n’a pas été inscrite dans le registre correspondant, et que le licencié en question devrait en particulier la possibilité de demander l’ordonnance d’une injonction.</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Même si cette jurisprudenc</w:t>
      </w:r>
      <w:r>
        <w:rPr>
          <w:rFonts w:ascii="Times New Roman" w:hAnsi="Times New Roman"/>
          <w:noProof/>
          <w:sz w:val="24"/>
          <w:lang w:val="fr-BE"/>
        </w:rPr>
        <w:t xml:space="preserve">e pourrait suggérer qu’il en va de même en ce qui concerne l’article 4, point b), de la directive IPRED, les dispositions nationales de l’État membre concerné explicitement visé par ces dispositions seront déterminantes pour apprécier la qualité pour agir </w:t>
      </w:r>
      <w:r>
        <w:rPr>
          <w:rFonts w:ascii="Times New Roman" w:hAnsi="Times New Roman"/>
          <w:noProof/>
          <w:sz w:val="24"/>
          <w:lang w:val="fr-BE"/>
        </w:rPr>
        <w:t>des personnes concernées au titre de la directive.</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la jurisprudence relative aux règlements de l’Union sur les dessins et modèles communautaires et sur la marque de l’Union, la Cour a considéré que les licenciés avaient qualité pour demander des injon</w:t>
      </w:r>
      <w:r>
        <w:rPr>
          <w:rFonts w:ascii="Times New Roman" w:hAnsi="Times New Roman"/>
          <w:noProof/>
          <w:sz w:val="24"/>
          <w:lang w:val="fr-BE"/>
        </w:rPr>
        <w:t>ctions même en l’absence d’un enregistrement préalable. Pour d’autres DPI, conformément à l’article 4, point b), de la directive IPRED, ces questions dépendent de la législation nationale.</w:t>
      </w: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Les organismes de gestion collective des droits et les organismes d</w:t>
      </w:r>
      <w:r>
        <w:rPr>
          <w:rFonts w:ascii="Times New Roman" w:hAnsi="Times New Roman"/>
          <w:b/>
          <w:i/>
          <w:noProof/>
          <w:sz w:val="24"/>
          <w:lang w:val="fr-BE"/>
        </w:rPr>
        <w:t>e défense professionnels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4, points c) et d), prévoit que les organismes de gestion collective des droits de propriété intellectuelle ainsi que les organismes de défense professionnels, régulièrement reconnus comme ayant qualité pour représenter d</w:t>
      </w:r>
      <w:r>
        <w:rPr>
          <w:rFonts w:ascii="Times New Roman" w:hAnsi="Times New Roman"/>
          <w:noProof/>
          <w:sz w:val="24"/>
          <w:lang w:val="fr-BE"/>
        </w:rPr>
        <w:t>es titulaires de droits de propriété intellectuelle, ont qualité pour demander l’application des mesures d’application civile prévues par la directive «</w:t>
      </w:r>
      <w:r>
        <w:rPr>
          <w:rFonts w:ascii="Times New Roman" w:hAnsi="Times New Roman"/>
          <w:i/>
          <w:noProof/>
          <w:sz w:val="24"/>
          <w:lang w:val="fr-BE"/>
        </w:rPr>
        <w:t>dans la mesure où les dispositions de la législation applicable le permettent et conformément à celles-c</w:t>
      </w:r>
      <w:r>
        <w:rPr>
          <w:rFonts w:ascii="Times New Roman" w:hAnsi="Times New Roman"/>
          <w:i/>
          <w:noProof/>
          <w:sz w:val="24"/>
          <w:lang w:val="fr-BE"/>
        </w:rPr>
        <w:t>i</w:t>
      </w:r>
      <w:r>
        <w:rPr>
          <w:rFonts w:ascii="Times New Roman" w:hAnsi="Times New Roman"/>
          <w:noProof/>
          <w:sz w:val="24"/>
          <w:lang w:val="fr-BE"/>
        </w:rPr>
        <w:t>»</w:t>
      </w:r>
      <w:r>
        <w:rPr>
          <w:rStyle w:val="FootnoteReference"/>
          <w:rFonts w:ascii="Times New Roman" w:hAnsi="Times New Roman"/>
          <w:noProof/>
          <w:sz w:val="24"/>
        </w:rPr>
        <w:footnoteReference w:id="111"/>
      </w:r>
      <w:r>
        <w:rPr>
          <w:rFonts w:ascii="Times New Roman" w:hAnsi="Times New Roman"/>
          <w:noProof/>
          <w:sz w:val="24"/>
          <w:lang w:val="fr-BE"/>
        </w:rPr>
        <w:t xml:space="preserve">. Dans ce contexte, la mise en œuvre de la capacité des organismes collectifs à ester en justice varie considérablement entre les États membres.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Alors que la formulation utilisée dans ces dispositions indique que les États membres disposent d’une marge</w:t>
      </w:r>
      <w:r>
        <w:rPr>
          <w:rFonts w:ascii="Times New Roman" w:hAnsi="Times New Roman"/>
          <w:noProof/>
          <w:sz w:val="24"/>
          <w:lang w:val="fr-BE"/>
        </w:rPr>
        <w:t xml:space="preserve"> d’appréciation à cet égard, plusieurs États membres prévoient la possibilité d’accorder auxdits organismes le droit d’ester en justice au nom de leurs membres, lorsque leur but est de défendre les droits de leurs membres et l’affaire est considérée présen</w:t>
      </w:r>
      <w:r>
        <w:rPr>
          <w:rFonts w:ascii="Times New Roman" w:hAnsi="Times New Roman"/>
          <w:noProof/>
          <w:sz w:val="24"/>
          <w:lang w:val="fr-BE"/>
        </w:rPr>
        <w:t>ter un intérêt pour ces membres</w:t>
      </w:r>
      <w:r>
        <w:rPr>
          <w:rStyle w:val="FootnoteReference"/>
          <w:rFonts w:ascii="Times New Roman" w:hAnsi="Times New Roman"/>
          <w:noProof/>
          <w:sz w:val="24"/>
        </w:rPr>
        <w:footnoteReference w:id="112"/>
      </w:r>
      <w:r>
        <w:rPr>
          <w:rFonts w:ascii="Times New Roman" w:hAnsi="Times New Roman"/>
          <w:noProof/>
          <w:sz w:val="24"/>
          <w:lang w:val="fr-BE"/>
        </w:rPr>
        <w:t>. La Commission note que cette approche semble globalement améliorer la possibilité de faire respecter efficacement les DPI, en particulier parce que ces organismes peuvent être dans certains cas être mieux placés et mieux é</w:t>
      </w:r>
      <w:r>
        <w:rPr>
          <w:rFonts w:ascii="Times New Roman" w:hAnsi="Times New Roman"/>
          <w:noProof/>
          <w:sz w:val="24"/>
          <w:lang w:val="fr-BE"/>
        </w:rPr>
        <w:t>quipés (en termes d’accès à l’information, d’expertise, de ressources humaines, de situation financière, etc.) que les titulaires de droits eux-mêmes pour engager effectivement et efficacement des poursuites en vue de lutter contre des atteintes aux DPI le</w:t>
      </w:r>
      <w:r>
        <w:rPr>
          <w:rFonts w:ascii="Times New Roman" w:hAnsi="Times New Roman"/>
          <w:noProof/>
          <w:sz w:val="24"/>
          <w:lang w:val="fr-BE"/>
        </w:rPr>
        <w:t xml:space="preserve"> cas échéant, notamment lorsque les titulaires de droits sont des PME</w:t>
      </w:r>
      <w:r>
        <w:rPr>
          <w:rStyle w:val="FootnoteReference"/>
          <w:rFonts w:ascii="Times New Roman" w:hAnsi="Times New Roman"/>
          <w:noProof/>
          <w:sz w:val="24"/>
        </w:rPr>
        <w:footnoteReference w:id="113"/>
      </w:r>
      <w:r>
        <w:rPr>
          <w:rFonts w:ascii="Times New Roman" w:hAnsi="Times New Roman"/>
          <w:noProof/>
          <w:sz w:val="24"/>
          <w:lang w:val="fr-BE"/>
        </w:rPr>
        <w:t xml:space="preserve">.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Plusieurs États membres ont décidé de faire usage de la possibilité, visée à l'article 4, points c) et d), de la directive IPRED, consistant à autoriser les organismes de gestion coll</w:t>
      </w:r>
      <w:r>
        <w:rPr>
          <w:rFonts w:ascii="Times New Roman" w:hAnsi="Times New Roman"/>
          <w:noProof/>
          <w:sz w:val="24"/>
          <w:lang w:val="fr-BE"/>
        </w:rPr>
        <w:t>ective des droits et les organismes de défense professionnels régulièrement reconnus comme ayant qualité pour représenter les titulaires de droits à demander l’application des mesures, procédures et réparations prévues par la directive IPRED. Cette approch</w:t>
      </w:r>
      <w:r>
        <w:rPr>
          <w:rFonts w:ascii="Times New Roman" w:hAnsi="Times New Roman"/>
          <w:noProof/>
          <w:sz w:val="24"/>
          <w:lang w:val="fr-BE"/>
        </w:rPr>
        <w:t xml:space="preserve">e améliore de manière générale l’application effective des DPI et peut donc être considérée comme une bonne pratique. </w:t>
      </w:r>
    </w:p>
    <w:p w:rsidR="00B36066" w:rsidRDefault="00B36066">
      <w:pPr>
        <w:rPr>
          <w:rFonts w:ascii="Times New Roman" w:hAnsi="Times New Roman"/>
          <w:b/>
          <w:noProof/>
          <w:sz w:val="24"/>
          <w:lang w:val="fr-BE"/>
        </w:rPr>
      </w:pPr>
      <w:r>
        <w:rPr>
          <w:rFonts w:ascii="Times New Roman" w:hAnsi="Times New Roman"/>
          <w:b/>
          <w:noProof/>
          <w:sz w:val="24"/>
          <w:lang w:val="fr-BE"/>
        </w:rPr>
        <w:br w:type="page"/>
      </w:r>
    </w:p>
    <w:p w:rsidR="0070369F" w:rsidRDefault="00B36066">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lang w:val="fr-BE"/>
        </w:rPr>
      </w:pPr>
      <w:r>
        <w:rPr>
          <w:rFonts w:ascii="Times New Roman" w:hAnsi="Times New Roman"/>
          <w:b/>
          <w:noProof/>
          <w:sz w:val="24"/>
          <w:lang w:val="fr-BE"/>
        </w:rPr>
        <w:t>Présomption de la qualité d'auteur ou de titulaire du droit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L’article 5 de la directive énonce une présomption réfragable de la qualité </w:t>
      </w:r>
      <w:r>
        <w:rPr>
          <w:rFonts w:ascii="Times New Roman" w:hAnsi="Times New Roman"/>
          <w:noProof/>
          <w:sz w:val="24"/>
          <w:lang w:val="fr-BE"/>
        </w:rPr>
        <w:t>d’auteur ou de titulaire du droit (l’auteur ou le titulaire de droits voisins du droit d’auteur) en faveur de la personne dont le nom est indiqué sur l'œuvre de la manière usuelle. Cette disposition vise à faciliter les possibilités d’exécution de ces pers</w:t>
      </w:r>
      <w:r>
        <w:rPr>
          <w:rFonts w:ascii="Times New Roman" w:hAnsi="Times New Roman"/>
          <w:noProof/>
          <w:sz w:val="24"/>
          <w:lang w:val="fr-BE"/>
        </w:rPr>
        <w:t>onnes, compte tenu du fait que la preuve de la qualité d’auteur ou de titulaire du droit peut être difficile à fournir, en particulier lorsque plusieurs œuvres sont concernées.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De l’avis de la Commission, les États membres disposent d’une certaine marge d’</w:t>
      </w:r>
      <w:r>
        <w:rPr>
          <w:rFonts w:ascii="Times New Roman" w:hAnsi="Times New Roman"/>
          <w:noProof/>
          <w:sz w:val="24"/>
          <w:lang w:val="fr-BE"/>
        </w:rPr>
        <w:t>appréciation lors de la mise en œuvre de l’article 5, notamment en ce qui concerne les règles détaillées sur le moment et la façon dont les preuves nécessaires pour renverser cette présomption doivent être fournies, étant donné que cette disposition ne con</w:t>
      </w:r>
      <w:r>
        <w:rPr>
          <w:rFonts w:ascii="Times New Roman" w:hAnsi="Times New Roman"/>
          <w:noProof/>
          <w:sz w:val="24"/>
          <w:lang w:val="fr-BE"/>
        </w:rPr>
        <w:t>tient aucune règle expresse à cet égard. Toutefois, la Commission constate également que ces règles détaillées et la manière dont elles sont appliquées ne sont pas de nature à remettre en cause l’effet utile de l’article 5.</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présomption réfraglable de la</w:t>
      </w:r>
      <w:r>
        <w:rPr>
          <w:rFonts w:ascii="Times New Roman" w:hAnsi="Times New Roman"/>
          <w:noProof/>
          <w:sz w:val="24"/>
          <w:lang w:val="fr-BE"/>
        </w:rPr>
        <w:t xml:space="preserve"> qualité d’auteur ou de titulaire du droit prévue à l’article 5 de la directive IPRED devrait être interprétée et appliquée de telle manière que son objectif, à savoir aider les auteurs et titulaires de droits voisins du droit d’auteur à faire respecter le</w:t>
      </w:r>
      <w:r>
        <w:rPr>
          <w:rFonts w:ascii="Times New Roman" w:hAnsi="Times New Roman"/>
          <w:noProof/>
          <w:sz w:val="24"/>
          <w:lang w:val="fr-BE"/>
        </w:rPr>
        <w:t>urs DPI, soit sauvegardé.</w:t>
      </w:r>
    </w:p>
    <w:p w:rsidR="0070369F" w:rsidRDefault="00B36066">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Disponibilité de certaines mesures spécifiques</w:t>
      </w:r>
    </w:p>
    <w:p w:rsidR="0070369F" w:rsidRDefault="00B36066">
      <w:pPr>
        <w:spacing w:before="120" w:after="120" w:line="240" w:lineRule="auto"/>
        <w:rPr>
          <w:rFonts w:ascii="Times New Roman" w:hAnsi="Times New Roman" w:cs="Times New Roman"/>
          <w:b/>
          <w:i/>
          <w:noProof/>
          <w:sz w:val="24"/>
          <w:szCs w:val="24"/>
        </w:rPr>
      </w:pPr>
      <w:r>
        <w:rPr>
          <w:rFonts w:ascii="Times New Roman" w:hAnsi="Times New Roman"/>
          <w:b/>
          <w:i/>
          <w:noProof/>
          <w:sz w:val="24"/>
        </w:rPr>
        <w:t xml:space="preserve">Éléments de preuve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articles 6 et 7 de la directive déterminent les obligations incombant aux États membres afin de garantir qu’il existe des moyens efficaces pour présenter et co</w:t>
      </w:r>
      <w:r>
        <w:rPr>
          <w:rFonts w:ascii="Times New Roman" w:hAnsi="Times New Roman"/>
          <w:noProof/>
          <w:sz w:val="24"/>
          <w:lang w:val="fr-BE"/>
        </w:rPr>
        <w:t>nserver les éléments de preuve. Le but de ces dispositions est de veiller à ce que les informations nécessaires pour déterminer si une atteinte aux DPI a eu lieu et, dans l’affirmative, quelles en sont les conséquences, même si le demandeur n’est pas en po</w:t>
      </w:r>
      <w:r>
        <w:rPr>
          <w:rFonts w:ascii="Times New Roman" w:hAnsi="Times New Roman"/>
          <w:noProof/>
          <w:sz w:val="24"/>
          <w:lang w:val="fr-BE"/>
        </w:rPr>
        <w:t xml:space="preserve">ssession de ces informations, soient mises à la disposition du demandeur et des autorités judiciaires compétentes. Toutefois, ces procédures devraient prendre en considération les droits de la défense et être assorties des garanties nécessaires, y compris </w:t>
      </w:r>
      <w:r>
        <w:rPr>
          <w:rFonts w:ascii="Times New Roman" w:hAnsi="Times New Roman"/>
          <w:noProof/>
          <w:sz w:val="24"/>
          <w:lang w:val="fr-BE"/>
        </w:rPr>
        <w:t>la protection des informations confidentielles et la protection des données à caractère personnel et de la vie privée</w:t>
      </w:r>
      <w:r>
        <w:rPr>
          <w:rStyle w:val="FootnoteReference"/>
          <w:rFonts w:ascii="Times New Roman" w:hAnsi="Times New Roman"/>
          <w:noProof/>
          <w:sz w:val="24"/>
        </w:rPr>
        <w:footnoteReference w:id="114"/>
      </w:r>
      <w:r>
        <w:rPr>
          <w:rFonts w:ascii="Times New Roman" w:hAnsi="Times New Roman"/>
          <w:noProof/>
          <w:sz w:val="24"/>
          <w:lang w:val="fr-BE"/>
        </w:rPr>
        <w:t>.</w:t>
      </w:r>
    </w:p>
    <w:p w:rsidR="0070369F" w:rsidRDefault="00B36066">
      <w:pPr>
        <w:spacing w:before="120"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L’article 7, paragraphe 1, permet aux autorités judiciaires compétentes d’ordonner, sur demande justifiée, des mesures provisoires rapid</w:t>
      </w:r>
      <w:r>
        <w:rPr>
          <w:rFonts w:ascii="Times New Roman" w:hAnsi="Times New Roman"/>
          <w:noProof/>
          <w:sz w:val="24"/>
          <w:lang w:val="fr-BE"/>
        </w:rPr>
        <w:t>es et efficaces pour conserver les éléments de preuve pertinents au regard de l’atteinte alléguée. Le droit à la conservation des preuves est expressément applicable avant le début de la procédure sur le fond, sous réserve de la protection des informations</w:t>
      </w:r>
      <w:r>
        <w:rPr>
          <w:rFonts w:ascii="Times New Roman" w:hAnsi="Times New Roman"/>
          <w:noProof/>
          <w:sz w:val="24"/>
          <w:lang w:val="fr-BE"/>
        </w:rPr>
        <w:t xml:space="preserve"> confidentielles et à condition que les cautions et garanties équivalentes (en vertu de l’article 7, paragraphe 2) visant à éviter d’éventuels abus soient prévues par le droit national. Cela implique, en particulier, que le demandeur peut également déposer</w:t>
      </w:r>
      <w:r>
        <w:rPr>
          <w:rFonts w:ascii="Times New Roman" w:hAnsi="Times New Roman"/>
          <w:noProof/>
          <w:sz w:val="24"/>
          <w:lang w:val="fr-BE"/>
        </w:rPr>
        <w:t xml:space="preserve"> une demande appropriée au moyen de procédures préliminaires, y compris, dans certains cas, d’une procédure non contradictoire ex parte</w:t>
      </w:r>
      <w:r>
        <w:rPr>
          <w:rStyle w:val="FootnoteReference"/>
          <w:rFonts w:ascii="Times New Roman" w:hAnsi="Times New Roman"/>
          <w:noProof/>
          <w:sz w:val="24"/>
        </w:rPr>
        <w:footnoteReference w:id="115"/>
      </w:r>
      <w:r>
        <w:rPr>
          <w:rFonts w:ascii="Times New Roman" w:hAnsi="Times New Roman"/>
          <w:noProof/>
          <w:sz w:val="24"/>
          <w:lang w:val="fr-BE"/>
        </w:rPr>
        <w:t>.</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Dans certains États membres, il reste difficile de demander l’application de telles mesures conservatoires provisoires</w:t>
      </w:r>
      <w:r>
        <w:rPr>
          <w:rFonts w:ascii="Times New Roman" w:hAnsi="Times New Roman"/>
          <w:noProof/>
          <w:sz w:val="24"/>
          <w:lang w:val="fr-BE"/>
        </w:rPr>
        <w:t xml:space="preserve"> avant le début effectif de la procédure au fond</w:t>
      </w:r>
      <w:r>
        <w:rPr>
          <w:rStyle w:val="FootnoteReference"/>
          <w:rFonts w:ascii="Times New Roman" w:hAnsi="Times New Roman"/>
          <w:noProof/>
          <w:sz w:val="24"/>
        </w:rPr>
        <w:footnoteReference w:id="116"/>
      </w:r>
      <w:r>
        <w:rPr>
          <w:rFonts w:ascii="Times New Roman" w:hAnsi="Times New Roman"/>
          <w:noProof/>
          <w:sz w:val="24"/>
          <w:lang w:val="fr-BE"/>
        </w:rPr>
        <w:t xml:space="preserve">. Or, il ressort du libellé explicite de l’article 7, paragraphe 1, de la directive que les demandes d’application de telles mesures ne devraient pas être rejetées au seul motif que la procédure au fond n’a </w:t>
      </w:r>
      <w:r>
        <w:rPr>
          <w:rFonts w:ascii="Times New Roman" w:hAnsi="Times New Roman"/>
          <w:noProof/>
          <w:sz w:val="24"/>
          <w:lang w:val="fr-BE"/>
        </w:rPr>
        <w:t>pas encore été engagée.</w:t>
      </w:r>
    </w:p>
    <w:p w:rsidR="0070369F" w:rsidRDefault="00B36066">
      <w:pPr>
        <w:spacing w:before="120" w:after="120" w:line="240" w:lineRule="auto"/>
        <w:rPr>
          <w:rFonts w:ascii="Times New Roman" w:hAnsi="Times New Roman" w:cs="Times New Roman"/>
          <w:b/>
          <w:i/>
          <w:noProof/>
          <w:sz w:val="24"/>
          <w:szCs w:val="24"/>
          <w:lang w:val="fr-BE"/>
        </w:rPr>
      </w:pPr>
      <w:r>
        <w:rPr>
          <w:rFonts w:ascii="Times New Roman" w:hAnsi="Times New Roman"/>
          <w:b/>
          <w:i/>
          <w:noProof/>
          <w:sz w:val="24"/>
          <w:lang w:val="fr-BE"/>
        </w:rPr>
        <w:t>Droit d'information</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points de vue exprimés dans le cadre de la consultation publique témoignent d’une incertitude quant à la question de savoir si le droit d’information de l’article 8 de la directive IPRED peut être exercé </w:t>
      </w:r>
      <w:r>
        <w:rPr>
          <w:rFonts w:ascii="Times New Roman" w:hAnsi="Times New Roman"/>
          <w:noProof/>
          <w:sz w:val="24"/>
          <w:lang w:val="fr-BE"/>
        </w:rPr>
        <w:t>avant qu’un jugement sur le fond d’une affaire concernant une atteinte aux DPI ne soit rendu</w:t>
      </w:r>
      <w:r>
        <w:rPr>
          <w:rStyle w:val="FootnoteReference"/>
          <w:rFonts w:ascii="Times New Roman" w:hAnsi="Times New Roman"/>
          <w:noProof/>
          <w:sz w:val="24"/>
        </w:rPr>
        <w:footnoteReference w:id="117"/>
      </w:r>
      <w:r>
        <w:rPr>
          <w:rFonts w:ascii="Times New Roman" w:hAnsi="Times New Roman"/>
          <w:noProof/>
          <w:sz w:val="24"/>
          <w:lang w:val="fr-BE"/>
        </w:rPr>
        <w:t>. L’article 8, paragraphe 1, indique que la communication d’informations peut être ordonnée «</w:t>
      </w:r>
      <w:r>
        <w:rPr>
          <w:rFonts w:ascii="Times New Roman" w:hAnsi="Times New Roman"/>
          <w:i/>
          <w:noProof/>
          <w:sz w:val="24"/>
          <w:lang w:val="fr-BE"/>
        </w:rPr>
        <w:t>dans le cadre d'une action relative à une atteinte à un droit de propr</w:t>
      </w:r>
      <w:r>
        <w:rPr>
          <w:rFonts w:ascii="Times New Roman" w:hAnsi="Times New Roman"/>
          <w:i/>
          <w:noProof/>
          <w:sz w:val="24"/>
          <w:lang w:val="fr-BE"/>
        </w:rPr>
        <w:t>iété intellectuelle</w:t>
      </w:r>
      <w:r>
        <w:rPr>
          <w:rFonts w:ascii="Times New Roman" w:hAnsi="Times New Roman"/>
          <w:noProof/>
          <w:sz w:val="24"/>
          <w:lang w:val="fr-BE"/>
        </w:rPr>
        <w:t>». Il n’indique cependant pas, comme le fait par exemple l’article 7, paragraphe 1, qu’une telle ordonnance peut être délivrée «</w:t>
      </w:r>
      <w:r>
        <w:rPr>
          <w:rFonts w:ascii="Times New Roman" w:hAnsi="Times New Roman"/>
          <w:i/>
          <w:noProof/>
          <w:sz w:val="24"/>
          <w:lang w:val="fr-BE"/>
        </w:rPr>
        <w:t>avant même l'engagement d'une action au fond</w:t>
      </w:r>
      <w:r>
        <w:rPr>
          <w:rFonts w:ascii="Times New Roman" w:hAnsi="Times New Roman"/>
          <w:noProof/>
          <w:sz w:val="24"/>
          <w:lang w:val="fr-BE"/>
        </w:rPr>
        <w:t>», pas plus qu'il ne précise que cette ordonnance peut être déliv</w:t>
      </w:r>
      <w:r>
        <w:rPr>
          <w:rFonts w:ascii="Times New Roman" w:hAnsi="Times New Roman"/>
          <w:noProof/>
          <w:sz w:val="24"/>
          <w:lang w:val="fr-BE"/>
        </w:rPr>
        <w:t>rée avant que le jugement au fond ne soit rendu. Dans certains États membres, il est donc difficile d’obtenir un droit d’information avant que la décision finale ne soit rendue dans le cadre de la procédure au fond.</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CJEU a précisé</w:t>
      </w:r>
      <w:r>
        <w:rPr>
          <w:rStyle w:val="FootnoteReference"/>
          <w:rFonts w:ascii="Times New Roman" w:hAnsi="Times New Roman"/>
          <w:noProof/>
          <w:sz w:val="24"/>
        </w:rPr>
        <w:footnoteReference w:id="118"/>
      </w:r>
      <w:r>
        <w:rPr>
          <w:rFonts w:ascii="Times New Roman" w:hAnsi="Times New Roman"/>
          <w:noProof/>
          <w:sz w:val="24"/>
          <w:lang w:val="fr-BE"/>
        </w:rPr>
        <w:t xml:space="preserve"> récemment que la form</w:t>
      </w:r>
      <w:r>
        <w:rPr>
          <w:rFonts w:ascii="Times New Roman" w:hAnsi="Times New Roman"/>
          <w:noProof/>
          <w:sz w:val="24"/>
          <w:lang w:val="fr-BE"/>
        </w:rPr>
        <w:t>ulation utilisée à l’article 8, paragraphe 1, ne signifiait pas que le droit d’information doit nécessairement être exercé dans le cadre de la même procédure que celle visant à la constatation d’une atteinte à un DPI. En particulier, elle a considéré que l</w:t>
      </w:r>
      <w:r>
        <w:rPr>
          <w:rFonts w:ascii="Times New Roman" w:hAnsi="Times New Roman"/>
          <w:noProof/>
          <w:sz w:val="24"/>
          <w:lang w:val="fr-BE"/>
        </w:rPr>
        <w:t>e droit d’information pouvait être invoqué dans une situation où, après la clôture définitive d’une action ayant abouti à la constatation d’une atteinte à un DPI, un requérant demande, dans une procédure autonome, des informations sur l’origine et les rése</w:t>
      </w:r>
      <w:r>
        <w:rPr>
          <w:rFonts w:ascii="Times New Roman" w:hAnsi="Times New Roman"/>
          <w:noProof/>
          <w:sz w:val="24"/>
          <w:lang w:val="fr-BE"/>
        </w:rPr>
        <w:t>aux de distribution des marchandises ou des services qui portent atteinte à ce droit afin d’intenter une action en dommages et intérêts.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approches sont différentes selon les États membres, mais il est possible de déterminer certaines bonnes pratiques. </w:t>
      </w:r>
      <w:r>
        <w:rPr>
          <w:rFonts w:ascii="Times New Roman" w:hAnsi="Times New Roman"/>
          <w:noProof/>
          <w:sz w:val="24"/>
          <w:lang w:val="fr-BE"/>
        </w:rPr>
        <w:t>Par exemple, en Allemagne, la loi sur les marques commerciales dispose</w:t>
      </w:r>
      <w:r>
        <w:rPr>
          <w:rStyle w:val="FootnoteReference"/>
          <w:rFonts w:ascii="Times New Roman" w:hAnsi="Times New Roman"/>
          <w:noProof/>
          <w:sz w:val="24"/>
        </w:rPr>
        <w:footnoteReference w:id="119"/>
      </w:r>
      <w:r>
        <w:rPr>
          <w:rFonts w:ascii="Times New Roman" w:hAnsi="Times New Roman"/>
          <w:noProof/>
          <w:sz w:val="24"/>
          <w:lang w:val="fr-BE"/>
        </w:rPr>
        <w:t xml:space="preserve"> qu’en cas d’atteinte manifeste à un DPI, l’obligation de fournir des informations peut être ordonnée au moyen d’une injonction préliminaire conformément aux dispositions pertinentes du</w:t>
      </w:r>
      <w:r>
        <w:rPr>
          <w:rFonts w:ascii="Times New Roman" w:hAnsi="Times New Roman"/>
          <w:noProof/>
          <w:sz w:val="24"/>
          <w:lang w:val="fr-BE"/>
        </w:rPr>
        <w:t xml:space="preserve"> code de procédure civile allemand.</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précision figurant à l’article 8 de la directive IPRED, selon laquelle un droit d’injonction de fournir des informations existe «dans le cadre d'une action relative à une atteinte à un droit de propriété intellectuell</w:t>
      </w:r>
      <w:r>
        <w:rPr>
          <w:rFonts w:ascii="Times New Roman" w:hAnsi="Times New Roman"/>
          <w:noProof/>
          <w:sz w:val="24"/>
          <w:lang w:val="fr-BE"/>
        </w:rPr>
        <w:t>e», signifie que la fourniture d’informations ne doit pas nécessairement être ordonnée dans le cadre de la même procédure judiciaire. La fourniture d’informations peut aussi être ordonnée dans le cadre d’une procédure ultérieure autonome, engagée en vue d’</w:t>
      </w:r>
      <w:r>
        <w:rPr>
          <w:rFonts w:ascii="Times New Roman" w:hAnsi="Times New Roman"/>
          <w:noProof/>
          <w:sz w:val="24"/>
          <w:lang w:val="fr-BE"/>
        </w:rPr>
        <w:t xml:space="preserve">une éventuelle action en dommages et intérêts. Selon les dispositions applicables du droit national, elle peut aussi être ordonnée à un stade plus précoce, au moyen d’une injonction préliminaire.  </w:t>
      </w:r>
    </w:p>
    <w:p w:rsidR="0070369F" w:rsidRDefault="00B36066">
      <w:pPr>
        <w:spacing w:before="120" w:after="120" w:line="240" w:lineRule="auto"/>
        <w:rPr>
          <w:rFonts w:ascii="Times New Roman" w:hAnsi="Times New Roman" w:cs="Times New Roman"/>
          <w:b/>
          <w:i/>
          <w:noProof/>
          <w:sz w:val="24"/>
          <w:szCs w:val="24"/>
          <w:lang w:val="fr-BE"/>
        </w:rPr>
      </w:pPr>
      <w:r>
        <w:rPr>
          <w:rFonts w:ascii="Times New Roman" w:hAnsi="Times New Roman"/>
          <w:b/>
          <w:i/>
          <w:noProof/>
          <w:sz w:val="24"/>
          <w:lang w:val="fr-BE"/>
        </w:rPr>
        <w:t>Mesures correctives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10 de la directive dispose q</w:t>
      </w:r>
      <w:r>
        <w:rPr>
          <w:rFonts w:ascii="Times New Roman" w:hAnsi="Times New Roman"/>
          <w:noProof/>
          <w:sz w:val="24"/>
          <w:lang w:val="fr-BE"/>
        </w:rPr>
        <w:t>ue les autorités judiciaires compétentes peuvent ordonner le rappel des marchandises des circuits commerciaux dont il a été constaté qu’elles portaient atteinte à un DPI et, dans les cas appropriés, des matériaux et instruments ayant principalement servi à</w:t>
      </w:r>
      <w:r>
        <w:rPr>
          <w:rFonts w:ascii="Times New Roman" w:hAnsi="Times New Roman"/>
          <w:noProof/>
          <w:sz w:val="24"/>
          <w:lang w:val="fr-BE"/>
        </w:rPr>
        <w:t xml:space="preserve"> la création ou à la fabrication de ces marchandises. En outre, leur mise à l’écart définitive des circuits commerciaux ou leur destruction peut être ordonnée. Ces mesures sont mises en œuvre aux frais du contrevenant.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L’article 10 de la directive est fond</w:t>
      </w:r>
      <w:r>
        <w:rPr>
          <w:rFonts w:ascii="Times New Roman" w:hAnsi="Times New Roman"/>
          <w:noProof/>
          <w:sz w:val="24"/>
          <w:lang w:val="fr-BE"/>
        </w:rPr>
        <w:t>é sur l’article 46 de l’accord sur les ADPIC. L’article 10, paragraphe 3, de la directive IPRED prévoit, tout comme l’article 46, troisième phrase, de l’accord ADPIC, que lors de l'examen d'une demande de mesures correctives, il est nécessaire de tenir com</w:t>
      </w:r>
      <w:r>
        <w:rPr>
          <w:rFonts w:ascii="Times New Roman" w:hAnsi="Times New Roman"/>
          <w:noProof/>
          <w:sz w:val="24"/>
          <w:lang w:val="fr-BE"/>
        </w:rPr>
        <w:t>pte du fait qu'il doit y avoir proportionnalité entre la gravité de l'atteinte et les mesures correctives ordonnées, ainsi que des intérêts des tiers. En outre, conforment à une phrase supplémentaire de l’article 46, pour ce qui concerne les marchandises d</w:t>
      </w:r>
      <w:r>
        <w:rPr>
          <w:rFonts w:ascii="Times New Roman" w:hAnsi="Times New Roman"/>
          <w:noProof/>
          <w:sz w:val="24"/>
          <w:lang w:val="fr-BE"/>
        </w:rPr>
        <w:t>e marque contrefaites, le simple fait de retirer la marque de fabrique ou de commerce apposée de manière illicite n’est pas suffisant, si ce n’est dans des circonstances exceptionnelles, pour permettre l’introduction des marchandises dans les circuits comm</w:t>
      </w:r>
      <w:r>
        <w:rPr>
          <w:rFonts w:ascii="Times New Roman" w:hAnsi="Times New Roman"/>
          <w:noProof/>
          <w:sz w:val="24"/>
          <w:lang w:val="fr-BE"/>
        </w:rPr>
        <w:t>erciaux. Il résulte de la jurisprudence générale de la Cour à ce sujet</w:t>
      </w:r>
      <w:r>
        <w:rPr>
          <w:rStyle w:val="FootnoteReference"/>
          <w:rFonts w:ascii="Times New Roman" w:hAnsi="Times New Roman"/>
          <w:noProof/>
          <w:sz w:val="24"/>
        </w:rPr>
        <w:footnoteReference w:id="120"/>
      </w:r>
      <w:r>
        <w:rPr>
          <w:rFonts w:ascii="Times New Roman" w:hAnsi="Times New Roman"/>
          <w:noProof/>
          <w:sz w:val="24"/>
          <w:lang w:val="fr-BE"/>
        </w:rPr>
        <w:t xml:space="preserve"> que l’article 10 de la directive doit être interprété et appliqué, dans la mesure du possible, à la lumière de cette disposition de l’accord sur les ADPIC.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Il est également intéressan</w:t>
      </w:r>
      <w:r>
        <w:rPr>
          <w:rFonts w:ascii="Times New Roman" w:hAnsi="Times New Roman"/>
          <w:noProof/>
          <w:sz w:val="24"/>
          <w:lang w:val="fr-BE"/>
        </w:rPr>
        <w:t>t de noter que, contrairement aux dispositions sur les dommages-intérêts (article 13), l’article 10 n’exige pas expressément qu’un contrevenant se soit livré à une activité contrefaisante en le sachant ou en ayant des motifs raisonnables de le savoir, pour</w:t>
      </w:r>
      <w:r>
        <w:rPr>
          <w:rFonts w:ascii="Times New Roman" w:hAnsi="Times New Roman"/>
          <w:noProof/>
          <w:sz w:val="24"/>
          <w:lang w:val="fr-BE"/>
        </w:rPr>
        <w:t xml:space="preserve"> que les mesures en question soient instituées.</w:t>
      </w:r>
    </w:p>
    <w:p w:rsidR="0070369F" w:rsidRDefault="00B36066">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Il convient d’interpréter et d’appliquer, dans toute la mesure du possible, l’article 10 de la directive à la lumière de l’article 46 de l’accord sur les ADPIC. Or, selon cette dernière disposition, le simple</w:t>
      </w:r>
      <w:r>
        <w:rPr>
          <w:rFonts w:ascii="Times New Roman" w:hAnsi="Times New Roman"/>
          <w:noProof/>
          <w:sz w:val="24"/>
          <w:lang w:val="fr-BE"/>
        </w:rPr>
        <w:t xml:space="preserve"> fait de retirer la marque apposée de manière illicite sur les marchandises de marque contrefaites n’est pas suffisant, si ce n’est dans des cas exceptionnels, pour permettre la mise en circulation des marchandises dans les circuits commerciaux.</w:t>
      </w:r>
    </w:p>
    <w:p w:rsidR="0070369F" w:rsidRDefault="0070369F">
      <w:pPr>
        <w:pStyle w:val="ListParagraph"/>
        <w:spacing w:before="360" w:after="240" w:line="240" w:lineRule="auto"/>
        <w:ind w:left="426"/>
        <w:contextualSpacing w:val="0"/>
        <w:rPr>
          <w:rFonts w:ascii="Times New Roman" w:hAnsi="Times New Roman" w:cs="Times New Roman"/>
          <w:b/>
          <w:noProof/>
          <w:sz w:val="24"/>
          <w:szCs w:val="24"/>
          <w:lang w:val="fr-BE"/>
        </w:rPr>
      </w:pPr>
    </w:p>
    <w:p w:rsidR="0070369F" w:rsidRDefault="0070369F">
      <w:pPr>
        <w:pStyle w:val="ListParagraph"/>
        <w:spacing w:before="360" w:after="240" w:line="240" w:lineRule="auto"/>
        <w:ind w:left="426"/>
        <w:contextualSpacing w:val="0"/>
        <w:rPr>
          <w:rFonts w:ascii="Times New Roman" w:hAnsi="Times New Roman" w:cs="Times New Roman"/>
          <w:b/>
          <w:noProof/>
          <w:sz w:val="24"/>
          <w:szCs w:val="24"/>
          <w:lang w:val="fr-BE"/>
        </w:rPr>
      </w:pPr>
    </w:p>
    <w:p w:rsidR="0070369F" w:rsidRDefault="00B36066">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b/>
          <w:noProof/>
          <w:sz w:val="24"/>
        </w:rPr>
        <w:t>Dimension transfrontière</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directive IPRED n'a pas pour objet d'établir des règles harmonisées en matière de coopération judiciaire, de compétence judiciaire ou de reconnaissance et d'exécution des décisions en matière civile et commerciale, ni de traiter</w:t>
      </w:r>
      <w:r>
        <w:rPr>
          <w:rFonts w:ascii="Times New Roman" w:hAnsi="Times New Roman"/>
          <w:noProof/>
          <w:sz w:val="24"/>
          <w:lang w:val="fr-BE"/>
        </w:rPr>
        <w:t xml:space="preserve"> du droit applicable. Il existe d’autres instruments juridiques de l’Union qui régissent ces matières de manière générale et qui sont en principe également applicables aux litiges dans le domaine de la propriété intellectuelle et des DPI</w:t>
      </w:r>
      <w:r>
        <w:rPr>
          <w:rStyle w:val="FootnoteReference"/>
          <w:rFonts w:ascii="Times New Roman" w:hAnsi="Times New Roman"/>
          <w:noProof/>
          <w:sz w:val="24"/>
        </w:rPr>
        <w:footnoteReference w:id="121"/>
      </w:r>
      <w:r>
        <w:rPr>
          <w:rFonts w:ascii="Times New Roman" w:hAnsi="Times New Roman"/>
          <w:noProof/>
          <w:sz w:val="24"/>
          <w:lang w:val="fr-BE"/>
        </w:rPr>
        <w:t>.</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ce qui concer</w:t>
      </w:r>
      <w:r>
        <w:rPr>
          <w:rFonts w:ascii="Times New Roman" w:hAnsi="Times New Roman"/>
          <w:noProof/>
          <w:sz w:val="24"/>
          <w:lang w:val="fr-BE"/>
        </w:rPr>
        <w:t>ne ces autres instruments juridiques de l’Union, en matière civile et commerciale, la compétence des juridictions des États membres est déterminée conformément au règlement Bruxelles I</w:t>
      </w:r>
      <w:r>
        <w:rPr>
          <w:rFonts w:ascii="Times New Roman" w:hAnsi="Times New Roman"/>
          <w:noProof/>
          <w:sz w:val="24"/>
          <w:vertAlign w:val="superscript"/>
        </w:rPr>
        <w:footnoteReference w:id="122"/>
      </w:r>
      <w:r>
        <w:rPr>
          <w:rFonts w:ascii="Times New Roman" w:hAnsi="Times New Roman"/>
          <w:noProof/>
          <w:sz w:val="24"/>
          <w:lang w:val="fr-BE"/>
        </w:rPr>
        <w:t xml:space="preserve">. Ce règlement régit la reconnaissance et l’exécution de décisions de </w:t>
      </w:r>
      <w:r>
        <w:rPr>
          <w:rFonts w:ascii="Times New Roman" w:hAnsi="Times New Roman"/>
          <w:noProof/>
          <w:sz w:val="24"/>
          <w:lang w:val="fr-BE"/>
        </w:rPr>
        <w:t>ces juridictions dans l’ensemble de l’UE. Les règles sur le droit applicable à l’égard d’obligations non contractuelles, qui sont souvent en cause dans les procédures d’application des DPI, figurent dans le règlement Rome II</w:t>
      </w:r>
      <w:r>
        <w:rPr>
          <w:rStyle w:val="FootnoteReference"/>
          <w:rFonts w:ascii="Times New Roman" w:hAnsi="Times New Roman"/>
          <w:noProof/>
          <w:sz w:val="24"/>
        </w:rPr>
        <w:footnoteReference w:id="123"/>
      </w:r>
      <w:r>
        <w:rPr>
          <w:rFonts w:ascii="Times New Roman" w:hAnsi="Times New Roman"/>
          <w:noProof/>
          <w:sz w:val="24"/>
          <w:lang w:val="fr-BE"/>
        </w:rPr>
        <w:t>.</w:t>
      </w:r>
    </w:p>
    <w:p w:rsidR="0070369F" w:rsidRDefault="00B36066">
      <w:pPr>
        <w:spacing w:before="120" w:after="120" w:line="240" w:lineRule="auto"/>
        <w:rPr>
          <w:rFonts w:ascii="Times New Roman" w:hAnsi="Times New Roman" w:cs="Times New Roman"/>
          <w:b/>
          <w:i/>
          <w:noProof/>
          <w:sz w:val="24"/>
          <w:szCs w:val="24"/>
          <w:lang w:val="fr-BE"/>
        </w:rPr>
      </w:pPr>
      <w:r>
        <w:rPr>
          <w:rFonts w:ascii="Times New Roman" w:hAnsi="Times New Roman"/>
          <w:b/>
          <w:i/>
          <w:noProof/>
          <w:sz w:val="24"/>
          <w:lang w:val="fr-BE"/>
        </w:rPr>
        <w:t>Les juridictions compétentes,</w:t>
      </w:r>
      <w:r>
        <w:rPr>
          <w:rFonts w:ascii="Times New Roman" w:hAnsi="Times New Roman"/>
          <w:b/>
          <w:i/>
          <w:noProof/>
          <w:sz w:val="24"/>
          <w:lang w:val="fr-BE"/>
        </w:rPr>
        <w:t xml:space="preserve"> en particulier en ce qui concerne les injonctions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De nombreux litiges liés aux DPI ont une dimension transnationale. Par conséquent, les procédures judiciaires concernant des atteintes aux DPI, en particulier celles commises dans un environnement en ligne</w:t>
      </w:r>
      <w:r>
        <w:rPr>
          <w:rFonts w:ascii="Times New Roman" w:hAnsi="Times New Roman"/>
          <w:noProof/>
          <w:sz w:val="24"/>
          <w:lang w:val="fr-BE"/>
        </w:rPr>
        <w:t>, peuvent se dérouler simultanément dans plusieurs États membres.</w:t>
      </w:r>
      <w:r>
        <w:rPr>
          <w:noProof/>
          <w:lang w:val="fr-BE"/>
        </w:rPr>
        <w:t xml:space="preserve"> </w:t>
      </w:r>
      <w:r>
        <w:rPr>
          <w:rFonts w:ascii="Times New Roman" w:hAnsi="Times New Roman"/>
          <w:noProof/>
          <w:sz w:val="24"/>
          <w:lang w:val="fr-BE"/>
        </w:rPr>
        <w:t>Cela peut poser des difficultés aux titulaires de droits, en particulier pour ce qui est de la détermination de la juridiction nationale compétente et de la portée des injonctions demandées.</w:t>
      </w:r>
    </w:p>
    <w:p w:rsidR="0070369F" w:rsidRDefault="00B36066">
      <w:pPr>
        <w:spacing w:before="120" w:after="120" w:line="240" w:lineRule="auto"/>
        <w:jc w:val="both"/>
        <w:rPr>
          <w:rFonts w:ascii="Times New Roman" w:hAnsi="Times New Roman" w:cs="Times New Roman"/>
          <w:bCs/>
          <w:noProof/>
          <w:sz w:val="24"/>
          <w:szCs w:val="24"/>
          <w:lang w:val="fr-BE"/>
        </w:rPr>
      </w:pPr>
      <w:r>
        <w:rPr>
          <w:rFonts w:ascii="Times New Roman" w:hAnsi="Times New Roman"/>
          <w:noProof/>
          <w:sz w:val="24"/>
          <w:lang w:val="fr-BE"/>
        </w:rPr>
        <w:t>Il convient de noter que le règlement Bruxelles I comporte plusieurs précisions concernant la compétence juridictionnelle pour l’ordonnance de mesures provisoires dans des affaires transfrontalières. Le considérant 25 du règlement contient une référence e</w:t>
      </w:r>
      <w:r>
        <w:rPr>
          <w:rFonts w:ascii="Times New Roman" w:hAnsi="Times New Roman"/>
          <w:noProof/>
          <w:sz w:val="24"/>
          <w:lang w:val="fr-BE"/>
        </w:rPr>
        <w:t>xplicite à la directive IPRED, précisant que la notion de «mesures provisoires et conservatoires» au sens, notamment, de l’article 35 du règlement</w:t>
      </w:r>
      <w:r>
        <w:rPr>
          <w:rStyle w:val="FootnoteReference"/>
          <w:rFonts w:ascii="Times New Roman" w:hAnsi="Times New Roman"/>
          <w:noProof/>
          <w:sz w:val="24"/>
        </w:rPr>
        <w:footnoteReference w:id="124"/>
      </w:r>
      <w:r>
        <w:rPr>
          <w:rFonts w:ascii="Times New Roman" w:hAnsi="Times New Roman"/>
          <w:noProof/>
          <w:sz w:val="24"/>
          <w:lang w:val="fr-BE"/>
        </w:rPr>
        <w:t xml:space="preserve">, devrait englober, par exemple, les mesures conservatoires visant à obtenir des informations ou à conserver </w:t>
      </w:r>
      <w:r>
        <w:rPr>
          <w:rFonts w:ascii="Times New Roman" w:hAnsi="Times New Roman"/>
          <w:noProof/>
          <w:sz w:val="24"/>
          <w:lang w:val="fr-BE"/>
        </w:rPr>
        <w:t>des éléments de preuve, visées aux articles 6 et 7 de la directive IPRED.</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vertu du règlement «Bruxelles I», les titulaires de droits poursuivent en règle générale les contrevenants présumés aux DPI devant la juridiction de l’État membre du domicile des </w:t>
      </w:r>
      <w:r>
        <w:rPr>
          <w:rFonts w:ascii="Times New Roman" w:hAnsi="Times New Roman"/>
          <w:noProof/>
          <w:sz w:val="24"/>
          <w:lang w:val="fr-BE"/>
        </w:rPr>
        <w:t>contrevenants (article 4). Toutefois, en matière délictuelle ou quasi délictuelle, ils peuvent également les poursuivre devant la juridiction du lieu où le fait dommageable s’est produit ou risque de se produire (article 7, paragraphe 2).</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outre, le règl</w:t>
      </w:r>
      <w:r>
        <w:rPr>
          <w:rFonts w:ascii="Times New Roman" w:hAnsi="Times New Roman"/>
          <w:noProof/>
          <w:sz w:val="24"/>
          <w:lang w:val="fr-BE"/>
        </w:rPr>
        <w:t xml:space="preserve">ement «Bruxelles I» prévoit également la possibilité d’engager des poursuites à l’encontre d’un contrevenant présumé, s’il y a plusieurs défendeurs, devant la juridiction du domicile de l’un d’eux, à condition que les demandes soient liées entre elles par </w:t>
      </w:r>
      <w:r>
        <w:rPr>
          <w:rFonts w:ascii="Times New Roman" w:hAnsi="Times New Roman"/>
          <w:noProof/>
          <w:sz w:val="24"/>
          <w:lang w:val="fr-BE"/>
        </w:rPr>
        <w:t>un rapport si étroit qu’il y a intérêt à les instruire et à les juger en même temps afin d’éviter des solutions qui pourraient être inconciliables si les causes étaient jugées séparément (article 8, paragraphe 1). La CJUE a précisé</w:t>
      </w:r>
      <w:r>
        <w:rPr>
          <w:rStyle w:val="FootnoteReference"/>
          <w:rFonts w:ascii="Times New Roman" w:hAnsi="Times New Roman"/>
          <w:noProof/>
          <w:sz w:val="24"/>
        </w:rPr>
        <w:footnoteReference w:id="125"/>
      </w:r>
      <w:r>
        <w:rPr>
          <w:rFonts w:ascii="Times New Roman" w:hAnsi="Times New Roman"/>
          <w:noProof/>
          <w:sz w:val="24"/>
          <w:lang w:val="fr-BE"/>
        </w:rPr>
        <w:t xml:space="preserve"> que, dans le cadre d’un</w:t>
      </w:r>
      <w:r>
        <w:rPr>
          <w:rFonts w:ascii="Times New Roman" w:hAnsi="Times New Roman"/>
          <w:noProof/>
          <w:sz w:val="24"/>
          <w:lang w:val="fr-BE"/>
        </w:rPr>
        <w:t xml:space="preserve">e atteinte au droit d’auteur, l’application de cette disposition n’était pas exclue du simple fait que des demandes introduites à l’encontre de plusieurs défendeurs, en raison d’atteintes au droit d’auteur matériellement identiques, reposent sur des bases </w:t>
      </w:r>
      <w:r>
        <w:rPr>
          <w:rFonts w:ascii="Times New Roman" w:hAnsi="Times New Roman"/>
          <w:noProof/>
          <w:sz w:val="24"/>
          <w:lang w:val="fr-BE"/>
        </w:rPr>
        <w:t>juridiques nationales qui diffèrent selon les États membres concernés.</w:t>
      </w:r>
    </w:p>
    <w:p w:rsidR="0070369F" w:rsidRDefault="0070369F">
      <w:pPr>
        <w:spacing w:before="120" w:after="120" w:line="240" w:lineRule="auto"/>
        <w:jc w:val="both"/>
        <w:rPr>
          <w:rFonts w:ascii="Times New Roman" w:hAnsi="Times New Roman" w:cs="Times New Roman"/>
          <w:b/>
          <w:i/>
          <w:noProof/>
          <w:sz w:val="24"/>
          <w:szCs w:val="24"/>
          <w:lang w:val="fr-BE"/>
        </w:rPr>
      </w:pPr>
    </w:p>
    <w:p w:rsidR="0070369F" w:rsidRDefault="00B36066">
      <w:pPr>
        <w:spacing w:before="120" w:after="120" w:line="240" w:lineRule="auto"/>
        <w:jc w:val="both"/>
        <w:rPr>
          <w:rFonts w:ascii="Times New Roman" w:hAnsi="Times New Roman" w:cs="Times New Roman"/>
          <w:b/>
          <w:i/>
          <w:noProof/>
          <w:sz w:val="24"/>
          <w:szCs w:val="24"/>
          <w:lang w:val="fr-BE"/>
        </w:rPr>
      </w:pPr>
      <w:r>
        <w:rPr>
          <w:rFonts w:ascii="Times New Roman" w:hAnsi="Times New Roman"/>
          <w:b/>
          <w:i/>
          <w:noProof/>
          <w:sz w:val="24"/>
          <w:lang w:val="fr-BE"/>
        </w:rPr>
        <w:t xml:space="preserve">Reconnaissance et exécution des décisions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Conformément au règlement Bruxelles I (article 39), une décision rendue dans un État membre et qui est exécutoire dans cet État membre jouit </w:t>
      </w:r>
      <w:r>
        <w:rPr>
          <w:rFonts w:ascii="Times New Roman" w:hAnsi="Times New Roman"/>
          <w:noProof/>
          <w:sz w:val="24"/>
          <w:lang w:val="fr-BE"/>
        </w:rPr>
        <w:t xml:space="preserve">de la force exécutoire dans les autres États membres sans qu’une déclaration constatant la force exécutoire soit nécessaire (suppression de l’exequatur). </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Cour a estimé que la notion de «matière civile et commerciale» au sens de l’article 1</w:t>
      </w:r>
      <w:r>
        <w:rPr>
          <w:rFonts w:ascii="Times New Roman" w:hAnsi="Times New Roman"/>
          <w:noProof/>
          <w:sz w:val="24"/>
          <w:vertAlign w:val="superscript"/>
          <w:lang w:val="fr-BE"/>
        </w:rPr>
        <w:t>er</w:t>
      </w:r>
      <w:r>
        <w:rPr>
          <w:rFonts w:ascii="Times New Roman" w:hAnsi="Times New Roman"/>
          <w:noProof/>
          <w:sz w:val="24"/>
          <w:lang w:val="fr-BE"/>
        </w:rPr>
        <w:t xml:space="preserve"> du règleme</w:t>
      </w:r>
      <w:r>
        <w:rPr>
          <w:rFonts w:ascii="Times New Roman" w:hAnsi="Times New Roman"/>
          <w:noProof/>
          <w:sz w:val="24"/>
          <w:lang w:val="fr-BE"/>
        </w:rPr>
        <w:t>nt Bruxelles I devait être interprétée en ce sens que ce règlement s’applique à la reconnaissance et à l’exécution d’une décision d’une juridiction nationale qui contient la condamnation à une amende afin de faire respecter une décision rendue en matière c</w:t>
      </w:r>
      <w:r>
        <w:rPr>
          <w:rFonts w:ascii="Times New Roman" w:hAnsi="Times New Roman"/>
          <w:noProof/>
          <w:sz w:val="24"/>
          <w:lang w:val="fr-BE"/>
        </w:rPr>
        <w:t>ivile et commerciale</w:t>
      </w:r>
      <w:r>
        <w:rPr>
          <w:rStyle w:val="FootnoteReference"/>
          <w:rFonts w:ascii="Times New Roman" w:hAnsi="Times New Roman"/>
          <w:noProof/>
          <w:sz w:val="24"/>
        </w:rPr>
        <w:footnoteReference w:id="126"/>
      </w:r>
      <w:r>
        <w:rPr>
          <w:rFonts w:ascii="Times New Roman" w:hAnsi="Times New Roman"/>
          <w:noProof/>
          <w:sz w:val="24"/>
          <w:lang w:val="fr-BE"/>
        </w:rPr>
        <w:t>.</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Les questions relatives à la compétence des tribunaux, ainsi qu’à la reconnaissance et à l’exécution des décisions de justice et au droit applicable dans le cadre de litiges dans le domaine des DPI doivent être tranchées conformément</w:t>
      </w:r>
      <w:r>
        <w:rPr>
          <w:rFonts w:ascii="Times New Roman" w:hAnsi="Times New Roman"/>
          <w:noProof/>
          <w:sz w:val="24"/>
          <w:lang w:val="fr-BE"/>
        </w:rPr>
        <w:t xml:space="preserve"> aux instruments juridiques de l’UE qui régissent ces questions, en particulier les règlements Bruxelles I et Rome II.</w:t>
      </w:r>
    </w:p>
    <w:p w:rsidR="0070369F" w:rsidRDefault="00B3606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 règlement Bruxelles I contient notamment certaines précisions concernant la compétence des tribunaux en ce qui concerne l’application </w:t>
      </w:r>
      <w:r>
        <w:rPr>
          <w:rFonts w:ascii="Times New Roman" w:hAnsi="Times New Roman"/>
          <w:noProof/>
          <w:sz w:val="24"/>
          <w:lang w:val="fr-BE"/>
        </w:rPr>
        <w:t>de mesures provisoires en vertu des articles 6 et 7 de la directive IPRED dans des affaires transnationales, ainsi que des règles spécifiques concernant la possibilité d’attraire une personne lorsqu’il y a plusieurs défendeurs.</w:t>
      </w:r>
    </w:p>
    <w:p w:rsidR="0070369F" w:rsidRDefault="00B36066">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b/>
          <w:noProof/>
          <w:sz w:val="24"/>
        </w:rPr>
        <w:t>PROCHAINES ÉTAPES</w:t>
      </w:r>
    </w:p>
    <w:p w:rsidR="0070369F" w:rsidRDefault="00B36066">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continuera à travailler en coopération étroite avec l'ensemble des États membres de l’UE, des autorités judiciaires compétentes et des autres parties concernées par la mise en œuvre des droits de propriété intellectuelle dans les procédures r</w:t>
      </w:r>
      <w:r>
        <w:rPr>
          <w:rFonts w:ascii="Times New Roman" w:hAnsi="Times New Roman"/>
          <w:noProof/>
          <w:sz w:val="24"/>
          <w:lang w:val="fr-BE"/>
        </w:rPr>
        <w:t xml:space="preserve">elevant de ces autorités, le but étant de veiller à ce que le cadre juridique de l’Union européenne, et en particulier la directive IPRED, reste adaptée à sa finalité et de s’appuyer sur les orientations décrites dans le présent document.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Comme annoncé da</w:t>
      </w:r>
      <w:r>
        <w:rPr>
          <w:rFonts w:ascii="Times New Roman" w:hAnsi="Times New Roman"/>
          <w:noProof/>
          <w:sz w:val="24"/>
          <w:lang w:val="fr-BE"/>
        </w:rPr>
        <w:t>ns la communication intitulée «</w:t>
      </w:r>
      <w:r>
        <w:rPr>
          <w:rFonts w:ascii="Times New Roman" w:hAnsi="Times New Roman"/>
          <w:i/>
          <w:noProof/>
          <w:sz w:val="24"/>
          <w:lang w:val="fr-BE"/>
        </w:rPr>
        <w:t>Un système équilibré de contrôle du respect de la propriété intellectuelle pour relever les défis sociétaux d'aujourd'hui</w:t>
      </w:r>
      <w:r>
        <w:rPr>
          <w:rFonts w:ascii="Times New Roman" w:hAnsi="Times New Roman"/>
          <w:noProof/>
          <w:sz w:val="24"/>
          <w:lang w:val="fr-BE"/>
        </w:rPr>
        <w:t>», outre les orientations et bonnes pratiques énoncées ci-dessus, la Commission s’attachera notamment à:</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coopérer avec les experts nationaux des États membres et les juges sur l’élaboration d’orientations supplémentaires, plus ciblées, qui donneront des explications pratiques plus détaillées sur des aspects spécifiques de la directive IPRED, sur la base de</w:t>
      </w:r>
      <w:r>
        <w:rPr>
          <w:rFonts w:ascii="Times New Roman" w:hAnsi="Times New Roman"/>
          <w:noProof/>
          <w:sz w:val="24"/>
          <w:lang w:val="fr-BE"/>
        </w:rPr>
        <w:t xml:space="preserve">s meilleures pratiques; </w:t>
      </w:r>
    </w:p>
    <w:p w:rsidR="0070369F" w:rsidRDefault="00B3606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afficher en ligne les orientations précitées et les meilleures pratiques en ligne, notamment via le portail «L’Europe est à vous».</w:t>
      </w:r>
    </w:p>
    <w:p w:rsidR="0070369F" w:rsidRDefault="00B36066">
      <w:pPr>
        <w:spacing w:before="120" w:after="120" w:line="240" w:lineRule="auto"/>
        <w:jc w:val="both"/>
        <w:rPr>
          <w:rFonts w:ascii="Times New Roman" w:hAnsi="Times New Roman" w:cs="Times New Roman"/>
          <w:noProof/>
          <w:sz w:val="24"/>
          <w:szCs w:val="24"/>
          <w:lang w:val="fr-BE"/>
        </w:rPr>
      </w:pPr>
      <w:r>
        <w:rPr>
          <w:noProof/>
          <w:lang w:val="fr-BE"/>
        </w:rPr>
        <w:br w:type="page"/>
      </w:r>
    </w:p>
    <w:p w:rsidR="0070369F" w:rsidRDefault="00B36066">
      <w:pPr>
        <w:spacing w:before="60" w:after="120" w:line="240" w:lineRule="auto"/>
        <w:jc w:val="center"/>
        <w:rPr>
          <w:rFonts w:ascii="Times New Roman" w:hAnsi="Times New Roman" w:cs="Times New Roman"/>
          <w:b/>
          <w:noProof/>
          <w:sz w:val="24"/>
          <w:szCs w:val="24"/>
          <w:lang w:val="fr-BE"/>
        </w:rPr>
      </w:pPr>
      <w:r>
        <w:rPr>
          <w:rFonts w:ascii="Times New Roman" w:hAnsi="Times New Roman"/>
          <w:b/>
          <w:noProof/>
          <w:sz w:val="24"/>
          <w:u w:val="single"/>
          <w:lang w:val="fr-BE"/>
        </w:rPr>
        <w:t>Appendice</w:t>
      </w:r>
      <w:r>
        <w:rPr>
          <w:rFonts w:ascii="Times New Roman" w:hAnsi="Times New Roman"/>
          <w:b/>
          <w:noProof/>
          <w:sz w:val="24"/>
          <w:lang w:val="fr-BE"/>
        </w:rPr>
        <w:t xml:space="preserve"> — Liste des arrêts pertinents de la CJUE</w:t>
      </w:r>
    </w:p>
    <w:p w:rsidR="0070369F" w:rsidRDefault="0070369F">
      <w:pPr>
        <w:spacing w:before="60" w:after="120" w:line="240" w:lineRule="auto"/>
        <w:jc w:val="center"/>
        <w:rPr>
          <w:rFonts w:ascii="Times New Roman" w:hAnsi="Times New Roman" w:cs="Times New Roman"/>
          <w:noProof/>
          <w:sz w:val="24"/>
          <w:szCs w:val="24"/>
          <w:lang w:val="fr-BE"/>
        </w:rPr>
      </w:pPr>
    </w:p>
    <w:p w:rsidR="0070369F" w:rsidRDefault="00B36066">
      <w:pPr>
        <w:pStyle w:val="ListParagraph"/>
        <w:numPr>
          <w:ilvl w:val="0"/>
          <w:numId w:val="8"/>
        </w:numPr>
        <w:tabs>
          <w:tab w:val="left" w:pos="426"/>
        </w:tabs>
        <w:spacing w:before="60" w:after="120" w:line="240" w:lineRule="auto"/>
        <w:ind w:left="0" w:firstLine="0"/>
        <w:rPr>
          <w:rFonts w:ascii="Times New Roman" w:hAnsi="Times New Roman" w:cs="Times New Roman"/>
          <w:noProof/>
          <w:sz w:val="24"/>
          <w:szCs w:val="24"/>
          <w:lang w:val="fr-BE"/>
        </w:rPr>
      </w:pPr>
      <w:r>
        <w:rPr>
          <w:rFonts w:ascii="Times New Roman" w:hAnsi="Times New Roman"/>
          <w:noProof/>
          <w:sz w:val="24"/>
          <w:lang w:val="fr-BE"/>
        </w:rPr>
        <w:t>Arrêt de la Cour du 16 juin 1998 dans l’affa</w:t>
      </w:r>
      <w:r>
        <w:rPr>
          <w:rFonts w:ascii="Times New Roman" w:hAnsi="Times New Roman"/>
          <w:noProof/>
          <w:sz w:val="24"/>
          <w:lang w:val="fr-BE"/>
        </w:rPr>
        <w:t xml:space="preserve">ire </w:t>
      </w:r>
      <w:hyperlink r:id="rId16">
        <w:r>
          <w:rPr>
            <w:rStyle w:val="Hyperlink"/>
            <w:rFonts w:ascii="Times New Roman" w:hAnsi="Times New Roman"/>
            <w:noProof/>
            <w:sz w:val="24"/>
            <w:lang w:val="fr-BE"/>
          </w:rPr>
          <w:t>C-53/96</w:t>
        </w:r>
      </w:hyperlink>
      <w:r>
        <w:rPr>
          <w:rFonts w:ascii="Times New Roman" w:hAnsi="Times New Roman"/>
          <w:noProof/>
          <w:sz w:val="24"/>
          <w:lang w:val="fr-BE"/>
        </w:rPr>
        <w:t xml:space="preserve">, </w:t>
      </w:r>
      <w:r>
        <w:rPr>
          <w:rFonts w:ascii="Times New Roman" w:hAnsi="Times New Roman"/>
          <w:i/>
          <w:noProof/>
          <w:sz w:val="24"/>
          <w:lang w:val="fr-BE"/>
        </w:rPr>
        <w:t>Hermès International v FHT Marketing Choice BV</w:t>
      </w:r>
      <w:r>
        <w:rPr>
          <w:rFonts w:ascii="Times New Roman" w:hAnsi="Times New Roman"/>
          <w:noProof/>
          <w:sz w:val="24"/>
          <w:lang w:val="fr-BE"/>
        </w:rPr>
        <w:t xml:space="preserve">, EU:C:1998:292, </w:t>
      </w:r>
      <w:hyperlink r:id="rId17">
        <w:r>
          <w:rPr>
            <w:rStyle w:val="Hyperlink"/>
            <w:rFonts w:ascii="Times New Roman" w:hAnsi="Times New Roman"/>
            <w:noProof/>
            <w:sz w:val="24"/>
            <w:lang w:val="fr-BE"/>
          </w:rPr>
          <w:t>61996CJ0053</w:t>
        </w:r>
      </w:hyperlink>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(grande chambre) du 29 janvier 2008 dans l’affaire </w:t>
      </w:r>
      <w:hyperlink r:id="rId18">
        <w:r>
          <w:rPr>
            <w:rStyle w:val="Hyperlink"/>
            <w:rFonts w:ascii="Times New Roman" w:hAnsi="Times New Roman"/>
            <w:noProof/>
            <w:sz w:val="24"/>
            <w:lang w:val="fr-BE"/>
          </w:rPr>
          <w:t>C-275/06</w:t>
        </w:r>
      </w:hyperlink>
      <w:r>
        <w:rPr>
          <w:rFonts w:ascii="Times New Roman" w:hAnsi="Times New Roman"/>
          <w:noProof/>
          <w:sz w:val="24"/>
          <w:lang w:val="fr-BE"/>
        </w:rPr>
        <w:t xml:space="preserve">, </w:t>
      </w:r>
      <w:r>
        <w:rPr>
          <w:rFonts w:ascii="Times New Roman" w:hAnsi="Times New Roman"/>
          <w:i/>
          <w:noProof/>
          <w:sz w:val="24"/>
          <w:lang w:val="fr-BE"/>
        </w:rPr>
        <w:t>Productore</w:t>
      </w:r>
      <w:r>
        <w:rPr>
          <w:rFonts w:ascii="Times New Roman" w:hAnsi="Times New Roman"/>
          <w:i/>
          <w:noProof/>
          <w:sz w:val="24"/>
          <w:lang w:val="fr-BE"/>
        </w:rPr>
        <w:t>s de Música de España (Promusicae) v Telefónica de España SAU</w:t>
      </w:r>
      <w:r>
        <w:rPr>
          <w:rFonts w:ascii="Times New Roman" w:hAnsi="Times New Roman"/>
          <w:noProof/>
          <w:sz w:val="24"/>
          <w:lang w:val="fr-BE"/>
        </w:rPr>
        <w:t xml:space="preserve">, EU:C:2008:54, </w:t>
      </w:r>
      <w:hyperlink r:id="rId19">
        <w:r>
          <w:rPr>
            <w:rStyle w:val="Hyperlink"/>
            <w:rFonts w:ascii="Times New Roman" w:hAnsi="Times New Roman"/>
            <w:noProof/>
            <w:sz w:val="24"/>
            <w:lang w:val="fr-BE"/>
          </w:rPr>
          <w:t>62006CA0275</w:t>
        </w:r>
      </w:hyperlink>
      <w:r>
        <w:rPr>
          <w:rStyle w:val="Hyperlink"/>
          <w:rFonts w:ascii="Times New Roman" w:hAnsi="Times New Roman"/>
          <w:noProof/>
          <w:sz w:val="24"/>
          <w:lang w:val="fr-BE"/>
        </w:rPr>
        <w:t xml:space="preserve"> / </w:t>
      </w:r>
      <w:hyperlink r:id="rId20">
        <w:r>
          <w:rPr>
            <w:rStyle w:val="Hyperlink"/>
            <w:rFonts w:ascii="Times New Roman" w:hAnsi="Times New Roman"/>
            <w:noProof/>
            <w:sz w:val="24"/>
            <w:lang w:val="fr-BE"/>
          </w:rPr>
          <w:t>62006CJ0275</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(grande chambre) du 14 février 2008 dans l’affaire </w:t>
      </w:r>
      <w:hyperlink r:id="rId21">
        <w:r>
          <w:rPr>
            <w:rStyle w:val="Hyperlink"/>
            <w:rFonts w:ascii="Times New Roman" w:hAnsi="Times New Roman"/>
            <w:noProof/>
            <w:sz w:val="24"/>
            <w:lang w:val="fr-BE"/>
          </w:rPr>
          <w:t>C-450/06</w:t>
        </w:r>
      </w:hyperlink>
      <w:r>
        <w:rPr>
          <w:rFonts w:ascii="Times New Roman" w:hAnsi="Times New Roman"/>
          <w:noProof/>
          <w:sz w:val="24"/>
          <w:lang w:val="fr-BE"/>
        </w:rPr>
        <w:t xml:space="preserve">, </w:t>
      </w:r>
      <w:r>
        <w:rPr>
          <w:rFonts w:ascii="Times New Roman" w:hAnsi="Times New Roman"/>
          <w:i/>
          <w:noProof/>
          <w:sz w:val="24"/>
          <w:lang w:val="fr-BE"/>
        </w:rPr>
        <w:t>Varec SA v Belgian State</w:t>
      </w:r>
      <w:r>
        <w:rPr>
          <w:rFonts w:ascii="Times New Roman" w:hAnsi="Times New Roman"/>
          <w:noProof/>
          <w:sz w:val="24"/>
          <w:lang w:val="fr-BE"/>
        </w:rPr>
        <w:t xml:space="preserve">, EU:C:2008:91, </w:t>
      </w:r>
      <w:hyperlink r:id="rId22">
        <w:r>
          <w:rPr>
            <w:rStyle w:val="Hyperlink"/>
            <w:rFonts w:ascii="Times New Roman" w:hAnsi="Times New Roman"/>
            <w:noProof/>
            <w:sz w:val="24"/>
            <w:lang w:val="fr-BE"/>
          </w:rPr>
          <w:t>62006CA0450</w:t>
        </w:r>
      </w:hyperlink>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Ordonnance de la Cour (huitième chambre) du 19 février 2009 dans l’affaire </w:t>
      </w:r>
      <w:hyperlink r:id="rId23">
        <w:r>
          <w:rPr>
            <w:rStyle w:val="Hyperlink"/>
            <w:rFonts w:ascii="Times New Roman" w:hAnsi="Times New Roman"/>
            <w:noProof/>
            <w:sz w:val="24"/>
            <w:lang w:val="fr-BE"/>
          </w:rPr>
          <w:t>C-557/07</w:t>
        </w:r>
      </w:hyperlink>
      <w:r>
        <w:rPr>
          <w:rFonts w:ascii="Times New Roman" w:hAnsi="Times New Roman"/>
          <w:noProof/>
          <w:sz w:val="24"/>
          <w:lang w:val="fr-BE"/>
        </w:rPr>
        <w:t xml:space="preserve">, </w:t>
      </w:r>
      <w:r>
        <w:rPr>
          <w:rFonts w:ascii="Times New Roman" w:hAnsi="Times New Roman"/>
          <w:i/>
          <w:noProof/>
          <w:sz w:val="24"/>
          <w:lang w:val="fr-BE"/>
        </w:rPr>
        <w:t>LSG-Gesellschaft zur Wahrnehmung von Leistungsschutzrechten GmbH v Tele2 Telecommunication GmbH</w:t>
      </w:r>
      <w:r>
        <w:rPr>
          <w:rFonts w:ascii="Times New Roman" w:hAnsi="Times New Roman"/>
          <w:noProof/>
          <w:sz w:val="24"/>
          <w:lang w:val="fr-BE"/>
        </w:rPr>
        <w:t xml:space="preserve">, EU:C:2009:107, </w:t>
      </w:r>
      <w:hyperlink r:id="rId24">
        <w:r>
          <w:rPr>
            <w:rStyle w:val="Hyperlink"/>
            <w:rFonts w:ascii="Times New Roman" w:hAnsi="Times New Roman"/>
            <w:noProof/>
            <w:sz w:val="24"/>
            <w:lang w:val="fr-BE"/>
          </w:rPr>
          <w:t>62007CB0557</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(grande chambre) du 12 juillet 2011 dans l’affaire </w:t>
      </w:r>
      <w:hyperlink r:id="rId25">
        <w:r>
          <w:rPr>
            <w:rStyle w:val="Hyperlink"/>
            <w:rFonts w:ascii="Times New Roman" w:hAnsi="Times New Roman"/>
            <w:noProof/>
            <w:sz w:val="24"/>
            <w:lang w:val="fr-BE"/>
          </w:rPr>
          <w:t>C-324/09</w:t>
        </w:r>
      </w:hyperlink>
      <w:r>
        <w:rPr>
          <w:noProof/>
          <w:lang w:val="fr-BE"/>
        </w:rPr>
        <w:t xml:space="preserve">, </w:t>
      </w:r>
      <w:r>
        <w:rPr>
          <w:rFonts w:ascii="Times New Roman" w:hAnsi="Times New Roman"/>
          <w:i/>
          <w:noProof/>
          <w:sz w:val="24"/>
          <w:lang w:val="fr-BE"/>
        </w:rPr>
        <w:t>L’Oréal SA e.a./eBay International AG e.a</w:t>
      </w:r>
      <w:r>
        <w:rPr>
          <w:rFonts w:ascii="Times New Roman" w:hAnsi="Times New Roman"/>
          <w:noProof/>
          <w:sz w:val="24"/>
          <w:lang w:val="fr-BE"/>
        </w:rPr>
        <w:t xml:space="preserve">., EU:C:2011:474, </w:t>
      </w:r>
      <w:hyperlink r:id="rId26">
        <w:r>
          <w:rPr>
            <w:rStyle w:val="Hyperlink"/>
            <w:rFonts w:ascii="Times New Roman" w:hAnsi="Times New Roman"/>
            <w:noProof/>
            <w:sz w:val="24"/>
            <w:lang w:val="fr-BE"/>
          </w:rPr>
          <w:t>62009CJ0324</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(grande chambre) du 18 octobre 2011 dans l’affaire </w:t>
      </w:r>
      <w:hyperlink r:id="rId27">
        <w:r>
          <w:rPr>
            <w:rStyle w:val="Hyperlink"/>
            <w:rFonts w:ascii="Times New Roman" w:hAnsi="Times New Roman"/>
            <w:noProof/>
            <w:sz w:val="24"/>
            <w:lang w:val="fr-BE"/>
          </w:rPr>
          <w:t>C-406/09</w:t>
        </w:r>
      </w:hyperlink>
      <w:r>
        <w:rPr>
          <w:rFonts w:ascii="Times New Roman" w:hAnsi="Times New Roman"/>
          <w:noProof/>
          <w:sz w:val="24"/>
          <w:lang w:val="fr-BE"/>
        </w:rPr>
        <w:t xml:space="preserve">, </w:t>
      </w:r>
      <w:r>
        <w:rPr>
          <w:rFonts w:ascii="Times New Roman" w:hAnsi="Times New Roman"/>
          <w:i/>
          <w:noProof/>
          <w:sz w:val="24"/>
          <w:lang w:val="fr-BE"/>
        </w:rPr>
        <w:t>Realchemie Nederland BV v Bayer CropScience AG</w:t>
      </w:r>
      <w:r>
        <w:rPr>
          <w:rFonts w:ascii="Times New Roman" w:hAnsi="Times New Roman"/>
          <w:noProof/>
          <w:sz w:val="24"/>
          <w:lang w:val="fr-BE"/>
        </w:rPr>
        <w:t xml:space="preserve">., EU:C:2011:668, </w:t>
      </w:r>
      <w:hyperlink r:id="rId28">
        <w:r>
          <w:rPr>
            <w:rStyle w:val="Hyperlink"/>
            <w:rFonts w:ascii="Times New Roman" w:hAnsi="Times New Roman"/>
            <w:noProof/>
            <w:sz w:val="24"/>
            <w:lang w:val="fr-BE"/>
          </w:rPr>
          <w:t>62009CJ0406</w:t>
        </w:r>
      </w:hyperlink>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Arr</w:t>
      </w:r>
      <w:r>
        <w:rPr>
          <w:rFonts w:ascii="Times New Roman" w:hAnsi="Times New Roman"/>
          <w:noProof/>
          <w:sz w:val="24"/>
          <w:lang w:val="fr-BE"/>
        </w:rPr>
        <w:t xml:space="preserve">êt de la Cour (troisième chambre) du 24 novembre 2011 dans l’affaire </w:t>
      </w:r>
      <w:hyperlink r:id="rId29">
        <w:r>
          <w:rPr>
            <w:rStyle w:val="Hyperlink"/>
            <w:rFonts w:ascii="Times New Roman" w:hAnsi="Times New Roman"/>
            <w:noProof/>
            <w:sz w:val="24"/>
            <w:lang w:val="fr-BE"/>
          </w:rPr>
          <w:t>C-70/10</w:t>
        </w:r>
      </w:hyperlink>
      <w:r>
        <w:rPr>
          <w:noProof/>
          <w:lang w:val="fr-BE"/>
        </w:rPr>
        <w:t xml:space="preserve">, </w:t>
      </w:r>
      <w:r>
        <w:rPr>
          <w:rFonts w:ascii="Times New Roman" w:hAnsi="Times New Roman"/>
          <w:i/>
          <w:noProof/>
          <w:sz w:val="24"/>
          <w:lang w:val="fr-BE"/>
        </w:rPr>
        <w:t>Scarlet Extended SA cont</w:t>
      </w:r>
      <w:r>
        <w:rPr>
          <w:rFonts w:ascii="Times New Roman" w:hAnsi="Times New Roman"/>
          <w:i/>
          <w:noProof/>
          <w:sz w:val="24"/>
          <w:lang w:val="fr-BE"/>
        </w:rPr>
        <w:t>re Société belge des auteurs, compositeurs et éditeurs SCRL (SABAM)</w:t>
      </w:r>
      <w:r>
        <w:rPr>
          <w:rFonts w:ascii="Times New Roman" w:hAnsi="Times New Roman"/>
          <w:noProof/>
          <w:sz w:val="24"/>
          <w:lang w:val="fr-BE"/>
        </w:rPr>
        <w:t xml:space="preserve">, EU:C:2011:771, </w:t>
      </w:r>
      <w:hyperlink r:id="rId30">
        <w:r>
          <w:rPr>
            <w:rStyle w:val="Hyperlink"/>
            <w:rFonts w:ascii="Times New Roman" w:hAnsi="Times New Roman"/>
            <w:noProof/>
            <w:sz w:val="24"/>
            <w:lang w:val="fr-BE"/>
          </w:rPr>
          <w:t>62010CJ0070</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Arrêt de la Cour (troisième chambre) du 16 février 2</w:t>
      </w:r>
      <w:r>
        <w:rPr>
          <w:rFonts w:ascii="Times New Roman" w:hAnsi="Times New Roman"/>
          <w:noProof/>
          <w:sz w:val="24"/>
          <w:lang w:val="fr-BE"/>
        </w:rPr>
        <w:t xml:space="preserve">012 dans l’affaire </w:t>
      </w:r>
      <w:hyperlink r:id="rId31">
        <w:r>
          <w:rPr>
            <w:rStyle w:val="Hyperlink"/>
            <w:rFonts w:ascii="Times New Roman" w:hAnsi="Times New Roman"/>
            <w:noProof/>
            <w:sz w:val="24"/>
            <w:lang w:val="fr-BE"/>
          </w:rPr>
          <w:t>C-360/10</w:t>
        </w:r>
      </w:hyperlink>
      <w:r>
        <w:rPr>
          <w:noProof/>
          <w:lang w:val="fr-BE"/>
        </w:rPr>
        <w:t xml:space="preserve">, </w:t>
      </w:r>
      <w:r>
        <w:rPr>
          <w:rFonts w:ascii="Times New Roman" w:hAnsi="Times New Roman"/>
          <w:i/>
          <w:noProof/>
          <w:sz w:val="24"/>
          <w:lang w:val="fr-BE"/>
        </w:rPr>
        <w:t>Belgische Vereniging van Auteurs, Componisten en Uitgevers CVBA (SABAM) v</w:t>
      </w:r>
      <w:r>
        <w:rPr>
          <w:rFonts w:ascii="Times New Roman" w:hAnsi="Times New Roman"/>
          <w:i/>
          <w:noProof/>
          <w:sz w:val="24"/>
          <w:lang w:val="fr-BE"/>
        </w:rPr>
        <w:t xml:space="preserve"> Netlog NV</w:t>
      </w:r>
      <w:r>
        <w:rPr>
          <w:rFonts w:ascii="Times New Roman" w:hAnsi="Times New Roman"/>
          <w:noProof/>
          <w:sz w:val="24"/>
          <w:lang w:val="fr-BE"/>
        </w:rPr>
        <w:t xml:space="preserve">, EU:C:2012:85, </w:t>
      </w:r>
      <w:hyperlink r:id="rId32">
        <w:r>
          <w:rPr>
            <w:rStyle w:val="Hyperlink"/>
            <w:rFonts w:ascii="Times New Roman" w:hAnsi="Times New Roman"/>
            <w:noProof/>
            <w:sz w:val="24"/>
            <w:lang w:val="fr-BE"/>
          </w:rPr>
          <w:t>62010CJ0360</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(troisième chambre) du 19 avril 2012 dans l’affaire </w:t>
      </w:r>
      <w:hyperlink r:id="rId33">
        <w:r>
          <w:rPr>
            <w:rStyle w:val="Hyperlink"/>
            <w:rFonts w:ascii="Times New Roman" w:hAnsi="Times New Roman"/>
            <w:noProof/>
            <w:sz w:val="24"/>
            <w:lang w:val="fr-BE"/>
          </w:rPr>
          <w:t>C-461/10</w:t>
        </w:r>
      </w:hyperlink>
      <w:r>
        <w:rPr>
          <w:noProof/>
          <w:lang w:val="fr-BE"/>
        </w:rPr>
        <w:t xml:space="preserve">, </w:t>
      </w:r>
      <w:r>
        <w:rPr>
          <w:rFonts w:ascii="Times New Roman" w:hAnsi="Times New Roman"/>
          <w:i/>
          <w:noProof/>
          <w:sz w:val="24"/>
          <w:lang w:val="fr-BE"/>
        </w:rPr>
        <w:t>Bonnier Audio AB and Others v Perfect Communication Sweden AB</w:t>
      </w:r>
      <w:r>
        <w:rPr>
          <w:rFonts w:ascii="Times New Roman" w:hAnsi="Times New Roman"/>
          <w:noProof/>
          <w:sz w:val="24"/>
          <w:lang w:val="fr-BE"/>
        </w:rPr>
        <w:t xml:space="preserve">, EU:C:2012:219, </w:t>
      </w:r>
      <w:hyperlink r:id="rId34">
        <w:r>
          <w:rPr>
            <w:rStyle w:val="Hyperlink"/>
            <w:rFonts w:ascii="Times New Roman" w:hAnsi="Times New Roman"/>
            <w:noProof/>
            <w:sz w:val="24"/>
            <w:lang w:val="fr-BE"/>
          </w:rPr>
          <w:t>62010CJ0461</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Arrêt de la Cour (</w:t>
      </w:r>
      <w:r>
        <w:rPr>
          <w:rFonts w:ascii="Times New Roman" w:hAnsi="Times New Roman"/>
          <w:noProof/>
          <w:sz w:val="24"/>
          <w:lang w:val="fr-BE"/>
        </w:rPr>
        <w:t xml:space="preserve">troisième chambre) du 15 novembre 2012 dans l’affaire </w:t>
      </w:r>
      <w:hyperlink r:id="rId35">
        <w:r>
          <w:rPr>
            <w:rStyle w:val="Hyperlink"/>
            <w:rFonts w:ascii="Times New Roman" w:hAnsi="Times New Roman"/>
            <w:noProof/>
            <w:sz w:val="24"/>
            <w:lang w:val="fr-BE"/>
          </w:rPr>
          <w:t>C-180/11</w:t>
        </w:r>
      </w:hyperlink>
      <w:r>
        <w:rPr>
          <w:noProof/>
          <w:lang w:val="fr-BE"/>
        </w:rPr>
        <w:t xml:space="preserve">, </w:t>
      </w:r>
      <w:r>
        <w:rPr>
          <w:rFonts w:ascii="Times New Roman" w:hAnsi="Times New Roman"/>
          <w:i/>
          <w:noProof/>
          <w:sz w:val="24"/>
          <w:lang w:val="fr-BE"/>
        </w:rPr>
        <w:t>Bericap Záródástechnikai Bt. v Plastin</w:t>
      </w:r>
      <w:r>
        <w:rPr>
          <w:rFonts w:ascii="Times New Roman" w:hAnsi="Times New Roman"/>
          <w:i/>
          <w:noProof/>
          <w:sz w:val="24"/>
          <w:lang w:val="fr-BE"/>
        </w:rPr>
        <w:t>nova 2000 Kft</w:t>
      </w:r>
      <w:r>
        <w:rPr>
          <w:rFonts w:ascii="Times New Roman" w:hAnsi="Times New Roman"/>
          <w:noProof/>
          <w:sz w:val="24"/>
          <w:lang w:val="fr-BE"/>
        </w:rPr>
        <w:t xml:space="preserve">, EU:C:2012:717, </w:t>
      </w:r>
      <w:hyperlink r:id="rId36">
        <w:r>
          <w:rPr>
            <w:rStyle w:val="Hyperlink"/>
            <w:rFonts w:ascii="Times New Roman" w:hAnsi="Times New Roman"/>
            <w:noProof/>
            <w:sz w:val="24"/>
            <w:lang w:val="fr-BE"/>
          </w:rPr>
          <w:t>62011CJ0180</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Ordonnance de la Cour (troisième chambre) du 7 mars 2013 dans l’affaire </w:t>
      </w:r>
      <w:hyperlink r:id="rId37">
        <w:r>
          <w:rPr>
            <w:rStyle w:val="Hyperlink"/>
            <w:rFonts w:ascii="Times New Roman" w:hAnsi="Times New Roman"/>
            <w:noProof/>
            <w:sz w:val="24"/>
            <w:lang w:val="fr-BE"/>
          </w:rPr>
          <w:t>C-145/10 REC</w:t>
        </w:r>
      </w:hyperlink>
      <w:r>
        <w:rPr>
          <w:rFonts w:ascii="Times New Roman" w:hAnsi="Times New Roman"/>
          <w:noProof/>
          <w:sz w:val="24"/>
          <w:lang w:val="fr-BE"/>
        </w:rPr>
        <w:t xml:space="preserve">, </w:t>
      </w:r>
      <w:r>
        <w:rPr>
          <w:rFonts w:ascii="Times New Roman" w:hAnsi="Times New Roman"/>
          <w:i/>
          <w:noProof/>
          <w:sz w:val="24"/>
          <w:lang w:val="fr-BE"/>
        </w:rPr>
        <w:t>Eva-Maria Painer v Standard VerlagsGmbH</w:t>
      </w:r>
      <w:r>
        <w:rPr>
          <w:rFonts w:ascii="Times New Roman" w:hAnsi="Times New Roman"/>
          <w:noProof/>
          <w:sz w:val="24"/>
          <w:lang w:val="fr-BE"/>
        </w:rPr>
        <w:t xml:space="preserve"> et autres, ECLI:EU:C:2013:138, </w:t>
      </w:r>
      <w:hyperlink r:id="rId38">
        <w:r>
          <w:rPr>
            <w:rStyle w:val="Hyperlink"/>
            <w:rFonts w:ascii="Times New Roman" w:hAnsi="Times New Roman"/>
            <w:noProof/>
            <w:sz w:val="24"/>
            <w:lang w:val="fr-BE"/>
          </w:rPr>
          <w:t>62010CO0145</w:t>
        </w:r>
      </w:hyperlink>
      <w:r>
        <w:rPr>
          <w:rFonts w:ascii="Times New Roman" w:hAnsi="Times New Roman"/>
          <w:noProof/>
          <w:sz w:val="24"/>
          <w:lang w:val="fr-BE"/>
        </w:rPr>
        <w:t>.</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(quatrième chambre) du 27 mars 2014 dans l’affaire </w:t>
      </w:r>
      <w:hyperlink r:id="rId39">
        <w:r>
          <w:rPr>
            <w:rStyle w:val="Hyperlink"/>
            <w:rFonts w:ascii="Times New Roman" w:hAnsi="Times New Roman"/>
            <w:noProof/>
            <w:sz w:val="24"/>
            <w:lang w:val="fr-BE"/>
          </w:rPr>
          <w:t>C-314/12</w:t>
        </w:r>
      </w:hyperlink>
      <w:r>
        <w:rPr>
          <w:noProof/>
          <w:lang w:val="fr-BE"/>
        </w:rPr>
        <w:t xml:space="preserve">, </w:t>
      </w:r>
      <w:r>
        <w:rPr>
          <w:rFonts w:ascii="Times New Roman" w:hAnsi="Times New Roman"/>
          <w:i/>
          <w:noProof/>
          <w:sz w:val="24"/>
          <w:lang w:val="fr-BE"/>
        </w:rPr>
        <w:t>UPC Telekabel Wien GmbH/Constantin Film Verleih GmbH et Wega Filmproduktionsgesellschaft mbH</w:t>
      </w:r>
      <w:r>
        <w:rPr>
          <w:rFonts w:ascii="Times New Roman" w:hAnsi="Times New Roman"/>
          <w:noProof/>
          <w:sz w:val="24"/>
          <w:lang w:val="fr-BE"/>
        </w:rPr>
        <w:t xml:space="preserve">, EU:C:2014:192, </w:t>
      </w:r>
      <w:hyperlink r:id="rId40">
        <w:r>
          <w:rPr>
            <w:rStyle w:val="Hyperlink"/>
            <w:rFonts w:ascii="Times New Roman" w:hAnsi="Times New Roman"/>
            <w:noProof/>
            <w:sz w:val="24"/>
            <w:lang w:val="fr-BE"/>
          </w:rPr>
          <w:t>62012CJ0314</w:t>
        </w:r>
      </w:hyperlink>
      <w:r>
        <w:rPr>
          <w:noProof/>
          <w:lang w:val="fr-BE"/>
        </w:rPr>
        <w:t>.</w:t>
      </w:r>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(quatrième chambre) du 10 avril 2014 dans l’affaire </w:t>
      </w:r>
      <w:hyperlink r:id="rId41">
        <w:r>
          <w:rPr>
            <w:rStyle w:val="Hyperlink"/>
            <w:rFonts w:ascii="Times New Roman" w:hAnsi="Times New Roman"/>
            <w:noProof/>
            <w:sz w:val="24"/>
            <w:lang w:val="fr-BE"/>
          </w:rPr>
          <w:t>C-435/12</w:t>
        </w:r>
      </w:hyperlink>
      <w:r>
        <w:rPr>
          <w:noProof/>
          <w:lang w:val="fr-BE"/>
        </w:rPr>
        <w:t xml:space="preserve">, </w:t>
      </w:r>
      <w:r>
        <w:rPr>
          <w:rFonts w:ascii="Times New Roman" w:hAnsi="Times New Roman"/>
          <w:i/>
          <w:noProof/>
          <w:sz w:val="24"/>
          <w:lang w:val="fr-BE"/>
        </w:rPr>
        <w:t xml:space="preserve">ACI Adam BV and Others </w:t>
      </w:r>
      <w:r>
        <w:rPr>
          <w:rFonts w:ascii="Times New Roman" w:hAnsi="Times New Roman"/>
          <w:i/>
          <w:noProof/>
          <w:sz w:val="24"/>
          <w:lang w:val="fr-BE"/>
        </w:rPr>
        <w:t>v Stichting de Thuiskopie and Stichting Onderhandelingen Thuiskopie vergoeding</w:t>
      </w:r>
      <w:r>
        <w:rPr>
          <w:rFonts w:ascii="Times New Roman" w:hAnsi="Times New Roman"/>
          <w:noProof/>
          <w:sz w:val="24"/>
          <w:lang w:val="fr-BE"/>
        </w:rPr>
        <w:t xml:space="preserve">, EU:C:2014:254, </w:t>
      </w:r>
      <w:hyperlink r:id="rId42">
        <w:r>
          <w:rPr>
            <w:rStyle w:val="Hyperlink"/>
            <w:rFonts w:ascii="Times New Roman" w:hAnsi="Times New Roman"/>
            <w:noProof/>
            <w:sz w:val="24"/>
            <w:lang w:val="fr-BE"/>
          </w:rPr>
          <w:t>62012CJ0435</w:t>
        </w:r>
      </w:hyperlink>
      <w:r>
        <w:rPr>
          <w:noProof/>
          <w:lang w:val="fr-BE"/>
        </w:rPr>
        <w:t>.</w:t>
      </w:r>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(grande chambre) du 3 septembre 2014 dans l’affaire </w:t>
      </w:r>
      <w:hyperlink r:id="rId43">
        <w:r>
          <w:rPr>
            <w:rStyle w:val="Hyperlink"/>
            <w:rFonts w:ascii="Times New Roman" w:hAnsi="Times New Roman"/>
            <w:noProof/>
            <w:sz w:val="24"/>
            <w:lang w:val="fr-BE"/>
          </w:rPr>
          <w:t>C-201/13</w:t>
        </w:r>
      </w:hyperlink>
      <w:r>
        <w:rPr>
          <w:rFonts w:ascii="Times New Roman" w:hAnsi="Times New Roman"/>
          <w:noProof/>
          <w:sz w:val="24"/>
          <w:lang w:val="fr-BE"/>
        </w:rPr>
        <w:t xml:space="preserve">, </w:t>
      </w:r>
      <w:r>
        <w:rPr>
          <w:rFonts w:ascii="Times New Roman" w:hAnsi="Times New Roman"/>
          <w:i/>
          <w:noProof/>
          <w:sz w:val="24"/>
          <w:lang w:val="fr-BE"/>
        </w:rPr>
        <w:t>Johan Deckmyn and Vrij</w:t>
      </w:r>
      <w:r>
        <w:rPr>
          <w:rFonts w:ascii="Times New Roman" w:hAnsi="Times New Roman"/>
          <w:i/>
          <w:noProof/>
          <w:sz w:val="24"/>
          <w:lang w:val="fr-BE"/>
        </w:rPr>
        <w:t xml:space="preserve">heidsfonds VZW v Helena Vandersteen e.a., </w:t>
      </w:r>
      <w:r>
        <w:rPr>
          <w:rFonts w:ascii="Times New Roman" w:hAnsi="Times New Roman"/>
          <w:noProof/>
          <w:sz w:val="24"/>
          <w:lang w:val="fr-BE"/>
        </w:rPr>
        <w:t xml:space="preserve">, EU:C:2014:2132, </w:t>
      </w:r>
      <w:hyperlink r:id="rId44">
        <w:r>
          <w:rPr>
            <w:rStyle w:val="Hyperlink"/>
            <w:rFonts w:ascii="Times New Roman" w:hAnsi="Times New Roman"/>
            <w:noProof/>
            <w:sz w:val="24"/>
            <w:lang w:val="fr-BE"/>
          </w:rPr>
          <w:t>62013CA0201</w:t>
        </w:r>
      </w:hyperlink>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(quatrième chambre) du 16 juillet 2015 dans l’affaire </w:t>
      </w:r>
      <w:hyperlink r:id="rId45">
        <w:r>
          <w:rPr>
            <w:rStyle w:val="Hyperlink"/>
            <w:rFonts w:ascii="Times New Roman" w:hAnsi="Times New Roman"/>
            <w:noProof/>
            <w:sz w:val="24"/>
            <w:lang w:val="fr-BE"/>
          </w:rPr>
          <w:t>C-580/13</w:t>
        </w:r>
      </w:hyperlink>
      <w:r>
        <w:rPr>
          <w:rFonts w:ascii="Times New Roman" w:hAnsi="Times New Roman"/>
          <w:noProof/>
          <w:sz w:val="24"/>
          <w:lang w:val="fr-BE"/>
        </w:rPr>
        <w:t xml:space="preserve">, </w:t>
      </w:r>
      <w:r>
        <w:rPr>
          <w:rFonts w:ascii="Times New Roman" w:hAnsi="Times New Roman"/>
          <w:i/>
          <w:noProof/>
          <w:sz w:val="24"/>
          <w:lang w:val="fr-BE"/>
        </w:rPr>
        <w:t>Coty Germany GmbH v Stadtsparkasse Magdeburg</w:t>
      </w:r>
      <w:r>
        <w:rPr>
          <w:rFonts w:ascii="Times New Roman" w:hAnsi="Times New Roman"/>
          <w:noProof/>
          <w:sz w:val="24"/>
          <w:lang w:val="fr-BE"/>
        </w:rPr>
        <w:t xml:space="preserve">., EU:C:2011:485, </w:t>
      </w:r>
      <w:hyperlink r:id="rId46">
        <w:r>
          <w:rPr>
            <w:rStyle w:val="Hyperlink"/>
            <w:rFonts w:ascii="Times New Roman" w:hAnsi="Times New Roman"/>
            <w:noProof/>
            <w:sz w:val="24"/>
            <w:lang w:val="fr-BE"/>
          </w:rPr>
          <w:t>62013CJ0580</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(première chambre) du 16 juillet 2015 dans l’affaire </w:t>
      </w:r>
      <w:hyperlink r:id="rId47">
        <w:r>
          <w:rPr>
            <w:rStyle w:val="Hyperlink"/>
            <w:rFonts w:ascii="Times New Roman" w:hAnsi="Times New Roman"/>
            <w:noProof/>
            <w:sz w:val="24"/>
            <w:lang w:val="fr-BE"/>
          </w:rPr>
          <w:t>C-681/13</w:t>
        </w:r>
      </w:hyperlink>
      <w:r>
        <w:rPr>
          <w:rFonts w:ascii="Times New Roman" w:hAnsi="Times New Roman"/>
          <w:noProof/>
          <w:sz w:val="24"/>
          <w:lang w:val="fr-BE"/>
        </w:rPr>
        <w:t xml:space="preserve">, </w:t>
      </w:r>
      <w:r>
        <w:rPr>
          <w:rFonts w:ascii="Times New Roman" w:hAnsi="Times New Roman"/>
          <w:i/>
          <w:noProof/>
          <w:sz w:val="24"/>
          <w:lang w:val="fr-BE"/>
        </w:rPr>
        <w:t>Diageo Brands BV v Simiramida-04 EOOD</w:t>
      </w:r>
      <w:r>
        <w:rPr>
          <w:rFonts w:ascii="Times New Roman" w:hAnsi="Times New Roman"/>
          <w:noProof/>
          <w:sz w:val="24"/>
          <w:lang w:val="fr-BE"/>
        </w:rPr>
        <w:t xml:space="preserve">, EU:C:2011:471, </w:t>
      </w:r>
      <w:hyperlink r:id="rId48">
        <w:r>
          <w:rPr>
            <w:rStyle w:val="Hyperlink"/>
            <w:rFonts w:ascii="Times New Roman" w:hAnsi="Times New Roman"/>
            <w:noProof/>
            <w:sz w:val="24"/>
            <w:lang w:val="fr-BE"/>
          </w:rPr>
          <w:t>62013CJ0681</w:t>
        </w:r>
      </w:hyperlink>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Arrêt de la Cour (sept</w:t>
      </w:r>
      <w:r>
        <w:rPr>
          <w:rFonts w:ascii="Times New Roman" w:hAnsi="Times New Roman"/>
          <w:noProof/>
          <w:sz w:val="24"/>
          <w:lang w:val="fr-BE"/>
        </w:rPr>
        <w:t xml:space="preserve">ième chambre) du 4 février 2016 dans l’affaire </w:t>
      </w:r>
      <w:hyperlink r:id="rId49">
        <w:r>
          <w:rPr>
            <w:rStyle w:val="Hyperlink"/>
            <w:rFonts w:ascii="Times New Roman" w:hAnsi="Times New Roman"/>
            <w:noProof/>
            <w:sz w:val="24"/>
            <w:lang w:val="fr-BE"/>
          </w:rPr>
          <w:t>C-163/15</w:t>
        </w:r>
      </w:hyperlink>
      <w:r>
        <w:rPr>
          <w:noProof/>
          <w:lang w:val="fr-BE"/>
        </w:rPr>
        <w:t xml:space="preserve">, </w:t>
      </w:r>
      <w:r>
        <w:rPr>
          <w:rFonts w:ascii="Times New Roman" w:hAnsi="Times New Roman"/>
          <w:i/>
          <w:noProof/>
          <w:sz w:val="24"/>
          <w:lang w:val="fr-BE"/>
        </w:rPr>
        <w:t>Youssef Hassan/Breiding Vertriebsgesellschaft</w:t>
      </w:r>
      <w:r>
        <w:rPr>
          <w:rFonts w:ascii="Times New Roman" w:hAnsi="Times New Roman"/>
          <w:i/>
          <w:noProof/>
          <w:sz w:val="24"/>
          <w:lang w:val="fr-BE"/>
        </w:rPr>
        <w:t xml:space="preserve"> mbH</w:t>
      </w:r>
      <w:r>
        <w:rPr>
          <w:rFonts w:ascii="Times New Roman" w:hAnsi="Times New Roman"/>
          <w:noProof/>
          <w:sz w:val="24"/>
          <w:lang w:val="fr-BE"/>
        </w:rPr>
        <w:t>, EU:C:2016:71</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(cinquième chambre) du 17 mars 2016 dans l’affaire </w:t>
      </w:r>
      <w:hyperlink r:id="rId50">
        <w:r>
          <w:rPr>
            <w:rStyle w:val="Hyperlink"/>
            <w:rFonts w:ascii="Times New Roman" w:hAnsi="Times New Roman"/>
            <w:noProof/>
            <w:sz w:val="24"/>
            <w:lang w:val="fr-BE"/>
          </w:rPr>
          <w:t>C-99/15</w:t>
        </w:r>
      </w:hyperlink>
      <w:r>
        <w:rPr>
          <w:rFonts w:ascii="Times New Roman" w:hAnsi="Times New Roman"/>
          <w:noProof/>
          <w:sz w:val="24"/>
          <w:lang w:val="fr-BE"/>
        </w:rPr>
        <w:t xml:space="preserve">, </w:t>
      </w:r>
      <w:r>
        <w:rPr>
          <w:rFonts w:ascii="Times New Roman" w:hAnsi="Times New Roman"/>
          <w:i/>
          <w:noProof/>
          <w:sz w:val="24"/>
          <w:lang w:val="fr-BE"/>
        </w:rPr>
        <w:t>Christ</w:t>
      </w:r>
      <w:r>
        <w:rPr>
          <w:rFonts w:ascii="Times New Roman" w:hAnsi="Times New Roman"/>
          <w:i/>
          <w:noProof/>
          <w:sz w:val="24"/>
          <w:lang w:val="fr-BE"/>
        </w:rPr>
        <w:t>ian Liffers v Producciones Mandarina SL et Mediaset España Comunicación SA, anciennement Gestevisión Telecinco SA</w:t>
      </w:r>
      <w:r>
        <w:rPr>
          <w:rFonts w:ascii="Times New Roman" w:hAnsi="Times New Roman"/>
          <w:noProof/>
          <w:sz w:val="24"/>
          <w:lang w:val="fr-BE"/>
        </w:rPr>
        <w:t xml:space="preserve">, EU:C:2016:173, </w:t>
      </w:r>
      <w:hyperlink r:id="rId51">
        <w:r>
          <w:rPr>
            <w:rStyle w:val="Hyperlink"/>
            <w:rFonts w:ascii="Times New Roman" w:hAnsi="Times New Roman"/>
            <w:noProof/>
            <w:sz w:val="24"/>
            <w:lang w:val="fr-BE"/>
          </w:rPr>
          <w:t>62015CJ0099</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noProof/>
          <w:sz w:val="24"/>
          <w:lang w:val="fr-BE"/>
        </w:rPr>
        <w:t xml:space="preserve">Arrêt de la Cour (septième chambre) du 22 juin 2016 dans l’affaire </w:t>
      </w:r>
      <w:hyperlink r:id="rId52">
        <w:r>
          <w:rPr>
            <w:rStyle w:val="Hyperlink"/>
            <w:rFonts w:ascii="Times New Roman" w:hAnsi="Times New Roman"/>
            <w:noProof/>
            <w:sz w:val="24"/>
            <w:lang w:val="fr-BE"/>
          </w:rPr>
          <w:t>C-419/15</w:t>
        </w:r>
      </w:hyperlink>
      <w:r>
        <w:rPr>
          <w:rFonts w:ascii="Times New Roman" w:hAnsi="Times New Roman"/>
          <w:noProof/>
          <w:sz w:val="24"/>
          <w:lang w:val="fr-BE"/>
        </w:rPr>
        <w:t xml:space="preserve">, </w:t>
      </w:r>
      <w:r>
        <w:rPr>
          <w:rFonts w:ascii="Times New Roman" w:hAnsi="Times New Roman"/>
          <w:i/>
          <w:noProof/>
          <w:sz w:val="24"/>
          <w:lang w:val="fr-BE"/>
        </w:rPr>
        <w:t>Thomas Philipps GmbH &amp; Co</w:t>
      </w:r>
      <w:r>
        <w:rPr>
          <w:rFonts w:ascii="Times New Roman" w:hAnsi="Times New Roman"/>
          <w:i/>
          <w:noProof/>
          <w:sz w:val="24"/>
          <w:lang w:val="fr-BE"/>
        </w:rPr>
        <w:t xml:space="preserve">. </w:t>
      </w:r>
      <w:r>
        <w:rPr>
          <w:rFonts w:ascii="Times New Roman" w:hAnsi="Times New Roman"/>
          <w:i/>
          <w:noProof/>
          <w:sz w:val="24"/>
        </w:rPr>
        <w:t>KG v Grüne Welle Vertriebs GmbH</w:t>
      </w:r>
      <w:r>
        <w:rPr>
          <w:rFonts w:ascii="Times New Roman" w:hAnsi="Times New Roman"/>
          <w:noProof/>
          <w:sz w:val="24"/>
        </w:rPr>
        <w:t>, EU:C:2016:468</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(deuxième chambre) du 7 juillet 2016 dans l’affaire </w:t>
      </w:r>
      <w:hyperlink r:id="rId53">
        <w:r>
          <w:rPr>
            <w:rStyle w:val="Hyperlink"/>
            <w:rFonts w:ascii="Times New Roman" w:hAnsi="Times New Roman"/>
            <w:noProof/>
            <w:sz w:val="24"/>
            <w:lang w:val="fr-BE"/>
          </w:rPr>
          <w:t>C-494/15</w:t>
        </w:r>
      </w:hyperlink>
      <w:r>
        <w:rPr>
          <w:noProof/>
          <w:lang w:val="fr-BE"/>
        </w:rPr>
        <w:t xml:space="preserve">, </w:t>
      </w:r>
      <w:r>
        <w:rPr>
          <w:rFonts w:ascii="Times New Roman" w:hAnsi="Times New Roman"/>
          <w:i/>
          <w:noProof/>
          <w:sz w:val="24"/>
          <w:lang w:val="fr-BE"/>
        </w:rPr>
        <w:t>Tommy Hilfiger Licensing LLC and Others v DELTA CENTER a.s.,</w:t>
      </w:r>
      <w:r>
        <w:rPr>
          <w:rFonts w:ascii="Times New Roman" w:hAnsi="Times New Roman"/>
          <w:noProof/>
          <w:sz w:val="24"/>
          <w:lang w:val="fr-BE"/>
        </w:rPr>
        <w:t xml:space="preserve"> EU:C:2016:528, </w:t>
      </w:r>
      <w:hyperlink r:id="rId54">
        <w:r>
          <w:rPr>
            <w:rStyle w:val="Hyperlink"/>
            <w:rFonts w:ascii="Times New Roman" w:hAnsi="Times New Roman"/>
            <w:noProof/>
            <w:sz w:val="24"/>
            <w:lang w:val="fr-BE"/>
          </w:rPr>
          <w:t>62015CJ0494</w:t>
        </w:r>
      </w:hyperlink>
      <w:r>
        <w:rPr>
          <w:rFonts w:ascii="Times New Roman" w:hAnsi="Times New Roman"/>
          <w:noProof/>
          <w:sz w:val="24"/>
          <w:lang w:val="fr-BE"/>
        </w:rPr>
        <w:t xml:space="preserve">. </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(cinquième chambre) du 28 juillet 2016 dans l’affaire, </w:t>
      </w:r>
      <w:hyperlink r:id="rId55">
        <w:r>
          <w:rPr>
            <w:rStyle w:val="Hyperlink"/>
            <w:rFonts w:ascii="Times New Roman" w:hAnsi="Times New Roman"/>
            <w:noProof/>
            <w:sz w:val="24"/>
            <w:lang w:val="fr-BE"/>
          </w:rPr>
          <w:t>C-57/15</w:t>
        </w:r>
      </w:hyperlink>
      <w:r>
        <w:rPr>
          <w:rFonts w:ascii="Times New Roman" w:hAnsi="Times New Roman"/>
          <w:noProof/>
          <w:sz w:val="24"/>
          <w:lang w:val="fr-BE"/>
        </w:rPr>
        <w:t xml:space="preserve">, </w:t>
      </w:r>
      <w:r>
        <w:rPr>
          <w:rFonts w:ascii="Times New Roman" w:hAnsi="Times New Roman"/>
          <w:i/>
          <w:noProof/>
          <w:sz w:val="24"/>
          <w:lang w:val="fr-BE"/>
        </w:rPr>
        <w:t>United Video Properties Inc. v Telenet NV</w:t>
      </w:r>
      <w:r>
        <w:rPr>
          <w:rFonts w:ascii="Times New Roman" w:hAnsi="Times New Roman"/>
          <w:noProof/>
          <w:sz w:val="24"/>
          <w:lang w:val="fr-BE"/>
        </w:rPr>
        <w:t xml:space="preserve">., EU:C:2011:611, </w:t>
      </w:r>
      <w:hyperlink r:id="rId56">
        <w:r>
          <w:rPr>
            <w:rStyle w:val="Hyperlink"/>
            <w:rFonts w:ascii="Times New Roman" w:hAnsi="Times New Roman"/>
            <w:noProof/>
            <w:sz w:val="24"/>
            <w:lang w:val="fr-BE"/>
          </w:rPr>
          <w:t>62015CJ0057</w:t>
        </w:r>
      </w:hyperlink>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Arrêt de la Cour (troisième chambre) du 15 se</w:t>
      </w:r>
      <w:r>
        <w:rPr>
          <w:rFonts w:ascii="Times New Roman" w:hAnsi="Times New Roman"/>
          <w:noProof/>
          <w:sz w:val="24"/>
          <w:lang w:val="fr-BE"/>
        </w:rPr>
        <w:t xml:space="preserve">ptembre 2016, dans l’affaire </w:t>
      </w:r>
      <w:hyperlink r:id="rId57">
        <w:r>
          <w:rPr>
            <w:rStyle w:val="Hyperlink"/>
            <w:rFonts w:ascii="Times New Roman" w:hAnsi="Times New Roman"/>
            <w:noProof/>
            <w:sz w:val="24"/>
            <w:lang w:val="fr-BE"/>
          </w:rPr>
          <w:t>C-484/14</w:t>
        </w:r>
      </w:hyperlink>
      <w:r>
        <w:rPr>
          <w:noProof/>
          <w:lang w:val="fr-BE"/>
        </w:rPr>
        <w:t xml:space="preserve">, </w:t>
      </w:r>
      <w:r>
        <w:rPr>
          <w:rFonts w:ascii="Times New Roman" w:hAnsi="Times New Roman"/>
          <w:i/>
          <w:noProof/>
          <w:sz w:val="24"/>
          <w:lang w:val="fr-BE"/>
        </w:rPr>
        <w:t>Tobias Mc Fadden/Sony Music Entertainment Germany GmbH</w:t>
      </w:r>
      <w:r>
        <w:rPr>
          <w:rFonts w:ascii="Times New Roman" w:hAnsi="Times New Roman"/>
          <w:noProof/>
          <w:sz w:val="24"/>
          <w:lang w:val="fr-BE"/>
        </w:rPr>
        <w:t>, EU:C:2</w:t>
      </w:r>
      <w:r>
        <w:rPr>
          <w:rFonts w:ascii="Times New Roman" w:hAnsi="Times New Roman"/>
          <w:noProof/>
          <w:sz w:val="24"/>
          <w:lang w:val="fr-BE"/>
        </w:rPr>
        <w:t>016:689</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(neuvième chambre) du 18 janvier 2017 dans l’affaire </w:t>
      </w:r>
      <w:hyperlink r:id="rId58">
        <w:r>
          <w:rPr>
            <w:rStyle w:val="Hyperlink"/>
            <w:rFonts w:ascii="Times New Roman" w:hAnsi="Times New Roman"/>
            <w:noProof/>
            <w:sz w:val="24"/>
            <w:lang w:val="fr-BE"/>
          </w:rPr>
          <w:t>C-427/15</w:t>
        </w:r>
      </w:hyperlink>
      <w:r>
        <w:rPr>
          <w:noProof/>
          <w:lang w:val="fr-BE"/>
        </w:rPr>
        <w:t xml:space="preserve">, </w:t>
      </w:r>
      <w:r>
        <w:rPr>
          <w:i/>
          <w:noProof/>
          <w:lang w:val="fr-BE"/>
        </w:rPr>
        <w:t>NEW WAVE CZ, a. s./ALLTOYS, spol. s r. o</w:t>
      </w:r>
      <w:r>
        <w:rPr>
          <w:noProof/>
          <w:lang w:val="fr-BE"/>
        </w:rPr>
        <w:t>., EU:C:2017:18</w:t>
      </w:r>
    </w:p>
    <w:p w:rsidR="0070369F" w:rsidRDefault="00B36066">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noProof/>
          <w:sz w:val="24"/>
          <w:lang w:val="fr-BE"/>
        </w:rPr>
        <w:t xml:space="preserve">Arrêt de la Cour (cinquième chambre) du 25 janvier 2017 dans l’affaire </w:t>
      </w:r>
      <w:hyperlink r:id="rId59">
        <w:r>
          <w:rPr>
            <w:rStyle w:val="Hyperlink"/>
            <w:rFonts w:ascii="Times New Roman" w:hAnsi="Times New Roman"/>
            <w:noProof/>
            <w:sz w:val="24"/>
            <w:lang w:val="fr-BE"/>
          </w:rPr>
          <w:t>C-367/15</w:t>
        </w:r>
      </w:hyperlink>
      <w:r>
        <w:rPr>
          <w:rFonts w:ascii="Times New Roman" w:hAnsi="Times New Roman"/>
          <w:noProof/>
          <w:sz w:val="24"/>
          <w:lang w:val="fr-BE"/>
        </w:rPr>
        <w:t xml:space="preserve">, </w:t>
      </w:r>
      <w:r>
        <w:rPr>
          <w:rFonts w:ascii="Times New Roman" w:hAnsi="Times New Roman"/>
          <w:i/>
          <w:noProof/>
          <w:sz w:val="24"/>
          <w:lang w:val="fr-BE"/>
        </w:rPr>
        <w:t>Stowarzyszenie “Oławska Telewizja Kablowa” w Oławie v Stowarzyszenie Filmowców Polskich w Warszawie</w:t>
      </w:r>
      <w:r>
        <w:rPr>
          <w:rFonts w:ascii="Times New Roman" w:hAnsi="Times New Roman"/>
          <w:noProof/>
          <w:sz w:val="24"/>
          <w:lang w:val="fr-BE"/>
        </w:rPr>
        <w:t xml:space="preserve">, EU:C:2011:36, </w:t>
      </w:r>
      <w:hyperlink r:id="rId60">
        <w:r>
          <w:rPr>
            <w:rStyle w:val="Hyperlink"/>
            <w:rFonts w:ascii="Times New Roman" w:hAnsi="Times New Roman"/>
            <w:noProof/>
            <w:sz w:val="24"/>
            <w:lang w:val="fr-BE"/>
          </w:rPr>
          <w:t>62015CN0367</w:t>
        </w:r>
      </w:hyperlink>
      <w:r>
        <w:rPr>
          <w:rFonts w:ascii="Times New Roman" w:hAnsi="Times New Roman"/>
          <w:noProof/>
          <w:sz w:val="24"/>
          <w:lang w:val="fr-BE"/>
        </w:rPr>
        <w:t xml:space="preserve"> </w:t>
      </w:r>
    </w:p>
    <w:p w:rsidR="0070369F" w:rsidRDefault="0070369F">
      <w:pPr>
        <w:spacing w:before="60" w:after="60" w:line="240" w:lineRule="auto"/>
        <w:jc w:val="both"/>
        <w:rPr>
          <w:rFonts w:ascii="Times New Roman" w:hAnsi="Times New Roman" w:cs="Times New Roman"/>
          <w:noProof/>
          <w:sz w:val="24"/>
          <w:szCs w:val="24"/>
          <w:lang w:val="fr-BE"/>
        </w:rPr>
      </w:pPr>
    </w:p>
    <w:p w:rsidR="0070369F" w:rsidRDefault="00B36066">
      <w:pPr>
        <w:spacing w:before="60" w:after="60" w:line="240" w:lineRule="auto"/>
        <w:jc w:val="both"/>
        <w:rPr>
          <w:rFonts w:ascii="Times New Roman" w:hAnsi="Times New Roman" w:cs="Times New Roman"/>
          <w:noProof/>
          <w:sz w:val="24"/>
          <w:szCs w:val="24"/>
          <w:lang w:val="fr-BE"/>
        </w:rPr>
      </w:pPr>
      <w:r>
        <w:rPr>
          <w:rFonts w:ascii="Times New Roman" w:hAnsi="Times New Roman"/>
          <w:noProof/>
          <w:sz w:val="24"/>
          <w:lang w:val="fr-BE"/>
        </w:rPr>
        <w:t>Affaires pendantes:</w:t>
      </w:r>
    </w:p>
    <w:p w:rsidR="0070369F" w:rsidRDefault="00B36066">
      <w:pPr>
        <w:spacing w:before="60" w:after="60" w:line="240" w:lineRule="auto"/>
        <w:jc w:val="both"/>
        <w:rPr>
          <w:rFonts w:ascii="Times New Roman" w:hAnsi="Times New Roman" w:cs="Times New Roman"/>
          <w:noProof/>
          <w:sz w:val="24"/>
          <w:szCs w:val="24"/>
          <w:lang w:val="fr-BE"/>
        </w:rPr>
      </w:pPr>
      <w:hyperlink r:id="rId61">
        <w:r>
          <w:rPr>
            <w:rStyle w:val="Hyperlink"/>
            <w:rFonts w:ascii="Times New Roman" w:hAnsi="Times New Roman"/>
            <w:noProof/>
            <w:sz w:val="24"/>
            <w:lang w:val="fr-BE"/>
          </w:rPr>
          <w:t>C-644/16</w:t>
        </w:r>
      </w:hyperlink>
      <w:r>
        <w:rPr>
          <w:rStyle w:val="Hyperlink"/>
          <w:rFonts w:ascii="Times New Roman" w:hAnsi="Times New Roman"/>
          <w:noProof/>
          <w:sz w:val="24"/>
          <w:lang w:val="fr-BE"/>
        </w:rPr>
        <w:t xml:space="preserve"> </w:t>
      </w:r>
      <w:r>
        <w:rPr>
          <w:rFonts w:ascii="Times New Roman" w:hAnsi="Times New Roman"/>
          <w:i/>
          <w:noProof/>
          <w:sz w:val="24"/>
          <w:lang w:val="fr-BE"/>
        </w:rPr>
        <w:t>Synthon</w:t>
      </w:r>
      <w:r>
        <w:rPr>
          <w:rFonts w:ascii="Times New Roman" w:hAnsi="Times New Roman"/>
          <w:noProof/>
          <w:sz w:val="24"/>
          <w:lang w:val="fr-BE"/>
        </w:rPr>
        <w:t xml:space="preserve">— Demande de décision préjudicielle formée par le Hoge Raad der Nederlanden (Pays-Bas) le 15 décembre 2016, </w:t>
      </w:r>
      <w:r>
        <w:rPr>
          <w:rFonts w:ascii="Times New Roman" w:hAnsi="Times New Roman"/>
          <w:i/>
          <w:noProof/>
          <w:sz w:val="24"/>
          <w:lang w:val="fr-BE"/>
        </w:rPr>
        <w:t>Synthon BV/Astellas Pharma Inc.</w:t>
      </w:r>
      <w:r>
        <w:rPr>
          <w:rFonts w:ascii="Times New Roman" w:hAnsi="Times New Roman"/>
          <w:noProof/>
          <w:sz w:val="24"/>
          <w:lang w:val="fr-BE"/>
        </w:rPr>
        <w:t xml:space="preserve"> (article 6 de la directive IPRED)</w:t>
      </w:r>
    </w:p>
    <w:p w:rsidR="0070369F" w:rsidRDefault="00B36066">
      <w:pPr>
        <w:spacing w:before="60" w:after="60" w:line="240" w:lineRule="auto"/>
        <w:jc w:val="both"/>
        <w:rPr>
          <w:rFonts w:ascii="Times New Roman" w:hAnsi="Times New Roman" w:cs="Times New Roman"/>
          <w:noProof/>
          <w:sz w:val="24"/>
          <w:szCs w:val="24"/>
          <w:lang w:val="fr-BE"/>
        </w:rPr>
      </w:pPr>
      <w:hyperlink r:id="rId62">
        <w:r>
          <w:rPr>
            <w:rStyle w:val="Hyperlink"/>
            <w:rFonts w:ascii="Times New Roman" w:hAnsi="Times New Roman"/>
            <w:noProof/>
            <w:sz w:val="24"/>
            <w:lang w:val="fr-BE"/>
          </w:rPr>
          <w:t>C-149/17</w:t>
        </w:r>
      </w:hyperlink>
      <w:r>
        <w:rPr>
          <w:rFonts w:ascii="Times New Roman" w:hAnsi="Times New Roman"/>
          <w:noProof/>
          <w:sz w:val="24"/>
          <w:lang w:val="fr-BE"/>
        </w:rPr>
        <w:t xml:space="preserve"> </w:t>
      </w:r>
      <w:r>
        <w:rPr>
          <w:rFonts w:ascii="Times New Roman" w:hAnsi="Times New Roman"/>
          <w:i/>
          <w:noProof/>
          <w:sz w:val="24"/>
          <w:lang w:val="fr-BE"/>
        </w:rPr>
        <w:t>Bastei Lübbe</w:t>
      </w:r>
      <w:r>
        <w:rPr>
          <w:rFonts w:ascii="Times New Roman" w:hAnsi="Times New Roman"/>
          <w:noProof/>
          <w:sz w:val="24"/>
          <w:lang w:val="fr-BE"/>
        </w:rPr>
        <w:t>— Demande de décision préjudicielle formée par le Landgericht München I (Allemagne) le 24 mars 2017, Bastei Lübbe GmbH &amp; Co. kg/Michael</w:t>
      </w:r>
      <w:r>
        <w:rPr>
          <w:rFonts w:ascii="Times New Roman" w:hAnsi="Times New Roman"/>
          <w:noProof/>
          <w:sz w:val="24"/>
          <w:lang w:val="fr-BE"/>
        </w:rPr>
        <w:t xml:space="preserve"> Strotzer (article 3, paragraphe 2, de la directive IPRED)</w:t>
      </w:r>
    </w:p>
    <w:p w:rsidR="0070369F" w:rsidRDefault="00B36066">
      <w:pPr>
        <w:spacing w:before="60" w:after="60" w:line="240" w:lineRule="auto"/>
        <w:jc w:val="both"/>
        <w:rPr>
          <w:rFonts w:ascii="Times New Roman" w:hAnsi="Times New Roman" w:cs="Times New Roman"/>
          <w:noProof/>
          <w:sz w:val="24"/>
          <w:szCs w:val="24"/>
          <w:lang w:val="fr-BE"/>
        </w:rPr>
      </w:pPr>
      <w:hyperlink r:id="rId63">
        <w:r>
          <w:rPr>
            <w:rStyle w:val="Hyperlink"/>
            <w:rFonts w:ascii="Times New Roman" w:hAnsi="Times New Roman"/>
            <w:noProof/>
            <w:sz w:val="24"/>
            <w:lang w:val="fr-BE"/>
          </w:rPr>
          <w:t>C-521/17</w:t>
        </w:r>
      </w:hyperlink>
      <w:r>
        <w:rPr>
          <w:rFonts w:ascii="Times New Roman" w:hAnsi="Times New Roman"/>
          <w:noProof/>
          <w:sz w:val="24"/>
          <w:lang w:val="fr-BE"/>
        </w:rPr>
        <w:t xml:space="preserve"> </w:t>
      </w:r>
      <w:r>
        <w:rPr>
          <w:rFonts w:ascii="Times New Roman" w:hAnsi="Times New Roman"/>
          <w:i/>
          <w:noProof/>
          <w:sz w:val="24"/>
          <w:lang w:val="fr-BE"/>
        </w:rPr>
        <w:t>SNB-REACT</w:t>
      </w:r>
      <w:r>
        <w:rPr>
          <w:rFonts w:ascii="Times New Roman" w:hAnsi="Times New Roman"/>
          <w:noProof/>
          <w:sz w:val="24"/>
          <w:lang w:val="fr-BE"/>
        </w:rPr>
        <w:t xml:space="preserve"> — Demande de décision préjudicielle du Tallinna Ringkonnakohus (République d’Estonie) le 1</w:t>
      </w:r>
      <w:r>
        <w:rPr>
          <w:rFonts w:ascii="Times New Roman" w:hAnsi="Times New Roman"/>
          <w:noProof/>
          <w:sz w:val="24"/>
          <w:vertAlign w:val="superscript"/>
          <w:lang w:val="fr-BE"/>
        </w:rPr>
        <w:t>er </w:t>
      </w:r>
      <w:r>
        <w:rPr>
          <w:rFonts w:ascii="Times New Roman" w:hAnsi="Times New Roman"/>
          <w:noProof/>
          <w:sz w:val="24"/>
          <w:lang w:val="fr-BE"/>
        </w:rPr>
        <w:t>septembre 2017</w:t>
      </w:r>
    </w:p>
    <w:sectPr w:rsidR="0070369F">
      <w:headerReference w:type="even" r:id="rId64"/>
      <w:headerReference w:type="default" r:id="rId65"/>
      <w:footerReference w:type="even" r:id="rId66"/>
      <w:footerReference w:type="default" r:id="rId67"/>
      <w:headerReference w:type="first" r:id="rId68"/>
      <w:footerReference w:type="first" r:id="rId69"/>
      <w:pgSz w:w="11906" w:h="16838"/>
      <w:pgMar w:top="1103"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DB4AB" w15:done="0"/>
  <w15:commentEx w15:paraId="566EB129" w15:done="0"/>
  <w15:commentEx w15:paraId="6D85A394" w15:done="0"/>
  <w15:commentEx w15:paraId="66DE0D8F" w15:done="0"/>
  <w15:commentEx w15:paraId="0C7ABB73" w15:done="0"/>
  <w15:commentEx w15:paraId="5D9AB84A" w15:done="0"/>
  <w15:commentEx w15:paraId="010B1AC1" w15:done="0"/>
  <w15:commentEx w15:paraId="793C0824" w15:done="0"/>
  <w15:commentEx w15:paraId="7543015F" w15:done="0"/>
  <w15:commentEx w15:paraId="0A604A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9F" w:rsidRDefault="00B36066">
      <w:pPr>
        <w:spacing w:after="0" w:line="240" w:lineRule="auto"/>
      </w:pPr>
      <w:r>
        <w:separator/>
      </w:r>
    </w:p>
  </w:endnote>
  <w:endnote w:type="continuationSeparator" w:id="0">
    <w:p w:rsidR="0070369F" w:rsidRDefault="00B3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B3606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75218"/>
      <w:docPartObj>
        <w:docPartGallery w:val="Page Numbers (Bottom of Page)"/>
        <w:docPartUnique/>
      </w:docPartObj>
    </w:sdtPr>
    <w:sdtEndPr>
      <w:rPr>
        <w:rFonts w:ascii="Times New Roman" w:hAnsi="Times New Roman" w:cs="Times New Roman"/>
        <w:noProof/>
      </w:rPr>
    </w:sdtEndPr>
    <w:sdtContent>
      <w:p w:rsidR="0070369F" w:rsidRDefault="00B36066">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70369F" w:rsidRDefault="007036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9F" w:rsidRDefault="00B36066">
      <w:pPr>
        <w:spacing w:after="0" w:line="240" w:lineRule="auto"/>
      </w:pPr>
      <w:r>
        <w:separator/>
      </w:r>
    </w:p>
  </w:footnote>
  <w:footnote w:type="continuationSeparator" w:id="0">
    <w:p w:rsidR="0070369F" w:rsidRDefault="00B36066">
      <w:pPr>
        <w:spacing w:after="0" w:line="240" w:lineRule="auto"/>
      </w:pPr>
      <w:r>
        <w:continuationSeparator/>
      </w:r>
    </w:p>
  </w:footnote>
  <w:footnote w:id="1">
    <w:p w:rsidR="0070369F" w:rsidRDefault="00B36066">
      <w:pPr>
        <w:pStyle w:val="FootnoteText"/>
        <w:jc w:val="both"/>
        <w:rPr>
          <w:lang w:val="fr-BE"/>
        </w:rPr>
      </w:pPr>
      <w:r>
        <w:rPr>
          <w:rStyle w:val="FootnoteReference"/>
        </w:rPr>
        <w:footnoteRef/>
      </w:r>
      <w:r>
        <w:rPr>
          <w:lang w:val="fr-BE"/>
        </w:rPr>
        <w:t xml:space="preserve"> Directive 2004/48/CE du Parlement européen et du Conseil du 29 avril 2004 relative au respect des droits de propriété intellectuelle (JO L 157 du 30.4.2004, p. 45-86).</w:t>
      </w:r>
    </w:p>
  </w:footnote>
  <w:footnote w:id="2">
    <w:p w:rsidR="0070369F" w:rsidRDefault="00B36066">
      <w:pPr>
        <w:pStyle w:val="FootnoteText"/>
        <w:jc w:val="both"/>
        <w:rPr>
          <w:lang w:val="fr-BE"/>
        </w:rPr>
      </w:pPr>
      <w:r>
        <w:rPr>
          <w:rStyle w:val="FootnoteReference"/>
        </w:rPr>
        <w:footnoteRef/>
      </w:r>
      <w:r>
        <w:rPr>
          <w:lang w:val="fr-BE"/>
        </w:rPr>
        <w:t xml:space="preserve"> Considérant 10 de la directive IPRED.</w:t>
      </w:r>
    </w:p>
  </w:footnote>
  <w:footnote w:id="3">
    <w:p w:rsidR="0070369F" w:rsidRDefault="00B36066">
      <w:pPr>
        <w:pStyle w:val="FootnoteText"/>
        <w:jc w:val="both"/>
        <w:rPr>
          <w:lang w:val="fr-BE"/>
        </w:rPr>
      </w:pPr>
      <w:r>
        <w:rPr>
          <w:rStyle w:val="FootnoteReference"/>
        </w:rPr>
        <w:footnoteRef/>
      </w:r>
      <w:r>
        <w:rPr>
          <w:lang w:val="fr-BE"/>
        </w:rPr>
        <w:t xml:space="preserve"> Document de travail des services de la Commission (CSWD) – Évaluation de la directive 2004/48/CE du Parlement européen et du Conseil du 29 avril 2004 relative au respect des droits de propriété intellectuelle, SWD(2017) 431. </w:t>
      </w:r>
    </w:p>
  </w:footnote>
  <w:footnote w:id="4">
    <w:p w:rsidR="0070369F" w:rsidRDefault="00B36066">
      <w:pPr>
        <w:pStyle w:val="FootnoteText"/>
        <w:jc w:val="both"/>
        <w:rPr>
          <w:lang w:val="fr-BE"/>
        </w:rPr>
      </w:pPr>
      <w:r>
        <w:rPr>
          <w:rStyle w:val="FootnoteReference"/>
        </w:rPr>
        <w:footnoteRef/>
      </w:r>
      <w:r>
        <w:rPr>
          <w:lang w:val="fr-BE"/>
        </w:rPr>
        <w:t xml:space="preserve"> En particulier, selon la de</w:t>
      </w:r>
      <w:r>
        <w:rPr>
          <w:lang w:val="fr-BE"/>
        </w:rPr>
        <w:t>rnière consultation en date sur la directive (résultats disponibles à l’adresse suivante: http://ec.europa.eu/DocsRoom/documents/18661), si la majorité des répondants ont estimé que les règles existantes ont contribué de manière efficace à protéger les DPI</w:t>
      </w:r>
      <w:r>
        <w:rPr>
          <w:lang w:val="fr-BE"/>
        </w:rPr>
        <w:t xml:space="preserve"> et à prévenir les atteintes aux DPI, de nombreux titulaires de droits et intermédiaires en particulier considèrent que les mesures, les procédures et les réparations prévues par la directive ne sont pas appliquées de manière homogène par les États membres</w:t>
      </w:r>
      <w:r>
        <w:rPr>
          <w:lang w:val="fr-BE"/>
        </w:rPr>
        <w:t>.</w:t>
      </w:r>
    </w:p>
  </w:footnote>
  <w:footnote w:id="5">
    <w:p w:rsidR="0070369F" w:rsidRDefault="00B36066">
      <w:pPr>
        <w:pStyle w:val="FootnoteText"/>
        <w:rPr>
          <w:lang w:val="fr-BE"/>
        </w:rPr>
      </w:pPr>
      <w:r>
        <w:rPr>
          <w:rStyle w:val="FootnoteReference"/>
        </w:rPr>
        <w:footnoteRef/>
      </w:r>
      <w:r>
        <w:rPr>
          <w:lang w:val="fr-BE"/>
        </w:rPr>
        <w:t xml:space="preserve"> CSWD– Évaluation de la directive 2004/48/CE; annexe II – Synthèse du rapport.</w:t>
      </w:r>
    </w:p>
  </w:footnote>
  <w:footnote w:id="6">
    <w:p w:rsidR="0070369F" w:rsidRDefault="00B36066">
      <w:pPr>
        <w:pStyle w:val="FootnoteText"/>
        <w:jc w:val="both"/>
        <w:rPr>
          <w:lang w:val="fr-BE"/>
        </w:rPr>
      </w:pPr>
      <w:r>
        <w:rPr>
          <w:rStyle w:val="FootnoteReference"/>
        </w:rPr>
        <w:footnoteRef/>
      </w:r>
      <w:r>
        <w:rPr>
          <w:lang w:val="fr-BE"/>
        </w:rPr>
        <w:t xml:space="preserve"> Articles 12 à 15 de la directive 2000/31/CE du Parlement européen et du Conseil du 8 juin 2000 relative à certains aspects juridiques des services de la société de l'inform</w:t>
      </w:r>
      <w:r>
        <w:rPr>
          <w:lang w:val="fr-BE"/>
        </w:rPr>
        <w:t>ation, et notamment du commerce électronique, dans le marché intérieur (JO L 178 du 17.7.2000, p. 1).</w:t>
      </w:r>
    </w:p>
  </w:footnote>
  <w:footnote w:id="7">
    <w:p w:rsidR="0070369F" w:rsidRDefault="00B36066">
      <w:pPr>
        <w:pStyle w:val="FootnoteText"/>
        <w:jc w:val="both"/>
        <w:rPr>
          <w:lang w:val="fr-BE"/>
        </w:rPr>
      </w:pPr>
      <w:r>
        <w:rPr>
          <w:rStyle w:val="FootnoteReference"/>
        </w:rPr>
        <w:footnoteRef/>
      </w:r>
      <w:r>
        <w:rPr>
          <w:lang w:val="fr-BE"/>
        </w:rPr>
        <w:t xml:space="preserve"> Communication de la Commission intitulée </w:t>
      </w:r>
      <w:r>
        <w:rPr>
          <w:i/>
          <w:lang w:val="fr-BE"/>
        </w:rPr>
        <w:t>«Les plateformes en ligne et le marché unique numérique - Perspectives et défis pour l’Europe»</w:t>
      </w:r>
      <w:r>
        <w:rPr>
          <w:lang w:val="fr-BE"/>
        </w:rPr>
        <w:t>, COM(2016) 288 f</w:t>
      </w:r>
      <w:r>
        <w:rPr>
          <w:lang w:val="fr-BE"/>
        </w:rPr>
        <w:t>inal.</w:t>
      </w:r>
    </w:p>
  </w:footnote>
  <w:footnote w:id="8">
    <w:p w:rsidR="0070369F" w:rsidRDefault="00B36066">
      <w:pPr>
        <w:pStyle w:val="FootnoteText"/>
        <w:jc w:val="both"/>
        <w:rPr>
          <w:lang w:val="fr-BE"/>
        </w:rPr>
      </w:pPr>
      <w:r>
        <w:rPr>
          <w:rStyle w:val="FootnoteReference"/>
        </w:rPr>
        <w:footnoteRef/>
      </w:r>
      <w:r>
        <w:rPr>
          <w:lang w:val="fr-BE"/>
        </w:rPr>
        <w:t xml:space="preserve"> Communication de la Commission intitulée </w:t>
      </w:r>
      <w:r>
        <w:rPr>
          <w:i/>
          <w:lang w:val="fr-BE"/>
        </w:rPr>
        <w:t>«Lutter contre le contenu illicite en ligne – Pour une responsabilité accrue des plateformes en ligne»</w:t>
      </w:r>
      <w:r>
        <w:rPr>
          <w:lang w:val="fr-BE"/>
        </w:rPr>
        <w:t xml:space="preserve">, COM(2017) 555 final du 28.9.2017. </w:t>
      </w:r>
    </w:p>
  </w:footnote>
  <w:footnote w:id="9">
    <w:p w:rsidR="0070369F" w:rsidRDefault="00B36066">
      <w:pPr>
        <w:pStyle w:val="FootnoteText"/>
        <w:jc w:val="both"/>
        <w:rPr>
          <w:lang w:val="fr-BE"/>
        </w:rPr>
      </w:pPr>
      <w:r>
        <w:rPr>
          <w:rStyle w:val="FootnoteReference"/>
        </w:rPr>
        <w:footnoteRef/>
      </w:r>
      <w:r>
        <w:rPr>
          <w:lang w:val="fr-BE"/>
        </w:rPr>
        <w:t xml:space="preserve"> Telles qu’identifiées par le CSWD– Évaluation de la directive 2004</w:t>
      </w:r>
      <w:r>
        <w:rPr>
          <w:lang w:val="fr-BE"/>
        </w:rPr>
        <w:t>/48/CE.</w:t>
      </w:r>
    </w:p>
  </w:footnote>
  <w:footnote w:id="10">
    <w:p w:rsidR="0070369F" w:rsidRDefault="00B36066">
      <w:pPr>
        <w:pStyle w:val="FootnoteText"/>
        <w:jc w:val="both"/>
        <w:rPr>
          <w:lang w:val="fr-BE"/>
        </w:rPr>
      </w:pPr>
      <w:r>
        <w:rPr>
          <w:rStyle w:val="FootnoteReference"/>
        </w:rPr>
        <w:footnoteRef/>
      </w:r>
      <w:r>
        <w:rPr>
          <w:lang w:val="fr-BE"/>
        </w:rPr>
        <w:t xml:space="preserve"> COM(2017) 707. </w:t>
      </w:r>
    </w:p>
  </w:footnote>
  <w:footnote w:id="11">
    <w:p w:rsidR="0070369F" w:rsidRDefault="00B36066">
      <w:pPr>
        <w:pStyle w:val="FootnoteText"/>
        <w:jc w:val="both"/>
        <w:rPr>
          <w:lang w:val="fr-BE"/>
        </w:rPr>
      </w:pPr>
      <w:r>
        <w:rPr>
          <w:rStyle w:val="FootnoteReference"/>
        </w:rPr>
        <w:footnoteRef/>
      </w:r>
      <w:r>
        <w:rPr>
          <w:lang w:val="fr-BE"/>
        </w:rPr>
        <w:t xml:space="preserve"> Consultation sur l’évaluation et la modernisation du cadre législatif pour la mise en œuvre des DPI, p. 26 à 28.</w:t>
      </w:r>
    </w:p>
  </w:footnote>
  <w:footnote w:id="12">
    <w:p w:rsidR="0070369F" w:rsidRDefault="00B36066">
      <w:pPr>
        <w:pStyle w:val="FootnoteText"/>
        <w:jc w:val="both"/>
        <w:rPr>
          <w:lang w:val="fr-BE"/>
        </w:rPr>
      </w:pPr>
      <w:r>
        <w:rPr>
          <w:rStyle w:val="FootnoteReference"/>
        </w:rPr>
        <w:footnoteRef/>
      </w:r>
      <w:r>
        <w:rPr>
          <w:lang w:val="fr-BE"/>
        </w:rPr>
        <w:t xml:space="preserve"> </w:t>
      </w:r>
      <w:r>
        <w:rPr>
          <w:i/>
          <w:lang w:val="fr-BE"/>
        </w:rPr>
        <w:t>Ibidem</w:t>
      </w:r>
      <w:r>
        <w:rPr>
          <w:lang w:val="fr-BE"/>
        </w:rPr>
        <w:t>, p. 10. Les principales raisons exposées par les PME pour expliquer qu’elles n’engagent pas d'action en ju</w:t>
      </w:r>
      <w:r>
        <w:rPr>
          <w:lang w:val="fr-BE"/>
        </w:rPr>
        <w:t>stice sont liées aux coûts de telles procédures, au manque de ressources et à l’impossibilité de prévoir l’issue de la démarche.</w:t>
      </w:r>
    </w:p>
  </w:footnote>
  <w:footnote w:id="13">
    <w:p w:rsidR="0070369F" w:rsidRDefault="00B36066">
      <w:pPr>
        <w:pStyle w:val="FootnoteText"/>
        <w:jc w:val="both"/>
        <w:rPr>
          <w:lang w:val="fr-BE"/>
        </w:rPr>
      </w:pPr>
      <w:r>
        <w:rPr>
          <w:rStyle w:val="FootnoteReference"/>
        </w:rPr>
        <w:footnoteRef/>
      </w:r>
      <w:r>
        <w:rPr>
          <w:lang w:val="fr-BE"/>
        </w:rPr>
        <w:t xml:space="preserve"> Arrêt de la Cour (cinquième chambre) du 17 mars 2016 dans l'affaire </w:t>
      </w:r>
      <w:hyperlink r:id="rId1">
        <w:r>
          <w:rPr>
            <w:rStyle w:val="Hyperlink"/>
            <w:lang w:val="fr-BE"/>
          </w:rPr>
          <w:t>C-99/15</w:t>
        </w:r>
      </w:hyperlink>
      <w:r>
        <w:rPr>
          <w:lang w:val="fr-BE"/>
        </w:rPr>
        <w:t xml:space="preserve">, </w:t>
      </w:r>
      <w:r>
        <w:rPr>
          <w:i/>
          <w:lang w:val="fr-BE"/>
        </w:rPr>
        <w:t>Christian Liffers contre Producciones Mandarina SL et Mediaset España Comunicación SA, ancienne</w:t>
      </w:r>
      <w:r>
        <w:rPr>
          <w:i/>
          <w:lang w:val="fr-BE"/>
        </w:rPr>
        <w:t>ment Gestevisión Telecinco SA</w:t>
      </w:r>
      <w:r>
        <w:rPr>
          <w:lang w:val="fr-BE"/>
        </w:rPr>
        <w:t>, EU:C:2016:173, point 25.</w:t>
      </w:r>
    </w:p>
  </w:footnote>
  <w:footnote w:id="14">
    <w:p w:rsidR="0070369F" w:rsidRDefault="00B36066">
      <w:pPr>
        <w:pStyle w:val="FootnoteText"/>
        <w:jc w:val="both"/>
        <w:rPr>
          <w:lang w:val="fr-BE"/>
        </w:rPr>
      </w:pPr>
      <w:r>
        <w:rPr>
          <w:rStyle w:val="FootnoteReference"/>
        </w:rPr>
        <w:footnoteRef/>
      </w:r>
      <w:r>
        <w:rPr>
          <w:lang w:val="fr-BE"/>
        </w:rPr>
        <w:t xml:space="preserve"> Considérant 26 de la directive IPRED.</w:t>
      </w:r>
    </w:p>
  </w:footnote>
  <w:footnote w:id="15">
    <w:p w:rsidR="0070369F" w:rsidRDefault="00B36066">
      <w:pPr>
        <w:pStyle w:val="FootnoteText"/>
        <w:jc w:val="both"/>
        <w:rPr>
          <w:lang w:val="fr-BE"/>
        </w:rPr>
      </w:pPr>
      <w:r>
        <w:rPr>
          <w:rStyle w:val="FootnoteReference"/>
        </w:rPr>
        <w:footnoteRef/>
      </w:r>
      <w:r>
        <w:rPr>
          <w:lang w:val="fr-BE"/>
        </w:rPr>
        <w:t xml:space="preserve"> CSWD – Évaluation de la directive 2004/48/CE, annexe II - Synthèse du rapport.</w:t>
      </w:r>
    </w:p>
  </w:footnote>
  <w:footnote w:id="16">
    <w:p w:rsidR="0070369F" w:rsidRDefault="00B36066">
      <w:pPr>
        <w:pStyle w:val="FootnoteText"/>
        <w:jc w:val="both"/>
        <w:rPr>
          <w:lang w:val="fr-BE"/>
        </w:rPr>
      </w:pPr>
      <w:r>
        <w:rPr>
          <w:rStyle w:val="FootnoteReference"/>
        </w:rPr>
        <w:footnoteRef/>
      </w:r>
      <w:r>
        <w:rPr>
          <w:lang w:val="fr-BE"/>
        </w:rPr>
        <w:t xml:space="preserve"> CSWD – Évaluation de la directive 2004/48/CE, p. 17, et annexe III.</w:t>
      </w:r>
    </w:p>
  </w:footnote>
  <w:footnote w:id="17">
    <w:p w:rsidR="0070369F" w:rsidRDefault="00B36066">
      <w:pPr>
        <w:pStyle w:val="FootnoteText"/>
        <w:jc w:val="both"/>
        <w:rPr>
          <w:lang w:val="fr-BE"/>
        </w:rPr>
      </w:pPr>
      <w:r>
        <w:rPr>
          <w:rStyle w:val="FootnoteReference"/>
        </w:rPr>
        <w:footnoteRef/>
      </w:r>
      <w:r>
        <w:rPr>
          <w:lang w:val="fr-BE"/>
        </w:rPr>
        <w:t xml:space="preserve"> Observa</w:t>
      </w:r>
      <w:r>
        <w:rPr>
          <w:lang w:val="fr-BE"/>
        </w:rPr>
        <w:t xml:space="preserve">toire européen des atteintes aux droits de propriété intellectuelle </w:t>
      </w:r>
      <w:r>
        <w:rPr>
          <w:i/>
          <w:lang w:val="fr-BE"/>
        </w:rPr>
        <w:t>«Damages in Intellectual Property Rights»</w:t>
      </w:r>
      <w:r>
        <w:rPr>
          <w:lang w:val="fr-BE"/>
        </w:rPr>
        <w:t>, p. 4.</w:t>
      </w:r>
    </w:p>
  </w:footnote>
  <w:footnote w:id="18">
    <w:p w:rsidR="0070369F" w:rsidRDefault="00B36066">
      <w:pPr>
        <w:pStyle w:val="FootnoteText"/>
        <w:jc w:val="both"/>
        <w:rPr>
          <w:lang w:val="fr-BE"/>
        </w:rPr>
      </w:pPr>
      <w:r>
        <w:rPr>
          <w:rStyle w:val="FootnoteReference"/>
        </w:rPr>
        <w:footnoteRef/>
      </w:r>
      <w:r>
        <w:rPr>
          <w:lang w:val="fr-BE"/>
        </w:rPr>
        <w:t xml:space="preserve"> </w:t>
      </w:r>
      <w:hyperlink r:id="rId2">
        <w:r>
          <w:rPr>
            <w:rStyle w:val="Hyperlink"/>
            <w:lang w:val="fr-BE"/>
          </w:rPr>
          <w:t>C-99/15</w:t>
        </w:r>
      </w:hyperlink>
      <w:r>
        <w:rPr>
          <w:lang w:val="fr-BE"/>
        </w:rPr>
        <w:t xml:space="preserve"> </w:t>
      </w:r>
      <w:r>
        <w:rPr>
          <w:i/>
          <w:lang w:val="fr-BE"/>
        </w:rPr>
        <w:t>Liffers</w:t>
      </w:r>
      <w:r>
        <w:rPr>
          <w:lang w:val="fr-BE"/>
        </w:rPr>
        <w:t>, points 15 à 27.</w:t>
      </w:r>
      <w:r>
        <w:rPr>
          <w:i/>
          <w:lang w:val="fr-BE"/>
        </w:rPr>
        <w:t xml:space="preserve"> </w:t>
      </w:r>
    </w:p>
  </w:footnote>
  <w:footnote w:id="19">
    <w:p w:rsidR="0070369F" w:rsidRDefault="00B36066">
      <w:pPr>
        <w:pStyle w:val="FootnoteText"/>
        <w:rPr>
          <w:lang w:val="fr-BE"/>
        </w:rPr>
      </w:pPr>
      <w:r>
        <w:rPr>
          <w:rStyle w:val="FootnoteReference"/>
        </w:rPr>
        <w:footnoteRef/>
      </w:r>
      <w:r>
        <w:rPr>
          <w:lang w:val="fr-BE"/>
        </w:rPr>
        <w:t xml:space="preserve"> CSWD – Évaluation de la directive 2004/48/CE, annexe III.</w:t>
      </w:r>
    </w:p>
  </w:footnote>
  <w:footnote w:id="20">
    <w:p w:rsidR="0070369F" w:rsidRDefault="00B36066">
      <w:pPr>
        <w:pStyle w:val="FootnoteText"/>
        <w:jc w:val="both"/>
        <w:rPr>
          <w:lang w:val="pl-PL"/>
        </w:rPr>
      </w:pPr>
      <w:r>
        <w:rPr>
          <w:rStyle w:val="FootnoteReference"/>
        </w:rPr>
        <w:footnoteRef/>
      </w:r>
      <w:r>
        <w:rPr>
          <w:lang w:val="pl-PL"/>
        </w:rPr>
        <w:t xml:space="preserve"> Arrêt de la Cour (cinquième chambre) du 25 janvier 2017, </w:t>
      </w:r>
      <w:hyperlink r:id="rId3">
        <w:r>
          <w:rPr>
            <w:rStyle w:val="Hyperlink"/>
            <w:lang w:val="pl-PL"/>
          </w:rPr>
          <w:t>C-367/15</w:t>
        </w:r>
      </w:hyperlink>
      <w:r>
        <w:rPr>
          <w:lang w:val="pl-PL"/>
        </w:rPr>
        <w:t xml:space="preserve">, </w:t>
      </w:r>
      <w:r>
        <w:rPr>
          <w:i/>
          <w:lang w:val="pl-PL"/>
        </w:rPr>
        <w:t>Stowarzyszenie “Oławska Telewizja Kablowa” w Oławie contre Stowarzyszenie Filmowców Polskich w</w:t>
      </w:r>
      <w:r>
        <w:rPr>
          <w:i/>
          <w:lang w:val="pl-PL"/>
        </w:rPr>
        <w:t xml:space="preserve"> Warszawie, </w:t>
      </w:r>
      <w:r>
        <w:rPr>
          <w:lang w:val="pl-PL"/>
        </w:rPr>
        <w:t>EU:C:2017:36.</w:t>
      </w:r>
    </w:p>
  </w:footnote>
  <w:footnote w:id="21">
    <w:p w:rsidR="0070369F" w:rsidRDefault="00B36066">
      <w:pPr>
        <w:pStyle w:val="FootnoteText"/>
        <w:jc w:val="both"/>
        <w:rPr>
          <w:b/>
          <w:lang w:val="fr-BE"/>
        </w:rPr>
      </w:pPr>
      <w:r>
        <w:rPr>
          <w:rStyle w:val="FootnoteReference"/>
        </w:rPr>
        <w:footnoteRef/>
      </w:r>
      <w:r>
        <w:rPr>
          <w:lang w:val="fr-BE"/>
        </w:rPr>
        <w:t xml:space="preserve"> </w:t>
      </w:r>
      <w:hyperlink r:id="rId4">
        <w:r>
          <w:rPr>
            <w:rStyle w:val="Hyperlink"/>
            <w:lang w:val="fr-BE"/>
          </w:rPr>
          <w:t>C-367/15</w:t>
        </w:r>
      </w:hyperlink>
      <w:r>
        <w:rPr>
          <w:rStyle w:val="Hyperlink"/>
          <w:u w:val="none"/>
          <w:lang w:val="fr-BE"/>
        </w:rPr>
        <w:t xml:space="preserve"> </w:t>
      </w:r>
      <w:r>
        <w:rPr>
          <w:rStyle w:val="Hyperlink"/>
          <w:i/>
          <w:color w:val="auto"/>
          <w:u w:val="none"/>
          <w:lang w:val="fr-BE"/>
        </w:rPr>
        <w:t>OTK</w:t>
      </w:r>
      <w:r>
        <w:rPr>
          <w:rStyle w:val="Hyperlink"/>
          <w:color w:val="auto"/>
          <w:u w:val="none"/>
          <w:lang w:val="fr-BE"/>
        </w:rPr>
        <w:t xml:space="preserve">, point 30. Cf. également </w:t>
      </w:r>
      <w:hyperlink r:id="rId5">
        <w:r>
          <w:rPr>
            <w:rStyle w:val="Hyperlink"/>
            <w:lang w:val="fr-BE"/>
          </w:rPr>
          <w:t>C-99/15</w:t>
        </w:r>
      </w:hyperlink>
      <w:r>
        <w:rPr>
          <w:lang w:val="fr-BE"/>
        </w:rPr>
        <w:t xml:space="preserve"> </w:t>
      </w:r>
      <w:r>
        <w:rPr>
          <w:i/>
          <w:lang w:val="fr-BE"/>
        </w:rPr>
        <w:t>Liffers</w:t>
      </w:r>
      <w:r>
        <w:rPr>
          <w:lang w:val="fr-BE"/>
        </w:rPr>
        <w:t xml:space="preserve">, </w:t>
      </w:r>
      <w:r>
        <w:rPr>
          <w:rStyle w:val="Hyperlink"/>
          <w:color w:val="auto"/>
          <w:u w:val="none"/>
          <w:lang w:val="fr-BE"/>
        </w:rPr>
        <w:t>point 18.</w:t>
      </w:r>
    </w:p>
  </w:footnote>
  <w:footnote w:id="22">
    <w:p w:rsidR="0070369F" w:rsidRDefault="00B36066">
      <w:pPr>
        <w:pStyle w:val="FootnoteText"/>
        <w:jc w:val="both"/>
        <w:rPr>
          <w:lang w:val="fr-BE"/>
        </w:rPr>
      </w:pPr>
      <w:r>
        <w:rPr>
          <w:rStyle w:val="FootnoteReference"/>
        </w:rPr>
        <w:footnoteRef/>
      </w:r>
      <w:r>
        <w:rPr>
          <w:lang w:val="fr-BE"/>
        </w:rPr>
        <w:t xml:space="preserve"> </w:t>
      </w:r>
      <w:hyperlink r:id="rId6">
        <w:r>
          <w:rPr>
            <w:rStyle w:val="Hyperlink"/>
            <w:lang w:val="fr-BE"/>
          </w:rPr>
          <w:t>C-367/15</w:t>
        </w:r>
      </w:hyperlink>
      <w:r>
        <w:rPr>
          <w:lang w:val="fr-BE"/>
        </w:rPr>
        <w:t xml:space="preserve"> </w:t>
      </w:r>
      <w:r>
        <w:rPr>
          <w:i/>
          <w:lang w:val="fr-BE"/>
        </w:rPr>
        <w:t>OTK</w:t>
      </w:r>
      <w:r>
        <w:rPr>
          <w:lang w:val="fr-BE"/>
        </w:rPr>
        <w:t>, points 26 et 32.</w:t>
      </w:r>
    </w:p>
  </w:footnote>
  <w:footnote w:id="23">
    <w:p w:rsidR="0070369F" w:rsidRDefault="00B36066">
      <w:pPr>
        <w:pStyle w:val="FootnoteText"/>
        <w:jc w:val="both"/>
        <w:rPr>
          <w:lang w:val="fr-BE"/>
        </w:rPr>
      </w:pPr>
      <w:r>
        <w:rPr>
          <w:rStyle w:val="FootnoteReference"/>
        </w:rPr>
        <w:footnoteRef/>
      </w:r>
      <w:r>
        <w:rPr>
          <w:lang w:val="fr-BE"/>
        </w:rPr>
        <w:t xml:space="preserve"> Une habilitation similaire, même si elle n’est applicable que dans des circonstances particulières, a été incluse dans l’article 17 de la directive 2014/104/UE du Parlement europ</w:t>
      </w:r>
      <w:r>
        <w:rPr>
          <w:lang w:val="fr-BE"/>
        </w:rPr>
        <w:t>éen et du Conseil du 26 novembre 2014 relative à certaines règles régissant les actions en dommages et intérêts en droit national pour les atteintes aux dispositions du droit de la concurrence des États membres et de l'Union européenne (JO L 349 du 5.12.20</w:t>
      </w:r>
      <w:r>
        <w:rPr>
          <w:lang w:val="fr-BE"/>
        </w:rPr>
        <w:t>14, p. 1-19).</w:t>
      </w:r>
    </w:p>
  </w:footnote>
  <w:footnote w:id="24">
    <w:p w:rsidR="0070369F" w:rsidRDefault="00B36066">
      <w:pPr>
        <w:pStyle w:val="FootnoteText"/>
        <w:jc w:val="both"/>
        <w:rPr>
          <w:lang w:val="fr-BE"/>
        </w:rPr>
      </w:pPr>
      <w:r>
        <w:rPr>
          <w:rStyle w:val="FootnoteReference"/>
        </w:rPr>
        <w:footnoteRef/>
      </w:r>
      <w:r>
        <w:rPr>
          <w:lang w:val="fr-BE"/>
        </w:rPr>
        <w:t xml:space="preserve"> Consultation sur l’évaluation et la modernisation du cadre législatif pour la mise en œuvre des DPI, p. 28 à 30.</w:t>
      </w:r>
    </w:p>
  </w:footnote>
  <w:footnote w:id="25">
    <w:p w:rsidR="0070369F" w:rsidRDefault="00B36066">
      <w:pPr>
        <w:pStyle w:val="FootnoteText"/>
        <w:jc w:val="both"/>
        <w:rPr>
          <w:lang w:val="fr-BE"/>
        </w:rPr>
      </w:pPr>
      <w:r>
        <w:rPr>
          <w:rStyle w:val="FootnoteReference"/>
        </w:rPr>
        <w:footnoteRef/>
      </w:r>
      <w:r>
        <w:rPr>
          <w:lang w:val="fr-BE"/>
        </w:rPr>
        <w:t xml:space="preserve"> CSWD– Évaluation de la directive 2004/48/CE, p. 20, et annexe III.</w:t>
      </w:r>
    </w:p>
  </w:footnote>
  <w:footnote w:id="26">
    <w:p w:rsidR="0070369F" w:rsidRDefault="00B36066">
      <w:pPr>
        <w:pStyle w:val="FootnoteText"/>
        <w:jc w:val="both"/>
        <w:rPr>
          <w:lang w:val="fr-BE"/>
        </w:rPr>
      </w:pPr>
      <w:r>
        <w:rPr>
          <w:rStyle w:val="FootnoteReference"/>
        </w:rPr>
        <w:footnoteRef/>
      </w:r>
      <w:r>
        <w:rPr>
          <w:lang w:val="fr-BE"/>
        </w:rPr>
        <w:t xml:space="preserve"> Arrêt de la Cour (quatrième chambre) du 16 juillet 2015 </w:t>
      </w:r>
      <w:r>
        <w:rPr>
          <w:lang w:val="fr-BE"/>
        </w:rPr>
        <w:t xml:space="preserve">dans l'affaire </w:t>
      </w:r>
      <w:hyperlink r:id="rId7">
        <w:r>
          <w:rPr>
            <w:rStyle w:val="Hyperlink"/>
            <w:lang w:val="fr-BE"/>
          </w:rPr>
          <w:t>C-681/13</w:t>
        </w:r>
      </w:hyperlink>
      <w:r>
        <w:rPr>
          <w:lang w:val="fr-BE"/>
        </w:rPr>
        <w:t xml:space="preserve">, </w:t>
      </w:r>
      <w:r>
        <w:rPr>
          <w:i/>
          <w:lang w:val="fr-BE"/>
        </w:rPr>
        <w:t>Diageo Brands BV contre Simiramida-04 EOOD,</w:t>
      </w:r>
      <w:r>
        <w:rPr>
          <w:lang w:val="fr-BE"/>
        </w:rPr>
        <w:t xml:space="preserve"> EU:C:2015:471</w:t>
      </w:r>
      <w:r>
        <w:rPr>
          <w:rStyle w:val="Hyperlink"/>
          <w:lang w:val="fr-BE"/>
        </w:rPr>
        <w:t>.</w:t>
      </w:r>
    </w:p>
  </w:footnote>
  <w:footnote w:id="27">
    <w:p w:rsidR="0070369F" w:rsidRDefault="00B36066">
      <w:pPr>
        <w:pStyle w:val="FootnoteText"/>
        <w:jc w:val="both"/>
        <w:rPr>
          <w:lang w:val="fr-BE"/>
        </w:rPr>
      </w:pPr>
      <w:r>
        <w:rPr>
          <w:rStyle w:val="FootnoteReference"/>
        </w:rPr>
        <w:footnoteRef/>
      </w:r>
      <w:r>
        <w:rPr>
          <w:lang w:val="fr-BE"/>
        </w:rPr>
        <w:t xml:space="preserve"> Arrêt de la Cour</w:t>
      </w:r>
      <w:r>
        <w:rPr>
          <w:lang w:val="fr-BE"/>
        </w:rPr>
        <w:t xml:space="preserve"> (quatrième chambre) du 18 octobre 2011 dans l'affaire</w:t>
      </w:r>
      <w:hyperlink r:id="rId8">
        <w:r>
          <w:rPr>
            <w:rStyle w:val="Hyperlink"/>
            <w:lang w:val="fr-BE"/>
          </w:rPr>
          <w:t>C-406/09</w:t>
        </w:r>
      </w:hyperlink>
      <w:r>
        <w:rPr>
          <w:lang w:val="fr-BE"/>
        </w:rPr>
        <w:t xml:space="preserve">, </w:t>
      </w:r>
      <w:r>
        <w:rPr>
          <w:i/>
          <w:lang w:val="fr-BE"/>
        </w:rPr>
        <w:t xml:space="preserve">Realchemie Nederland BV contre Bayer </w:t>
      </w:r>
      <w:r>
        <w:rPr>
          <w:i/>
          <w:lang w:val="fr-BE"/>
        </w:rPr>
        <w:t>CropScience AG</w:t>
      </w:r>
      <w:r>
        <w:rPr>
          <w:lang w:val="fr-BE"/>
        </w:rPr>
        <w:t>. EU:C:2011:668.</w:t>
      </w:r>
    </w:p>
  </w:footnote>
  <w:footnote w:id="28">
    <w:p w:rsidR="0070369F" w:rsidRDefault="00B36066">
      <w:pPr>
        <w:pStyle w:val="FootnoteText"/>
        <w:jc w:val="both"/>
        <w:rPr>
          <w:lang w:val="fr-BE"/>
        </w:rPr>
      </w:pPr>
      <w:r>
        <w:rPr>
          <w:rStyle w:val="FootnoteReference"/>
        </w:rPr>
        <w:footnoteRef/>
      </w:r>
      <w:r>
        <w:rPr>
          <w:lang w:val="fr-BE"/>
        </w:rPr>
        <w:t xml:space="preserve"> </w:t>
      </w:r>
      <w:hyperlink r:id="rId9">
        <w:r>
          <w:rPr>
            <w:rStyle w:val="Hyperlink"/>
            <w:lang w:val="fr-BE"/>
          </w:rPr>
          <w:t>C-180/11</w:t>
        </w:r>
      </w:hyperlink>
      <w:r>
        <w:rPr>
          <w:rStyle w:val="Hyperlink"/>
          <w:lang w:val="fr-BE"/>
        </w:rPr>
        <w:t>,</w:t>
      </w:r>
      <w:r>
        <w:rPr>
          <w:i/>
          <w:lang w:val="fr-BE"/>
        </w:rPr>
        <w:t xml:space="preserve"> Bericap</w:t>
      </w:r>
      <w:r>
        <w:rPr>
          <w:lang w:val="fr-BE"/>
        </w:rPr>
        <w:t>, points 77-82.</w:t>
      </w:r>
    </w:p>
  </w:footnote>
  <w:footnote w:id="29">
    <w:p w:rsidR="0070369F" w:rsidRDefault="00B36066">
      <w:pPr>
        <w:pStyle w:val="FootnoteText"/>
        <w:jc w:val="both"/>
        <w:rPr>
          <w:lang w:val="fr-BE"/>
        </w:rPr>
      </w:pPr>
      <w:r>
        <w:rPr>
          <w:rStyle w:val="FootnoteReference"/>
        </w:rPr>
        <w:footnoteRef/>
      </w:r>
      <w:r>
        <w:rPr>
          <w:lang w:val="fr-BE"/>
        </w:rPr>
        <w:t xml:space="preserve"> </w:t>
      </w:r>
      <w:r>
        <w:rPr>
          <w:i/>
          <w:lang w:val="fr-BE"/>
        </w:rPr>
        <w:t>"Support study for the ex-post eva</w:t>
      </w:r>
      <w:r>
        <w:rPr>
          <w:i/>
          <w:lang w:val="fr-BE"/>
        </w:rPr>
        <w:t>luation and ex-ante impact analysis of the IPR enforcement Directive"</w:t>
      </w:r>
      <w:r>
        <w:rPr>
          <w:lang w:val="fr-BE"/>
        </w:rPr>
        <w:t>, Technopolis Group en liaison avec EY et Schalast Rechtsanwälte, 2017, p. 69 et 70.</w:t>
      </w:r>
    </w:p>
  </w:footnote>
  <w:footnote w:id="30">
    <w:p w:rsidR="0070369F" w:rsidRDefault="00B36066">
      <w:pPr>
        <w:pStyle w:val="FootnoteText"/>
        <w:jc w:val="both"/>
        <w:rPr>
          <w:lang w:val="fr-BE"/>
        </w:rPr>
      </w:pPr>
      <w:r>
        <w:rPr>
          <w:rStyle w:val="FootnoteReference"/>
        </w:rPr>
        <w:footnoteRef/>
      </w:r>
      <w:r>
        <w:rPr>
          <w:lang w:val="fr-BE"/>
        </w:rPr>
        <w:t xml:space="preserve"> Arrêt </w:t>
      </w:r>
      <w:hyperlink r:id="rId10">
        <w:r>
          <w:rPr>
            <w:rStyle w:val="Hyperlink"/>
            <w:lang w:val="fr-BE"/>
          </w:rPr>
          <w:t>C-57/15</w:t>
        </w:r>
      </w:hyperlink>
      <w:r>
        <w:rPr>
          <w:rStyle w:val="Hyperlink"/>
          <w:lang w:val="fr-BE"/>
        </w:rPr>
        <w:t>,</w:t>
      </w:r>
      <w:r>
        <w:rPr>
          <w:rStyle w:val="Hyperlink"/>
          <w:color w:val="auto"/>
          <w:u w:val="none"/>
          <w:lang w:val="fr-BE"/>
        </w:rPr>
        <w:t xml:space="preserve"> </w:t>
      </w:r>
      <w:r>
        <w:rPr>
          <w:rStyle w:val="Hyperlink"/>
          <w:i/>
          <w:color w:val="auto"/>
          <w:u w:val="none"/>
          <w:lang w:val="fr-BE"/>
        </w:rPr>
        <w:t>UVP</w:t>
      </w:r>
      <w:r>
        <w:rPr>
          <w:rStyle w:val="Hyperlink"/>
          <w:color w:val="auto"/>
          <w:u w:val="none"/>
          <w:lang w:val="fr-BE"/>
        </w:rPr>
        <w:t>, point 25.</w:t>
      </w:r>
    </w:p>
  </w:footnote>
  <w:footnote w:id="31">
    <w:p w:rsidR="0070369F" w:rsidRDefault="00B36066">
      <w:pPr>
        <w:pStyle w:val="FootnoteText"/>
        <w:jc w:val="both"/>
        <w:rPr>
          <w:lang w:val="fr-BE"/>
        </w:rPr>
      </w:pPr>
      <w:r>
        <w:rPr>
          <w:rStyle w:val="FootnoteReference"/>
        </w:rPr>
        <w:footnoteRef/>
      </w:r>
      <w:r>
        <w:rPr>
          <w:lang w:val="fr-BE"/>
        </w:rPr>
        <w:t xml:space="preserve"> Arrêt </w:t>
      </w:r>
      <w:hyperlink r:id="rId11">
        <w:r>
          <w:rPr>
            <w:rStyle w:val="Hyperlink"/>
            <w:lang w:val="fr-BE"/>
          </w:rPr>
          <w:t>C-57/15</w:t>
        </w:r>
      </w:hyperlink>
      <w:r>
        <w:rPr>
          <w:lang w:val="fr-BE"/>
        </w:rPr>
        <w:t xml:space="preserve"> </w:t>
      </w:r>
      <w:r>
        <w:rPr>
          <w:i/>
          <w:lang w:val="fr-BE"/>
        </w:rPr>
        <w:t>UV</w:t>
      </w:r>
      <w:r>
        <w:rPr>
          <w:i/>
          <w:lang w:val="fr-BE"/>
        </w:rPr>
        <w:t>P</w:t>
      </w:r>
      <w:r>
        <w:rPr>
          <w:lang w:val="fr-BE"/>
        </w:rPr>
        <w:t>, points 26-27.</w:t>
      </w:r>
    </w:p>
  </w:footnote>
  <w:footnote w:id="32">
    <w:p w:rsidR="0070369F" w:rsidRDefault="00B36066">
      <w:pPr>
        <w:pStyle w:val="FootnoteText"/>
        <w:jc w:val="both"/>
        <w:rPr>
          <w:lang w:val="fr-BE"/>
        </w:rPr>
      </w:pPr>
      <w:r>
        <w:rPr>
          <w:rStyle w:val="FootnoteReference"/>
        </w:rPr>
        <w:footnoteRef/>
      </w:r>
      <w:r>
        <w:rPr>
          <w:lang w:val="fr-BE"/>
        </w:rPr>
        <w:t xml:space="preserve"> Arrêt </w:t>
      </w:r>
      <w:hyperlink r:id="rId12">
        <w:r>
          <w:rPr>
            <w:rStyle w:val="Hyperlink"/>
            <w:lang w:val="fr-BE"/>
          </w:rPr>
          <w:t>C-57/15</w:t>
        </w:r>
      </w:hyperlink>
      <w:r>
        <w:rPr>
          <w:lang w:val="fr-BE"/>
        </w:rPr>
        <w:t xml:space="preserve"> </w:t>
      </w:r>
      <w:r>
        <w:rPr>
          <w:i/>
          <w:lang w:val="fr-BE"/>
        </w:rPr>
        <w:t>UVP</w:t>
      </w:r>
      <w:r>
        <w:rPr>
          <w:lang w:val="fr-BE"/>
        </w:rPr>
        <w:t>, points 29-30.</w:t>
      </w:r>
    </w:p>
  </w:footnote>
  <w:footnote w:id="33">
    <w:p w:rsidR="0070369F" w:rsidRDefault="00B36066">
      <w:pPr>
        <w:pStyle w:val="FootnoteText"/>
        <w:jc w:val="both"/>
        <w:rPr>
          <w:lang w:val="fr-BE"/>
        </w:rPr>
      </w:pPr>
      <w:r>
        <w:rPr>
          <w:rStyle w:val="FootnoteReference"/>
        </w:rPr>
        <w:footnoteRef/>
      </w:r>
      <w:r>
        <w:rPr>
          <w:lang w:val="fr-BE"/>
        </w:rPr>
        <w:t xml:space="preserve"> Consultation sur l’évaluation et la modernisatio</w:t>
      </w:r>
      <w:r>
        <w:rPr>
          <w:lang w:val="fr-BE"/>
        </w:rPr>
        <w:t>n du cadre législatif pour la mise en œuvre des DPI, p. 28.</w:t>
      </w:r>
    </w:p>
  </w:footnote>
  <w:footnote w:id="34">
    <w:p w:rsidR="0070369F" w:rsidRDefault="00B36066">
      <w:pPr>
        <w:pStyle w:val="FootnoteText"/>
        <w:jc w:val="both"/>
        <w:rPr>
          <w:lang w:val="fr-BE"/>
        </w:rPr>
      </w:pPr>
      <w:r>
        <w:rPr>
          <w:rStyle w:val="FootnoteReference"/>
        </w:rPr>
        <w:footnoteRef/>
      </w:r>
      <w:r>
        <w:rPr>
          <w:lang w:val="fr-BE"/>
        </w:rPr>
        <w:t xml:space="preserve"> Arrêt </w:t>
      </w:r>
      <w:hyperlink r:id="rId13">
        <w:r>
          <w:rPr>
            <w:rStyle w:val="Hyperlink"/>
            <w:lang w:val="fr-BE"/>
          </w:rPr>
          <w:t>C-406/09</w:t>
        </w:r>
      </w:hyperlink>
      <w:r>
        <w:rPr>
          <w:rStyle w:val="Hyperlink"/>
          <w:lang w:val="fr-BE"/>
        </w:rPr>
        <w:t>,</w:t>
      </w:r>
      <w:r>
        <w:rPr>
          <w:lang w:val="fr-BE"/>
        </w:rPr>
        <w:t xml:space="preserve"> </w:t>
      </w:r>
      <w:r>
        <w:rPr>
          <w:i/>
          <w:lang w:val="fr-BE"/>
        </w:rPr>
        <w:t>Realchemie</w:t>
      </w:r>
      <w:r>
        <w:rPr>
          <w:lang w:val="fr-BE"/>
        </w:rPr>
        <w:t>, point 49.</w:t>
      </w:r>
    </w:p>
  </w:footnote>
  <w:footnote w:id="35">
    <w:p w:rsidR="0070369F" w:rsidRDefault="00B36066">
      <w:pPr>
        <w:pStyle w:val="FootnoteText"/>
        <w:jc w:val="both"/>
        <w:rPr>
          <w:lang w:val="fr-BE"/>
        </w:rPr>
      </w:pPr>
      <w:r>
        <w:rPr>
          <w:rStyle w:val="FootnoteReference"/>
        </w:rPr>
        <w:footnoteRef/>
      </w:r>
      <w:r>
        <w:rPr>
          <w:lang w:val="fr-BE"/>
        </w:rPr>
        <w:t xml:space="preserve"> </w:t>
      </w:r>
      <w:r>
        <w:rPr>
          <w:lang w:val="fr-BE"/>
        </w:rPr>
        <w:t xml:space="preserve">Arrêt de la Cour (cinquième chambre) du 28 juillet 2016, </w:t>
      </w:r>
      <w:hyperlink r:id="rId14">
        <w:r>
          <w:rPr>
            <w:rStyle w:val="Hyperlink"/>
            <w:lang w:val="fr-BE"/>
          </w:rPr>
          <w:t>C-57/15</w:t>
        </w:r>
      </w:hyperlink>
      <w:r>
        <w:rPr>
          <w:lang w:val="fr-BE"/>
        </w:rPr>
        <w:t xml:space="preserve">, </w:t>
      </w:r>
      <w:r>
        <w:rPr>
          <w:i/>
          <w:lang w:val="fr-BE"/>
        </w:rPr>
        <w:t xml:space="preserve">United Video Properties Inc. contre </w:t>
      </w:r>
      <w:r>
        <w:rPr>
          <w:i/>
          <w:lang w:val="fr-BE"/>
        </w:rPr>
        <w:t>Telenet NV</w:t>
      </w:r>
      <w:r>
        <w:rPr>
          <w:lang w:val="fr-BE"/>
        </w:rPr>
        <w:t xml:space="preserve"> (UVP), EU:C:2016:611, </w:t>
      </w:r>
      <w:r>
        <w:rPr>
          <w:rStyle w:val="Hyperlink"/>
          <w:color w:val="auto"/>
          <w:u w:val="none"/>
          <w:lang w:val="fr-BE"/>
        </w:rPr>
        <w:t>point 29.</w:t>
      </w:r>
    </w:p>
  </w:footnote>
  <w:footnote w:id="36">
    <w:p w:rsidR="0070369F" w:rsidRDefault="00B36066">
      <w:pPr>
        <w:pStyle w:val="FootnoteText"/>
        <w:jc w:val="both"/>
        <w:rPr>
          <w:lang w:val="fr-BE"/>
        </w:rPr>
      </w:pPr>
      <w:r>
        <w:rPr>
          <w:rStyle w:val="FootnoteReference"/>
        </w:rPr>
        <w:footnoteRef/>
      </w:r>
      <w:r>
        <w:rPr>
          <w:lang w:val="fr-BE"/>
        </w:rPr>
        <w:t xml:space="preserve"> Arrêt </w:t>
      </w:r>
      <w:hyperlink r:id="rId15">
        <w:r>
          <w:rPr>
            <w:rStyle w:val="Hyperlink"/>
            <w:lang w:val="fr-BE"/>
          </w:rPr>
          <w:t>C-57/15</w:t>
        </w:r>
      </w:hyperlink>
      <w:r>
        <w:rPr>
          <w:lang w:val="fr-BE"/>
        </w:rPr>
        <w:t xml:space="preserve"> </w:t>
      </w:r>
      <w:r>
        <w:rPr>
          <w:i/>
          <w:lang w:val="fr-BE"/>
        </w:rPr>
        <w:t>UVP</w:t>
      </w:r>
      <w:r>
        <w:rPr>
          <w:lang w:val="fr-BE"/>
        </w:rPr>
        <w:t>, point 22.</w:t>
      </w:r>
    </w:p>
  </w:footnote>
  <w:footnote w:id="37">
    <w:p w:rsidR="0070369F" w:rsidRDefault="00B36066">
      <w:pPr>
        <w:pStyle w:val="FootnoteText"/>
        <w:jc w:val="both"/>
        <w:rPr>
          <w:lang w:val="fr-BE"/>
        </w:rPr>
      </w:pPr>
      <w:r>
        <w:rPr>
          <w:rStyle w:val="FootnoteReference"/>
        </w:rPr>
        <w:footnoteRef/>
      </w:r>
      <w:r>
        <w:rPr>
          <w:lang w:val="fr-BE"/>
        </w:rPr>
        <w:t xml:space="preserve"> Arrêt </w:t>
      </w:r>
      <w:hyperlink r:id="rId16">
        <w:r>
          <w:rPr>
            <w:rStyle w:val="Hyperlink"/>
            <w:lang w:val="fr-BE"/>
          </w:rPr>
          <w:t>C-57/15</w:t>
        </w:r>
      </w:hyperlink>
      <w:r>
        <w:rPr>
          <w:lang w:val="fr-BE"/>
        </w:rPr>
        <w:t xml:space="preserve">, </w:t>
      </w:r>
      <w:r>
        <w:rPr>
          <w:i/>
          <w:lang w:val="fr-BE"/>
        </w:rPr>
        <w:t>UVP</w:t>
      </w:r>
      <w:r>
        <w:rPr>
          <w:lang w:val="fr-BE"/>
        </w:rPr>
        <w:t>, point 34.</w:t>
      </w:r>
    </w:p>
  </w:footnote>
  <w:footnote w:id="38">
    <w:p w:rsidR="0070369F" w:rsidRDefault="00B36066">
      <w:pPr>
        <w:pStyle w:val="FootnoteText"/>
        <w:jc w:val="both"/>
        <w:rPr>
          <w:lang w:val="fr-BE"/>
        </w:rPr>
      </w:pPr>
      <w:r>
        <w:rPr>
          <w:rStyle w:val="FootnoteReference"/>
        </w:rPr>
        <w:footnoteRef/>
      </w:r>
      <w:r>
        <w:rPr>
          <w:lang w:val="fr-BE"/>
        </w:rPr>
        <w:t xml:space="preserve"> Arrêt </w:t>
      </w:r>
      <w:hyperlink r:id="rId17">
        <w:r>
          <w:rPr>
            <w:rStyle w:val="Hyperlink"/>
            <w:lang w:val="fr-BE"/>
          </w:rPr>
          <w:t>C-57/15</w:t>
        </w:r>
      </w:hyperlink>
      <w:r>
        <w:rPr>
          <w:rStyle w:val="Hyperlink"/>
          <w:lang w:val="fr-BE"/>
        </w:rPr>
        <w:t>,</w:t>
      </w:r>
      <w:r>
        <w:rPr>
          <w:rStyle w:val="Hyperlink"/>
          <w:color w:val="auto"/>
          <w:u w:val="none"/>
          <w:lang w:val="fr-BE"/>
        </w:rPr>
        <w:t xml:space="preserve"> </w:t>
      </w:r>
      <w:r>
        <w:rPr>
          <w:rStyle w:val="Hyperlink"/>
          <w:i/>
          <w:color w:val="auto"/>
          <w:u w:val="none"/>
          <w:lang w:val="fr-BE"/>
        </w:rPr>
        <w:t>UVP</w:t>
      </w:r>
      <w:r>
        <w:rPr>
          <w:rStyle w:val="Hyperlink"/>
          <w:color w:val="auto"/>
          <w:u w:val="none"/>
          <w:lang w:val="fr-BE"/>
        </w:rPr>
        <w:t>, point 36.</w:t>
      </w:r>
    </w:p>
  </w:footnote>
  <w:footnote w:id="39">
    <w:p w:rsidR="0070369F" w:rsidRDefault="00B36066">
      <w:pPr>
        <w:pStyle w:val="FootnoteText"/>
        <w:jc w:val="both"/>
        <w:rPr>
          <w:lang w:val="fr-BE"/>
        </w:rPr>
      </w:pPr>
      <w:r>
        <w:rPr>
          <w:rStyle w:val="FootnoteReference"/>
        </w:rPr>
        <w:footnoteRef/>
      </w:r>
      <w:r>
        <w:rPr>
          <w:lang w:val="fr-BE"/>
        </w:rPr>
        <w:t xml:space="preserve"> Arrêt </w:t>
      </w:r>
      <w:hyperlink r:id="rId18">
        <w:r>
          <w:rPr>
            <w:rStyle w:val="Hyperlink"/>
            <w:lang w:val="fr-BE"/>
          </w:rPr>
          <w:t>C-57/15</w:t>
        </w:r>
      </w:hyperlink>
      <w:r>
        <w:rPr>
          <w:lang w:val="fr-BE"/>
        </w:rPr>
        <w:t xml:space="preserve">, </w:t>
      </w:r>
      <w:r>
        <w:rPr>
          <w:i/>
          <w:lang w:val="fr-BE"/>
        </w:rPr>
        <w:t>UVP</w:t>
      </w:r>
      <w:r>
        <w:rPr>
          <w:lang w:val="fr-BE"/>
        </w:rPr>
        <w:t>, points 39 et 40.</w:t>
      </w:r>
    </w:p>
  </w:footnote>
  <w:footnote w:id="40">
    <w:p w:rsidR="0070369F" w:rsidRDefault="00B36066">
      <w:pPr>
        <w:pStyle w:val="FootnoteText"/>
        <w:rPr>
          <w:lang w:val="fr-BE"/>
        </w:rPr>
      </w:pPr>
      <w:r>
        <w:rPr>
          <w:rStyle w:val="FootnoteReference"/>
        </w:rPr>
        <w:footnoteRef/>
      </w:r>
      <w:r>
        <w:rPr>
          <w:lang w:val="fr-BE"/>
        </w:rPr>
        <w:t xml:space="preserve"> Arrêt </w:t>
      </w:r>
      <w:hyperlink r:id="rId19">
        <w:r>
          <w:rPr>
            <w:rStyle w:val="Hyperlink"/>
            <w:lang w:val="fr-BE"/>
          </w:rPr>
          <w:t>C-57/15</w:t>
        </w:r>
      </w:hyperlink>
      <w:r>
        <w:rPr>
          <w:lang w:val="fr-BE"/>
        </w:rPr>
        <w:t xml:space="preserve">, </w:t>
      </w:r>
      <w:r>
        <w:rPr>
          <w:i/>
          <w:lang w:val="fr-BE"/>
        </w:rPr>
        <w:t>UVP</w:t>
      </w:r>
      <w:r>
        <w:rPr>
          <w:lang w:val="fr-BE"/>
        </w:rPr>
        <w:t xml:space="preserve">, point 40. </w:t>
      </w:r>
    </w:p>
  </w:footnote>
  <w:footnote w:id="41">
    <w:p w:rsidR="0070369F" w:rsidRDefault="00B36066">
      <w:pPr>
        <w:pStyle w:val="FootnoteText"/>
        <w:jc w:val="both"/>
        <w:rPr>
          <w:lang w:val="fr-BE"/>
        </w:rPr>
      </w:pPr>
      <w:r>
        <w:rPr>
          <w:rStyle w:val="FootnoteReference"/>
        </w:rPr>
        <w:footnoteRef/>
      </w:r>
      <w:r>
        <w:rPr>
          <w:lang w:val="fr-BE"/>
        </w:rPr>
        <w:t xml:space="preserve"> Voir le considérant 26 de la directive IPRED.</w:t>
      </w:r>
    </w:p>
  </w:footnote>
  <w:footnote w:id="42">
    <w:p w:rsidR="0070369F" w:rsidRDefault="00B36066">
      <w:pPr>
        <w:pStyle w:val="FootnoteText"/>
        <w:jc w:val="both"/>
        <w:rPr>
          <w:lang w:val="fr-BE"/>
        </w:rPr>
      </w:pPr>
      <w:r>
        <w:rPr>
          <w:rStyle w:val="FootnoteReference"/>
        </w:rPr>
        <w:footnoteRef/>
      </w:r>
      <w:r>
        <w:rPr>
          <w:lang w:val="fr-BE"/>
        </w:rPr>
        <w:t xml:space="preserve"> Comme indiqué au considérant 14 de la directive IPRED: </w:t>
      </w:r>
      <w:r>
        <w:rPr>
          <w:i/>
          <w:lang w:val="fr-BE"/>
        </w:rPr>
        <w:t>«sans préjudice de la possibilité qu'ont les États membres d'appliquer également ces mesures à d'autres actes»</w:t>
      </w:r>
      <w:r>
        <w:rPr>
          <w:lang w:val="fr-BE"/>
        </w:rPr>
        <w:t>.</w:t>
      </w:r>
    </w:p>
  </w:footnote>
  <w:footnote w:id="43">
    <w:p w:rsidR="0070369F" w:rsidRDefault="00B36066">
      <w:pPr>
        <w:pStyle w:val="FootnoteText"/>
        <w:jc w:val="both"/>
        <w:rPr>
          <w:lang w:val="fr-BE"/>
        </w:rPr>
      </w:pPr>
      <w:r>
        <w:rPr>
          <w:rStyle w:val="FootnoteReference"/>
        </w:rPr>
        <w:footnoteRef/>
      </w:r>
      <w:r>
        <w:rPr>
          <w:lang w:val="fr-BE"/>
        </w:rPr>
        <w:t xml:space="preserve"> Par exemple, arrêt de la Cour (grande </w:t>
      </w:r>
      <w:r>
        <w:rPr>
          <w:lang w:val="fr-BE"/>
        </w:rPr>
        <w:t>chambre) du 3 septembre 2014 dans l'affaire</w:t>
      </w:r>
      <w:hyperlink r:id="rId20">
        <w:r>
          <w:rPr>
            <w:rStyle w:val="Hyperlink"/>
            <w:lang w:val="fr-BE"/>
          </w:rPr>
          <w:t>C-201/13</w:t>
        </w:r>
      </w:hyperlink>
      <w:r>
        <w:rPr>
          <w:lang w:val="fr-BE"/>
        </w:rPr>
        <w:t xml:space="preserve">, </w:t>
      </w:r>
      <w:r>
        <w:rPr>
          <w:i/>
          <w:lang w:val="fr-BE"/>
        </w:rPr>
        <w:t>Johan Deckmyn and Vrijheidsfonds VZW contre Hele</w:t>
      </w:r>
      <w:r>
        <w:rPr>
          <w:i/>
          <w:lang w:val="fr-BE"/>
        </w:rPr>
        <w:t>na Vandersteen e.a.</w:t>
      </w:r>
      <w:r>
        <w:rPr>
          <w:lang w:val="fr-BE"/>
        </w:rPr>
        <w:t>, EU:C:2014:2132, point 14.</w:t>
      </w:r>
    </w:p>
  </w:footnote>
  <w:footnote w:id="44">
    <w:p w:rsidR="0070369F" w:rsidRDefault="00B36066">
      <w:pPr>
        <w:pStyle w:val="FootnoteText"/>
        <w:jc w:val="both"/>
        <w:rPr>
          <w:lang w:val="fr-BE"/>
        </w:rPr>
      </w:pPr>
      <w:r>
        <w:rPr>
          <w:rStyle w:val="FootnoteReference"/>
        </w:rPr>
        <w:footnoteRef/>
      </w:r>
      <w:r>
        <w:rPr>
          <w:lang w:val="fr-BE"/>
        </w:rPr>
        <w:t xml:space="preserve"> Rapport du groupe spécial de l’OMC du 26 janvier 2009, </w:t>
      </w:r>
      <w:hyperlink r:id="rId21">
        <w:r>
          <w:rPr>
            <w:rStyle w:val="Hyperlink"/>
            <w:lang w:val="fr-BE"/>
          </w:rPr>
          <w:t>WT/DS362/R</w:t>
        </w:r>
      </w:hyperlink>
      <w:r>
        <w:rPr>
          <w:lang w:val="fr-BE"/>
        </w:rPr>
        <w:t>, p. 75 à 98.</w:t>
      </w:r>
    </w:p>
  </w:footnote>
  <w:footnote w:id="45">
    <w:p w:rsidR="0070369F" w:rsidRDefault="00B36066">
      <w:pPr>
        <w:pStyle w:val="FootnoteText"/>
        <w:jc w:val="both"/>
        <w:rPr>
          <w:lang w:val="fr-BE"/>
        </w:rPr>
      </w:pPr>
      <w:r>
        <w:rPr>
          <w:rStyle w:val="FootnoteReference"/>
        </w:rPr>
        <w:footnoteRef/>
      </w:r>
      <w:r>
        <w:rPr>
          <w:lang w:val="fr-BE"/>
        </w:rPr>
        <w:t xml:space="preserve"> </w:t>
      </w:r>
      <w:hyperlink r:id="rId22">
        <w:r>
          <w:rPr>
            <w:rStyle w:val="Hyperlink"/>
            <w:lang w:val="fr-BE"/>
          </w:rPr>
          <w:t>WT/DS362/R</w:t>
        </w:r>
      </w:hyperlink>
      <w:r>
        <w:rPr>
          <w:lang w:val="fr-BE"/>
        </w:rPr>
        <w:t>, points VII, 601-603 et VII.635-636.</w:t>
      </w:r>
    </w:p>
  </w:footnote>
  <w:footnote w:id="46">
    <w:p w:rsidR="0070369F" w:rsidRDefault="00B36066">
      <w:pPr>
        <w:pStyle w:val="FootnoteText"/>
        <w:jc w:val="both"/>
        <w:rPr>
          <w:lang w:val="fr-BE"/>
        </w:rPr>
      </w:pPr>
      <w:r>
        <w:rPr>
          <w:rStyle w:val="FootnoteReference"/>
        </w:rPr>
        <w:footnoteRef/>
      </w:r>
      <w:r>
        <w:rPr>
          <w:lang w:val="fr-BE"/>
        </w:rPr>
        <w:t xml:space="preserve"> À savoir, en liaison avec certaines mesures de droit pénal, alors que dans la directive IPRED, la notion est utilisée en liaison avec certaines mesure</w:t>
      </w:r>
      <w:r>
        <w:rPr>
          <w:lang w:val="fr-BE"/>
        </w:rPr>
        <w:t>s de droit civil.</w:t>
      </w:r>
    </w:p>
  </w:footnote>
  <w:footnote w:id="47">
    <w:p w:rsidR="0070369F" w:rsidRDefault="00B36066">
      <w:pPr>
        <w:pStyle w:val="FootnoteText"/>
        <w:jc w:val="both"/>
        <w:rPr>
          <w:lang w:val="fr-BE"/>
        </w:rPr>
      </w:pPr>
      <w:r>
        <w:rPr>
          <w:rStyle w:val="FootnoteReference"/>
        </w:rPr>
        <w:footnoteRef/>
      </w:r>
      <w:r>
        <w:rPr>
          <w:lang w:val="fr-BE"/>
        </w:rPr>
        <w:t xml:space="preserve"> Il convient de noter à cet égard, premièrement, que l’UE est également partie à l’accord sur les ADPIC (voir le considérant 4 de la directive IPRED), ce qui signifie que ses dispositions font partie intégrante de l’ordre juridique de l’</w:t>
      </w:r>
      <w:r>
        <w:rPr>
          <w:lang w:val="fr-BE"/>
        </w:rPr>
        <w:t xml:space="preserve">Union (voir notamment l’affaire C-180/11, </w:t>
      </w:r>
      <w:r>
        <w:rPr>
          <w:i/>
          <w:lang w:val="fr-BE"/>
        </w:rPr>
        <w:t>Bericap</w:t>
      </w:r>
      <w:r>
        <w:rPr>
          <w:lang w:val="fr-BE"/>
        </w:rPr>
        <w:t>, point 67) et, deuxièmement, qu’en vertu de la jurisprudence de la CJUE également, le sens ordinaire des termes non définis qui sont utilisés dans des actes de droit dérivé de l’Union, tels que la directive IPRED, constituent un élément important pour int</w:t>
      </w:r>
      <w:r>
        <w:rPr>
          <w:lang w:val="fr-BE"/>
        </w:rPr>
        <w:t xml:space="preserve">erpréter ces termes (voir notamment l’affaire C-201/13, </w:t>
      </w:r>
      <w:r>
        <w:rPr>
          <w:i/>
          <w:lang w:val="fr-BE"/>
        </w:rPr>
        <w:t>Deckmyn</w:t>
      </w:r>
      <w:r>
        <w:rPr>
          <w:lang w:val="fr-BE"/>
        </w:rPr>
        <w:t>, point 19).</w:t>
      </w:r>
    </w:p>
  </w:footnote>
  <w:footnote w:id="48">
    <w:p w:rsidR="0070369F" w:rsidRDefault="00B36066">
      <w:pPr>
        <w:pStyle w:val="FootnoteText"/>
        <w:jc w:val="both"/>
        <w:rPr>
          <w:lang w:val="fr-BE"/>
        </w:rPr>
      </w:pPr>
      <w:r>
        <w:rPr>
          <w:rStyle w:val="FootnoteReference"/>
        </w:rPr>
        <w:footnoteRef/>
      </w:r>
      <w:r>
        <w:rPr>
          <w:lang w:val="fr-BE"/>
        </w:rPr>
        <w:t xml:space="preserve"> Considérant 17 de la directive IPRED.</w:t>
      </w:r>
    </w:p>
  </w:footnote>
  <w:footnote w:id="49">
    <w:p w:rsidR="0070369F" w:rsidRDefault="00B36066">
      <w:pPr>
        <w:pStyle w:val="FootnoteText"/>
        <w:jc w:val="both"/>
        <w:rPr>
          <w:lang w:val="fr-BE"/>
        </w:rPr>
      </w:pPr>
      <w:r>
        <w:rPr>
          <w:rStyle w:val="FootnoteReference"/>
        </w:rPr>
        <w:footnoteRef/>
      </w:r>
      <w:r>
        <w:rPr>
          <w:lang w:val="fr-BE"/>
        </w:rPr>
        <w:t xml:space="preserve"> Considérant 32 de la directive IPRED.</w:t>
      </w:r>
    </w:p>
  </w:footnote>
  <w:footnote w:id="50">
    <w:p w:rsidR="0070369F" w:rsidRDefault="00B36066">
      <w:pPr>
        <w:pStyle w:val="FootnoteText"/>
        <w:jc w:val="both"/>
        <w:rPr>
          <w:lang w:val="fr-BE"/>
        </w:rPr>
      </w:pPr>
      <w:r>
        <w:rPr>
          <w:rStyle w:val="FootnoteReference"/>
        </w:rPr>
        <w:footnoteRef/>
      </w:r>
      <w:r>
        <w:rPr>
          <w:lang w:val="fr-BE"/>
        </w:rPr>
        <w:t xml:space="preserve"> Voir, respectivement, les articles 47, 7, 8, 11 et 16 de la Charte.</w:t>
      </w:r>
    </w:p>
  </w:footnote>
  <w:footnote w:id="51">
    <w:p w:rsidR="0070369F" w:rsidRDefault="00B36066">
      <w:pPr>
        <w:pStyle w:val="FootnoteText"/>
        <w:jc w:val="both"/>
        <w:rPr>
          <w:lang w:val="fr-BE"/>
        </w:rPr>
      </w:pPr>
      <w:r>
        <w:rPr>
          <w:rStyle w:val="FootnoteReference"/>
        </w:rPr>
        <w:footnoteRef/>
      </w:r>
      <w:r>
        <w:rPr>
          <w:lang w:val="fr-BE"/>
        </w:rPr>
        <w:t xml:space="preserve"> Arrêt de la Cour (grande cha</w:t>
      </w:r>
      <w:r>
        <w:rPr>
          <w:lang w:val="fr-BE"/>
        </w:rPr>
        <w:t xml:space="preserve">mbre) du 29 janvier 2008, </w:t>
      </w:r>
      <w:hyperlink r:id="rId23">
        <w:r>
          <w:rPr>
            <w:rStyle w:val="Hyperlink"/>
            <w:lang w:val="fr-BE"/>
          </w:rPr>
          <w:t>C-275/06</w:t>
        </w:r>
      </w:hyperlink>
      <w:r>
        <w:rPr>
          <w:lang w:val="fr-BE"/>
        </w:rPr>
        <w:t xml:space="preserve">, </w:t>
      </w:r>
      <w:r>
        <w:rPr>
          <w:i/>
          <w:lang w:val="fr-BE"/>
        </w:rPr>
        <w:t>Productores de Música de España (Promusicae) contre Telefónica de España SAU</w:t>
      </w:r>
      <w:r>
        <w:rPr>
          <w:lang w:val="fr-BE"/>
        </w:rPr>
        <w:t>, EU:C:2008:54, point 68.</w:t>
      </w:r>
    </w:p>
  </w:footnote>
  <w:footnote w:id="52">
    <w:p w:rsidR="0070369F" w:rsidRDefault="00B36066">
      <w:pPr>
        <w:pStyle w:val="FootnoteText"/>
        <w:jc w:val="both"/>
        <w:rPr>
          <w:lang w:val="fr-BE"/>
        </w:rPr>
      </w:pPr>
      <w:r>
        <w:rPr>
          <w:rStyle w:val="FootnoteReference"/>
        </w:rPr>
        <w:footnoteRef/>
      </w:r>
      <w:r>
        <w:rPr>
          <w:lang w:val="fr-BE"/>
        </w:rPr>
        <w:t xml:space="preserve"> Directive 2001/29/CE du Parlement européen et du Conseil du 22 mai 2001 sur l'harmonisation de certains aspects du droit d'auteur et d</w:t>
      </w:r>
      <w:r>
        <w:rPr>
          <w:lang w:val="fr-BE"/>
        </w:rPr>
        <w:t>es droits voisins dans la société de l'information (JO L 167 du 22.06.2001, p. 10).</w:t>
      </w:r>
    </w:p>
  </w:footnote>
  <w:footnote w:id="53">
    <w:p w:rsidR="0070369F" w:rsidRDefault="00B36066">
      <w:pPr>
        <w:pStyle w:val="FootnoteText"/>
        <w:jc w:val="both"/>
        <w:rPr>
          <w:lang w:val="fr-BE"/>
        </w:rPr>
      </w:pPr>
      <w:r>
        <w:rPr>
          <w:rStyle w:val="FootnoteReference"/>
        </w:rPr>
        <w:footnoteRef/>
      </w:r>
      <w:r>
        <w:rPr>
          <w:lang w:val="fr-BE"/>
        </w:rPr>
        <w:t xml:space="preserve"> Directive 2002/58/CE du Parlement européen et du Conseil du 12 juillet 2002 concernant le traitement des données à caractère personnel et la protection de la vie privée d</w:t>
      </w:r>
      <w:r>
        <w:rPr>
          <w:lang w:val="fr-BE"/>
        </w:rPr>
        <w:t>ans le secteur des communications électroniques (JO L 201 du 31.7.2002, p. 37), qui complète la directive 95/46/CE du Parlement européen et du Conseil, du 24 octobre 1995, relative à la protection des personnes physiques à l'égard du traitement des données</w:t>
      </w:r>
      <w:r>
        <w:rPr>
          <w:lang w:val="fr-BE"/>
        </w:rPr>
        <w:t xml:space="preserve"> à caractère personnel et à la libre circulation de ces données (OJ L 281 du 23.11.1995, p.31). </w:t>
      </w:r>
    </w:p>
    <w:p w:rsidR="0070369F" w:rsidRDefault="00B36066">
      <w:pPr>
        <w:pStyle w:val="FootnoteText"/>
        <w:jc w:val="both"/>
        <w:rPr>
          <w:lang w:val="fr-BE"/>
        </w:rPr>
      </w:pPr>
      <w:r>
        <w:rPr>
          <w:lang w:val="fr-BE"/>
        </w:rPr>
        <w:br/>
      </w:r>
    </w:p>
  </w:footnote>
  <w:footnote w:id="54">
    <w:p w:rsidR="0070369F" w:rsidRDefault="00B36066">
      <w:pPr>
        <w:pStyle w:val="FootnoteText"/>
        <w:jc w:val="both"/>
        <w:rPr>
          <w:lang w:val="fr-BE"/>
        </w:rPr>
      </w:pPr>
      <w:r>
        <w:rPr>
          <w:rStyle w:val="FootnoteReference"/>
        </w:rPr>
        <w:footnoteRef/>
      </w:r>
      <w:r>
        <w:rPr>
          <w:lang w:val="fr-BE"/>
        </w:rPr>
        <w:t xml:space="preserve"> Par exemple, ordonnance de la Cour (huitième chambre) du 19 février 2009 dans l'affaire </w:t>
      </w:r>
      <w:hyperlink r:id="rId24">
        <w:r>
          <w:rPr>
            <w:rStyle w:val="Hyperlink"/>
            <w:lang w:val="fr-BE"/>
          </w:rPr>
          <w:t>C-557/07</w:t>
        </w:r>
      </w:hyperlink>
      <w:r>
        <w:rPr>
          <w:lang w:val="fr-BE"/>
        </w:rPr>
        <w:t xml:space="preserve">, </w:t>
      </w:r>
      <w:r>
        <w:rPr>
          <w:i/>
          <w:lang w:val="fr-BE"/>
        </w:rPr>
        <w:t>LSG-Gesellschaft zur Wahrnehmung von Leistungsschutzrechten GmbH contre Tele2 Telecommunication GmbH,</w:t>
      </w:r>
      <w:r>
        <w:rPr>
          <w:sz w:val="24"/>
          <w:lang w:val="fr-BE"/>
        </w:rPr>
        <w:t xml:space="preserve"> </w:t>
      </w:r>
      <w:r>
        <w:rPr>
          <w:lang w:val="fr-BE"/>
        </w:rPr>
        <w:t>EU:C:2009:107</w:t>
      </w:r>
      <w:r>
        <w:rPr>
          <w:rStyle w:val="Hyperlink"/>
          <w:lang w:val="fr-BE"/>
        </w:rPr>
        <w:t xml:space="preserve">; </w:t>
      </w:r>
      <w:r>
        <w:rPr>
          <w:lang w:val="fr-BE"/>
        </w:rPr>
        <w:t xml:space="preserve">Arrêt de la Cour (troisième chambre) du 19 </w:t>
      </w:r>
      <w:r>
        <w:rPr>
          <w:lang w:val="fr-BE"/>
        </w:rPr>
        <w:t xml:space="preserve">avril 2012 dans l'affaire </w:t>
      </w:r>
      <w:hyperlink r:id="rId25">
        <w:r>
          <w:rPr>
            <w:rStyle w:val="Hyperlink"/>
            <w:lang w:val="fr-BE"/>
          </w:rPr>
          <w:t>C-461/10</w:t>
        </w:r>
      </w:hyperlink>
      <w:r>
        <w:rPr>
          <w:lang w:val="fr-BE"/>
        </w:rPr>
        <w:t xml:space="preserve">, </w:t>
      </w:r>
      <w:r>
        <w:rPr>
          <w:i/>
          <w:lang w:val="fr-BE"/>
        </w:rPr>
        <w:t>Bonnier Audio AB and Others contre Perfect Communication Sweden AB</w:t>
      </w:r>
      <w:r>
        <w:rPr>
          <w:lang w:val="fr-BE"/>
        </w:rPr>
        <w:t xml:space="preserve"> EU:C:2012:219; Arrêt de la Cour (quatrième chambre) du 16 juillet 2015 dans l'affa</w:t>
      </w:r>
      <w:r>
        <w:rPr>
          <w:lang w:val="fr-BE"/>
        </w:rPr>
        <w:t xml:space="preserve">ire </w:t>
      </w:r>
      <w:hyperlink r:id="rId26">
        <w:r>
          <w:rPr>
            <w:rStyle w:val="Hyperlink"/>
            <w:lang w:val="fr-BE"/>
          </w:rPr>
          <w:t>C-580/13</w:t>
        </w:r>
      </w:hyperlink>
      <w:r>
        <w:rPr>
          <w:lang w:val="fr-BE"/>
        </w:rPr>
        <w:t xml:space="preserve">, </w:t>
      </w:r>
      <w:r>
        <w:rPr>
          <w:i/>
          <w:lang w:val="fr-BE"/>
        </w:rPr>
        <w:t>Coty Germany GmbH contre Stadtsparkasse Magdeburg</w:t>
      </w:r>
      <w:r>
        <w:rPr>
          <w:lang w:val="fr-BE"/>
        </w:rPr>
        <w:t>, EU:C:2015:485</w:t>
      </w:r>
      <w:r>
        <w:rPr>
          <w:i/>
          <w:lang w:val="fr-BE"/>
        </w:rPr>
        <w:t>.</w:t>
      </w:r>
      <w:r>
        <w:rPr>
          <w:lang w:val="fr-BE"/>
        </w:rPr>
        <w:t xml:space="preserve"> </w:t>
      </w:r>
    </w:p>
  </w:footnote>
  <w:footnote w:id="55">
    <w:p w:rsidR="0070369F" w:rsidRDefault="00B36066">
      <w:pPr>
        <w:pStyle w:val="FootnoteText"/>
        <w:jc w:val="both"/>
        <w:rPr>
          <w:lang w:val="fr-BE"/>
        </w:rPr>
      </w:pPr>
      <w:r>
        <w:rPr>
          <w:rStyle w:val="FootnoteReference"/>
        </w:rPr>
        <w:footnoteRef/>
      </w:r>
      <w:r>
        <w:rPr>
          <w:lang w:val="fr-BE"/>
        </w:rPr>
        <w:t xml:space="preserve"> Voir également la d</w:t>
      </w:r>
      <w:r>
        <w:rPr>
          <w:lang w:val="fr-BE"/>
        </w:rPr>
        <w:t>iscussion concernant l’article 8 sur le droit d'information (chapitre III) et les articles 9 et 11 sur les injonctions (chapitre IV) de la directive IPRED.</w:t>
      </w:r>
    </w:p>
  </w:footnote>
  <w:footnote w:id="56">
    <w:p w:rsidR="0070369F" w:rsidRDefault="00B36066">
      <w:pPr>
        <w:pStyle w:val="FootnoteText"/>
        <w:jc w:val="both"/>
        <w:rPr>
          <w:lang w:val="fr-BE"/>
        </w:rPr>
      </w:pPr>
      <w:r>
        <w:rPr>
          <w:rStyle w:val="FootnoteReference"/>
        </w:rPr>
        <w:footnoteRef/>
      </w:r>
      <w:r>
        <w:rPr>
          <w:lang w:val="fr-BE"/>
        </w:rPr>
        <w:t xml:space="preserve"> Voir également le considérant 21 de la directive IPRED.</w:t>
      </w:r>
    </w:p>
  </w:footnote>
  <w:footnote w:id="57">
    <w:p w:rsidR="0070369F" w:rsidRDefault="00B36066">
      <w:pPr>
        <w:pStyle w:val="FootnoteText"/>
        <w:jc w:val="both"/>
        <w:rPr>
          <w:lang w:val="fr-BE"/>
        </w:rPr>
      </w:pPr>
      <w:r>
        <w:rPr>
          <w:rStyle w:val="FootnoteReference"/>
        </w:rPr>
        <w:footnoteRef/>
      </w:r>
      <w:r>
        <w:rPr>
          <w:lang w:val="fr-BE"/>
        </w:rPr>
        <w:t xml:space="preserve"> </w:t>
      </w:r>
      <w:hyperlink r:id="rId27">
        <w:r>
          <w:rPr>
            <w:rStyle w:val="Hyperlink"/>
            <w:lang w:val="fr-BE"/>
          </w:rPr>
          <w:t>C-275/06</w:t>
        </w:r>
      </w:hyperlink>
      <w:r>
        <w:rPr>
          <w:lang w:val="fr-BE"/>
        </w:rPr>
        <w:t xml:space="preserve">, </w:t>
      </w:r>
      <w:r>
        <w:rPr>
          <w:i/>
          <w:lang w:val="fr-BE"/>
        </w:rPr>
        <w:t>Promusicae</w:t>
      </w:r>
      <w:r>
        <w:rPr>
          <w:lang w:val="fr-BE"/>
        </w:rPr>
        <w:t>, points 58 et59. Voir également la pa</w:t>
      </w:r>
      <w:r>
        <w:rPr>
          <w:lang w:val="fr-BE"/>
        </w:rPr>
        <w:t>rtie 1 ci-dessus.</w:t>
      </w:r>
    </w:p>
  </w:footnote>
  <w:footnote w:id="58">
    <w:p w:rsidR="0070369F" w:rsidRDefault="00B36066">
      <w:pPr>
        <w:pStyle w:val="FootnoteText"/>
        <w:jc w:val="both"/>
        <w:rPr>
          <w:lang w:val="fr-BE"/>
        </w:rPr>
      </w:pPr>
      <w:r>
        <w:rPr>
          <w:rStyle w:val="FootnoteReference"/>
        </w:rPr>
        <w:footnoteRef/>
      </w:r>
      <w:r>
        <w:rPr>
          <w:lang w:val="fr-BE"/>
        </w:rPr>
        <w:t xml:space="preserve"> </w:t>
      </w:r>
      <w:hyperlink r:id="rId28">
        <w:r>
          <w:rPr>
            <w:rStyle w:val="Hyperlink"/>
            <w:lang w:val="fr-BE"/>
          </w:rPr>
          <w:t>C-461/10</w:t>
        </w:r>
      </w:hyperlink>
      <w:r>
        <w:rPr>
          <w:lang w:val="fr-BE"/>
        </w:rPr>
        <w:t xml:space="preserve">, </w:t>
      </w:r>
      <w:r>
        <w:rPr>
          <w:i/>
          <w:lang w:val="fr-BE"/>
        </w:rPr>
        <w:t>Bonnier</w:t>
      </w:r>
      <w:r>
        <w:rPr>
          <w:lang w:val="fr-BE"/>
        </w:rPr>
        <w:t>, points 51 à 61.</w:t>
      </w:r>
    </w:p>
  </w:footnote>
  <w:footnote w:id="59">
    <w:p w:rsidR="0070369F" w:rsidRDefault="00B36066">
      <w:pPr>
        <w:pStyle w:val="FootnoteText"/>
        <w:jc w:val="both"/>
        <w:rPr>
          <w:lang w:val="fr-BE"/>
        </w:rPr>
      </w:pPr>
      <w:r>
        <w:rPr>
          <w:rStyle w:val="FootnoteReference"/>
        </w:rPr>
        <w:footnoteRef/>
      </w:r>
      <w:r>
        <w:rPr>
          <w:lang w:val="fr-BE"/>
        </w:rPr>
        <w:t xml:space="preserve"> Arrêt de la Cour (quatrième chambre) du 16 juillet 2015, </w:t>
      </w:r>
      <w:hyperlink r:id="rId29">
        <w:r>
          <w:rPr>
            <w:rStyle w:val="Hyperlink"/>
            <w:lang w:val="fr-BE"/>
          </w:rPr>
          <w:t>C-580/13</w:t>
        </w:r>
      </w:hyperlink>
      <w:r>
        <w:rPr>
          <w:lang w:val="fr-BE"/>
        </w:rPr>
        <w:t xml:space="preserve">, </w:t>
      </w:r>
      <w:r>
        <w:rPr>
          <w:i/>
          <w:lang w:val="fr-BE"/>
        </w:rPr>
        <w:t>Coty Germany GmbH contre Stadtsparkasse Magdeburg</w:t>
      </w:r>
      <w:r>
        <w:rPr>
          <w:lang w:val="fr-BE"/>
        </w:rPr>
        <w:t>, point 43.</w:t>
      </w:r>
    </w:p>
  </w:footnote>
  <w:footnote w:id="60">
    <w:p w:rsidR="0070369F" w:rsidRDefault="00B36066">
      <w:pPr>
        <w:pStyle w:val="FootnoteText"/>
        <w:jc w:val="both"/>
        <w:rPr>
          <w:lang w:val="fr-BE"/>
        </w:rPr>
      </w:pPr>
      <w:r>
        <w:rPr>
          <w:rStyle w:val="FootnoteReference"/>
        </w:rPr>
        <w:footnoteRef/>
      </w:r>
      <w:r>
        <w:rPr>
          <w:lang w:val="fr-BE"/>
        </w:rPr>
        <w:t xml:space="preserve"> </w:t>
      </w:r>
      <w:hyperlink r:id="rId30">
        <w:r>
          <w:rPr>
            <w:rStyle w:val="Hyperlink"/>
            <w:lang w:val="fr-BE"/>
          </w:rPr>
          <w:t>C-580/13</w:t>
        </w:r>
      </w:hyperlink>
      <w:r>
        <w:rPr>
          <w:lang w:val="fr-BE"/>
        </w:rPr>
        <w:t xml:space="preserve">, </w:t>
      </w:r>
      <w:r>
        <w:rPr>
          <w:i/>
          <w:lang w:val="fr-BE"/>
        </w:rPr>
        <w:t>Coty Germany</w:t>
      </w:r>
      <w:r>
        <w:rPr>
          <w:lang w:val="fr-BE"/>
        </w:rPr>
        <w:t>, point 40.</w:t>
      </w:r>
    </w:p>
  </w:footnote>
  <w:footnote w:id="61">
    <w:p w:rsidR="0070369F" w:rsidRDefault="00B36066">
      <w:pPr>
        <w:pStyle w:val="FootnoteText"/>
        <w:jc w:val="both"/>
        <w:rPr>
          <w:lang w:val="fr-BE"/>
        </w:rPr>
      </w:pPr>
      <w:r>
        <w:rPr>
          <w:rStyle w:val="FootnoteReference"/>
        </w:rPr>
        <w:footnoteRef/>
      </w:r>
      <w:r>
        <w:rPr>
          <w:lang w:val="fr-BE"/>
        </w:rPr>
        <w:t xml:space="preserve"> Consultation sur l’évaluation et la modernisation du cadre législatif pour la mise en œuvre des D</w:t>
      </w:r>
      <w:r>
        <w:rPr>
          <w:lang w:val="fr-BE"/>
        </w:rPr>
        <w:t>PI, p. 18. Voir également SEC(2010) 1589 final, p. 9.</w:t>
      </w:r>
    </w:p>
  </w:footnote>
  <w:footnote w:id="62">
    <w:p w:rsidR="0070369F" w:rsidRDefault="00B36066">
      <w:pPr>
        <w:pStyle w:val="FootnoteText"/>
        <w:jc w:val="both"/>
        <w:rPr>
          <w:lang w:val="fr-BE"/>
        </w:rPr>
      </w:pPr>
      <w:r>
        <w:rPr>
          <w:rStyle w:val="FootnoteReference"/>
        </w:rPr>
        <w:footnoteRef/>
      </w:r>
      <w:r>
        <w:rPr>
          <w:lang w:val="fr-BE"/>
        </w:rPr>
        <w:t xml:space="preserve"> Directive 2014/104/UE du Parlement européen et du Conseil du 26 novembre 2014 relative à certaines règles régissant les actions en dommages et intérêts en droit national pour les atteintes aux disposi</w:t>
      </w:r>
      <w:r>
        <w:rPr>
          <w:lang w:val="fr-BE"/>
        </w:rPr>
        <w:t>tions du droit de la concurrence des États membres et de l'Union européenne (JO L 349 du 5.12.2014, p. 1).</w:t>
      </w:r>
    </w:p>
  </w:footnote>
  <w:footnote w:id="63">
    <w:p w:rsidR="0070369F" w:rsidRDefault="00B36066">
      <w:pPr>
        <w:pStyle w:val="FootnoteText"/>
        <w:jc w:val="both"/>
        <w:rPr>
          <w:lang w:val="fr-BE"/>
        </w:rPr>
      </w:pPr>
      <w:r>
        <w:rPr>
          <w:rStyle w:val="FootnoteReference"/>
        </w:rPr>
        <w:footnoteRef/>
      </w:r>
      <w:r>
        <w:rPr>
          <w:lang w:val="fr-BE"/>
        </w:rPr>
        <w:t xml:space="preserve"> CSWD - Analyse de l’application de la directive 2004/48/CE du 22.12.2010, p. 9; Document de la Commission </w:t>
      </w:r>
      <w:r>
        <w:rPr>
          <w:i/>
          <w:lang w:val="fr-BE"/>
        </w:rPr>
        <w:t>«Synthesis of the comments on the Commiss</w:t>
      </w:r>
      <w:r>
        <w:rPr>
          <w:i/>
          <w:lang w:val="fr-BE"/>
        </w:rPr>
        <w:t>ion Report on the application of Directive 2004/48»</w:t>
      </w:r>
      <w:r>
        <w:rPr>
          <w:lang w:val="fr-BE"/>
        </w:rPr>
        <w:t>, juillet 2011, p. 19.</w:t>
      </w:r>
    </w:p>
  </w:footnote>
  <w:footnote w:id="64">
    <w:p w:rsidR="0070369F" w:rsidRDefault="00B36066">
      <w:pPr>
        <w:pStyle w:val="FootnoteText"/>
        <w:jc w:val="both"/>
        <w:rPr>
          <w:lang w:val="fr-BE"/>
        </w:rPr>
      </w:pPr>
      <w:r>
        <w:rPr>
          <w:rStyle w:val="FootnoteReference"/>
        </w:rPr>
        <w:footnoteRef/>
      </w:r>
      <w:r>
        <w:rPr>
          <w:lang w:val="fr-BE"/>
        </w:rPr>
        <w:t xml:space="preserve"> Voir l'article 3 de la directive IPRED.</w:t>
      </w:r>
    </w:p>
  </w:footnote>
  <w:footnote w:id="65">
    <w:p w:rsidR="0070369F" w:rsidRDefault="00B36066">
      <w:pPr>
        <w:pStyle w:val="FootnoteText"/>
        <w:rPr>
          <w:lang w:val="fr-BE"/>
        </w:rPr>
      </w:pPr>
      <w:r>
        <w:rPr>
          <w:rStyle w:val="FootnoteReference"/>
        </w:rPr>
        <w:footnoteRef/>
      </w:r>
      <w:r>
        <w:rPr>
          <w:lang w:val="fr-BE"/>
        </w:rPr>
        <w:t xml:space="preserve"> Consultation sur l’évaluation et la modernisation du cadre législatif pour la mise en œuvre des DPI, p. 18 à 25.</w:t>
      </w:r>
    </w:p>
  </w:footnote>
  <w:footnote w:id="66">
    <w:p w:rsidR="0070369F" w:rsidRDefault="00B36066">
      <w:pPr>
        <w:pStyle w:val="FootnoteText"/>
        <w:jc w:val="both"/>
        <w:rPr>
          <w:lang w:val="fr-BE"/>
        </w:rPr>
      </w:pPr>
      <w:r>
        <w:rPr>
          <w:rStyle w:val="FootnoteReference"/>
        </w:rPr>
        <w:footnoteRef/>
      </w:r>
      <w:r>
        <w:rPr>
          <w:lang w:val="fr-BE"/>
        </w:rPr>
        <w:t xml:space="preserve"> Par exemple aux Pays-Ba</w:t>
      </w:r>
      <w:r>
        <w:rPr>
          <w:lang w:val="fr-BE"/>
        </w:rPr>
        <w:t xml:space="preserve">s. </w:t>
      </w:r>
    </w:p>
  </w:footnote>
  <w:footnote w:id="67">
    <w:p w:rsidR="0070369F" w:rsidRDefault="00B36066">
      <w:pPr>
        <w:pStyle w:val="FootnoteText"/>
        <w:jc w:val="both"/>
        <w:rPr>
          <w:lang w:val="fr-BE"/>
        </w:rPr>
      </w:pPr>
      <w:r>
        <w:rPr>
          <w:rStyle w:val="FootnoteReference"/>
        </w:rPr>
        <w:footnoteRef/>
      </w:r>
      <w:r>
        <w:rPr>
          <w:lang w:val="fr-BE"/>
        </w:rPr>
        <w:t xml:space="preserve"> JO C 175 du 20.6.2013, p. 1.</w:t>
      </w:r>
    </w:p>
  </w:footnote>
  <w:footnote w:id="68">
    <w:p w:rsidR="0070369F" w:rsidRDefault="00B36066">
      <w:pPr>
        <w:pStyle w:val="FootnoteText"/>
        <w:jc w:val="both"/>
        <w:rPr>
          <w:lang w:val="fr-BE"/>
        </w:rPr>
      </w:pPr>
      <w:r>
        <w:rPr>
          <w:rStyle w:val="FootnoteReference"/>
        </w:rPr>
        <w:footnoteRef/>
      </w:r>
      <w:r>
        <w:rPr>
          <w:lang w:val="fr-BE"/>
        </w:rPr>
        <w:t xml:space="preserve"> Voir l'arrêt de la Cour (troisième chambre) du 14 février 2008 dans l'affaire </w:t>
      </w:r>
      <w:hyperlink r:id="rId31">
        <w:r>
          <w:rPr>
            <w:rStyle w:val="Hyperlink"/>
            <w:lang w:val="fr-BE"/>
          </w:rPr>
          <w:t>C-450/06</w:t>
        </w:r>
      </w:hyperlink>
      <w:r>
        <w:rPr>
          <w:lang w:val="fr-BE"/>
        </w:rPr>
        <w:t xml:space="preserve">, </w:t>
      </w:r>
      <w:r>
        <w:rPr>
          <w:i/>
          <w:lang w:val="fr-BE"/>
        </w:rPr>
        <w:t>Varec SA contre État belge</w:t>
      </w:r>
      <w:r>
        <w:rPr>
          <w:lang w:val="fr-BE"/>
        </w:rPr>
        <w:t>, EU:C:2008:91</w:t>
      </w:r>
      <w:r>
        <w:rPr>
          <w:rStyle w:val="Hyperlink"/>
          <w:color w:val="auto"/>
          <w:u w:val="none"/>
          <w:lang w:val="fr-BE"/>
        </w:rPr>
        <w:t xml:space="preserve">, concernant </w:t>
      </w:r>
      <w:r>
        <w:rPr>
          <w:lang w:val="fr-BE"/>
        </w:rPr>
        <w:t>l’équilibre entre le principe du contradi</w:t>
      </w:r>
      <w:r>
        <w:rPr>
          <w:lang w:val="fr-BE"/>
        </w:rPr>
        <w:t>ctoire et le droit au respect des secrets d’affaire pour les procédures de marchés publics.</w:t>
      </w:r>
    </w:p>
  </w:footnote>
  <w:footnote w:id="69">
    <w:p w:rsidR="0070369F" w:rsidRDefault="00B36066">
      <w:pPr>
        <w:pStyle w:val="FootnoteText"/>
        <w:jc w:val="both"/>
        <w:rPr>
          <w:lang w:val="fr-BE"/>
        </w:rPr>
      </w:pPr>
      <w:r>
        <w:rPr>
          <w:rStyle w:val="FootnoteReference"/>
        </w:rPr>
        <w:footnoteRef/>
      </w:r>
      <w:r>
        <w:rPr>
          <w:lang w:val="fr-BE"/>
        </w:rPr>
        <w:t xml:space="preserve"> «</w:t>
      </w:r>
      <w:r>
        <w:rPr>
          <w:i/>
          <w:lang w:val="fr-BE"/>
        </w:rPr>
        <w:t>Tableau de bord 2016 sur les PME et la propriété intellectuelle</w:t>
      </w:r>
      <w:r>
        <w:rPr>
          <w:lang w:val="fr-BE"/>
        </w:rPr>
        <w:t>», EUIPO, Observatoire européen des atteintes aux droits de propriété intellectuelle, 2016.</w:t>
      </w:r>
    </w:p>
  </w:footnote>
  <w:footnote w:id="70">
    <w:p w:rsidR="0070369F" w:rsidRDefault="00B36066">
      <w:pPr>
        <w:pStyle w:val="FootnoteText"/>
        <w:jc w:val="both"/>
        <w:rPr>
          <w:lang w:val="fr-BE"/>
        </w:rPr>
      </w:pPr>
      <w:r>
        <w:rPr>
          <w:rStyle w:val="FootnoteReference"/>
        </w:rPr>
        <w:footnoteRef/>
      </w:r>
      <w:r>
        <w:rPr>
          <w:lang w:val="fr-BE"/>
        </w:rPr>
        <w:t xml:space="preserve"> Arti</w:t>
      </w:r>
      <w:r>
        <w:rPr>
          <w:lang w:val="fr-BE"/>
        </w:rPr>
        <w:t>cle 47 de la Charte. Voir également l’article 42 de l’accord sur les ADPIC.</w:t>
      </w:r>
    </w:p>
  </w:footnote>
  <w:footnote w:id="71">
    <w:p w:rsidR="0070369F" w:rsidRDefault="00B36066">
      <w:pPr>
        <w:pStyle w:val="FootnoteText"/>
        <w:rPr>
          <w:lang w:val="fr-BE"/>
        </w:rPr>
      </w:pPr>
      <w:r>
        <w:rPr>
          <w:rStyle w:val="FootnoteReference"/>
        </w:rPr>
        <w:footnoteRef/>
      </w:r>
      <w:r>
        <w:rPr>
          <w:lang w:val="fr-BE"/>
        </w:rPr>
        <w:t xml:space="preserve"> Ensemble préliminaire de dispositions pour le </w:t>
      </w:r>
      <w:r>
        <w:rPr>
          <w:noProof/>
          <w:lang w:val="fr-BE"/>
        </w:rPr>
        <w:t xml:space="preserve">règlement de procédure de la juridiction unifiée du brevet </w:t>
      </w:r>
      <w:r>
        <w:rPr>
          <w:lang w:val="fr-BE"/>
        </w:rPr>
        <w:t>(18</w:t>
      </w:r>
      <w:r>
        <w:rPr>
          <w:vertAlign w:val="superscript"/>
          <w:lang w:val="fr-BE"/>
        </w:rPr>
        <w:t>e</w:t>
      </w:r>
      <w:r>
        <w:rPr>
          <w:lang w:val="fr-BE"/>
        </w:rPr>
        <w:t xml:space="preserve"> version) disponible à l'adresse suivante:https://www.unified-patent-</w:t>
      </w:r>
      <w:r>
        <w:rPr>
          <w:lang w:val="fr-BE"/>
        </w:rPr>
        <w:t xml:space="preserve">court.org/documents </w:t>
      </w:r>
    </w:p>
  </w:footnote>
  <w:footnote w:id="72">
    <w:p w:rsidR="0070369F" w:rsidRDefault="00B36066">
      <w:pPr>
        <w:pStyle w:val="FootnoteText"/>
        <w:jc w:val="both"/>
        <w:rPr>
          <w:lang w:val="fr-BE"/>
        </w:rPr>
      </w:pPr>
      <w:r>
        <w:rPr>
          <w:rStyle w:val="FootnoteReference"/>
        </w:rPr>
        <w:footnoteRef/>
      </w:r>
      <w:r>
        <w:rPr>
          <w:lang w:val="fr-BE"/>
        </w:rPr>
        <w:t xml:space="preserve"> Directive 2001/29/CE du Parlement européen et du Conseil du 22 mai 2001 sur l'harmonisation de certains aspects du droit d'auteur et des droits voisins dans la société de l'information (JO L 167 du 22.6.2001, p. 10), voir le considér</w:t>
      </w:r>
      <w:r>
        <w:rPr>
          <w:lang w:val="fr-BE"/>
        </w:rPr>
        <w:t>ant 59.</w:t>
      </w:r>
    </w:p>
  </w:footnote>
  <w:footnote w:id="73">
    <w:p w:rsidR="0070369F" w:rsidRDefault="00B36066">
      <w:pPr>
        <w:pStyle w:val="FootnoteText"/>
        <w:jc w:val="both"/>
        <w:rPr>
          <w:lang w:val="fr-BE"/>
        </w:rPr>
      </w:pPr>
      <w:r>
        <w:rPr>
          <w:rStyle w:val="FootnoteReference"/>
        </w:rPr>
        <w:footnoteRef/>
      </w:r>
      <w:r>
        <w:rPr>
          <w:lang w:val="fr-BE"/>
        </w:rPr>
        <w:t xml:space="preserve">Arrêt </w:t>
      </w:r>
      <w:hyperlink r:id="rId32">
        <w:r>
          <w:rPr>
            <w:rStyle w:val="Hyperlink"/>
            <w:lang w:val="fr-BE"/>
          </w:rPr>
          <w:t>C-324/09</w:t>
        </w:r>
      </w:hyperlink>
      <w:r>
        <w:rPr>
          <w:lang w:val="fr-BE"/>
        </w:rPr>
        <w:t xml:space="preserve">, </w:t>
      </w:r>
      <w:r>
        <w:rPr>
          <w:i/>
          <w:lang w:val="fr-BE"/>
        </w:rPr>
        <w:t>L’Oréal v. eBay</w:t>
      </w:r>
      <w:r>
        <w:rPr>
          <w:lang w:val="fr-BE"/>
        </w:rPr>
        <w:t xml:space="preserve">, point 131. arrêt </w:t>
      </w:r>
      <w:hyperlink r:id="rId33">
        <w:r>
          <w:rPr>
            <w:rStyle w:val="Hyperlink"/>
            <w:lang w:val="fr-BE"/>
          </w:rPr>
          <w:t>C-70/10</w:t>
        </w:r>
      </w:hyperlink>
      <w:r>
        <w:rPr>
          <w:lang w:val="fr-BE"/>
        </w:rPr>
        <w:t xml:space="preserve">, </w:t>
      </w:r>
      <w:r>
        <w:rPr>
          <w:i/>
          <w:lang w:val="fr-BE"/>
        </w:rPr>
        <w:t>Scarlet Extended</w:t>
      </w:r>
      <w:r>
        <w:rPr>
          <w:lang w:val="fr-BE"/>
        </w:rPr>
        <w:t>, point 31; arrêt</w:t>
      </w:r>
      <w:hyperlink r:id="rId34">
        <w:r>
          <w:rPr>
            <w:rStyle w:val="Hyperlink"/>
            <w:lang w:val="fr-BE"/>
          </w:rPr>
          <w:t>C-360/10</w:t>
        </w:r>
      </w:hyperlink>
      <w:r>
        <w:rPr>
          <w:lang w:val="fr-BE"/>
        </w:rPr>
        <w:t xml:space="preserve">, </w:t>
      </w:r>
      <w:r>
        <w:rPr>
          <w:i/>
          <w:lang w:val="fr-BE"/>
        </w:rPr>
        <w:t>SABAM</w:t>
      </w:r>
      <w:r>
        <w:rPr>
          <w:lang w:val="fr-BE"/>
        </w:rPr>
        <w:t>, point 29.</w:t>
      </w:r>
    </w:p>
  </w:footnote>
  <w:footnote w:id="74">
    <w:p w:rsidR="0070369F" w:rsidRDefault="00B36066">
      <w:pPr>
        <w:pStyle w:val="FootnoteText"/>
        <w:jc w:val="both"/>
        <w:rPr>
          <w:lang w:val="fr-BE"/>
        </w:rPr>
      </w:pPr>
      <w:r>
        <w:rPr>
          <w:rStyle w:val="FootnoteReference"/>
        </w:rPr>
        <w:footnoteRef/>
      </w:r>
      <w:r>
        <w:rPr>
          <w:lang w:val="fr-BE"/>
        </w:rPr>
        <w:t xml:space="preserve"> Cette possibilité — également indépendante de la responsabilité de l’intermédiaire — est également prévue à l’article 8, paragraphe 3, </w:t>
      </w:r>
      <w:r>
        <w:rPr>
          <w:lang w:val="fr-BE"/>
        </w:rPr>
        <w:t>de la directive sur la société de l’information.</w:t>
      </w:r>
    </w:p>
  </w:footnote>
  <w:footnote w:id="75">
    <w:p w:rsidR="0070369F" w:rsidRDefault="00B36066">
      <w:pPr>
        <w:pStyle w:val="FootnoteText"/>
        <w:jc w:val="both"/>
        <w:rPr>
          <w:lang w:val="fr-BE"/>
        </w:rPr>
      </w:pPr>
      <w:r>
        <w:rPr>
          <w:rStyle w:val="FootnoteReference"/>
        </w:rPr>
        <w:footnoteRef/>
      </w:r>
      <w:r>
        <w:rPr>
          <w:lang w:val="fr-BE"/>
        </w:rPr>
        <w:t xml:space="preserve">Arrêt de la Cour (grande chambre) du 12 juillet 2011 dans l’affaire </w:t>
      </w:r>
      <w:hyperlink r:id="rId35">
        <w:r>
          <w:rPr>
            <w:lang w:val="fr-BE"/>
          </w:rPr>
          <w:t>C-324/09</w:t>
        </w:r>
      </w:hyperlink>
      <w:r>
        <w:rPr>
          <w:lang w:val="fr-BE"/>
        </w:rPr>
        <w:t xml:space="preserve">, </w:t>
      </w:r>
      <w:r>
        <w:rPr>
          <w:i/>
          <w:lang w:val="fr-BE"/>
        </w:rPr>
        <w:t>L’Oréal SA e.a./eBay International AG e.a., EU:C:2011:474</w:t>
      </w:r>
      <w:r>
        <w:rPr>
          <w:lang w:val="fr-BE"/>
        </w:rPr>
        <w:t xml:space="preserve">, point 127. Voir également l’arrêt dans l’affaire </w:t>
      </w:r>
      <w:hyperlink r:id="rId36">
        <w:r>
          <w:rPr>
            <w:rStyle w:val="Hyperlink"/>
            <w:lang w:val="fr-BE"/>
          </w:rPr>
          <w:t>C-494/15</w:t>
        </w:r>
      </w:hyperlink>
      <w:r>
        <w:rPr>
          <w:lang w:val="fr-BE"/>
        </w:rPr>
        <w:t xml:space="preserve">, </w:t>
      </w:r>
      <w:r>
        <w:rPr>
          <w:i/>
          <w:lang w:val="fr-BE"/>
        </w:rPr>
        <w:t>Tommy Hilfiger</w:t>
      </w:r>
      <w:r>
        <w:rPr>
          <w:lang w:val="fr-BE"/>
        </w:rPr>
        <w:t xml:space="preserve">, EU:C:2016:528, point 22. </w:t>
      </w:r>
      <w:r>
        <w:rPr>
          <w:rStyle w:val="Ninguno"/>
          <w:lang w:val="fr-BE"/>
        </w:rPr>
        <w:t>Les articles 12 à 14 de la directive sur le commerce électronique établissent précisément en ce qui concerne certains intermédiaires en ligne, que les exemptions de resp</w:t>
      </w:r>
      <w:r>
        <w:rPr>
          <w:rStyle w:val="Ninguno"/>
          <w:lang w:val="fr-BE"/>
        </w:rPr>
        <w:t xml:space="preserve">onsabilité prévues par ces dispositions n’affectent pas la possibilité, pour une juridiction ou une autorité administrative, d’exiger du prestataire qu’il mette un terme à une inou qu’il prévienne une violation. </w:t>
      </w:r>
    </w:p>
  </w:footnote>
  <w:footnote w:id="76">
    <w:p w:rsidR="0070369F" w:rsidRDefault="00B36066">
      <w:pPr>
        <w:pStyle w:val="FootnoteText"/>
        <w:rPr>
          <w:lang w:val="fr-BE"/>
        </w:rPr>
      </w:pPr>
      <w:r>
        <w:rPr>
          <w:rStyle w:val="Ninguno"/>
          <w:vertAlign w:val="superscript"/>
        </w:rPr>
        <w:footnoteRef/>
      </w:r>
      <w:r>
        <w:rPr>
          <w:lang w:val="fr-BE"/>
        </w:rPr>
        <w:t xml:space="preserve"> Voir l’arrêt  de la Cour (troisième chamb</w:t>
      </w:r>
      <w:r>
        <w:rPr>
          <w:lang w:val="fr-BE"/>
        </w:rPr>
        <w:t xml:space="preserve">re) du 24 novembre 2011 </w:t>
      </w:r>
      <w:r>
        <w:rPr>
          <w:rStyle w:val="Hyperlink0"/>
          <w:rFonts w:eastAsiaTheme="minorHAnsi"/>
          <w:lang w:val="fr-BE"/>
        </w:rPr>
        <w:t xml:space="preserve"> </w:t>
      </w:r>
      <w:r>
        <w:rPr>
          <w:rStyle w:val="Ninguno"/>
          <w:lang w:val="fr-BE"/>
        </w:rPr>
        <w:t xml:space="preserve">dans l’affaire </w:t>
      </w:r>
      <w:r>
        <w:rPr>
          <w:rStyle w:val="Hyperlink0"/>
          <w:rFonts w:eastAsiaTheme="minorHAnsi"/>
          <w:lang w:val="fr-BE"/>
        </w:rPr>
        <w:t>C-314/12</w:t>
      </w:r>
      <w:r>
        <w:rPr>
          <w:rStyle w:val="Ninguno"/>
          <w:lang w:val="fr-BE"/>
        </w:rPr>
        <w:t xml:space="preserve">, </w:t>
      </w:r>
      <w:r>
        <w:rPr>
          <w:rStyle w:val="Ninguno"/>
          <w:i/>
          <w:lang w:val="fr-BE"/>
        </w:rPr>
        <w:t>UPC Telekabel</w:t>
      </w:r>
      <w:r>
        <w:rPr>
          <w:rStyle w:val="Ninguno"/>
          <w:lang w:val="fr-BE"/>
        </w:rPr>
        <w:t>.</w:t>
      </w:r>
    </w:p>
  </w:footnote>
  <w:footnote w:id="77">
    <w:p w:rsidR="0070369F" w:rsidRDefault="00B36066">
      <w:pPr>
        <w:pStyle w:val="FootnoteText"/>
        <w:jc w:val="both"/>
        <w:rPr>
          <w:lang w:val="fr-BE"/>
        </w:rPr>
      </w:pPr>
      <w:r>
        <w:rPr>
          <w:rStyle w:val="FootnoteReference"/>
        </w:rPr>
        <w:footnoteRef/>
      </w:r>
      <w:r>
        <w:rPr>
          <w:lang w:val="fr-BE"/>
        </w:rPr>
        <w:t xml:space="preserve"> Arrêt de la Cour (deuxième chambre) du 7 juillet 2016 dans l’affaire </w:t>
      </w:r>
      <w:hyperlink r:id="rId37">
        <w:r>
          <w:rPr>
            <w:rStyle w:val="Hyperlink"/>
            <w:lang w:val="fr-BE"/>
          </w:rPr>
          <w:t>C-494/15</w:t>
        </w:r>
      </w:hyperlink>
      <w:r>
        <w:rPr>
          <w:lang w:val="fr-BE"/>
        </w:rPr>
        <w:t xml:space="preserve">, </w:t>
      </w:r>
      <w:r>
        <w:rPr>
          <w:i/>
          <w:lang w:val="fr-BE"/>
        </w:rPr>
        <w:t>Tommy Hilfiger Licensing LLC and Others v DELTA CENTER a.s.</w:t>
      </w:r>
      <w:r>
        <w:rPr>
          <w:lang w:val="fr-BE"/>
        </w:rPr>
        <w:t xml:space="preserve">, </w:t>
      </w:r>
      <w:r>
        <w:rPr>
          <w:rStyle w:val="Hyperlink"/>
          <w:color w:val="auto"/>
          <w:u w:val="none"/>
          <w:lang w:val="fr-BE"/>
        </w:rPr>
        <w:t xml:space="preserve">point 23. </w:t>
      </w:r>
      <w:r>
        <w:rPr>
          <w:lang w:val="fr-BE"/>
        </w:rPr>
        <w:t>En ce qui concerne l’article 8, paragraphe 3, de la di</w:t>
      </w:r>
      <w:r>
        <w:rPr>
          <w:lang w:val="fr-BE"/>
        </w:rPr>
        <w:t xml:space="preserve">rective sur la société de l’information, voir également l’arrêt dans l’affaire </w:t>
      </w:r>
      <w:hyperlink r:id="rId38">
        <w:r>
          <w:rPr>
            <w:rStyle w:val="Hyperlink"/>
            <w:lang w:val="fr-BE"/>
          </w:rPr>
          <w:t>C-314/12</w:t>
        </w:r>
      </w:hyperlink>
      <w:r>
        <w:rPr>
          <w:lang w:val="fr-BE"/>
        </w:rPr>
        <w:t xml:space="preserve">, </w:t>
      </w:r>
      <w:r>
        <w:rPr>
          <w:i/>
          <w:lang w:val="fr-BE"/>
        </w:rPr>
        <w:t>UPC Telekabel</w:t>
      </w:r>
      <w:r>
        <w:rPr>
          <w:i/>
          <w:lang w:val="fr-BE"/>
        </w:rPr>
        <w:t>,</w:t>
      </w:r>
      <w:r>
        <w:rPr>
          <w:lang w:val="fr-BE"/>
        </w:rPr>
        <w:t>, points 34 et 35.</w:t>
      </w:r>
    </w:p>
  </w:footnote>
  <w:footnote w:id="78">
    <w:p w:rsidR="0070369F" w:rsidRDefault="00B36066">
      <w:pPr>
        <w:pStyle w:val="FootnoteText"/>
        <w:jc w:val="both"/>
        <w:rPr>
          <w:lang w:val="fr-BE"/>
        </w:rPr>
      </w:pPr>
      <w:r>
        <w:rPr>
          <w:rStyle w:val="FootnoteReference"/>
        </w:rPr>
        <w:footnoteRef/>
      </w:r>
      <w:r>
        <w:rPr>
          <w:lang w:val="fr-BE"/>
        </w:rPr>
        <w:t xml:space="preserve"> En ce qui concerne les prestataires de services en ligne et hors ligne, voir l’affaire C-494/15, </w:t>
      </w:r>
      <w:r>
        <w:rPr>
          <w:i/>
          <w:lang w:val="fr-BE"/>
        </w:rPr>
        <w:t>Tommy Hilfiger,</w:t>
      </w:r>
      <w:r>
        <w:rPr>
          <w:lang w:val="fr-BE"/>
        </w:rPr>
        <w:t xml:space="preserve"> point 29.</w:t>
      </w:r>
    </w:p>
  </w:footnote>
  <w:footnote w:id="79">
    <w:p w:rsidR="0070369F" w:rsidRDefault="00B36066">
      <w:pPr>
        <w:pStyle w:val="FootnoteText"/>
        <w:jc w:val="both"/>
        <w:rPr>
          <w:lang w:val="fr-BE"/>
        </w:rPr>
      </w:pPr>
      <w:r>
        <w:rPr>
          <w:rStyle w:val="FootnoteReference"/>
        </w:rPr>
        <w:footnoteRef/>
      </w:r>
      <w:r>
        <w:rPr>
          <w:lang w:val="fr-BE"/>
        </w:rPr>
        <w:t xml:space="preserve"> Arrêt </w:t>
      </w:r>
      <w:hyperlink r:id="rId39">
        <w:r>
          <w:rPr>
            <w:rStyle w:val="Hyperlink"/>
            <w:lang w:val="fr-BE"/>
          </w:rPr>
          <w:t>C-557/07</w:t>
        </w:r>
      </w:hyperlink>
      <w:r>
        <w:rPr>
          <w:lang w:val="fr-BE"/>
        </w:rPr>
        <w:t>,</w:t>
      </w:r>
      <w:r>
        <w:rPr>
          <w:i/>
          <w:lang w:val="fr-BE"/>
        </w:rPr>
        <w:t xml:space="preserve"> LSG-Gesellschaft</w:t>
      </w:r>
      <w:r>
        <w:rPr>
          <w:lang w:val="fr-BE"/>
        </w:rPr>
        <w:t xml:space="preserve">, point 46; arrêt </w:t>
      </w:r>
      <w:hyperlink r:id="rId40">
        <w:r>
          <w:rPr>
            <w:rStyle w:val="Hyperlink"/>
            <w:lang w:val="fr-BE"/>
          </w:rPr>
          <w:t>C-314/12</w:t>
        </w:r>
      </w:hyperlink>
      <w:r>
        <w:rPr>
          <w:lang w:val="fr-BE"/>
        </w:rPr>
        <w:t>,</w:t>
      </w:r>
      <w:r>
        <w:rPr>
          <w:i/>
          <w:lang w:val="fr-BE"/>
        </w:rPr>
        <w:t xml:space="preserve"> UPC Telekabel,</w:t>
      </w:r>
      <w:r>
        <w:rPr>
          <w:lang w:val="fr-BE"/>
        </w:rPr>
        <w:t xml:space="preserve"> points 43 à 46;</w:t>
      </w:r>
      <w:r>
        <w:rPr>
          <w:rStyle w:val="Hyperlink"/>
          <w:lang w:val="fr-BE"/>
        </w:rPr>
        <w:t xml:space="preserve"> </w:t>
      </w:r>
      <w:r>
        <w:rPr>
          <w:lang w:val="fr-BE"/>
        </w:rPr>
        <w:t xml:space="preserve">arrêt de la Cour (troisième chambre) du 24 novembre 2011 dans l’affaire </w:t>
      </w:r>
      <w:hyperlink r:id="rId41">
        <w:r>
          <w:rPr>
            <w:rStyle w:val="Hyperlink"/>
            <w:lang w:val="fr-BE"/>
          </w:rPr>
          <w:t>C-70/10</w:t>
        </w:r>
      </w:hyperlink>
      <w:r>
        <w:rPr>
          <w:lang w:val="fr-BE"/>
        </w:rPr>
        <w:t>,</w:t>
      </w:r>
      <w:r>
        <w:rPr>
          <w:i/>
          <w:lang w:val="fr-BE"/>
        </w:rPr>
        <w:t xml:space="preserve"> Scarlet Extended SA contre Société belge des auteurs, compositeurs et éditeurs SCRL (SABAM)</w:t>
      </w:r>
      <w:r>
        <w:rPr>
          <w:lang w:val="fr-BE"/>
        </w:rPr>
        <w:t>, EU:C:2011:771, point 30.</w:t>
      </w:r>
    </w:p>
  </w:footnote>
  <w:footnote w:id="80">
    <w:p w:rsidR="0070369F" w:rsidRDefault="00B36066">
      <w:pPr>
        <w:pStyle w:val="FootnoteText"/>
        <w:jc w:val="both"/>
        <w:rPr>
          <w:lang w:val="fr-BE"/>
        </w:rPr>
      </w:pPr>
      <w:r>
        <w:rPr>
          <w:rStyle w:val="FootnoteReference"/>
        </w:rPr>
        <w:footnoteRef/>
      </w:r>
      <w:r>
        <w:rPr>
          <w:lang w:val="fr-BE"/>
        </w:rPr>
        <w:t xml:space="preserve"> Arrêt de la Cour (troisième chambre) du 16 février 2012 dans l’affaire </w:t>
      </w:r>
      <w:hyperlink r:id="rId42">
        <w:r>
          <w:rPr>
            <w:rStyle w:val="Hyperlink"/>
            <w:lang w:val="fr-BE"/>
          </w:rPr>
          <w:t>C-360/10</w:t>
        </w:r>
      </w:hyperlink>
      <w:r>
        <w:rPr>
          <w:lang w:val="fr-BE"/>
        </w:rPr>
        <w:t xml:space="preserve">, </w:t>
      </w:r>
      <w:r>
        <w:rPr>
          <w:i/>
          <w:lang w:val="fr-BE"/>
        </w:rPr>
        <w:t>Belgische Vereniging van Auteurs, Componisten en Uitgevers CVBA (SABAM) v Netlog NV,</w:t>
      </w:r>
      <w:r>
        <w:rPr>
          <w:lang w:val="fr-BE"/>
        </w:rPr>
        <w:t xml:space="preserve"> EU:C:2012:85, point 28.</w:t>
      </w:r>
    </w:p>
  </w:footnote>
  <w:footnote w:id="81">
    <w:p w:rsidR="0070369F" w:rsidRDefault="00B36066">
      <w:pPr>
        <w:pStyle w:val="FootnoteText"/>
        <w:jc w:val="both"/>
        <w:rPr>
          <w:lang w:val="fr-BE"/>
        </w:rPr>
      </w:pPr>
      <w:r>
        <w:rPr>
          <w:rStyle w:val="FootnoteReference"/>
        </w:rPr>
        <w:footnoteRef/>
      </w:r>
      <w:r>
        <w:rPr>
          <w:lang w:val="fr-BE"/>
        </w:rPr>
        <w:t xml:space="preserve"> Arrêt </w:t>
      </w:r>
      <w:hyperlink r:id="rId43">
        <w:r>
          <w:rPr>
            <w:rStyle w:val="Hyperlink"/>
            <w:lang w:val="fr-BE"/>
          </w:rPr>
          <w:t>.C-324/09</w:t>
        </w:r>
      </w:hyperlink>
      <w:r>
        <w:rPr>
          <w:lang w:val="fr-BE"/>
        </w:rPr>
        <w:t xml:space="preserve">, </w:t>
      </w:r>
      <w:r>
        <w:rPr>
          <w:i/>
          <w:lang w:val="fr-BE"/>
        </w:rPr>
        <w:t>L’Oréal v. eBay</w:t>
      </w:r>
      <w:r>
        <w:rPr>
          <w:lang w:val="fr-BE"/>
        </w:rPr>
        <w:t>, point 131;</w:t>
      </w:r>
      <w:r>
        <w:rPr>
          <w:i/>
          <w:lang w:val="fr-BE"/>
        </w:rPr>
        <w:t xml:space="preserve"> </w:t>
      </w:r>
    </w:p>
  </w:footnote>
  <w:footnote w:id="82">
    <w:p w:rsidR="0070369F" w:rsidRDefault="00B36066">
      <w:pPr>
        <w:pStyle w:val="FootnoteText"/>
        <w:jc w:val="both"/>
        <w:rPr>
          <w:lang w:val="fr-BE"/>
        </w:rPr>
      </w:pPr>
      <w:r>
        <w:rPr>
          <w:rStyle w:val="FootnoteReference"/>
        </w:rPr>
        <w:footnoteRef/>
      </w:r>
      <w:r>
        <w:rPr>
          <w:lang w:val="fr-BE"/>
        </w:rPr>
        <w:t xml:space="preserve"> Arrêt </w:t>
      </w:r>
      <w:hyperlink r:id="rId44">
        <w:r>
          <w:rPr>
            <w:rStyle w:val="Hyperlink"/>
            <w:lang w:val="fr-BE"/>
          </w:rPr>
          <w:t>C-494/15</w:t>
        </w:r>
      </w:hyperlink>
      <w:r>
        <w:rPr>
          <w:lang w:val="fr-BE"/>
        </w:rPr>
        <w:t xml:space="preserve">, </w:t>
      </w:r>
      <w:r>
        <w:rPr>
          <w:i/>
          <w:lang w:val="fr-BE"/>
        </w:rPr>
        <w:t>Tommy Hilfiger</w:t>
      </w:r>
      <w:r>
        <w:rPr>
          <w:lang w:val="fr-BE"/>
        </w:rPr>
        <w:t>, point 28;</w:t>
      </w:r>
    </w:p>
  </w:footnote>
  <w:footnote w:id="83">
    <w:p w:rsidR="0070369F" w:rsidRDefault="00B36066">
      <w:pPr>
        <w:pStyle w:val="FootnoteText"/>
        <w:jc w:val="both"/>
        <w:rPr>
          <w:lang w:val="fr-BE"/>
        </w:rPr>
      </w:pPr>
      <w:r>
        <w:rPr>
          <w:rStyle w:val="FootnoteReference"/>
        </w:rPr>
        <w:footnoteRef/>
      </w:r>
      <w:r>
        <w:rPr>
          <w:lang w:val="fr-BE"/>
        </w:rPr>
        <w:t xml:space="preserve"> Voir le considérant 59 de la directive sur la société de l’information.</w:t>
      </w:r>
    </w:p>
  </w:footnote>
  <w:footnote w:id="84">
    <w:p w:rsidR="0070369F" w:rsidRDefault="00B36066">
      <w:pPr>
        <w:pStyle w:val="FootnoteText"/>
        <w:jc w:val="both"/>
        <w:rPr>
          <w:lang w:val="fr-BE"/>
        </w:rPr>
      </w:pPr>
      <w:r>
        <w:rPr>
          <w:rStyle w:val="FootnoteReference"/>
        </w:rPr>
        <w:footnoteRef/>
      </w:r>
      <w:r>
        <w:rPr>
          <w:lang w:val="fr-BE"/>
        </w:rPr>
        <w:t xml:space="preserve"> Arrêt de la Cour (quatrième chambre) du 27 mars 2014 dans l’affaire </w:t>
      </w:r>
      <w:hyperlink r:id="rId45">
        <w:r>
          <w:rPr>
            <w:rStyle w:val="Hyperlink"/>
            <w:lang w:val="fr-BE"/>
          </w:rPr>
          <w:t>C-314/12</w:t>
        </w:r>
      </w:hyperlink>
      <w:r>
        <w:rPr>
          <w:lang w:val="fr-BE"/>
        </w:rPr>
        <w:t xml:space="preserve">, </w:t>
      </w:r>
      <w:r>
        <w:rPr>
          <w:i/>
          <w:lang w:val="fr-BE"/>
        </w:rPr>
        <w:t>UPC Telekabel Wien GmbH/Constantin Film Verleih GmbH et Wega Filmproduktionsgesellschaft mbH</w:t>
      </w:r>
      <w:r>
        <w:rPr>
          <w:lang w:val="fr-BE"/>
        </w:rPr>
        <w:t>, EU:C:2014:192, point 63.</w:t>
      </w:r>
      <w:r>
        <w:rPr>
          <w:i/>
          <w:lang w:val="fr-BE"/>
        </w:rPr>
        <w:t xml:space="preserve"> </w:t>
      </w:r>
    </w:p>
  </w:footnote>
  <w:footnote w:id="85">
    <w:p w:rsidR="0070369F" w:rsidRDefault="00B36066">
      <w:pPr>
        <w:pStyle w:val="FootnoteText"/>
        <w:jc w:val="both"/>
        <w:rPr>
          <w:lang w:val="fr-BE"/>
        </w:rPr>
      </w:pPr>
      <w:r>
        <w:rPr>
          <w:rStyle w:val="FootnoteReference"/>
        </w:rPr>
        <w:footnoteRef/>
      </w:r>
      <w:r>
        <w:rPr>
          <w:lang w:val="fr-BE"/>
        </w:rPr>
        <w:t xml:space="preserve"> Arrêt </w:t>
      </w:r>
      <w:hyperlink r:id="rId46">
        <w:r>
          <w:rPr>
            <w:rStyle w:val="Hyperlink"/>
            <w:lang w:val="fr-BE"/>
          </w:rPr>
          <w:t>C-314/12</w:t>
        </w:r>
      </w:hyperlink>
      <w:r>
        <w:rPr>
          <w:lang w:val="fr-BE"/>
        </w:rPr>
        <w:t xml:space="preserve">, </w:t>
      </w:r>
      <w:r>
        <w:rPr>
          <w:i/>
          <w:lang w:val="fr-BE"/>
        </w:rPr>
        <w:t>UPC Telekabel</w:t>
      </w:r>
      <w:r>
        <w:rPr>
          <w:lang w:val="fr-BE"/>
        </w:rPr>
        <w:t>, point 53.</w:t>
      </w:r>
    </w:p>
  </w:footnote>
  <w:footnote w:id="86">
    <w:p w:rsidR="0070369F" w:rsidRDefault="00B36066">
      <w:pPr>
        <w:pStyle w:val="FootnoteText"/>
        <w:jc w:val="both"/>
        <w:rPr>
          <w:lang w:val="fr-BE"/>
        </w:rPr>
      </w:pPr>
      <w:r>
        <w:rPr>
          <w:rStyle w:val="FootnoteReference"/>
        </w:rPr>
        <w:footnoteRef/>
      </w:r>
      <w:r>
        <w:rPr>
          <w:lang w:val="fr-BE"/>
        </w:rPr>
        <w:t xml:space="preserve"> Arrêt </w:t>
      </w:r>
      <w:hyperlink r:id="rId47">
        <w:r>
          <w:rPr>
            <w:rStyle w:val="Hyperlink"/>
            <w:lang w:val="fr-BE"/>
          </w:rPr>
          <w:t>C-314/12</w:t>
        </w:r>
      </w:hyperlink>
      <w:r>
        <w:rPr>
          <w:lang w:val="fr-BE"/>
        </w:rPr>
        <w:t xml:space="preserve">, </w:t>
      </w:r>
      <w:r>
        <w:rPr>
          <w:i/>
          <w:lang w:val="fr-BE"/>
        </w:rPr>
        <w:t>UPC Telekabel</w:t>
      </w:r>
      <w:r>
        <w:rPr>
          <w:lang w:val="fr-BE"/>
        </w:rPr>
        <w:t>,</w:t>
      </w:r>
      <w:r>
        <w:rPr>
          <w:rStyle w:val="Hyperlink"/>
          <w:color w:val="auto"/>
          <w:u w:val="none"/>
          <w:lang w:val="fr-BE"/>
        </w:rPr>
        <w:t xml:space="preserve"> point 56.</w:t>
      </w:r>
    </w:p>
  </w:footnote>
  <w:footnote w:id="87">
    <w:p w:rsidR="0070369F" w:rsidRDefault="00B36066">
      <w:pPr>
        <w:pStyle w:val="FootnoteText"/>
        <w:rPr>
          <w:lang w:val="fr-BE"/>
        </w:rPr>
      </w:pPr>
      <w:r>
        <w:rPr>
          <w:rStyle w:val="FootnoteReference"/>
        </w:rPr>
        <w:footnoteRef/>
      </w:r>
      <w:r>
        <w:rPr>
          <w:lang w:val="fr-BE"/>
        </w:rPr>
        <w:t xml:space="preserve"> Voir aussi la discussion au chapitre IV, section 1, sur les injonctions et la responsabilité.</w:t>
      </w:r>
    </w:p>
  </w:footnote>
  <w:footnote w:id="88">
    <w:p w:rsidR="0070369F" w:rsidRDefault="00B36066">
      <w:pPr>
        <w:pStyle w:val="FootnoteText"/>
        <w:jc w:val="both"/>
        <w:rPr>
          <w:lang w:val="fr-BE"/>
        </w:rPr>
      </w:pPr>
      <w:r>
        <w:rPr>
          <w:rStyle w:val="FootnoteReference"/>
        </w:rPr>
        <w:footnoteRef/>
      </w:r>
      <w:r>
        <w:rPr>
          <w:lang w:val="fr-BE"/>
        </w:rPr>
        <w:t xml:space="preserve"> Arrêt </w:t>
      </w:r>
      <w:hyperlink r:id="rId48">
        <w:r>
          <w:rPr>
            <w:rStyle w:val="Hyperlink"/>
            <w:lang w:val="fr-BE"/>
          </w:rPr>
          <w:t>C-314/12</w:t>
        </w:r>
      </w:hyperlink>
      <w:r>
        <w:rPr>
          <w:lang w:val="fr-BE"/>
        </w:rPr>
        <w:t xml:space="preserve">, </w:t>
      </w:r>
      <w:r>
        <w:rPr>
          <w:i/>
          <w:lang w:val="fr-BE"/>
        </w:rPr>
        <w:t>UPC Telekabel,</w:t>
      </w:r>
      <w:r>
        <w:rPr>
          <w:lang w:val="fr-BE"/>
        </w:rPr>
        <w:t xml:space="preserve"> points 52 à 57.</w:t>
      </w:r>
      <w:r>
        <w:rPr>
          <w:i/>
          <w:lang w:val="fr-BE"/>
        </w:rPr>
        <w:t xml:space="preserve"> </w:t>
      </w:r>
    </w:p>
  </w:footnote>
  <w:footnote w:id="89">
    <w:p w:rsidR="0070369F" w:rsidRDefault="00B36066">
      <w:pPr>
        <w:pStyle w:val="FootnoteText"/>
        <w:jc w:val="both"/>
        <w:rPr>
          <w:lang w:val="fr-BE"/>
        </w:rPr>
      </w:pPr>
      <w:r>
        <w:rPr>
          <w:rStyle w:val="FootnoteReference"/>
        </w:rPr>
        <w:footnoteRef/>
      </w:r>
      <w:r>
        <w:rPr>
          <w:lang w:val="fr-BE"/>
        </w:rPr>
        <w:t xml:space="preserve"> Arrêt </w:t>
      </w:r>
      <w:hyperlink r:id="rId49">
        <w:r>
          <w:rPr>
            <w:rStyle w:val="Hyperlink"/>
            <w:lang w:val="fr-BE"/>
          </w:rPr>
          <w:t>C-314/12</w:t>
        </w:r>
      </w:hyperlink>
      <w:r>
        <w:rPr>
          <w:lang w:val="fr-BE"/>
        </w:rPr>
        <w:t xml:space="preserve">, </w:t>
      </w:r>
      <w:r>
        <w:rPr>
          <w:i/>
          <w:lang w:val="fr-BE"/>
        </w:rPr>
        <w:t>UPC Telekabel</w:t>
      </w:r>
      <w:r>
        <w:rPr>
          <w:lang w:val="fr-BE"/>
        </w:rPr>
        <w:t>, point 53.</w:t>
      </w:r>
    </w:p>
  </w:footnote>
  <w:footnote w:id="90">
    <w:p w:rsidR="0070369F" w:rsidRDefault="00B36066">
      <w:pPr>
        <w:pStyle w:val="FootnoteText"/>
        <w:jc w:val="both"/>
        <w:rPr>
          <w:lang w:val="fr-BE"/>
        </w:rPr>
      </w:pPr>
      <w:r>
        <w:rPr>
          <w:rStyle w:val="FootnoteReference"/>
        </w:rPr>
        <w:footnoteRef/>
      </w:r>
      <w:r>
        <w:rPr>
          <w:lang w:val="fr-BE"/>
        </w:rPr>
        <w:t xml:space="preserve"> Arrêt de la CJ</w:t>
      </w:r>
      <w:r>
        <w:rPr>
          <w:lang w:val="fr-BE"/>
        </w:rPr>
        <w:t xml:space="preserve">EU (troisième chambre), du 15 septembre 2016, dans l’affaire </w:t>
      </w:r>
      <w:hyperlink r:id="rId50">
        <w:r>
          <w:rPr>
            <w:rStyle w:val="Hyperlink"/>
            <w:lang w:val="fr-BE"/>
          </w:rPr>
          <w:t>C-484/14</w:t>
        </w:r>
      </w:hyperlink>
      <w:r>
        <w:rPr>
          <w:lang w:val="fr-BE"/>
        </w:rPr>
        <w:t xml:space="preserve">, </w:t>
      </w:r>
      <w:r>
        <w:rPr>
          <w:i/>
          <w:lang w:val="fr-BE"/>
        </w:rPr>
        <w:t>Tobias Mc Fadden/Sony Music En</w:t>
      </w:r>
      <w:r>
        <w:rPr>
          <w:i/>
          <w:lang w:val="fr-BE"/>
        </w:rPr>
        <w:t>tertainment Germany GmbH,</w:t>
      </w:r>
      <w:r>
        <w:rPr>
          <w:lang w:val="fr-BE"/>
        </w:rPr>
        <w:t xml:space="preserve"> EU:C:2016:689, points 93 à 95; arrêt </w:t>
      </w:r>
      <w:hyperlink r:id="rId51">
        <w:r>
          <w:rPr>
            <w:rStyle w:val="Hyperlink"/>
            <w:lang w:val="fr-BE"/>
          </w:rPr>
          <w:t>C-314/12</w:t>
        </w:r>
      </w:hyperlink>
      <w:r>
        <w:rPr>
          <w:lang w:val="fr-BE"/>
        </w:rPr>
        <w:t>,</w:t>
      </w:r>
      <w:r>
        <w:rPr>
          <w:i/>
          <w:lang w:val="fr-BE"/>
        </w:rPr>
        <w:t xml:space="preserve"> UPC Telekabel</w:t>
      </w:r>
      <w:r>
        <w:rPr>
          <w:lang w:val="fr-BE"/>
        </w:rPr>
        <w:t>, points 56 et 5</w:t>
      </w:r>
      <w:r>
        <w:rPr>
          <w:lang w:val="fr-BE"/>
        </w:rPr>
        <w:t>8 à 62.</w:t>
      </w:r>
    </w:p>
  </w:footnote>
  <w:footnote w:id="91">
    <w:p w:rsidR="0070369F" w:rsidRDefault="00B36066">
      <w:pPr>
        <w:pStyle w:val="FootnoteText"/>
        <w:jc w:val="both"/>
        <w:rPr>
          <w:i/>
          <w:lang w:val="fr-BE"/>
        </w:rPr>
      </w:pPr>
      <w:r>
        <w:rPr>
          <w:rStyle w:val="FootnoteReference"/>
        </w:rPr>
        <w:footnoteRef/>
      </w:r>
      <w:r>
        <w:rPr>
          <w:lang w:val="fr-BE"/>
        </w:rPr>
        <w:t xml:space="preserve"> L’article 2, paragraphe 3, point a), de la directive IPRED prévoit que cette directive n’affecte pas la directive sur le commerce électronique, et notamment ses articles 12 à 15.</w:t>
      </w:r>
    </w:p>
  </w:footnote>
  <w:footnote w:id="92">
    <w:p w:rsidR="0070369F" w:rsidRDefault="00B36066">
      <w:pPr>
        <w:pStyle w:val="FootnoteText"/>
        <w:jc w:val="both"/>
        <w:rPr>
          <w:lang w:val="fr-BE"/>
        </w:rPr>
      </w:pPr>
      <w:r>
        <w:rPr>
          <w:rStyle w:val="FootnoteReference"/>
        </w:rPr>
        <w:footnoteRef/>
      </w:r>
      <w:r>
        <w:rPr>
          <w:lang w:val="fr-BE"/>
        </w:rPr>
        <w:t xml:space="preserve"> Arrêt </w:t>
      </w:r>
      <w:hyperlink r:id="rId52">
        <w:r>
          <w:rPr>
            <w:rStyle w:val="Hyperlink"/>
            <w:lang w:val="fr-BE"/>
          </w:rPr>
          <w:t>C-324/09</w:t>
        </w:r>
      </w:hyperlink>
      <w:r>
        <w:rPr>
          <w:lang w:val="fr-BE"/>
        </w:rPr>
        <w:t xml:space="preserve">, </w:t>
      </w:r>
      <w:r>
        <w:rPr>
          <w:i/>
          <w:lang w:val="fr-BE"/>
        </w:rPr>
        <w:t>L’Oréal v. eBay</w:t>
      </w:r>
      <w:r>
        <w:rPr>
          <w:lang w:val="fr-BE"/>
        </w:rPr>
        <w:t xml:space="preserve">, point 139; arrêt </w:t>
      </w:r>
      <w:hyperlink r:id="rId53">
        <w:r>
          <w:rPr>
            <w:rStyle w:val="Hyperlink"/>
            <w:lang w:val="fr-BE"/>
          </w:rPr>
          <w:t>C-70/10</w:t>
        </w:r>
      </w:hyperlink>
      <w:r>
        <w:rPr>
          <w:lang w:val="fr-BE"/>
        </w:rPr>
        <w:t xml:space="preserve">, </w:t>
      </w:r>
      <w:r>
        <w:rPr>
          <w:i/>
          <w:lang w:val="fr-BE"/>
        </w:rPr>
        <w:t>Scarlet Extended</w:t>
      </w:r>
      <w:r>
        <w:rPr>
          <w:lang w:val="fr-BE"/>
        </w:rPr>
        <w:t xml:space="preserve">, point 36; arrêt </w:t>
      </w:r>
      <w:hyperlink r:id="rId54">
        <w:r>
          <w:rPr>
            <w:rStyle w:val="Hyperlink"/>
            <w:lang w:val="fr-BE"/>
          </w:rPr>
          <w:t>C-360/10</w:t>
        </w:r>
      </w:hyperlink>
      <w:r>
        <w:rPr>
          <w:lang w:val="fr-BE"/>
        </w:rPr>
        <w:t xml:space="preserve">, </w:t>
      </w:r>
      <w:r>
        <w:rPr>
          <w:i/>
          <w:lang w:val="fr-BE"/>
        </w:rPr>
        <w:t>SABAM</w:t>
      </w:r>
      <w:r>
        <w:rPr>
          <w:lang w:val="fr-BE"/>
        </w:rPr>
        <w:t>, point 34.</w:t>
      </w:r>
    </w:p>
  </w:footnote>
  <w:footnote w:id="93">
    <w:p w:rsidR="0070369F" w:rsidRDefault="00B36066">
      <w:pPr>
        <w:pStyle w:val="FootnoteText"/>
        <w:jc w:val="both"/>
        <w:rPr>
          <w:lang w:val="fr-BE"/>
        </w:rPr>
      </w:pPr>
      <w:r>
        <w:rPr>
          <w:rStyle w:val="FootnoteReference"/>
        </w:rPr>
        <w:footnoteRef/>
      </w:r>
      <w:r>
        <w:rPr>
          <w:lang w:val="fr-BE"/>
        </w:rPr>
        <w:t xml:space="preserve"> Arrêt </w:t>
      </w:r>
      <w:hyperlink r:id="rId55">
        <w:r>
          <w:rPr>
            <w:rStyle w:val="Hyperlink"/>
            <w:lang w:val="fr-BE"/>
          </w:rPr>
          <w:t>C-70/10</w:t>
        </w:r>
      </w:hyperlink>
      <w:r>
        <w:rPr>
          <w:lang w:val="fr-BE"/>
        </w:rPr>
        <w:t xml:space="preserve">, </w:t>
      </w:r>
      <w:r>
        <w:rPr>
          <w:i/>
          <w:lang w:val="fr-BE"/>
        </w:rPr>
        <w:t>Scarlet Extended</w:t>
      </w:r>
      <w:r>
        <w:rPr>
          <w:lang w:val="fr-BE"/>
        </w:rPr>
        <w:t>;</w:t>
      </w:r>
    </w:p>
  </w:footnote>
  <w:footnote w:id="94">
    <w:p w:rsidR="0070369F" w:rsidRDefault="00B36066">
      <w:pPr>
        <w:pStyle w:val="FootnoteText"/>
        <w:jc w:val="both"/>
        <w:rPr>
          <w:sz w:val="18"/>
          <w:szCs w:val="18"/>
          <w:lang w:val="fr-BE"/>
        </w:rPr>
      </w:pPr>
      <w:r>
        <w:rPr>
          <w:rStyle w:val="FootnoteReference"/>
        </w:rPr>
        <w:footnoteRef/>
      </w:r>
      <w:r>
        <w:rPr>
          <w:lang w:val="fr-BE"/>
        </w:rPr>
        <w:t xml:space="preserve"> Arrêt </w:t>
      </w:r>
      <w:hyperlink r:id="rId56">
        <w:r>
          <w:rPr>
            <w:rStyle w:val="Hyperlink"/>
            <w:lang w:val="fr-BE"/>
          </w:rPr>
          <w:t>C-360/10</w:t>
        </w:r>
      </w:hyperlink>
      <w:r>
        <w:rPr>
          <w:lang w:val="fr-BE"/>
        </w:rPr>
        <w:t>, SABAM.</w:t>
      </w:r>
    </w:p>
  </w:footnote>
  <w:footnote w:id="95">
    <w:p w:rsidR="0070369F" w:rsidRDefault="00B36066">
      <w:pPr>
        <w:pStyle w:val="FootnoteText"/>
        <w:jc w:val="both"/>
        <w:rPr>
          <w:lang w:val="fr-BE"/>
        </w:rPr>
      </w:pPr>
      <w:r>
        <w:rPr>
          <w:rStyle w:val="FootnoteReference"/>
        </w:rPr>
        <w:footnoteRef/>
      </w:r>
      <w:r>
        <w:rPr>
          <w:lang w:val="fr-BE"/>
        </w:rPr>
        <w:t xml:space="preserve"> Voir les propositions concernant les obligations à imposer à certains fournisseurs de services d’hébergement en ligne pour empêcher, en coopération avec les titulaires de droits,  le téléchargement de contenu protégé non autorisé; article 13 de la proposi</w:t>
      </w:r>
      <w:r>
        <w:rPr>
          <w:lang w:val="fr-BE"/>
        </w:rPr>
        <w:t>tion de directive de la Commission sur le droit d’auteur dans le marché unique numérique [COM(2016) 593 du 14.9.2016].</w:t>
      </w:r>
    </w:p>
  </w:footnote>
  <w:footnote w:id="96">
    <w:p w:rsidR="0070369F" w:rsidRDefault="00B36066">
      <w:pPr>
        <w:pStyle w:val="FootnoteText"/>
        <w:jc w:val="both"/>
        <w:rPr>
          <w:lang w:val="fr-BE"/>
        </w:rPr>
      </w:pPr>
      <w:r>
        <w:rPr>
          <w:rStyle w:val="FootnoteReference"/>
        </w:rPr>
        <w:footnoteRef/>
      </w:r>
      <w:r>
        <w:rPr>
          <w:lang w:val="fr-BE"/>
        </w:rPr>
        <w:t xml:space="preserve"> C’est-à-dire des injonctions imposant par exemple aux intermédiaires d’empêcher de nouvelles atteintes à tous les droits détenus par un titulaire de droits ou qui font partie d’un catalogue ou d’un répertoire du preneur de licence, sur la base d’une attei</w:t>
      </w:r>
      <w:r>
        <w:rPr>
          <w:lang w:val="fr-BE"/>
        </w:rPr>
        <w:t>nte constatée sur un échantillon de ces droits.</w:t>
      </w:r>
    </w:p>
  </w:footnote>
  <w:footnote w:id="97">
    <w:p w:rsidR="0070369F" w:rsidRDefault="00B36066">
      <w:pPr>
        <w:pStyle w:val="ListParagraph"/>
        <w:spacing w:after="0" w:line="240" w:lineRule="auto"/>
        <w:ind w:left="0"/>
        <w:contextualSpacing w:val="0"/>
        <w:jc w:val="both"/>
        <w:rPr>
          <w:rFonts w:ascii="Times New Roman" w:hAnsi="Times New Roman" w:cs="Times New Roman"/>
          <w:sz w:val="20"/>
          <w:szCs w:val="20"/>
          <w:lang w:val="fr-BE"/>
        </w:rPr>
      </w:pPr>
      <w:r>
        <w:rPr>
          <w:rStyle w:val="Ninguno"/>
          <w:rFonts w:ascii="Times New Roman" w:hAnsi="Times New Roman"/>
          <w:sz w:val="20"/>
          <w:vertAlign w:val="superscript"/>
        </w:rPr>
        <w:footnoteRef/>
      </w:r>
      <w:r>
        <w:rPr>
          <w:rStyle w:val="Ninguno"/>
          <w:rFonts w:ascii="Times New Roman" w:hAnsi="Times New Roman"/>
          <w:sz w:val="20"/>
          <w:lang w:val="fr-BE"/>
        </w:rPr>
        <w:t xml:space="preserve"> Anvers, 14 février 2013, dans les affaires jointes 2012/FR/303, 2012/PGA/3549, 2012/KC21/262 et Cass., 22 octobre 2013, P.13.0550.N; Dans cet arrêt, le juge a demandé que la police belge («Computer Crime Un</w:t>
      </w:r>
      <w:r>
        <w:rPr>
          <w:rStyle w:val="Ninguno"/>
          <w:rFonts w:ascii="Times New Roman" w:hAnsi="Times New Roman"/>
          <w:sz w:val="20"/>
          <w:lang w:val="fr-BE"/>
        </w:rPr>
        <w:t>it») établisse une liste des noms de domaines ayant un lien avec le site web «thepiratbay.org».</w:t>
      </w:r>
    </w:p>
  </w:footnote>
  <w:footnote w:id="98">
    <w:p w:rsidR="0070369F" w:rsidRDefault="00B36066">
      <w:pPr>
        <w:pStyle w:val="FootnoteText"/>
        <w:jc w:val="both"/>
        <w:rPr>
          <w:lang w:val="fr-BE"/>
        </w:rPr>
      </w:pPr>
      <w:r>
        <w:rPr>
          <w:rStyle w:val="FootnoteReference"/>
        </w:rPr>
        <w:footnoteRef/>
      </w:r>
      <w:r>
        <w:rPr>
          <w:lang w:val="fr-BE"/>
        </w:rPr>
        <w:t xml:space="preserve"> Arrêt </w:t>
      </w:r>
      <w:hyperlink r:id="rId57">
        <w:r>
          <w:rPr>
            <w:rStyle w:val="Hyperlink"/>
            <w:lang w:val="fr-BE"/>
          </w:rPr>
          <w:t>C-324/09</w:t>
        </w:r>
      </w:hyperlink>
      <w:r>
        <w:rPr>
          <w:lang w:val="fr-BE"/>
        </w:rPr>
        <w:t xml:space="preserve">, </w:t>
      </w:r>
      <w:r>
        <w:rPr>
          <w:i/>
          <w:lang w:val="fr-BE"/>
        </w:rPr>
        <w:t>L’Oréal v. eBay</w:t>
      </w:r>
      <w:r>
        <w:rPr>
          <w:lang w:val="fr-BE"/>
        </w:rPr>
        <w:t>, point 131.</w:t>
      </w:r>
    </w:p>
  </w:footnote>
  <w:footnote w:id="99">
    <w:p w:rsidR="0070369F" w:rsidRDefault="00B36066">
      <w:pPr>
        <w:pStyle w:val="FootnoteText"/>
        <w:jc w:val="both"/>
        <w:rPr>
          <w:lang w:val="fr-BE"/>
        </w:rPr>
      </w:pPr>
      <w:r>
        <w:rPr>
          <w:rStyle w:val="FootnoteReference"/>
        </w:rPr>
        <w:footnoteRef/>
      </w:r>
      <w:r>
        <w:rPr>
          <w:lang w:val="fr-BE"/>
        </w:rPr>
        <w:t xml:space="preserve"> Voir le considérant 23 de la directive IP</w:t>
      </w:r>
      <w:r>
        <w:rPr>
          <w:lang w:val="fr-BE"/>
        </w:rPr>
        <w:t xml:space="preserve">RED. Voir aussi l’arrêt </w:t>
      </w:r>
      <w:hyperlink r:id="rId58">
        <w:r>
          <w:rPr>
            <w:rStyle w:val="Hyperlink"/>
            <w:lang w:val="fr-BE"/>
          </w:rPr>
          <w:t>C-324/09</w:t>
        </w:r>
      </w:hyperlink>
      <w:r>
        <w:rPr>
          <w:lang w:val="fr-BE"/>
        </w:rPr>
        <w:t xml:space="preserve">, </w:t>
      </w:r>
      <w:r>
        <w:rPr>
          <w:i/>
          <w:lang w:val="fr-BE"/>
        </w:rPr>
        <w:t>L’Oréal v. eBay</w:t>
      </w:r>
      <w:r>
        <w:rPr>
          <w:lang w:val="fr-BE"/>
        </w:rPr>
        <w:t xml:space="preserve">, point 135; arrêt </w:t>
      </w:r>
      <w:hyperlink r:id="rId59">
        <w:r>
          <w:rPr>
            <w:rStyle w:val="Hyperlink"/>
            <w:lang w:val="fr-BE"/>
          </w:rPr>
          <w:t>C-70/10</w:t>
        </w:r>
      </w:hyperlink>
      <w:r>
        <w:rPr>
          <w:lang w:val="fr-BE"/>
        </w:rPr>
        <w:t xml:space="preserve">, </w:t>
      </w:r>
      <w:r>
        <w:rPr>
          <w:i/>
          <w:lang w:val="fr-BE"/>
        </w:rPr>
        <w:t>Scarlet Extended</w:t>
      </w:r>
      <w:r>
        <w:rPr>
          <w:lang w:val="fr-BE"/>
        </w:rPr>
        <w:t xml:space="preserve">, point 31; arrêt </w:t>
      </w:r>
      <w:hyperlink r:id="rId60">
        <w:r>
          <w:rPr>
            <w:rStyle w:val="Hyperlink"/>
            <w:lang w:val="fr-BE"/>
          </w:rPr>
          <w:t>C-360/10</w:t>
        </w:r>
      </w:hyperlink>
      <w:r>
        <w:rPr>
          <w:lang w:val="fr-BE"/>
        </w:rPr>
        <w:t>, SABAM, point</w:t>
      </w:r>
      <w:r>
        <w:rPr>
          <w:lang w:val="fr-BE"/>
        </w:rPr>
        <w:t> 29.</w:t>
      </w:r>
    </w:p>
  </w:footnote>
  <w:footnote w:id="100">
    <w:p w:rsidR="0070369F" w:rsidRDefault="00B36066">
      <w:pPr>
        <w:pStyle w:val="FootnoteText"/>
        <w:jc w:val="both"/>
        <w:rPr>
          <w:lang w:val="fr-BE"/>
        </w:rPr>
      </w:pPr>
      <w:r>
        <w:rPr>
          <w:rStyle w:val="FootnoteReference"/>
        </w:rPr>
        <w:footnoteRef/>
      </w:r>
      <w:r>
        <w:rPr>
          <w:lang w:val="fr-BE"/>
        </w:rPr>
        <w:t xml:space="preserve"> Par exemple, en Belgique, en France, en Pologne.</w:t>
      </w:r>
    </w:p>
  </w:footnote>
  <w:footnote w:id="101">
    <w:p w:rsidR="0070369F" w:rsidRDefault="00B36066">
      <w:pPr>
        <w:pStyle w:val="FootnoteText"/>
        <w:jc w:val="both"/>
        <w:rPr>
          <w:lang w:val="fr-BE"/>
        </w:rPr>
      </w:pPr>
      <w:r>
        <w:rPr>
          <w:rStyle w:val="FootnoteReference"/>
        </w:rPr>
        <w:footnoteRef/>
      </w:r>
      <w:r>
        <w:rPr>
          <w:lang w:val="fr-BE"/>
        </w:rPr>
        <w:t xml:space="preserve"> En vertu de son article 1</w:t>
      </w:r>
      <w:r>
        <w:rPr>
          <w:vertAlign w:val="superscript"/>
          <w:lang w:val="fr-BE"/>
        </w:rPr>
        <w:t>er</w:t>
      </w:r>
      <w:r>
        <w:rPr>
          <w:lang w:val="fr-BE"/>
        </w:rPr>
        <w:t>, aux fins de la présente directive, l’expression «droits de propriété intellectuelle» inclut les droits de propriété industrielle.</w:t>
      </w:r>
    </w:p>
  </w:footnote>
  <w:footnote w:id="102">
    <w:p w:rsidR="0070369F" w:rsidRDefault="00B36066">
      <w:pPr>
        <w:pStyle w:val="FootnoteText"/>
        <w:jc w:val="both"/>
        <w:rPr>
          <w:lang w:val="fr-BE"/>
        </w:rPr>
      </w:pPr>
      <w:r>
        <w:rPr>
          <w:rStyle w:val="FootnoteReference"/>
        </w:rPr>
        <w:footnoteRef/>
      </w:r>
      <w:r>
        <w:rPr>
          <w:lang w:val="fr-BE"/>
        </w:rPr>
        <w:t xml:space="preserve"> Voir l’arrêt dans l’affaire </w:t>
      </w:r>
      <w:hyperlink r:id="rId61">
        <w:r>
          <w:rPr>
            <w:rStyle w:val="Hyperlink"/>
            <w:lang w:val="fr-BE"/>
          </w:rPr>
          <w:t>C-367/15</w:t>
        </w:r>
      </w:hyperlink>
      <w:r>
        <w:rPr>
          <w:lang w:val="fr-BE"/>
        </w:rPr>
        <w:t xml:space="preserve">, </w:t>
      </w:r>
      <w:r>
        <w:rPr>
          <w:i/>
          <w:lang w:val="fr-BE"/>
        </w:rPr>
        <w:t>OTK</w:t>
      </w:r>
      <w:r>
        <w:rPr>
          <w:lang w:val="fr-BE"/>
        </w:rPr>
        <w:t>, point 23:</w:t>
      </w:r>
      <w:r>
        <w:rPr>
          <w:rStyle w:val="Hyperlink"/>
          <w:color w:val="auto"/>
          <w:u w:val="none"/>
          <w:lang w:val="fr-BE"/>
        </w:rPr>
        <w:t xml:space="preserve"> «</w:t>
      </w:r>
      <w:r>
        <w:rPr>
          <w:rStyle w:val="Hyperlink"/>
          <w:i/>
          <w:color w:val="auto"/>
          <w:u w:val="none"/>
          <w:lang w:val="fr-BE"/>
        </w:rPr>
        <w:t xml:space="preserve">[L]a directive 2004/48 consacre un standard minimal concernant le respect des droits </w:t>
      </w:r>
      <w:r>
        <w:rPr>
          <w:rStyle w:val="Hyperlink"/>
          <w:i/>
          <w:color w:val="auto"/>
          <w:u w:val="none"/>
          <w:lang w:val="fr-BE"/>
        </w:rPr>
        <w:t>de propriété intellectuelle et n’empêche pas les États membres de prévoir des mesures plus protectrices»</w:t>
      </w:r>
      <w:r>
        <w:rPr>
          <w:rStyle w:val="Hyperlink"/>
          <w:color w:val="auto"/>
          <w:u w:val="none"/>
          <w:lang w:val="fr-BE"/>
        </w:rPr>
        <w:t>.</w:t>
      </w:r>
    </w:p>
  </w:footnote>
  <w:footnote w:id="103">
    <w:p w:rsidR="0070369F" w:rsidRDefault="00B36066">
      <w:pPr>
        <w:spacing w:after="0" w:line="240" w:lineRule="auto"/>
        <w:jc w:val="both"/>
        <w:rPr>
          <w:rFonts w:ascii="Times New Roman" w:hAnsi="Times New Roman" w:cs="Times New Roman"/>
          <w:sz w:val="20"/>
          <w:szCs w:val="20"/>
          <w:lang w:val="fr-BE"/>
        </w:rPr>
      </w:pPr>
      <w:r>
        <w:rPr>
          <w:rStyle w:val="FootnoteReference"/>
          <w:rFonts w:ascii="Times New Roman" w:hAnsi="Times New Roman"/>
          <w:sz w:val="20"/>
        </w:rPr>
        <w:footnoteRef/>
      </w:r>
      <w:r>
        <w:rPr>
          <w:rFonts w:ascii="Times New Roman" w:hAnsi="Times New Roman"/>
          <w:sz w:val="20"/>
          <w:lang w:val="fr-BE"/>
        </w:rPr>
        <w:t xml:space="preserve"> Déclaration de la Commission concernant l'article 2 de la directive 2004/48/CE du Parlement européen et du Conseil relative au respect des droits de propriété intellectuelle 52005/295/CE), JO L 94 du 13.4.2005, p. 37).</w:t>
      </w:r>
    </w:p>
  </w:footnote>
  <w:footnote w:id="104">
    <w:p w:rsidR="0070369F" w:rsidRDefault="00B36066">
      <w:pPr>
        <w:pStyle w:val="FootnoteText"/>
        <w:jc w:val="both"/>
        <w:rPr>
          <w:lang w:val="fr-BE"/>
        </w:rPr>
      </w:pPr>
      <w:r>
        <w:rPr>
          <w:rStyle w:val="FootnoteReference"/>
        </w:rPr>
        <w:footnoteRef/>
      </w:r>
      <w:r>
        <w:rPr>
          <w:lang w:val="fr-BE"/>
        </w:rPr>
        <w:t xml:space="preserve"> En particulier, rapport de la Comm</w:t>
      </w:r>
      <w:r>
        <w:rPr>
          <w:lang w:val="fr-BE"/>
        </w:rPr>
        <w:t>ission intitulé «</w:t>
      </w:r>
      <w:r>
        <w:rPr>
          <w:i/>
          <w:lang w:val="fr-BE"/>
        </w:rPr>
        <w:t>Application de la directive 2004/48/CE du Parlement européen et du Conseil du 29 avril 2004 relative au respect des droits de propriété intellectuelle</w:t>
      </w:r>
      <w:r>
        <w:rPr>
          <w:lang w:val="fr-BE"/>
        </w:rPr>
        <w:t xml:space="preserve">» [COM(2010)0779 final]. </w:t>
      </w:r>
      <w:r>
        <w:rPr>
          <w:i/>
          <w:lang w:val="fr-BE"/>
        </w:rPr>
        <w:t>"Support study for the ex-post evaluation and ex-ante impact ana</w:t>
      </w:r>
      <w:r>
        <w:rPr>
          <w:i/>
          <w:lang w:val="fr-BE"/>
        </w:rPr>
        <w:t>lysis of the IPR enforcement directive (IPRED)"</w:t>
      </w:r>
      <w:r>
        <w:rPr>
          <w:lang w:val="fr-BE"/>
        </w:rPr>
        <w:t>, Technopolis Group conjointement avec EY et Schalast Rechtsanwälte, 2017.</w:t>
      </w:r>
    </w:p>
  </w:footnote>
  <w:footnote w:id="105">
    <w:p w:rsidR="0070369F" w:rsidRDefault="00B36066">
      <w:pPr>
        <w:pStyle w:val="FootnoteText"/>
        <w:jc w:val="both"/>
        <w:rPr>
          <w:lang w:val="fr-BE"/>
        </w:rPr>
      </w:pPr>
      <w:r>
        <w:rPr>
          <w:rStyle w:val="FootnoteReference"/>
        </w:rPr>
        <w:footnoteRef/>
      </w:r>
      <w:r>
        <w:rPr>
          <w:lang w:val="fr-BE"/>
        </w:rPr>
        <w:t xml:space="preserve"> Directive (UE) 2016/943 du Parlement européen et du Conseil du 8 juin 2016 sur la protection des savoir-faire et des informations co</w:t>
      </w:r>
      <w:r>
        <w:rPr>
          <w:lang w:val="fr-BE"/>
        </w:rPr>
        <w:t>mmerciales non divulgués (secrets d'affaires) contre l'obtention, l'utilisation et la divulgation illicites (JO L du 15.6.2016, p. 1).</w:t>
      </w:r>
    </w:p>
  </w:footnote>
  <w:footnote w:id="106">
    <w:p w:rsidR="0070369F" w:rsidRDefault="00B36066">
      <w:pPr>
        <w:pStyle w:val="FootnoteText"/>
        <w:jc w:val="both"/>
        <w:rPr>
          <w:lang w:val="fr-BE"/>
        </w:rPr>
      </w:pPr>
      <w:r>
        <w:rPr>
          <w:rStyle w:val="FootnoteReference"/>
        </w:rPr>
        <w:footnoteRef/>
      </w:r>
      <w:r>
        <w:rPr>
          <w:lang w:val="fr-BE"/>
        </w:rPr>
        <w:t xml:space="preserve"> Voir le considérant 39 de la directive sur les secrets d’affaires.</w:t>
      </w:r>
    </w:p>
  </w:footnote>
  <w:footnote w:id="107">
    <w:p w:rsidR="0070369F" w:rsidRDefault="00B36066">
      <w:pPr>
        <w:pStyle w:val="FootnoteText"/>
        <w:jc w:val="both"/>
        <w:rPr>
          <w:lang w:val="fr-BE"/>
        </w:rPr>
      </w:pPr>
      <w:r>
        <w:rPr>
          <w:rStyle w:val="FootnoteReference"/>
        </w:rPr>
        <w:footnoteRef/>
      </w:r>
      <w:r>
        <w:rPr>
          <w:lang w:val="fr-BE"/>
        </w:rPr>
        <w:t xml:space="preserve"> Les États membres sont tenus de transposer cette d</w:t>
      </w:r>
      <w:r>
        <w:rPr>
          <w:lang w:val="fr-BE"/>
        </w:rPr>
        <w:t>irective pour  le 9 juin 2018 au plus tard.</w:t>
      </w:r>
    </w:p>
  </w:footnote>
  <w:footnote w:id="108">
    <w:p w:rsidR="0070369F" w:rsidRDefault="00B36066">
      <w:pPr>
        <w:pStyle w:val="FootnoteText"/>
        <w:jc w:val="both"/>
        <w:rPr>
          <w:lang w:val="fr-BE"/>
        </w:rPr>
      </w:pPr>
      <w:r>
        <w:rPr>
          <w:rStyle w:val="FootnoteReference"/>
        </w:rPr>
        <w:footnoteRef/>
      </w:r>
      <w:r>
        <w:rPr>
          <w:lang w:val="fr-BE"/>
        </w:rPr>
        <w:t xml:space="preserve"> Arrêt de la Cour (troisième chambre) du 15 novembre 2012 dans l’affaire </w:t>
      </w:r>
      <w:hyperlink r:id="rId62">
        <w:r>
          <w:rPr>
            <w:rStyle w:val="Hyperlink"/>
            <w:lang w:val="fr-BE"/>
          </w:rPr>
          <w:t>C-180/11</w:t>
        </w:r>
      </w:hyperlink>
      <w:r>
        <w:rPr>
          <w:lang w:val="fr-BE"/>
        </w:rPr>
        <w:t xml:space="preserve">, </w:t>
      </w:r>
      <w:r>
        <w:rPr>
          <w:i/>
          <w:lang w:val="fr-BE"/>
        </w:rPr>
        <w:t xml:space="preserve"> Bericap Záródástechnikai Bt. v Plastinnova 2000 Kft</w:t>
      </w:r>
      <w:r>
        <w:rPr>
          <w:lang w:val="fr-BE"/>
        </w:rPr>
        <w:t>, EU:C:2012:717, points 79 à 81;</w:t>
      </w:r>
    </w:p>
  </w:footnote>
  <w:footnote w:id="109">
    <w:p w:rsidR="0070369F" w:rsidRDefault="00B36066">
      <w:pPr>
        <w:pStyle w:val="FootnoteText"/>
        <w:jc w:val="both"/>
        <w:rPr>
          <w:lang w:val="fr-BE"/>
        </w:rPr>
      </w:pPr>
      <w:r>
        <w:rPr>
          <w:rStyle w:val="FootnoteReference"/>
        </w:rPr>
        <w:footnoteRef/>
      </w:r>
      <w:r>
        <w:rPr>
          <w:lang w:val="fr-BE"/>
        </w:rPr>
        <w:t xml:space="preserve"> Arrêt de la Cour (quatrième chambre) du 10 avril 2014 dans l’affaire </w:t>
      </w:r>
      <w:hyperlink r:id="rId63">
        <w:r>
          <w:rPr>
            <w:rStyle w:val="Hyperlink"/>
            <w:lang w:val="fr-BE"/>
          </w:rPr>
          <w:t>C-435/12</w:t>
        </w:r>
      </w:hyperlink>
      <w:r>
        <w:rPr>
          <w:lang w:val="fr-BE"/>
        </w:rPr>
        <w:t xml:space="preserve">, </w:t>
      </w:r>
      <w:r>
        <w:rPr>
          <w:i/>
          <w:lang w:val="fr-BE"/>
        </w:rPr>
        <w:t>ACI Adam BV and Others v Stichting de Thuiskopie and Stichting Onderhandelingen Thuiskopie vergoeding</w:t>
      </w:r>
      <w:r>
        <w:rPr>
          <w:lang w:val="fr-BE"/>
        </w:rPr>
        <w:t xml:space="preserve">, EU:C:2014:254, point 63. </w:t>
      </w:r>
    </w:p>
  </w:footnote>
  <w:footnote w:id="110">
    <w:p w:rsidR="0070369F" w:rsidRDefault="00B36066">
      <w:pPr>
        <w:pStyle w:val="FootnoteText"/>
        <w:jc w:val="both"/>
        <w:rPr>
          <w:lang w:val="fr-BE"/>
        </w:rPr>
      </w:pPr>
      <w:r>
        <w:rPr>
          <w:rStyle w:val="FootnoteReference"/>
        </w:rPr>
        <w:footnoteRef/>
      </w:r>
      <w:r>
        <w:rPr>
          <w:lang w:val="fr-BE"/>
        </w:rPr>
        <w:t xml:space="preserve"> Arrêt de la Cour (septième chambre)</w:t>
      </w:r>
      <w:r>
        <w:rPr>
          <w:lang w:val="fr-BE"/>
        </w:rPr>
        <w:t xml:space="preserve"> du 4 février 2016 dans l’affaire </w:t>
      </w:r>
      <w:hyperlink r:id="rId64">
        <w:r>
          <w:rPr>
            <w:rStyle w:val="Hyperlink"/>
            <w:lang w:val="fr-BE"/>
          </w:rPr>
          <w:t>C-163/15</w:t>
        </w:r>
      </w:hyperlink>
      <w:r>
        <w:rPr>
          <w:lang w:val="fr-BE"/>
        </w:rPr>
        <w:t xml:space="preserve">, </w:t>
      </w:r>
      <w:r>
        <w:rPr>
          <w:i/>
          <w:lang w:val="fr-BE"/>
        </w:rPr>
        <w:t>Youssef Hassan/Breiding Vertriebsgesellschaft mbH</w:t>
      </w:r>
      <w:r>
        <w:rPr>
          <w:lang w:val="fr-BE"/>
        </w:rPr>
        <w:t>, EU:C:20</w:t>
      </w:r>
      <w:r>
        <w:rPr>
          <w:lang w:val="fr-BE"/>
        </w:rPr>
        <w:t xml:space="preserve">16:71, point 26; Arrêt de la Cour (septième chambre) du 22 juin 2016 dans l’affaire </w:t>
      </w:r>
      <w:r>
        <w:rPr>
          <w:i/>
          <w:lang w:val="fr-BE"/>
        </w:rPr>
        <w:t>C-419/15</w:t>
      </w:r>
      <w:r>
        <w:rPr>
          <w:lang w:val="fr-BE"/>
        </w:rPr>
        <w:t xml:space="preserve">, </w:t>
      </w:r>
      <w:r>
        <w:rPr>
          <w:i/>
          <w:lang w:val="fr-BE"/>
        </w:rPr>
        <w:t>Thomas Philipps GmbH &amp; Co. KG v Grüne Welle Vertriebs GmbH</w:t>
      </w:r>
      <w:r>
        <w:rPr>
          <w:lang w:val="fr-BE"/>
        </w:rPr>
        <w:t>, EU:C:2016:468, point 25;</w:t>
      </w:r>
    </w:p>
  </w:footnote>
  <w:footnote w:id="111">
    <w:p w:rsidR="0070369F" w:rsidRDefault="00B36066">
      <w:pPr>
        <w:pStyle w:val="FootnoteText"/>
        <w:jc w:val="both"/>
        <w:rPr>
          <w:lang w:val="fr-BE"/>
        </w:rPr>
      </w:pPr>
      <w:r>
        <w:rPr>
          <w:rStyle w:val="FootnoteReference"/>
        </w:rPr>
        <w:footnoteRef/>
      </w:r>
      <w:r>
        <w:rPr>
          <w:lang w:val="fr-BE"/>
        </w:rPr>
        <w:t xml:space="preserve"> La même phrase a été insérée à l’article 4, point b), de la directive IPRED</w:t>
      </w:r>
      <w:r>
        <w:rPr>
          <w:lang w:val="fr-BE"/>
        </w:rPr>
        <w:t>.</w:t>
      </w:r>
    </w:p>
  </w:footnote>
  <w:footnote w:id="112">
    <w:p w:rsidR="0070369F" w:rsidRDefault="00B36066">
      <w:pPr>
        <w:pStyle w:val="FootnoteText"/>
        <w:jc w:val="both"/>
        <w:rPr>
          <w:lang w:val="fr-BE"/>
        </w:rPr>
      </w:pPr>
      <w:r>
        <w:rPr>
          <w:rStyle w:val="FootnoteReference"/>
        </w:rPr>
        <w:footnoteRef/>
      </w:r>
      <w:r>
        <w:rPr>
          <w:lang w:val="fr-BE"/>
        </w:rPr>
        <w:t xml:space="preserve"> Des dispositions de ce type existent en France, en Belgique, au Portugal et aux Pays-Bas.</w:t>
      </w:r>
    </w:p>
  </w:footnote>
  <w:footnote w:id="113">
    <w:p w:rsidR="0070369F" w:rsidRDefault="00B36066">
      <w:pPr>
        <w:pStyle w:val="FootnoteText"/>
        <w:jc w:val="both"/>
        <w:rPr>
          <w:lang w:val="fr-BE"/>
        </w:rPr>
      </w:pPr>
      <w:r>
        <w:rPr>
          <w:rStyle w:val="FootnoteReference"/>
        </w:rPr>
        <w:footnoteRef/>
      </w:r>
      <w:r>
        <w:rPr>
          <w:lang w:val="fr-BE"/>
        </w:rPr>
        <w:t xml:space="preserve"> Selon le retour d’information général en provenance des acteurs concernés. Voir aussi l’étude «</w:t>
      </w:r>
      <w:r>
        <w:rPr>
          <w:i/>
          <w:lang w:val="fr-BE"/>
        </w:rPr>
        <w:t>Support study for the ex-post evaluation and ex-ante impact analy</w:t>
      </w:r>
      <w:r>
        <w:rPr>
          <w:i/>
          <w:lang w:val="fr-BE"/>
        </w:rPr>
        <w:t>sis of the IPR enforcement directive (IPRED)»</w:t>
      </w:r>
      <w:r>
        <w:rPr>
          <w:lang w:val="fr-BE"/>
        </w:rPr>
        <w:t>, Technopolis Group conjointement avec EY et Schalast Rechtsanwälte, 2017.</w:t>
      </w:r>
    </w:p>
  </w:footnote>
  <w:footnote w:id="114">
    <w:p w:rsidR="0070369F" w:rsidRDefault="00B36066">
      <w:pPr>
        <w:pStyle w:val="FootnoteText"/>
        <w:jc w:val="both"/>
        <w:rPr>
          <w:lang w:val="fr-BE"/>
        </w:rPr>
      </w:pPr>
      <w:r>
        <w:rPr>
          <w:rStyle w:val="FootnoteReference"/>
        </w:rPr>
        <w:footnoteRef/>
      </w:r>
      <w:r>
        <w:rPr>
          <w:lang w:val="fr-BE"/>
        </w:rPr>
        <w:t xml:space="preserve"> Voir le considérant 20 de la directive IPRED.</w:t>
      </w:r>
    </w:p>
  </w:footnote>
  <w:footnote w:id="115">
    <w:p w:rsidR="0070369F" w:rsidRDefault="00B36066">
      <w:pPr>
        <w:pStyle w:val="FootnoteText"/>
        <w:rPr>
          <w:lang w:val="fr-BE"/>
        </w:rPr>
      </w:pPr>
      <w:r>
        <w:rPr>
          <w:rStyle w:val="FootnoteReference"/>
        </w:rPr>
        <w:footnoteRef/>
      </w:r>
      <w:r>
        <w:rPr>
          <w:lang w:val="fr-BE"/>
        </w:rPr>
        <w:t xml:space="preserve"> Voir la section «Possibilités et avantages d’un mémoire préventif», p. 15.</w:t>
      </w:r>
    </w:p>
  </w:footnote>
  <w:footnote w:id="116">
    <w:p w:rsidR="0070369F" w:rsidRDefault="00B36066">
      <w:pPr>
        <w:pStyle w:val="FootnoteText"/>
        <w:tabs>
          <w:tab w:val="left" w:pos="2719"/>
        </w:tabs>
        <w:rPr>
          <w:lang w:val="fr-BE"/>
        </w:rPr>
      </w:pPr>
      <w:r>
        <w:rPr>
          <w:rStyle w:val="FootnoteReference"/>
        </w:rPr>
        <w:footnoteRef/>
      </w:r>
      <w:r>
        <w:rPr>
          <w:lang w:val="fr-BE"/>
        </w:rPr>
        <w:t xml:space="preserve"> Document de travail des services de la Commission — Évaluation de la directive 2004/48/CE, p. 13.</w:t>
      </w:r>
    </w:p>
  </w:footnote>
  <w:footnote w:id="117">
    <w:p w:rsidR="0070369F" w:rsidRDefault="00B36066">
      <w:pPr>
        <w:pStyle w:val="FootnoteText"/>
        <w:jc w:val="both"/>
        <w:rPr>
          <w:lang w:val="fr-BE"/>
        </w:rPr>
      </w:pPr>
      <w:r>
        <w:rPr>
          <w:rStyle w:val="FootnoteReference"/>
        </w:rPr>
        <w:footnoteRef/>
      </w:r>
      <w:r>
        <w:rPr>
          <w:lang w:val="fr-BE"/>
        </w:rPr>
        <w:t xml:space="preserve"> Consultation sur l’évaluation et la modernisation du cadre juridique des DPI, p. 22. </w:t>
      </w:r>
    </w:p>
  </w:footnote>
  <w:footnote w:id="118">
    <w:p w:rsidR="0070369F" w:rsidRDefault="00B36066">
      <w:pPr>
        <w:pStyle w:val="FootnoteText"/>
        <w:jc w:val="both"/>
        <w:rPr>
          <w:lang w:val="fr-BE"/>
        </w:rPr>
      </w:pPr>
      <w:r>
        <w:rPr>
          <w:rStyle w:val="FootnoteReference"/>
        </w:rPr>
        <w:footnoteRef/>
      </w:r>
      <w:r>
        <w:rPr>
          <w:lang w:val="fr-BE"/>
        </w:rPr>
        <w:t xml:space="preserve"> Arrêt de la Cour (septième chambre) du 18 janvier 2017 dans l’affai</w:t>
      </w:r>
      <w:r>
        <w:rPr>
          <w:lang w:val="fr-BE"/>
        </w:rPr>
        <w:t xml:space="preserve">re </w:t>
      </w:r>
      <w:hyperlink r:id="rId65">
        <w:r>
          <w:rPr>
            <w:rStyle w:val="Hyperlink"/>
            <w:lang w:val="fr-BE"/>
          </w:rPr>
          <w:t>C-427/15</w:t>
        </w:r>
      </w:hyperlink>
      <w:r>
        <w:rPr>
          <w:lang w:val="fr-BE"/>
        </w:rPr>
        <w:t xml:space="preserve">, </w:t>
      </w:r>
      <w:r>
        <w:rPr>
          <w:i/>
          <w:lang w:val="fr-BE"/>
        </w:rPr>
        <w:t>N</w:t>
      </w:r>
      <w:r>
        <w:rPr>
          <w:i/>
          <w:lang w:val="fr-BE"/>
        </w:rPr>
        <w:t>EW WAVE CZ, a.s. v ALLTOYS</w:t>
      </w:r>
      <w:r>
        <w:rPr>
          <w:lang w:val="fr-BE"/>
        </w:rPr>
        <w:t>, EU:C:2017:18, point 27.</w:t>
      </w:r>
      <w:r>
        <w:rPr>
          <w:i/>
          <w:lang w:val="fr-BE"/>
        </w:rPr>
        <w:t xml:space="preserve"> </w:t>
      </w:r>
    </w:p>
  </w:footnote>
  <w:footnote w:id="119">
    <w:p w:rsidR="0070369F" w:rsidRDefault="00B36066">
      <w:pPr>
        <w:pStyle w:val="FootnoteText"/>
        <w:jc w:val="both"/>
        <w:rPr>
          <w:lang w:val="fr-BE"/>
        </w:rPr>
      </w:pPr>
      <w:r>
        <w:rPr>
          <w:rStyle w:val="FootnoteReference"/>
        </w:rPr>
        <w:footnoteRef/>
      </w:r>
      <w:r>
        <w:rPr>
          <w:lang w:val="fr-BE"/>
        </w:rPr>
        <w:t xml:space="preserve"> Section 19, paragraphes 2 et 7, de la loi allemande sur les marques.</w:t>
      </w:r>
    </w:p>
  </w:footnote>
  <w:footnote w:id="120">
    <w:p w:rsidR="0070369F" w:rsidRDefault="00B36066">
      <w:pPr>
        <w:pStyle w:val="FootnoteText"/>
        <w:jc w:val="both"/>
        <w:rPr>
          <w:lang w:val="fr-BE"/>
        </w:rPr>
      </w:pPr>
      <w:r>
        <w:rPr>
          <w:rStyle w:val="FootnoteReference"/>
        </w:rPr>
        <w:footnoteRef/>
      </w:r>
      <w:r>
        <w:rPr>
          <w:lang w:val="fr-BE"/>
        </w:rPr>
        <w:t xml:space="preserve"> Arrêt de la Cour du 16 juin 1998 dans l’affaire </w:t>
      </w:r>
      <w:hyperlink r:id="rId66">
        <w:r>
          <w:rPr>
            <w:rStyle w:val="Hyperlink"/>
            <w:lang w:val="fr-BE"/>
          </w:rPr>
          <w:t>C-53/96</w:t>
        </w:r>
      </w:hyperlink>
      <w:r>
        <w:rPr>
          <w:lang w:val="fr-BE"/>
        </w:rPr>
        <w:t xml:space="preserve">, </w:t>
      </w:r>
      <w:r>
        <w:rPr>
          <w:i/>
          <w:lang w:val="fr-BE"/>
        </w:rPr>
        <w:t>Hermès International v FHT Marketing Choice BV</w:t>
      </w:r>
      <w:r>
        <w:rPr>
          <w:lang w:val="fr-BE"/>
        </w:rPr>
        <w:t xml:space="preserve">, EU:C:1998:292, point 28; arrêt C-275/06, </w:t>
      </w:r>
      <w:r>
        <w:rPr>
          <w:i/>
          <w:lang w:val="fr-BE"/>
        </w:rPr>
        <w:t xml:space="preserve">Promusicae, </w:t>
      </w:r>
      <w:r>
        <w:rPr>
          <w:lang w:val="fr-BE"/>
        </w:rPr>
        <w:t xml:space="preserve"> point 60.</w:t>
      </w:r>
    </w:p>
  </w:footnote>
  <w:footnote w:id="121">
    <w:p w:rsidR="0070369F" w:rsidRDefault="00B36066">
      <w:pPr>
        <w:pStyle w:val="FootnoteText"/>
        <w:rPr>
          <w:lang w:val="fr-BE"/>
        </w:rPr>
      </w:pPr>
      <w:r>
        <w:rPr>
          <w:rStyle w:val="FootnoteReference"/>
        </w:rPr>
        <w:footnoteRef/>
      </w:r>
      <w:r>
        <w:rPr>
          <w:lang w:val="fr-BE"/>
        </w:rPr>
        <w:t xml:space="preserve"> Voir le considérant 11 de la directive IPRED.</w:t>
      </w:r>
    </w:p>
  </w:footnote>
  <w:footnote w:id="122">
    <w:p w:rsidR="0070369F" w:rsidRDefault="00B36066">
      <w:pPr>
        <w:pStyle w:val="FootnoteText"/>
        <w:jc w:val="both"/>
        <w:rPr>
          <w:lang w:val="fr-BE"/>
        </w:rPr>
      </w:pPr>
      <w:r>
        <w:rPr>
          <w:rStyle w:val="FootnoteReference"/>
        </w:rPr>
        <w:footnoteRef/>
      </w:r>
      <w:r>
        <w:rPr>
          <w:lang w:val="fr-BE"/>
        </w:rPr>
        <w:t xml:space="preserve"> Règlement (UE) n° 1215/2012 du Parlement européen et du Conseil du 12 décembre 2012 concernant la compétence judiciaire, la reconnaissance et l’exécution des décisions en matière civile et commerciale (JO L 351 du 20.12.2012, p. 1).</w:t>
      </w:r>
    </w:p>
  </w:footnote>
  <w:footnote w:id="123">
    <w:p w:rsidR="0070369F" w:rsidRDefault="00B36066">
      <w:pPr>
        <w:pStyle w:val="FootnoteText"/>
        <w:jc w:val="both"/>
        <w:rPr>
          <w:lang w:val="fr-BE"/>
        </w:rPr>
      </w:pPr>
      <w:r>
        <w:rPr>
          <w:rStyle w:val="FootnoteReference"/>
        </w:rPr>
        <w:footnoteRef/>
      </w:r>
      <w:r>
        <w:rPr>
          <w:lang w:val="fr-BE"/>
        </w:rPr>
        <w:t xml:space="preserve"> Règlement (CE) n° 86</w:t>
      </w:r>
      <w:r>
        <w:rPr>
          <w:lang w:val="fr-BE"/>
        </w:rPr>
        <w:t xml:space="preserve">4/2007 du Parlement européen et du Conseil du 11 juillet 2007 sur la loi applicable aux obligations non contractuelles (JO L 199 du 31.7.2007, p. 40). </w:t>
      </w:r>
    </w:p>
  </w:footnote>
  <w:footnote w:id="124">
    <w:p w:rsidR="0070369F" w:rsidRDefault="00B36066">
      <w:pPr>
        <w:pStyle w:val="FootnoteText"/>
        <w:rPr>
          <w:lang w:val="fr-BE"/>
        </w:rPr>
      </w:pPr>
      <w:r>
        <w:rPr>
          <w:rStyle w:val="FootnoteReference"/>
        </w:rPr>
        <w:footnoteRef/>
      </w:r>
      <w:r>
        <w:rPr>
          <w:lang w:val="fr-BE"/>
        </w:rPr>
        <w:t xml:space="preserve"> L'article 35 du règlement Bruxelles I est libellé comme suit: «Les mesures provisoires ou conservatoir</w:t>
      </w:r>
      <w:r>
        <w:rPr>
          <w:lang w:val="fr-BE"/>
        </w:rPr>
        <w:t>es prévues par la loi d’un État membre peuvent être demandées aux juridictions de cet État, même si les juridictions d’un autre État membre sont compétentes pour connaître du fond.»</w:t>
      </w:r>
    </w:p>
  </w:footnote>
  <w:footnote w:id="125">
    <w:p w:rsidR="0070369F" w:rsidRDefault="00B36066">
      <w:pPr>
        <w:pStyle w:val="FootnoteText"/>
        <w:jc w:val="both"/>
        <w:rPr>
          <w:lang w:val="fr-BE"/>
        </w:rPr>
      </w:pPr>
      <w:r>
        <w:rPr>
          <w:rStyle w:val="FootnoteReference"/>
        </w:rPr>
        <w:footnoteRef/>
      </w:r>
      <w:r>
        <w:rPr>
          <w:lang w:val="fr-BE"/>
        </w:rPr>
        <w:t xml:space="preserve"> Ordonnance de la Cour (troisième chambre) du 7  mars 2013 dans l’affaire</w:t>
      </w:r>
      <w:r>
        <w:rPr>
          <w:lang w:val="fr-BE"/>
        </w:rPr>
        <w:t xml:space="preserve"> </w:t>
      </w:r>
      <w:hyperlink r:id="rId67">
        <w:r>
          <w:rPr>
            <w:rStyle w:val="Hyperlink"/>
            <w:lang w:val="fr-BE"/>
          </w:rPr>
          <w:t>C-145/10 REC</w:t>
        </w:r>
      </w:hyperlink>
      <w:r>
        <w:rPr>
          <w:lang w:val="fr-BE"/>
        </w:rPr>
        <w:t xml:space="preserve">, </w:t>
      </w:r>
      <w:r>
        <w:rPr>
          <w:i/>
          <w:lang w:val="fr-BE"/>
        </w:rPr>
        <w:t>Eva-Maria Painer v Standard VerlagsGmbH</w:t>
      </w:r>
      <w:r>
        <w:rPr>
          <w:lang w:val="fr-BE"/>
        </w:rPr>
        <w:t xml:space="preserve"> et autres, ECLI:EU:C:2013:138, p. 72 à 84.</w:t>
      </w:r>
    </w:p>
  </w:footnote>
  <w:footnote w:id="126">
    <w:p w:rsidR="0070369F" w:rsidRDefault="00B36066">
      <w:pPr>
        <w:pStyle w:val="FootnoteText"/>
        <w:rPr>
          <w:lang w:val="fr-BE"/>
        </w:rPr>
      </w:pPr>
      <w:r>
        <w:rPr>
          <w:rStyle w:val="FootnoteReference"/>
        </w:rPr>
        <w:footnoteRef/>
      </w:r>
      <w:r>
        <w:t xml:space="preserve"> Ar</w:t>
      </w:r>
      <w:r>
        <w:t xml:space="preserve">rêt </w:t>
      </w:r>
      <w:hyperlink r:id="rId68">
        <w:r>
          <w:rPr>
            <w:rStyle w:val="Hyperlink"/>
          </w:rPr>
          <w:t>C-406/09</w:t>
        </w:r>
      </w:hyperlink>
      <w:r>
        <w:t xml:space="preserve"> </w:t>
      </w:r>
      <w:r>
        <w:rPr>
          <w:i/>
        </w:rPr>
        <w:t>Realchemie.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9F" w:rsidRDefault="00703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094"/>
    <w:multiLevelType w:val="hybridMultilevel"/>
    <w:tmpl w:val="82D2243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E70C47"/>
    <w:multiLevelType w:val="hybridMultilevel"/>
    <w:tmpl w:val="443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C1280"/>
    <w:multiLevelType w:val="hybridMultilevel"/>
    <w:tmpl w:val="CDAE3F46"/>
    <w:lvl w:ilvl="0" w:tplc="D094634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E0357"/>
    <w:multiLevelType w:val="hybridMultilevel"/>
    <w:tmpl w:val="3214B45C"/>
    <w:lvl w:ilvl="0" w:tplc="CECE2BDE">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E5E0B59"/>
    <w:multiLevelType w:val="hybridMultilevel"/>
    <w:tmpl w:val="09963F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0462D0A"/>
    <w:multiLevelType w:val="hybridMultilevel"/>
    <w:tmpl w:val="13169C0A"/>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2101D2"/>
    <w:multiLevelType w:val="hybridMultilevel"/>
    <w:tmpl w:val="E76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C5759"/>
    <w:multiLevelType w:val="hybridMultilevel"/>
    <w:tmpl w:val="F8CAF36E"/>
    <w:lvl w:ilvl="0" w:tplc="5D46DF1C">
      <w:start w:val="1"/>
      <w:numFmt w:val="upperRoman"/>
      <w:pStyle w:val="HeaderSensitivity"/>
      <w:lvlText w:val="%1."/>
      <w:lvlJc w:val="right"/>
      <w:pPr>
        <w:ind w:left="720" w:hanging="360"/>
      </w:pPr>
    </w:lvl>
    <w:lvl w:ilvl="1" w:tplc="9DCABD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930FD3"/>
    <w:multiLevelType w:val="hybridMultilevel"/>
    <w:tmpl w:val="6B3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A9455B"/>
    <w:multiLevelType w:val="hybridMultilevel"/>
    <w:tmpl w:val="FBC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777AE"/>
    <w:multiLevelType w:val="hybridMultilevel"/>
    <w:tmpl w:val="31B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120D48"/>
    <w:multiLevelType w:val="hybridMultilevel"/>
    <w:tmpl w:val="5B2A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856D45"/>
    <w:multiLevelType w:val="hybridMultilevel"/>
    <w:tmpl w:val="AA16B1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4063596"/>
    <w:multiLevelType w:val="hybridMultilevel"/>
    <w:tmpl w:val="D820D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4F6463"/>
    <w:multiLevelType w:val="hybridMultilevel"/>
    <w:tmpl w:val="FF0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7910C7"/>
    <w:multiLevelType w:val="hybridMultilevel"/>
    <w:tmpl w:val="86B69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005C95"/>
    <w:multiLevelType w:val="hybridMultilevel"/>
    <w:tmpl w:val="2C726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40061EC"/>
    <w:multiLevelType w:val="hybridMultilevel"/>
    <w:tmpl w:val="10AE38D0"/>
    <w:lvl w:ilvl="0" w:tplc="AEB282B8">
      <w:start w:val="1"/>
      <w:numFmt w:val="decimal"/>
      <w:lvlText w:val="%1."/>
      <w:lvlJc w:val="left"/>
      <w:pPr>
        <w:ind w:left="720" w:hanging="360"/>
      </w:pPr>
      <w:rPr>
        <w:b/>
        <w:i w:val="0"/>
        <w:sz w:val="22"/>
        <w:szCs w:val="22"/>
      </w:rPr>
    </w:lvl>
    <w:lvl w:ilvl="1" w:tplc="88C0B4EA">
      <w:start w:val="1"/>
      <w:numFmt w:val="lowerLetter"/>
      <w:lvlText w:val="%2."/>
      <w:lvlJc w:val="left"/>
      <w:pPr>
        <w:ind w:left="1440" w:hanging="360"/>
      </w:pPr>
      <w:rPr>
        <w:b/>
      </w:rPr>
    </w:lvl>
    <w:lvl w:ilvl="2" w:tplc="0809001B">
      <w:start w:val="1"/>
      <w:numFmt w:val="lowerRoman"/>
      <w:lvlText w:val="%3."/>
      <w:lvlJc w:val="right"/>
      <w:pPr>
        <w:ind w:left="2160" w:hanging="180"/>
      </w:pPr>
    </w:lvl>
    <w:lvl w:ilvl="3" w:tplc="0688EF5A">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C3770F"/>
    <w:multiLevelType w:val="hybridMultilevel"/>
    <w:tmpl w:val="B6567EE0"/>
    <w:lvl w:ilvl="0" w:tplc="88C0B4EA">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8"/>
  </w:num>
  <w:num w:numId="5">
    <w:abstractNumId w:val="10"/>
  </w:num>
  <w:num w:numId="6">
    <w:abstractNumId w:val="2"/>
  </w:num>
  <w:num w:numId="7">
    <w:abstractNumId w:val="5"/>
  </w:num>
  <w:num w:numId="8">
    <w:abstractNumId w:val="11"/>
  </w:num>
  <w:num w:numId="9">
    <w:abstractNumId w:val="17"/>
  </w:num>
  <w:num w:numId="10">
    <w:abstractNumId w:val="18"/>
  </w:num>
  <w:num w:numId="11">
    <w:abstractNumId w:val="6"/>
  </w:num>
  <w:num w:numId="12">
    <w:abstractNumId w:val="9"/>
  </w:num>
  <w:num w:numId="13">
    <w:abstractNumId w:val="13"/>
  </w:num>
  <w:num w:numId="14">
    <w:abstractNumId w:val="0"/>
  </w:num>
  <w:num w:numId="15">
    <w:abstractNumId w:val="3"/>
  </w:num>
  <w:num w:numId="16">
    <w:abstractNumId w:val="12"/>
  </w:num>
  <w:num w:numId="17">
    <w:abstractNumId w:val="4"/>
  </w:num>
  <w:num w:numId="18">
    <w:abstractNumId w:val="14"/>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zebrowska">
    <w15:presenceInfo w15:providerId="Windows Live" w15:userId="ed24f4fc71b0b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6435467-D66B-4975-8C91-7ECDB336D93A"/>
    <w:docVar w:name="LW_COVERPAGE_TYPE" w:val="1"/>
    <w:docVar w:name="LW_CROSSREFERENCE" w:val="{SWD(2017) 431 final}_x000b_{SWD(2017) 432 final}"/>
    <w:docVar w:name="LW_DocType" w:val="NORMAL"/>
    <w:docVar w:name="LW_EMISSION" w:val="29.11.2017"/>
    <w:docVar w:name="LW_EMISSION_ISODATE" w:val="2017-11-29"/>
    <w:docVar w:name="LW_EMISSION_LOCATION" w:val="BRX"/>
    <w:docVar w:name="LW_EMISSION_PREFIX" w:val="Bruxelles, le "/>
    <w:docVar w:name="LW_EMISSION_SUFFIX" w:val="&lt;EMPTY&gt;"/>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rientations sur certains aspects de la directive 2004/48/CE du Parlement européen et du Conseil relative au respect des droits de propriété intellectuelle"/>
    <w:docVar w:name="LW_TYPE.DOC.CP" w:val="COMMUNICATION DE LA COMMISSION AU PARLEMENT EUROPÉEN, AU CONSEIL ET AU COMITÉ ÉCONOMIQUE ET SOCIAL EUROPÉEN"/>
    <w:docVar w:name="LW_TYPE.DOC.CP.USERTEXT" w:val="&lt;EMPTY&gt;"/>
  </w:docVars>
  <w:rsids>
    <w:rsidRoot w:val="0070369F"/>
    <w:rsid w:val="0070369F"/>
    <w:rsid w:val="00B3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lang w:val="fr-FR" w:eastAsia="fr-BE"/>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lang w:val="fr-FR" w:eastAsia="fr-BE"/>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977">
      <w:bodyDiv w:val="1"/>
      <w:marLeft w:val="0"/>
      <w:marRight w:val="0"/>
      <w:marTop w:val="0"/>
      <w:marBottom w:val="0"/>
      <w:divBdr>
        <w:top w:val="none" w:sz="0" w:space="0" w:color="auto"/>
        <w:left w:val="none" w:sz="0" w:space="0" w:color="auto"/>
        <w:bottom w:val="none" w:sz="0" w:space="0" w:color="auto"/>
        <w:right w:val="none" w:sz="0" w:space="0" w:color="auto"/>
      </w:divBdr>
    </w:div>
    <w:div w:id="253322911">
      <w:bodyDiv w:val="1"/>
      <w:marLeft w:val="0"/>
      <w:marRight w:val="0"/>
      <w:marTop w:val="0"/>
      <w:marBottom w:val="0"/>
      <w:divBdr>
        <w:top w:val="none" w:sz="0" w:space="0" w:color="auto"/>
        <w:left w:val="none" w:sz="0" w:space="0" w:color="auto"/>
        <w:bottom w:val="none" w:sz="0" w:space="0" w:color="auto"/>
        <w:right w:val="none" w:sz="0" w:space="0" w:color="auto"/>
      </w:divBdr>
    </w:div>
    <w:div w:id="33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981088">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766">
      <w:bodyDiv w:val="1"/>
      <w:marLeft w:val="0"/>
      <w:marRight w:val="0"/>
      <w:marTop w:val="0"/>
      <w:marBottom w:val="0"/>
      <w:divBdr>
        <w:top w:val="none" w:sz="0" w:space="0" w:color="auto"/>
        <w:left w:val="none" w:sz="0" w:space="0" w:color="auto"/>
        <w:bottom w:val="none" w:sz="0" w:space="0" w:color="auto"/>
        <w:right w:val="none" w:sz="0" w:space="0" w:color="auto"/>
      </w:divBdr>
    </w:div>
    <w:div w:id="360980344">
      <w:bodyDiv w:val="1"/>
      <w:marLeft w:val="0"/>
      <w:marRight w:val="0"/>
      <w:marTop w:val="0"/>
      <w:marBottom w:val="0"/>
      <w:divBdr>
        <w:top w:val="none" w:sz="0" w:space="0" w:color="auto"/>
        <w:left w:val="none" w:sz="0" w:space="0" w:color="auto"/>
        <w:bottom w:val="none" w:sz="0" w:space="0" w:color="auto"/>
        <w:right w:val="none" w:sz="0" w:space="0" w:color="auto"/>
      </w:divBdr>
    </w:div>
    <w:div w:id="366175229">
      <w:bodyDiv w:val="1"/>
      <w:marLeft w:val="0"/>
      <w:marRight w:val="0"/>
      <w:marTop w:val="0"/>
      <w:marBottom w:val="0"/>
      <w:divBdr>
        <w:top w:val="none" w:sz="0" w:space="0" w:color="auto"/>
        <w:left w:val="none" w:sz="0" w:space="0" w:color="auto"/>
        <w:bottom w:val="none" w:sz="0" w:space="0" w:color="auto"/>
        <w:right w:val="none" w:sz="0" w:space="0" w:color="auto"/>
      </w:divBdr>
    </w:div>
    <w:div w:id="720057910">
      <w:bodyDiv w:val="1"/>
      <w:marLeft w:val="0"/>
      <w:marRight w:val="0"/>
      <w:marTop w:val="0"/>
      <w:marBottom w:val="0"/>
      <w:divBdr>
        <w:top w:val="none" w:sz="0" w:space="0" w:color="auto"/>
        <w:left w:val="none" w:sz="0" w:space="0" w:color="auto"/>
        <w:bottom w:val="none" w:sz="0" w:space="0" w:color="auto"/>
        <w:right w:val="none" w:sz="0" w:space="0" w:color="auto"/>
      </w:divBdr>
    </w:div>
    <w:div w:id="810826550">
      <w:bodyDiv w:val="1"/>
      <w:marLeft w:val="0"/>
      <w:marRight w:val="0"/>
      <w:marTop w:val="0"/>
      <w:marBottom w:val="0"/>
      <w:divBdr>
        <w:top w:val="none" w:sz="0" w:space="0" w:color="auto"/>
        <w:left w:val="none" w:sz="0" w:space="0" w:color="auto"/>
        <w:bottom w:val="none" w:sz="0" w:space="0" w:color="auto"/>
        <w:right w:val="none" w:sz="0" w:space="0" w:color="auto"/>
      </w:divBdr>
    </w:div>
    <w:div w:id="827943880">
      <w:bodyDiv w:val="1"/>
      <w:marLeft w:val="0"/>
      <w:marRight w:val="0"/>
      <w:marTop w:val="0"/>
      <w:marBottom w:val="0"/>
      <w:divBdr>
        <w:top w:val="none" w:sz="0" w:space="0" w:color="auto"/>
        <w:left w:val="none" w:sz="0" w:space="0" w:color="auto"/>
        <w:bottom w:val="none" w:sz="0" w:space="0" w:color="auto"/>
        <w:right w:val="none" w:sz="0" w:space="0" w:color="auto"/>
      </w:divBdr>
    </w:div>
    <w:div w:id="869293475">
      <w:bodyDiv w:val="1"/>
      <w:marLeft w:val="0"/>
      <w:marRight w:val="0"/>
      <w:marTop w:val="0"/>
      <w:marBottom w:val="0"/>
      <w:divBdr>
        <w:top w:val="none" w:sz="0" w:space="0" w:color="auto"/>
        <w:left w:val="none" w:sz="0" w:space="0" w:color="auto"/>
        <w:bottom w:val="none" w:sz="0" w:space="0" w:color="auto"/>
        <w:right w:val="none" w:sz="0" w:space="0" w:color="auto"/>
      </w:divBdr>
    </w:div>
    <w:div w:id="968320778">
      <w:bodyDiv w:val="1"/>
      <w:marLeft w:val="0"/>
      <w:marRight w:val="0"/>
      <w:marTop w:val="0"/>
      <w:marBottom w:val="0"/>
      <w:divBdr>
        <w:top w:val="none" w:sz="0" w:space="0" w:color="auto"/>
        <w:left w:val="none" w:sz="0" w:space="0" w:color="auto"/>
        <w:bottom w:val="none" w:sz="0" w:space="0" w:color="auto"/>
        <w:right w:val="none" w:sz="0" w:space="0" w:color="auto"/>
      </w:divBdr>
    </w:div>
    <w:div w:id="978609931">
      <w:bodyDiv w:val="1"/>
      <w:marLeft w:val="0"/>
      <w:marRight w:val="0"/>
      <w:marTop w:val="0"/>
      <w:marBottom w:val="0"/>
      <w:divBdr>
        <w:top w:val="none" w:sz="0" w:space="0" w:color="auto"/>
        <w:left w:val="none" w:sz="0" w:space="0" w:color="auto"/>
        <w:bottom w:val="none" w:sz="0" w:space="0" w:color="auto"/>
        <w:right w:val="none" w:sz="0" w:space="0" w:color="auto"/>
      </w:divBdr>
    </w:div>
    <w:div w:id="988248241">
      <w:bodyDiv w:val="1"/>
      <w:marLeft w:val="0"/>
      <w:marRight w:val="0"/>
      <w:marTop w:val="0"/>
      <w:marBottom w:val="0"/>
      <w:divBdr>
        <w:top w:val="none" w:sz="0" w:space="0" w:color="auto"/>
        <w:left w:val="none" w:sz="0" w:space="0" w:color="auto"/>
        <w:bottom w:val="none" w:sz="0" w:space="0" w:color="auto"/>
        <w:right w:val="none" w:sz="0" w:space="0" w:color="auto"/>
      </w:divBdr>
      <w:divsChild>
        <w:div w:id="2104837233">
          <w:marLeft w:val="0"/>
          <w:marRight w:val="0"/>
          <w:marTop w:val="0"/>
          <w:marBottom w:val="0"/>
          <w:divBdr>
            <w:top w:val="none" w:sz="0" w:space="0" w:color="auto"/>
            <w:left w:val="none" w:sz="0" w:space="0" w:color="auto"/>
            <w:bottom w:val="none" w:sz="0" w:space="0" w:color="auto"/>
            <w:right w:val="none" w:sz="0" w:space="0" w:color="auto"/>
          </w:divBdr>
          <w:divsChild>
            <w:div w:id="4981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14">
      <w:bodyDiv w:val="1"/>
      <w:marLeft w:val="0"/>
      <w:marRight w:val="0"/>
      <w:marTop w:val="0"/>
      <w:marBottom w:val="0"/>
      <w:divBdr>
        <w:top w:val="none" w:sz="0" w:space="0" w:color="auto"/>
        <w:left w:val="none" w:sz="0" w:space="0" w:color="auto"/>
        <w:bottom w:val="none" w:sz="0" w:space="0" w:color="auto"/>
        <w:right w:val="none" w:sz="0" w:space="0" w:color="auto"/>
      </w:divBdr>
    </w:div>
    <w:div w:id="1069110845">
      <w:bodyDiv w:val="1"/>
      <w:marLeft w:val="0"/>
      <w:marRight w:val="0"/>
      <w:marTop w:val="0"/>
      <w:marBottom w:val="0"/>
      <w:divBdr>
        <w:top w:val="none" w:sz="0" w:space="0" w:color="auto"/>
        <w:left w:val="none" w:sz="0" w:space="0" w:color="auto"/>
        <w:bottom w:val="none" w:sz="0" w:space="0" w:color="auto"/>
        <w:right w:val="none" w:sz="0" w:space="0" w:color="auto"/>
      </w:divBdr>
    </w:div>
    <w:div w:id="1266888080">
      <w:bodyDiv w:val="1"/>
      <w:marLeft w:val="0"/>
      <w:marRight w:val="0"/>
      <w:marTop w:val="0"/>
      <w:marBottom w:val="0"/>
      <w:divBdr>
        <w:top w:val="none" w:sz="0" w:space="0" w:color="auto"/>
        <w:left w:val="none" w:sz="0" w:space="0" w:color="auto"/>
        <w:bottom w:val="none" w:sz="0" w:space="0" w:color="auto"/>
        <w:right w:val="none" w:sz="0" w:space="0" w:color="auto"/>
      </w:divBdr>
    </w:div>
    <w:div w:id="1315986473">
      <w:bodyDiv w:val="1"/>
      <w:marLeft w:val="0"/>
      <w:marRight w:val="0"/>
      <w:marTop w:val="0"/>
      <w:marBottom w:val="0"/>
      <w:divBdr>
        <w:top w:val="none" w:sz="0" w:space="0" w:color="auto"/>
        <w:left w:val="none" w:sz="0" w:space="0" w:color="auto"/>
        <w:bottom w:val="none" w:sz="0" w:space="0" w:color="auto"/>
        <w:right w:val="none" w:sz="0" w:space="0" w:color="auto"/>
      </w:divBdr>
      <w:divsChild>
        <w:div w:id="1885169733">
          <w:marLeft w:val="0"/>
          <w:marRight w:val="0"/>
          <w:marTop w:val="0"/>
          <w:marBottom w:val="0"/>
          <w:divBdr>
            <w:top w:val="none" w:sz="0" w:space="0" w:color="auto"/>
            <w:left w:val="none" w:sz="0" w:space="0" w:color="auto"/>
            <w:bottom w:val="none" w:sz="0" w:space="0" w:color="auto"/>
            <w:right w:val="none" w:sz="0" w:space="0" w:color="auto"/>
          </w:divBdr>
          <w:divsChild>
            <w:div w:id="1339577586">
              <w:marLeft w:val="0"/>
              <w:marRight w:val="0"/>
              <w:marTop w:val="0"/>
              <w:marBottom w:val="0"/>
              <w:divBdr>
                <w:top w:val="none" w:sz="0" w:space="0" w:color="auto"/>
                <w:left w:val="none" w:sz="0" w:space="0" w:color="auto"/>
                <w:bottom w:val="none" w:sz="0" w:space="0" w:color="auto"/>
                <w:right w:val="none" w:sz="0" w:space="0" w:color="auto"/>
              </w:divBdr>
              <w:divsChild>
                <w:div w:id="1661424001">
                  <w:marLeft w:val="0"/>
                  <w:marRight w:val="0"/>
                  <w:marTop w:val="0"/>
                  <w:marBottom w:val="0"/>
                  <w:divBdr>
                    <w:top w:val="none" w:sz="0" w:space="0" w:color="auto"/>
                    <w:left w:val="none" w:sz="0" w:space="0" w:color="auto"/>
                    <w:bottom w:val="none" w:sz="0" w:space="0" w:color="auto"/>
                    <w:right w:val="none" w:sz="0" w:space="0" w:color="auto"/>
                  </w:divBdr>
                  <w:divsChild>
                    <w:div w:id="883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1999">
      <w:bodyDiv w:val="1"/>
      <w:marLeft w:val="0"/>
      <w:marRight w:val="0"/>
      <w:marTop w:val="0"/>
      <w:marBottom w:val="0"/>
      <w:divBdr>
        <w:top w:val="none" w:sz="0" w:space="0" w:color="auto"/>
        <w:left w:val="none" w:sz="0" w:space="0" w:color="auto"/>
        <w:bottom w:val="none" w:sz="0" w:space="0" w:color="auto"/>
        <w:right w:val="none" w:sz="0" w:space="0" w:color="auto"/>
      </w:divBdr>
    </w:div>
    <w:div w:id="1386106787">
      <w:bodyDiv w:val="1"/>
      <w:marLeft w:val="0"/>
      <w:marRight w:val="0"/>
      <w:marTop w:val="0"/>
      <w:marBottom w:val="0"/>
      <w:divBdr>
        <w:top w:val="none" w:sz="0" w:space="0" w:color="auto"/>
        <w:left w:val="none" w:sz="0" w:space="0" w:color="auto"/>
        <w:bottom w:val="none" w:sz="0" w:space="0" w:color="auto"/>
        <w:right w:val="none" w:sz="0" w:space="0" w:color="auto"/>
      </w:divBdr>
    </w:div>
    <w:div w:id="1394083946">
      <w:bodyDiv w:val="1"/>
      <w:marLeft w:val="0"/>
      <w:marRight w:val="0"/>
      <w:marTop w:val="0"/>
      <w:marBottom w:val="0"/>
      <w:divBdr>
        <w:top w:val="none" w:sz="0" w:space="0" w:color="auto"/>
        <w:left w:val="none" w:sz="0" w:space="0" w:color="auto"/>
        <w:bottom w:val="none" w:sz="0" w:space="0" w:color="auto"/>
        <w:right w:val="none" w:sz="0" w:space="0" w:color="auto"/>
      </w:divBdr>
    </w:div>
    <w:div w:id="1538159340">
      <w:bodyDiv w:val="1"/>
      <w:marLeft w:val="0"/>
      <w:marRight w:val="0"/>
      <w:marTop w:val="0"/>
      <w:marBottom w:val="0"/>
      <w:divBdr>
        <w:top w:val="none" w:sz="0" w:space="0" w:color="auto"/>
        <w:left w:val="none" w:sz="0" w:space="0" w:color="auto"/>
        <w:bottom w:val="none" w:sz="0" w:space="0" w:color="auto"/>
        <w:right w:val="none" w:sz="0" w:space="0" w:color="auto"/>
      </w:divBdr>
    </w:div>
    <w:div w:id="1549341280">
      <w:bodyDiv w:val="1"/>
      <w:marLeft w:val="0"/>
      <w:marRight w:val="0"/>
      <w:marTop w:val="0"/>
      <w:marBottom w:val="0"/>
      <w:divBdr>
        <w:top w:val="none" w:sz="0" w:space="0" w:color="auto"/>
        <w:left w:val="none" w:sz="0" w:space="0" w:color="auto"/>
        <w:bottom w:val="none" w:sz="0" w:space="0" w:color="auto"/>
        <w:right w:val="none" w:sz="0" w:space="0" w:color="auto"/>
      </w:divBdr>
      <w:divsChild>
        <w:div w:id="1483034942">
          <w:marLeft w:val="0"/>
          <w:marRight w:val="0"/>
          <w:marTop w:val="0"/>
          <w:marBottom w:val="0"/>
          <w:divBdr>
            <w:top w:val="none" w:sz="0" w:space="0" w:color="auto"/>
            <w:left w:val="none" w:sz="0" w:space="0" w:color="auto"/>
            <w:bottom w:val="none" w:sz="0" w:space="0" w:color="auto"/>
            <w:right w:val="none" w:sz="0" w:space="0" w:color="auto"/>
          </w:divBdr>
        </w:div>
      </w:divsChild>
    </w:div>
    <w:div w:id="1564365408">
      <w:bodyDiv w:val="1"/>
      <w:marLeft w:val="0"/>
      <w:marRight w:val="0"/>
      <w:marTop w:val="0"/>
      <w:marBottom w:val="0"/>
      <w:divBdr>
        <w:top w:val="none" w:sz="0" w:space="0" w:color="auto"/>
        <w:left w:val="none" w:sz="0" w:space="0" w:color="auto"/>
        <w:bottom w:val="none" w:sz="0" w:space="0" w:color="auto"/>
        <w:right w:val="none" w:sz="0" w:space="0" w:color="auto"/>
      </w:divBdr>
      <w:divsChild>
        <w:div w:id="1009597917">
          <w:marLeft w:val="0"/>
          <w:marRight w:val="0"/>
          <w:marTop w:val="0"/>
          <w:marBottom w:val="0"/>
          <w:divBdr>
            <w:top w:val="none" w:sz="0" w:space="0" w:color="auto"/>
            <w:left w:val="none" w:sz="0" w:space="0" w:color="auto"/>
            <w:bottom w:val="none" w:sz="0" w:space="0" w:color="auto"/>
            <w:right w:val="none" w:sz="0" w:space="0" w:color="auto"/>
          </w:divBdr>
          <w:divsChild>
            <w:div w:id="1119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2748">
      <w:bodyDiv w:val="1"/>
      <w:marLeft w:val="0"/>
      <w:marRight w:val="0"/>
      <w:marTop w:val="0"/>
      <w:marBottom w:val="0"/>
      <w:divBdr>
        <w:top w:val="none" w:sz="0" w:space="0" w:color="auto"/>
        <w:left w:val="none" w:sz="0" w:space="0" w:color="auto"/>
        <w:bottom w:val="none" w:sz="0" w:space="0" w:color="auto"/>
        <w:right w:val="none" w:sz="0" w:space="0" w:color="auto"/>
      </w:divBdr>
    </w:div>
    <w:div w:id="1733313547">
      <w:bodyDiv w:val="1"/>
      <w:marLeft w:val="0"/>
      <w:marRight w:val="0"/>
      <w:marTop w:val="0"/>
      <w:marBottom w:val="0"/>
      <w:divBdr>
        <w:top w:val="none" w:sz="0" w:space="0" w:color="auto"/>
        <w:left w:val="none" w:sz="0" w:space="0" w:color="auto"/>
        <w:bottom w:val="none" w:sz="0" w:space="0" w:color="auto"/>
        <w:right w:val="none" w:sz="0" w:space="0" w:color="auto"/>
      </w:divBdr>
    </w:div>
    <w:div w:id="1870995336">
      <w:bodyDiv w:val="1"/>
      <w:marLeft w:val="0"/>
      <w:marRight w:val="0"/>
      <w:marTop w:val="0"/>
      <w:marBottom w:val="0"/>
      <w:divBdr>
        <w:top w:val="none" w:sz="0" w:space="0" w:color="auto"/>
        <w:left w:val="none" w:sz="0" w:space="0" w:color="auto"/>
        <w:bottom w:val="none" w:sz="0" w:space="0" w:color="auto"/>
        <w:right w:val="none" w:sz="0" w:space="0" w:color="auto"/>
      </w:divBdr>
    </w:div>
    <w:div w:id="1873684804">
      <w:bodyDiv w:val="1"/>
      <w:marLeft w:val="0"/>
      <w:marRight w:val="0"/>
      <w:marTop w:val="0"/>
      <w:marBottom w:val="0"/>
      <w:divBdr>
        <w:top w:val="none" w:sz="0" w:space="0" w:color="auto"/>
        <w:left w:val="none" w:sz="0" w:space="0" w:color="auto"/>
        <w:bottom w:val="none" w:sz="0" w:space="0" w:color="auto"/>
        <w:right w:val="none" w:sz="0" w:space="0" w:color="auto"/>
      </w:divBdr>
      <w:divsChild>
        <w:div w:id="1745300603">
          <w:marLeft w:val="0"/>
          <w:marRight w:val="0"/>
          <w:marTop w:val="0"/>
          <w:marBottom w:val="0"/>
          <w:divBdr>
            <w:top w:val="none" w:sz="0" w:space="0" w:color="auto"/>
            <w:left w:val="none" w:sz="0" w:space="0" w:color="auto"/>
            <w:bottom w:val="none" w:sz="0" w:space="0" w:color="auto"/>
            <w:right w:val="none" w:sz="0" w:space="0" w:color="auto"/>
          </w:divBdr>
        </w:div>
      </w:divsChild>
    </w:div>
    <w:div w:id="2046519657">
      <w:bodyDiv w:val="1"/>
      <w:marLeft w:val="0"/>
      <w:marRight w:val="0"/>
      <w:marTop w:val="0"/>
      <w:marBottom w:val="0"/>
      <w:divBdr>
        <w:top w:val="none" w:sz="0" w:space="0" w:color="auto"/>
        <w:left w:val="none" w:sz="0" w:space="0" w:color="auto"/>
        <w:bottom w:val="none" w:sz="0" w:space="0" w:color="auto"/>
        <w:right w:val="none" w:sz="0" w:space="0" w:color="auto"/>
      </w:divBdr>
    </w:div>
    <w:div w:id="21306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26" Type="http://schemas.openxmlformats.org/officeDocument/2006/relationships/hyperlink" Target="http://eur-lex.europa.eu/legal-content/EN/AUTO/?uri=CELEX:62009CJ0324&amp;qid=1472481929796" TargetMode="External"/><Relationship Id="rId39" Type="http://schemas.openxmlformats.org/officeDocument/2006/relationships/hyperlink" Target="http://curia.europa.eu/juris/document/document.jsf?text=&amp;docid=149924&amp;pageIndex=0&amp;doclang=EN&amp;mode=lst&amp;dir=&amp;occ=first&amp;part=1&amp;cid=789575" TargetMode="External"/><Relationship Id="rId21" Type="http://schemas.openxmlformats.org/officeDocument/2006/relationships/hyperlink" Target="http://curia.europa.eu/juris/document/document.jsf?text=&amp;docid=71573&amp;pageIndex=0&amp;doclang=en&amp;mode=lst&amp;dir=&amp;occ=first&amp;part=1&amp;cid=2689545" TargetMode="External"/><Relationship Id="rId34" Type="http://schemas.openxmlformats.org/officeDocument/2006/relationships/hyperlink" Target="http://eur-lex.europa.eu/legal-content/EN/AUTO/?uri=CELEX:62010CJ0461&amp;qid=1472481929796" TargetMode="External"/><Relationship Id="rId42" Type="http://schemas.openxmlformats.org/officeDocument/2006/relationships/hyperlink" Target="http://eur-lex.europa.eu/legal-content/EN/AUTO/?uri=CELEX:62012CJ0435&amp;qid=1472481929796" TargetMode="External"/><Relationship Id="rId47" Type="http://schemas.openxmlformats.org/officeDocument/2006/relationships/hyperlink" Target="http://curia.europa.eu/juris/document/document.jsf?text=&amp;docid=165868&amp;pageIndex=0&amp;doclang=EN&amp;mode=lst&amp;dir=&amp;occ=first&amp;part=1&amp;cid=794107" TargetMode="External"/><Relationship Id="rId50" Type="http://schemas.openxmlformats.org/officeDocument/2006/relationships/hyperlink" Target="http://curia.europa.eu/juris/document/document.jsf?text=&amp;docid=175159&amp;pageIndex=0&amp;doclang=EN&amp;mode=lst&amp;dir=&amp;occ=first&amp;part=1&amp;cid=792754" TargetMode="External"/><Relationship Id="rId55" Type="http://schemas.openxmlformats.org/officeDocument/2006/relationships/hyperlink" Target="http://curia.europa.eu/juris/document/document.jsf?text=&amp;docid=182292&amp;pageIndex=0&amp;doclang=EN&amp;mode=lst&amp;dir=&amp;occ=first&amp;part=1&amp;cid=794708" TargetMode="External"/><Relationship Id="rId63" Type="http://schemas.openxmlformats.org/officeDocument/2006/relationships/hyperlink" Target="http://curia.europa.eu/juris/fiche.jsf?id=C;521;17;RP;1;P;1;C2017/0521/P&amp;pro=&amp;lgrec=en&amp;nat=or&amp;oqp=&amp;dates=&amp;lg=&amp;language=en&amp;jur=C,T,F&amp;cit=none%2CC%2CCJ%2CR%2C2008E%2C%2C%2C%2C%2C%2C%2C%2C%2C%2Ctrue%2Cfalse%2Cfalse&amp;num=C-521%2F17&amp;td=;ALL&amp;pcs=Oor&amp;avg=&amp;mat=or&amp;jge=&amp;for=&amp;cid=2454757" TargetMode="External"/><Relationship Id="rId68"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uria.europa.eu/juris/document/document.jsf?text=&amp;docid=43933&amp;pageIndex=0&amp;doclang=EN&amp;mode=lst&amp;dir=&amp;occ=first&amp;part=1&amp;cid=2686224" TargetMode="External"/><Relationship Id="rId29" Type="http://schemas.openxmlformats.org/officeDocument/2006/relationships/hyperlink" Target="http://curia.europa.eu/juris/document/document.jsf?text=&amp;docid=115202&amp;pageIndex=0&amp;doclang=EN&amp;mode=lst&amp;dir=&amp;occ=first&amp;part=1&amp;cid=403630" TargetMode="External"/><Relationship Id="rId11" Type="http://schemas.openxmlformats.org/officeDocument/2006/relationships/header" Target="header2.xml"/><Relationship Id="rId24" Type="http://schemas.openxmlformats.org/officeDocument/2006/relationships/hyperlink" Target="http://eur-lex.europa.eu/legal-content/EN/AUTO/?uri=CELEX:62007CB0557&amp;qid=1472481929796" TargetMode="External"/><Relationship Id="rId32" Type="http://schemas.openxmlformats.org/officeDocument/2006/relationships/hyperlink" Target="http://eur-lex.europa.eu/legal-content/EN/AUTO/?uri=CELEX:62010CJ0360&amp;qid=1472481929796" TargetMode="External"/><Relationship Id="rId37" Type="http://schemas.openxmlformats.org/officeDocument/2006/relationships/hyperlink" Target="http://curia.europa.eu/juris/document/document.jsf?text=&amp;docid=135303&amp;pageIndex=0&amp;doclang=FR&amp;mode=lst&amp;dir=&amp;occ=first&amp;part=1&amp;cid=602974" TargetMode="External"/><Relationship Id="rId40" Type="http://schemas.openxmlformats.org/officeDocument/2006/relationships/hyperlink" Target="http://eur-lex.europa.eu/legal-content/EN/AUTO/?uri=CELEX:62012CJ0314&amp;qid=1472569513651" TargetMode="External"/><Relationship Id="rId45" Type="http://schemas.openxmlformats.org/officeDocument/2006/relationships/hyperlink" Target="http://curia.europa.eu/juris/document/document.jsf?text=&amp;docid=165900&amp;pageIndex=0&amp;doclang=EN&amp;mode=lst&amp;dir=&amp;occ=first&amp;part=1&amp;cid=194942" TargetMode="External"/><Relationship Id="rId53"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58" Type="http://schemas.openxmlformats.org/officeDocument/2006/relationships/hyperlink" Target="http://curia.europa.eu/juris/document/document.jsf;jsessionid=9ea7d0f130d596fb9f3d633a4610834ab04340193282.e34KaxiLc3eQc40LaxqMbN4PaN0Qe0?text=&amp;docid=186863&amp;pageIndex=0&amp;doclang=EN&amp;mode=lst&amp;dir=&amp;occ=first&amp;part=1&amp;cid=1325543" TargetMode="External"/><Relationship Id="rId66" Type="http://schemas.openxmlformats.org/officeDocument/2006/relationships/footer" Target="footer4.xml"/><Relationship Id="rId7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uria.europa.eu/juris/document/document.jsf?text=&amp;docid=77489&amp;pageIndex=0&amp;doclang=EN&amp;mode=lst&amp;dir=&amp;occ=first&amp;part=1&amp;cid=787717" TargetMode="External"/><Relationship Id="rId28" Type="http://schemas.openxmlformats.org/officeDocument/2006/relationships/hyperlink" Target="http://eur-lex.europa.eu/legal-content/EN/AUTO/?uri=CELEX:62009CJ0406&amp;qid=1472481929796" TargetMode="External"/><Relationship Id="rId36" Type="http://schemas.openxmlformats.org/officeDocument/2006/relationships/hyperlink" Target="http://eur-lex.europa.eu/legal-content/EN/AUTO/?uri=CELEX:62011CJ0180&amp;qid=1472481929796" TargetMode="External"/><Relationship Id="rId49" Type="http://schemas.openxmlformats.org/officeDocument/2006/relationships/hyperlink" Target="http://curia.europa.eu/juris/document/document.jsf?text=&amp;docid=174104&amp;pageIndex=0&amp;doclang=EN&amp;mode=lst&amp;dir=&amp;occ=first&amp;part=1&amp;cid=796270" TargetMode="External"/><Relationship Id="rId57" Type="http://schemas.openxmlformats.org/officeDocument/2006/relationships/hyperlink" Target="http://curia.europa.eu/juris/document/document.jsf?text=&amp;docid=183363&amp;pageIndex=0&amp;doclang=EN&amp;mode=lst&amp;dir=&amp;occ=first&amp;part=1&amp;cid=1969234" TargetMode="External"/><Relationship Id="rId61" Type="http://schemas.openxmlformats.org/officeDocument/2006/relationships/hyperlink" Target="http://curia.europa.eu/juris/liste.jsf?pro=&amp;lgrec=en&amp;nat=or&amp;oqp=&amp;dates=&amp;lg=&amp;language=en&amp;jur=C,T,F&amp;cit=none%2CC%2CCJ%2CR%2C2008E%2C%2C%2C%2C%2C%2C%2C%2C%2C%2Ctrue%2Cfalse%2Cfalse&amp;num=C-644%2F16&amp;td=;ALL&amp;pcs=Oor&amp;avg=&amp;page=1&amp;mat=or&amp;jge=&amp;for=&amp;cid=1733123" TargetMode="External"/><Relationship Id="rId10" Type="http://schemas.openxmlformats.org/officeDocument/2006/relationships/header" Target="header1.xml"/><Relationship Id="rId19" Type="http://schemas.openxmlformats.org/officeDocument/2006/relationships/hyperlink" Target="http://eur-lex.europa.eu/legal-content/EN/AUTO/?uri=CELEX:62006CA0275&amp;qid=1472481929796" TargetMode="External"/><Relationship Id="rId31" Type="http://schemas.openxmlformats.org/officeDocument/2006/relationships/hyperlink" Target="http://curia.europa.eu/juris/document/document.jsf?text=&amp;docid=119512&amp;pageIndex=0&amp;doclang=EN&amp;mode=lst&amp;dir=&amp;occ=first&amp;part=1&amp;cid=404118" TargetMode="External"/><Relationship Id="rId44" Type="http://schemas.openxmlformats.org/officeDocument/2006/relationships/hyperlink" Target="http://eur-lex.europa.eu/legal-content/EN/TXT/?qid=1509740439409&amp;uri=CELEX:62013CA0201" TargetMode="External"/><Relationship Id="rId52" Type="http://schemas.openxmlformats.org/officeDocument/2006/relationships/hyperlink" Target="http://curia.europa.eu/juris/document/document.jsf?text=&amp;docid=180688&amp;pageIndex=0&amp;doclang=EN&amp;mode=lst&amp;dir=&amp;occ=first&amp;part=1&amp;cid=795725" TargetMode="External"/><Relationship Id="rId60" Type="http://schemas.openxmlformats.org/officeDocument/2006/relationships/hyperlink" Target="http://eur-lex.europa.eu/legal-content/EN/TXT/?qid=1509740721356&amp;uri=CELEX:62015CJ0367" TargetMode="External"/><Relationship Id="rId65" Type="http://schemas.openxmlformats.org/officeDocument/2006/relationships/header" Target="header5.xm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qid=1509740205490&amp;uri=CELEX:62006CA0450" TargetMode="External"/><Relationship Id="rId27" Type="http://schemas.openxmlformats.org/officeDocument/2006/relationships/hyperlink" Target="http://curia.europa.eu/juris/document/document.jsf?text=&amp;docid=111401&amp;pageIndex=0&amp;doclang=EN&amp;mode=lst&amp;dir=&amp;occ=first&amp;part=1&amp;cid=793636" TargetMode="External"/><Relationship Id="rId30" Type="http://schemas.openxmlformats.org/officeDocument/2006/relationships/hyperlink" Target="http://eur-lex.europa.eu/legal-content/EN/AUTO/?uri=CELEX:62010CJ0070&amp;qid=1472481929796" TargetMode="External"/><Relationship Id="rId35" Type="http://schemas.openxmlformats.org/officeDocument/2006/relationships/hyperlink" Target="http://curia.europa.eu/juris/document/document.jsf?text=&amp;docid=129848&amp;pageIndex=0&amp;doclang=EN&amp;mode=lst&amp;dir=&amp;occ=first&amp;part=1&amp;cid=407200" TargetMode="External"/><Relationship Id="rId43" Type="http://schemas.openxmlformats.org/officeDocument/2006/relationships/hyperlink" Target="http://curia.europa.eu/juris/document/document.jsf?text=&amp;docid=157281&amp;pageIndex=0&amp;doclang=en&amp;mode=lst&amp;dir=&amp;occ=first&amp;part=1&amp;cid=2691449" TargetMode="External"/><Relationship Id="rId48" Type="http://schemas.openxmlformats.org/officeDocument/2006/relationships/hyperlink" Target="http://eur-lex.europa.eu/legal-content/EN/AUTO/?uri=CELEX:62013CJ0681&amp;qid=1472481929796" TargetMode="External"/><Relationship Id="rId56" Type="http://schemas.openxmlformats.org/officeDocument/2006/relationships/hyperlink" Target="http://eur-lex.europa.eu/legal-content/EN/AUTO/?uri=CELEX:62015CJ0057&amp;qid=1472481929796" TargetMode="Externa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eur-lex.europa.eu/legal-content/EN/AUTO/?uri=CELEX:62015CJ0099&amp;qid=1472481929796"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ur-lex.europa.eu/legal-content/EN/TXT/?qid=1509740047839&amp;uri=CELEX:61996CJ0053" TargetMode="External"/><Relationship Id="rId25" Type="http://schemas.openxmlformats.org/officeDocument/2006/relationships/hyperlink" Target="http://curia.europa.eu/juris/liste.jsf?num=C-324/09" TargetMode="External"/><Relationship Id="rId33" Type="http://schemas.openxmlformats.org/officeDocument/2006/relationships/hyperlink" Target="http://curia.europa.eu/juris/liste.jsf?num=C-461/10" TargetMode="External"/><Relationship Id="rId38" Type="http://schemas.openxmlformats.org/officeDocument/2006/relationships/hyperlink" Target="http://eur-lex.europa.eu/legal-content/EN/TXT/?uri=CELEX:62010CO0145" TargetMode="External"/><Relationship Id="rId46" Type="http://schemas.openxmlformats.org/officeDocument/2006/relationships/hyperlink" Target="http://eur-lex.europa.eu/legal-content/EN/AUTO/?uri=CELEX:62013CJ0580&amp;qid=1472481929796" TargetMode="External"/><Relationship Id="rId59" Type="http://schemas.openxmlformats.org/officeDocument/2006/relationships/hyperlink" Target="http://curia.europa.eu/juris/document/document.jsf?text=&amp;docid=187122&amp;pageIndex=0&amp;doclang=en&amp;mode=lst&amp;dir=&amp;occ=first&amp;part=1&amp;cid=2692542" TargetMode="External"/><Relationship Id="rId67" Type="http://schemas.openxmlformats.org/officeDocument/2006/relationships/footer" Target="footer5.xml"/><Relationship Id="rId20" Type="http://schemas.openxmlformats.org/officeDocument/2006/relationships/hyperlink" Target="http://eur-lex.europa.eu/legal-content/EN/AUTO/?uri=CELEX:62006CJ0275&amp;qid=1472481929796" TargetMode="External"/><Relationship Id="rId41" Type="http://schemas.openxmlformats.org/officeDocument/2006/relationships/hyperlink" Target="http://curia.europa.eu/juris/document/document.jsf?text=&amp;docid=150786&amp;pageIndex=0&amp;doclang=EN&amp;mode=lst&amp;dir=&amp;occ=first&amp;part=1&amp;cid=407106" TargetMode="External"/><Relationship Id="rId54" Type="http://schemas.openxmlformats.org/officeDocument/2006/relationships/hyperlink" Target="http://eur-lex.europa.eu/legal-content/EN/AUTO/?uri=CELEX:62015CJ0494&amp;qid=1472481929796" TargetMode="External"/><Relationship Id="rId62" Type="http://schemas.openxmlformats.org/officeDocument/2006/relationships/hyperlink" Target="http://curia.europa.eu/juris/document/document.jsf?text=&amp;docid=192289&amp;pageIndex=0&amp;doclang=EN&amp;mode=lst&amp;dir=&amp;occ=first&amp;part=1&amp;cid=245235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curia.europa.eu/juris/document/document.jsf?text=&amp;docid=111401&amp;pageIndex=0&amp;doclang=EN&amp;mode=lst&amp;dir=&amp;occ=first&amp;part=1&amp;cid=793636" TargetMode="External"/><Relationship Id="rId18" Type="http://schemas.openxmlformats.org/officeDocument/2006/relationships/hyperlink" Target="http://curia.europa.eu/juris/document/document.jsf?text=&amp;docid=182292&amp;pageIndex=0&amp;doclang=EN&amp;mode=lst&amp;dir=&amp;occ=first&amp;part=1&amp;cid=794708" TargetMode="External"/><Relationship Id="rId26" Type="http://schemas.openxmlformats.org/officeDocument/2006/relationships/hyperlink" Target="http://curia.europa.eu/juris/document/document.jsf?text=&amp;docid=165900&amp;pageIndex=0&amp;doclang=EN&amp;mode=lst&amp;dir=&amp;occ=first&amp;part=1&amp;cid=194942" TargetMode="External"/><Relationship Id="rId39" Type="http://schemas.openxmlformats.org/officeDocument/2006/relationships/hyperlink" Target="http://curia.europa.eu/juris/document/document.jsf?text=&amp;docid=77489&amp;pageIndex=0&amp;doclang=EN&amp;mode=lst&amp;dir=&amp;occ=first&amp;part=1&amp;cid=787717" TargetMode="External"/><Relationship Id="rId21"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34" Type="http://schemas.openxmlformats.org/officeDocument/2006/relationships/hyperlink" Target="http://curia.europa.eu/juris/document/document.jsf?text=&amp;docid=119512&amp;pageIndex=0&amp;doclang=EN&amp;mode=lst&amp;dir=&amp;occ=first&amp;part=1&amp;cid=404118" TargetMode="External"/><Relationship Id="rId42" Type="http://schemas.openxmlformats.org/officeDocument/2006/relationships/hyperlink" Target="http://curia.europa.eu/juris/document/document.jsf?text=&amp;docid=119512&amp;pageIndex=0&amp;doclang=EN&amp;mode=lst&amp;dir=&amp;occ=first&amp;part=1&amp;cid=404118" TargetMode="External"/><Relationship Id="rId47" Type="http://schemas.openxmlformats.org/officeDocument/2006/relationships/hyperlink" Target="http://curia.europa.eu/juris/document/document.jsf?text=&amp;docid=149924&amp;pageIndex=0&amp;doclang=EN&amp;mode=lst&amp;dir=&amp;occ=first&amp;part=1&amp;cid=789575" TargetMode="External"/><Relationship Id="rId50" Type="http://schemas.openxmlformats.org/officeDocument/2006/relationships/hyperlink" Target="http://curia.europa.eu/juris/document/document.jsf?text=&amp;docid=183363&amp;pageIndex=0&amp;doclang=EN&amp;mode=lst&amp;dir=&amp;occ=first&amp;part=1&amp;cid=1969234" TargetMode="External"/><Relationship Id="rId55" Type="http://schemas.openxmlformats.org/officeDocument/2006/relationships/hyperlink" Target="http://curia.europa.eu/juris/document/document.jsf?text=&amp;docid=115202&amp;pageIndex=0&amp;doclang=EN&amp;mode=lst&amp;dir=&amp;occ=first&amp;part=1&amp;cid=403630" TargetMode="External"/><Relationship Id="rId63" Type="http://schemas.openxmlformats.org/officeDocument/2006/relationships/hyperlink" Target="http://curia.europa.eu/juris/document/document.jsf?text=&amp;docid=150786&amp;pageIndex=0&amp;doclang=EN&amp;mode=lst&amp;dir=&amp;occ=first&amp;part=1&amp;cid=407106" TargetMode="External"/><Relationship Id="rId68" Type="http://schemas.openxmlformats.org/officeDocument/2006/relationships/hyperlink" Target="http://curia.europa.eu/juris/document/document.jsf?text=&amp;docid=111401&amp;pageIndex=0&amp;doclang=EN&amp;mode=lst&amp;dir=&amp;occ=first&amp;part=1&amp;cid=793636" TargetMode="External"/><Relationship Id="rId7" Type="http://schemas.openxmlformats.org/officeDocument/2006/relationships/hyperlink" Target="http://curia.europa.eu/juris/document/document.jsf?text=&amp;docid=165868&amp;pageIndex=0&amp;doclang=EN&amp;mode=lst&amp;dir=&amp;occ=first&amp;part=1&amp;cid=794107" TargetMode="External"/><Relationship Id="rId2" Type="http://schemas.openxmlformats.org/officeDocument/2006/relationships/hyperlink" Target="http://curia.europa.eu/juris/document/document.jsf?text=&amp;docid=175159&amp;pageIndex=0&amp;doclang=EN&amp;mode=lst&amp;dir=&amp;occ=first&amp;part=1&amp;cid=792754" TargetMode="External"/><Relationship Id="rId16" Type="http://schemas.openxmlformats.org/officeDocument/2006/relationships/hyperlink" Target="http://curia.europa.eu/juris/document/document.jsf?text=&amp;docid=182292&amp;pageIndex=0&amp;doclang=EN&amp;mode=lst&amp;dir=&amp;occ=first&amp;part=1&amp;cid=794708" TargetMode="External"/><Relationship Id="rId29" Type="http://schemas.openxmlformats.org/officeDocument/2006/relationships/hyperlink" Target="http://curia.europa.eu/juris/document/document.jsf?text=&amp;docid=165900&amp;pageIndex=0&amp;doclang=EN&amp;mode=lst&amp;dir=&amp;occ=first&amp;part=1&amp;cid=194942" TargetMode="External"/><Relationship Id="rId1" Type="http://schemas.openxmlformats.org/officeDocument/2006/relationships/hyperlink" Target="http://curia.europa.eu/juris/document/document.jsf?text=&amp;docid=175159&amp;pageIndex=0&amp;doclang=EN&amp;mode=lst&amp;dir=&amp;occ=first&amp;part=1&amp;cid=792754" TargetMode="External"/><Relationship Id="rId6" Type="http://schemas.openxmlformats.org/officeDocument/2006/relationships/hyperlink" Target="http://curia.europa.eu/juris/document/document.jsf?text=&amp;docid=187122&amp;pageIndex=0&amp;doclang=EN&amp;mode=lst&amp;dir=&amp;occ=first&amp;part=1&amp;cid=793234" TargetMode="External"/><Relationship Id="rId11" Type="http://schemas.openxmlformats.org/officeDocument/2006/relationships/hyperlink" Target="http://curia.europa.eu/juris/document/document.jsf?text=&amp;docid=182292&amp;pageIndex=0&amp;doclang=EN&amp;mode=lst&amp;dir=&amp;occ=first&amp;part=1&amp;cid=794708" TargetMode="External"/><Relationship Id="rId24" Type="http://schemas.openxmlformats.org/officeDocument/2006/relationships/hyperlink" Target="http://curia.europa.eu/juris/document/document.jsf?text=&amp;docid=77489&amp;pageIndex=0&amp;doclang=EN&amp;mode=lst&amp;dir=&amp;occ=first&amp;part=1&amp;cid=787717" TargetMode="External"/><Relationship Id="rId32" Type="http://schemas.openxmlformats.org/officeDocument/2006/relationships/hyperlink" Target="http://curia.europa.eu/juris/liste.jsf?num=C-324/09" TargetMode="External"/><Relationship Id="rId37"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40" Type="http://schemas.openxmlformats.org/officeDocument/2006/relationships/hyperlink" Target="http://curia.europa.eu/juris/document/document.jsf?text=&amp;docid=149924&amp;pageIndex=0&amp;doclang=EN&amp;mode=lst&amp;dir=&amp;occ=first&amp;part=1&amp;cid=789575" TargetMode="External"/><Relationship Id="rId45" Type="http://schemas.openxmlformats.org/officeDocument/2006/relationships/hyperlink" Target="http://curia.europa.eu/juris/document/document.jsf?text=&amp;docid=149924&amp;pageIndex=0&amp;doclang=EN&amp;mode=lst&amp;dir=&amp;occ=first&amp;part=1&amp;cid=789575" TargetMode="External"/><Relationship Id="rId53" Type="http://schemas.openxmlformats.org/officeDocument/2006/relationships/hyperlink" Target="http://curia.europa.eu/juris/document/document.jsf?text=&amp;docid=115202&amp;pageIndex=0&amp;doclang=EN&amp;mode=lst&amp;dir=&amp;occ=first&amp;part=1&amp;cid=403630" TargetMode="External"/><Relationship Id="rId58" Type="http://schemas.openxmlformats.org/officeDocument/2006/relationships/hyperlink" Target="http://curia.europa.eu/juris/liste.jsf?num=C-324/09" TargetMode="External"/><Relationship Id="rId66" Type="http://schemas.openxmlformats.org/officeDocument/2006/relationships/hyperlink" Target="http://curia.europa.eu/juris/document/document.jsf?text=&amp;docid=43933&amp;pageIndex=0&amp;doclang=EN&amp;mode=lst&amp;dir=&amp;occ=first&amp;part=1&amp;cid=2686224" TargetMode="External"/><Relationship Id="rId5" Type="http://schemas.openxmlformats.org/officeDocument/2006/relationships/hyperlink" Target="http://curia.europa.eu/juris/document/document.jsf?text=&amp;docid=175159&amp;pageIndex=0&amp;doclang=EN&amp;mode=lst&amp;dir=&amp;occ=first&amp;part=1&amp;cid=792754" TargetMode="External"/><Relationship Id="rId15" Type="http://schemas.openxmlformats.org/officeDocument/2006/relationships/hyperlink" Target="http://curia.europa.eu/juris/document/document.jsf?text=&amp;docid=182292&amp;pageIndex=0&amp;doclang=EN&amp;mode=lst&amp;dir=&amp;occ=first&amp;part=1&amp;cid=794708" TargetMode="External"/><Relationship Id="rId23"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28" Type="http://schemas.openxmlformats.org/officeDocument/2006/relationships/hyperlink" Target="http://curia.europa.eu/juris/liste.jsf?num=C-461/10" TargetMode="External"/><Relationship Id="rId36"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49" Type="http://schemas.openxmlformats.org/officeDocument/2006/relationships/hyperlink" Target="http://curia.europa.eu/juris/document/document.jsf?text=&amp;docid=149924&amp;pageIndex=0&amp;doclang=EN&amp;mode=lst&amp;dir=&amp;occ=first&amp;part=1&amp;cid=789575" TargetMode="External"/><Relationship Id="rId57" Type="http://schemas.openxmlformats.org/officeDocument/2006/relationships/hyperlink" Target="http://curia.europa.eu/juris/liste.jsf?num=C-324/09" TargetMode="External"/><Relationship Id="rId61" Type="http://schemas.openxmlformats.org/officeDocument/2006/relationships/hyperlink" Target="http://curia.europa.eu/juris/document/document.jsf?text=&amp;docid=187122&amp;pageIndex=0&amp;doclang=EN&amp;mode=lst&amp;dir=&amp;occ=first&amp;part=1&amp;cid=793234" TargetMode="External"/><Relationship Id="rId10" Type="http://schemas.openxmlformats.org/officeDocument/2006/relationships/hyperlink" Target="http://curia.europa.eu/juris/document/document.jsf?text=&amp;docid=182292&amp;pageIndex=0&amp;doclang=EN&amp;mode=lst&amp;dir=&amp;occ=first&amp;part=1&amp;cid=794708" TargetMode="External"/><Relationship Id="rId19" Type="http://schemas.openxmlformats.org/officeDocument/2006/relationships/hyperlink" Target="http://curia.europa.eu/juris/document/document.jsf?text=&amp;docid=182292&amp;pageIndex=0&amp;doclang=EN&amp;mode=lst&amp;dir=&amp;occ=first&amp;part=1&amp;cid=794708" TargetMode="External"/><Relationship Id="rId31" Type="http://schemas.openxmlformats.org/officeDocument/2006/relationships/hyperlink" Target="http://curia.europa.eu/juris/document/document.jsf?text=&amp;docid=71573&amp;pageIndex=0&amp;doclang=en&amp;mode=lst&amp;dir=&amp;occ=first&amp;part=1&amp;cid=2689545" TargetMode="External"/><Relationship Id="rId44"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52" Type="http://schemas.openxmlformats.org/officeDocument/2006/relationships/hyperlink" Target="http://curia.europa.eu/juris/liste.jsf?num=C-324/09" TargetMode="External"/><Relationship Id="rId60" Type="http://schemas.openxmlformats.org/officeDocument/2006/relationships/hyperlink" Target="http://curia.europa.eu/juris/document/document.jsf?text=&amp;docid=119512&amp;pageIndex=0&amp;doclang=EN&amp;mode=lst&amp;dir=&amp;occ=first&amp;part=1&amp;cid=404118" TargetMode="External"/><Relationship Id="rId65" Type="http://schemas.openxmlformats.org/officeDocument/2006/relationships/hyperlink" Target="http://curia.europa.eu/juris/document/document.jsf;jsessionid=9ea7d0f130d596fb9f3d633a4610834ab04340193282.e34KaxiLc3eQc40LaxqMbN4PaN0Qe0?text=&amp;docid=186863&amp;pageIndex=0&amp;doclang=EN&amp;mode=lst&amp;dir=&amp;occ=first&amp;part=1&amp;cid=1325543" TargetMode="External"/><Relationship Id="rId4" Type="http://schemas.openxmlformats.org/officeDocument/2006/relationships/hyperlink" Target="http://curia.europa.eu/juris/document/document.jsf?text=&amp;docid=187122&amp;pageIndex=0&amp;doclang=EN&amp;mode=lst&amp;dir=&amp;occ=first&amp;part=1&amp;cid=793234" TargetMode="External"/><Relationship Id="rId9" Type="http://schemas.openxmlformats.org/officeDocument/2006/relationships/hyperlink" Target="http://curia.europa.eu/juris/document/document.jsf?text=&amp;docid=129848&amp;pageIndex=0&amp;doclang=EN&amp;mode=lst&amp;dir=&amp;occ=first&amp;part=1&amp;cid=407200" TargetMode="External"/><Relationship Id="rId14" Type="http://schemas.openxmlformats.org/officeDocument/2006/relationships/hyperlink" Target="http://curia.europa.eu/juris/document/document.jsf?text=&amp;docid=182292&amp;pageIndex=0&amp;doclang=EN&amp;mode=lst&amp;dir=&amp;occ=first&amp;part=1&amp;cid=794708" TargetMode="External"/><Relationship Id="rId22"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27"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30" Type="http://schemas.openxmlformats.org/officeDocument/2006/relationships/hyperlink" Target="http://curia.europa.eu/juris/document/document.jsf?text=&amp;docid=165900&amp;pageIndex=0&amp;doclang=EN&amp;mode=lst&amp;dir=&amp;occ=first&amp;part=1&amp;cid=194942" TargetMode="External"/><Relationship Id="rId35" Type="http://schemas.openxmlformats.org/officeDocument/2006/relationships/hyperlink" Target="http://curia.europa.eu/juris/liste.jsf?num=C-324/09" TargetMode="External"/><Relationship Id="rId43" Type="http://schemas.openxmlformats.org/officeDocument/2006/relationships/hyperlink" Target="http://curia.europa.eu/juris/liste.jsf?num=C-324/09" TargetMode="External"/><Relationship Id="rId48" Type="http://schemas.openxmlformats.org/officeDocument/2006/relationships/hyperlink" Target="http://curia.europa.eu/juris/document/document.jsf?text=&amp;docid=149924&amp;pageIndex=0&amp;doclang=EN&amp;mode=lst&amp;dir=&amp;occ=first&amp;part=1&amp;cid=789575" TargetMode="External"/><Relationship Id="rId56" Type="http://schemas.openxmlformats.org/officeDocument/2006/relationships/hyperlink" Target="http://curia.europa.eu/juris/document/document.jsf?text=&amp;docid=119512&amp;pageIndex=0&amp;doclang=EN&amp;mode=lst&amp;dir=&amp;occ=first&amp;part=1&amp;cid=404118" TargetMode="External"/><Relationship Id="rId64" Type="http://schemas.openxmlformats.org/officeDocument/2006/relationships/hyperlink" Target="http://curia.europa.eu/juris/document/document.jsf?text=&amp;docid=174104&amp;pageIndex=0&amp;doclang=EN&amp;mode=lst&amp;dir=&amp;occ=first&amp;part=1&amp;cid=796270" TargetMode="External"/><Relationship Id="rId8" Type="http://schemas.openxmlformats.org/officeDocument/2006/relationships/hyperlink" Target="http://curia.europa.eu/juris/document/document.jsf?text=&amp;docid=111401&amp;pageIndex=0&amp;doclang=EN&amp;mode=lst&amp;dir=&amp;occ=first&amp;part=1&amp;cid=793636" TargetMode="External"/><Relationship Id="rId51" Type="http://schemas.openxmlformats.org/officeDocument/2006/relationships/hyperlink" Target="http://curia.europa.eu/juris/document/document.jsf?text=&amp;docid=149924&amp;pageIndex=0&amp;doclang=EN&amp;mode=lst&amp;dir=&amp;occ=first&amp;part=1&amp;cid=789575" TargetMode="External"/><Relationship Id="rId3" Type="http://schemas.openxmlformats.org/officeDocument/2006/relationships/hyperlink" Target="http://curia.europa.eu/juris/document/document.jsf?text=&amp;docid=187122&amp;pageIndex=0&amp;doclang=EN&amp;mode=lst&amp;dir=&amp;occ=first&amp;part=1&amp;cid=793234" TargetMode="External"/><Relationship Id="rId12" Type="http://schemas.openxmlformats.org/officeDocument/2006/relationships/hyperlink" Target="http://curia.europa.eu/juris/document/document.jsf?text=&amp;docid=182292&amp;pageIndex=0&amp;doclang=EN&amp;mode=lst&amp;dir=&amp;occ=first&amp;part=1&amp;cid=794708" TargetMode="External"/><Relationship Id="rId17" Type="http://schemas.openxmlformats.org/officeDocument/2006/relationships/hyperlink" Target="http://curia.europa.eu/juris/document/document.jsf?text=&amp;docid=182292&amp;pageIndex=0&amp;doclang=EN&amp;mode=lst&amp;dir=&amp;occ=first&amp;part=1&amp;cid=794708" TargetMode="External"/><Relationship Id="rId25" Type="http://schemas.openxmlformats.org/officeDocument/2006/relationships/hyperlink" Target="http://curia.europa.eu/juris/liste.jsf?num=C-461/10" TargetMode="External"/><Relationship Id="rId33" Type="http://schemas.openxmlformats.org/officeDocument/2006/relationships/hyperlink" Target="http://curia.europa.eu/juris/document/document.jsf?text=&amp;docid=115202&amp;pageIndex=0&amp;doclang=EN&amp;mode=lst&amp;dir=&amp;occ=first&amp;part=1&amp;cid=403630" TargetMode="External"/><Relationship Id="rId38" Type="http://schemas.openxmlformats.org/officeDocument/2006/relationships/hyperlink" Target="http://curia.europa.eu/juris/document/document.jsf?text=&amp;docid=149924&amp;pageIndex=0&amp;doclang=EN&amp;mode=lst&amp;dir=&amp;occ=first&amp;part=1&amp;cid=789575" TargetMode="External"/><Relationship Id="rId46" Type="http://schemas.openxmlformats.org/officeDocument/2006/relationships/hyperlink" Target="http://curia.europa.eu/juris/document/document.jsf?text=&amp;docid=149924&amp;pageIndex=0&amp;doclang=EN&amp;mode=lst&amp;dir=&amp;occ=first&amp;part=1&amp;cid=789575" TargetMode="External"/><Relationship Id="rId59" Type="http://schemas.openxmlformats.org/officeDocument/2006/relationships/hyperlink" Target="http://curia.europa.eu/juris/document/document.jsf?text=&amp;docid=115202&amp;pageIndex=0&amp;doclang=EN&amp;mode=lst&amp;dir=&amp;occ=first&amp;part=1&amp;cid=403630" TargetMode="External"/><Relationship Id="rId67" Type="http://schemas.openxmlformats.org/officeDocument/2006/relationships/hyperlink" Target="http://curia.europa.eu/juris/document/document.jsf?text=&amp;docid=135303&amp;pageIndex=0&amp;doclang=FR&amp;mode=lst&amp;dir=&amp;occ=first&amp;part=1&amp;cid=602974" TargetMode="External"/><Relationship Id="rId20" Type="http://schemas.openxmlformats.org/officeDocument/2006/relationships/hyperlink" Target="http://curia.europa.eu/juris/document/document.jsf?text=&amp;docid=157281&amp;pageIndex=0&amp;doclang=en&amp;mode=lst&amp;dir=&amp;occ=first&amp;part=1&amp;cid=2691449" TargetMode="External"/><Relationship Id="rId41" Type="http://schemas.openxmlformats.org/officeDocument/2006/relationships/hyperlink" Target="http://curia.europa.eu/juris/document/document.jsf?text=&amp;docid=115202&amp;pageIndex=0&amp;doclang=EN&amp;mode=lst&amp;dir=&amp;occ=first&amp;part=1&amp;cid=403630" TargetMode="External"/><Relationship Id="rId54" Type="http://schemas.openxmlformats.org/officeDocument/2006/relationships/hyperlink" Target="http://curia.europa.eu/juris/document/document.jsf?text=&amp;docid=119512&amp;pageIndex=0&amp;doclang=EN&amp;mode=lst&amp;dir=&amp;occ=first&amp;part=1&amp;cid=404118" TargetMode="External"/><Relationship Id="rId62" Type="http://schemas.openxmlformats.org/officeDocument/2006/relationships/hyperlink" Target="http://curia.europa.eu/juris/document/document.jsf?text=&amp;docid=129848&amp;pageIndex=0&amp;doclang=EN&amp;mode=lst&amp;dir=&amp;occ=first&amp;part=1&amp;cid=40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C91B-ED4A-4412-A43A-577A4DA5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17874</Words>
  <Characters>100458</Characters>
  <Application>Microsoft Office Word</Application>
  <DocSecurity>0</DocSecurity>
  <Lines>1435</Lines>
  <Paragraphs>295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2017-11-23T17:54:00Z</cp:lastPrinted>
  <dcterms:created xsi:type="dcterms:W3CDTF">2017-11-28T14:59:00Z</dcterms:created>
  <dcterms:modified xsi:type="dcterms:W3CDTF">2017-11-28T16:43:00Z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