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52E5D1-54DB-4EBB-AD35-72CE913CDBDF" style="width:450.55pt;height:379.4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Проектът на решение на Съвместния комитет на ЕИП (приложен към предложението за решение на Съвета) има за цел да се измени приложение XIII (Транспорт) към Споразумението за ЕИП, за да може Директива 2014/94/EС на Европейския парламент и на Съвета от 22 октомври 2014 г. за разгръщането на инфраструктура за алтернативни горива</w:t>
      </w:r>
      <w:r>
        <w:rPr>
          <w:rStyle w:val="FootnoteReference"/>
          <w:noProof/>
        </w:rPr>
        <w:footnoteReference w:id="1"/>
      </w:r>
      <w:r>
        <w:rPr>
          <w:noProof/>
        </w:rPr>
        <w:t xml:space="preserve"> да бъде включена в Споразумението за ЕИП.</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1"/>
        <w:rPr>
          <w:noProof/>
        </w:rPr>
      </w:pPr>
      <w:r>
        <w:rPr>
          <w:noProof/>
        </w:rPr>
        <w:t xml:space="preserve">С приложения проект на решение на Съвместния комитет се разширява прилагането на вече съществуващата политика на ЕС, за да бъдат включени членуващите в ЕИП държави от ЕАСТ (Норвегия, Исландия и Лихтенщайн).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Text1"/>
        <w:rPr>
          <w:noProof/>
        </w:rPr>
      </w:pPr>
      <w:r>
        <w:rPr>
          <w:noProof/>
        </w:rPr>
        <w:t xml:space="preserve">Разширяването на прилагането на достиженията на правото на ЕС за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което е насочено към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Законодателството, което трябва да бъде включено в Споразумението за ЕИП, се основава на член 91 от Договора за функционирането на Европейския съюз.</w:t>
      </w:r>
    </w:p>
    <w:p>
      <w:pPr>
        <w:pStyle w:val="Text1"/>
        <w:rPr>
          <w:noProof/>
        </w:rPr>
      </w:pPr>
      <w:r>
        <w:rPr>
          <w:noProof/>
        </w:rPr>
        <w:t>Съгласно член 1, параграф 3 от Регламент (ЕО) № 2894/94 на Съвета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xml:space="preserve">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Text1"/>
        <w:rPr>
          <w:noProof/>
        </w:rPr>
      </w:pPr>
      <w:r>
        <w:rPr>
          <w:noProof/>
        </w:rPr>
        <w:t>ЕСВД в сътрудничество с Комисията представя проекта на решение на Съвместния комитет на ЕИП пред Съвета, който следва да го приеме като позиция на Съюза. ЕСВД се надява да има възможност да представи тази позиция на Съюза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rFonts w:cs="EUAlbertina"/>
          <w:noProof/>
          <w:color w:val="000000"/>
        </w:rPr>
      </w:pPr>
      <w:r>
        <w:rPr>
          <w:noProof/>
        </w:rPr>
        <w:t xml:space="preserve">Предложението е в съответствие с принципа на субсидиарност по посочената по-долу причина. </w:t>
      </w:r>
    </w:p>
    <w:p>
      <w:pPr>
        <w:pStyle w:val="Text1"/>
        <w:rPr>
          <w:rFonts w:cs="EUAlbertina"/>
          <w:noProof/>
          <w:color w:val="000000"/>
          <w:szCs w:val="24"/>
        </w:rPr>
      </w:pPr>
      <w:r>
        <w:rPr>
          <w:noProof/>
          <w:color w:val="000000"/>
        </w:rPr>
        <w:t xml:space="preserve">Целта на настоящото предложение, а именно да се осигури хомогенността на вътрешния пазар, не може да бъде постигната в достатъчна степен от </w:t>
      </w:r>
      <w:r>
        <w:rPr>
          <w:noProof/>
          <w:color w:val="000000"/>
        </w:rPr>
        <w:lastRenderedPageBreak/>
        <w:t xml:space="preserve">държавите членки, вследствие на което може, с оглед на последиците, да бъде постигната по-добре на равнището на Съюза. </w:t>
      </w:r>
    </w:p>
    <w:p>
      <w:pPr>
        <w:pStyle w:val="Text1"/>
        <w:rPr>
          <w:bCs/>
          <w:noProof/>
          <w:szCs w:val="24"/>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в който се потвърждава възприетият подход. </w:t>
      </w:r>
    </w:p>
    <w:p>
      <w:pPr>
        <w:pStyle w:val="ManualHeading2"/>
        <w:rPr>
          <w:rFonts w:eastAsia="Arial Unicode MS"/>
          <w:noProof/>
          <w:u w:color="000000"/>
          <w:bdr w:val="nil"/>
        </w:rPr>
      </w:pPr>
      <w:r>
        <w:rPr>
          <w:noProof/>
        </w:rPr>
        <w:t>•</w:t>
      </w:r>
      <w:r>
        <w:rPr>
          <w:noProof/>
        </w:rPr>
        <w:tab/>
        <w:t>Пропорционалност</w:t>
      </w:r>
    </w:p>
    <w:p>
      <w:pPr>
        <w:pStyle w:val="Text1"/>
        <w:rPr>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rPr>
        <w:t>•</w:t>
      </w:r>
      <w:r>
        <w:rPr>
          <w:noProof/>
        </w:rPr>
        <w:tab/>
        <w:t>Избор на инструмент</w:t>
      </w:r>
    </w:p>
    <w:p>
      <w:pPr>
        <w:pStyle w:val="Text1"/>
        <w:rPr>
          <w:noProof/>
          <w:spacing w:val="-4"/>
        </w:rPr>
      </w:pPr>
      <w:r>
        <w:rPr>
          <w:noProof/>
          <w:spacing w:val="-4"/>
        </w:rPr>
        <w:t xml:space="preserve">В съответствие с член 98 от Споразумението за ЕИП избраният инструмент е решение на Съвместния комитет на ЕИП. Съвместния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Style w:val="Text1"/>
        <w:rPr>
          <w:noProof/>
          <w:szCs w:val="24"/>
        </w:rPr>
      </w:pPr>
      <w:r>
        <w:rPr>
          <w:noProof/>
        </w:rPr>
        <w:t xml:space="preserve">Не е приложимо </w:t>
      </w:r>
    </w:p>
    <w:p>
      <w:pPr>
        <w:pStyle w:val="ManualHeading2"/>
        <w:rPr>
          <w:noProof/>
        </w:rPr>
      </w:pPr>
      <w:r>
        <w:rPr>
          <w:noProof/>
        </w:rPr>
        <w:t>4.</w:t>
      </w:r>
      <w:r>
        <w:rPr>
          <w:noProof/>
        </w:rPr>
        <w:tab/>
        <w:t>ОТРАЖЕНИЕ ВЪРХУ БЮДЖЕТА</w:t>
      </w:r>
    </w:p>
    <w:p>
      <w:pPr>
        <w:pStyle w:val="Text1"/>
        <w:rPr>
          <w:noProof/>
        </w:rPr>
      </w:pPr>
      <w:r>
        <w:rPr>
          <w:noProof/>
        </w:rPr>
        <w:t>Не се очаква отражение върху бюджета в резултат на включването на Директива 2014/94/ЕС в Споразумението за ЕИП.</w:t>
      </w:r>
    </w:p>
    <w:p>
      <w:pPr>
        <w:pStyle w:val="ManualHeading1"/>
        <w:rPr>
          <w:noProof/>
        </w:rPr>
      </w:pPr>
      <w:r>
        <w:rPr>
          <w:noProof/>
        </w:rPr>
        <w:t>5.</w:t>
      </w:r>
      <w:r>
        <w:rPr>
          <w:noProof/>
        </w:rPr>
        <w:tab/>
        <w:t>ДРУГИ ЕЛЕМЕНТИ</w:t>
      </w:r>
    </w:p>
    <w:p>
      <w:pPr>
        <w:pStyle w:val="Text1"/>
        <w:rPr>
          <w:rFonts w:eastAsia="Arial Unicode MS"/>
          <w:noProof/>
          <w:u w:color="000000"/>
          <w:bdr w:val="nil"/>
        </w:rPr>
      </w:pPr>
      <w:r>
        <w:rPr>
          <w:noProof/>
        </w:rPr>
        <w:t xml:space="preserve">Основните промени, поискани от страна на ЕАСТ: </w:t>
      </w:r>
    </w:p>
    <w:p>
      <w:pPr>
        <w:pStyle w:val="Text1"/>
        <w:rPr>
          <w:noProof/>
          <w:u w:val="single"/>
        </w:rPr>
      </w:pPr>
      <w:r>
        <w:rPr>
          <w:noProof/>
          <w:u w:val="single"/>
        </w:rPr>
        <w:t>Адаптация б), член 6</w:t>
      </w:r>
    </w:p>
    <w:p>
      <w:pPr>
        <w:pStyle w:val="Text1"/>
        <w:rPr>
          <w:noProof/>
        </w:rPr>
      </w:pPr>
      <w:r>
        <w:rPr>
          <w:noProof/>
        </w:rPr>
        <w:t xml:space="preserve">Използването на природен газ в Исландия е ограничено, тъй като понастоящем в Исландия не съществуват пазар, инфраструктура и предприятия за природен газ — нито в автомобилния транспорт, нито за морски плавателни съдове. Такъв пазар и предприятия не са съществували в миналото и не се очаква да се появят в бъдеще. Няма изградени разпределителни мрежи за природен газ. В този контекст член 6 от Директива 2014/94/ЕС следва да не се прилага по отношение на Исландия. </w:t>
      </w:r>
    </w:p>
    <w:p>
      <w:pPr>
        <w:pStyle w:val="Text1"/>
        <w:rPr>
          <w:noProof/>
          <w:u w:val="single"/>
        </w:rPr>
      </w:pPr>
      <w:r>
        <w:rPr>
          <w:noProof/>
          <w:u w:val="single"/>
        </w:rPr>
        <w:t>Адаптация в), Директивата като цяло</w:t>
      </w:r>
    </w:p>
    <w:p>
      <w:pPr>
        <w:pStyle w:val="Text1"/>
        <w:rPr>
          <w:noProof/>
        </w:rPr>
      </w:pPr>
      <w:r>
        <w:rPr>
          <w:noProof/>
        </w:rPr>
        <w:t xml:space="preserve">Поради специфичното му положение на Лихтенщайн беше предоставено пълно освобождаване от Директива 2009/28/ЕО за насърчаване използването на </w:t>
      </w:r>
      <w:r>
        <w:rPr>
          <w:noProof/>
        </w:rPr>
        <w:lastRenderedPageBreak/>
        <w:t>енергия от възобновяеми източници</w:t>
      </w:r>
      <w:r>
        <w:rPr>
          <w:rStyle w:val="FootnoteReference"/>
          <w:noProof/>
        </w:rPr>
        <w:footnoteReference w:id="3"/>
      </w:r>
      <w:r>
        <w:rPr>
          <w:noProof/>
        </w:rPr>
        <w:t>, която бе включена в Споразумението за ЕИП и на която Директива 2014/94/ЕС се позовава в редица случаи.</w:t>
      </w:r>
    </w:p>
    <w:p>
      <w:pPr>
        <w:pStyle w:val="Text1"/>
        <w:rPr>
          <w:b/>
          <w:noProof/>
        </w:rPr>
      </w:pPr>
      <w:r>
        <w:rPr>
          <w:noProof/>
        </w:rPr>
        <w:t>Тъй като Лихтенщайн не разполага с брегова линия/пристанища, нито с летища (с изключение на малко летище за хеликоптери), в страната няма магистрали и най-важното — тя не е част от мрежата TEN-T, Лихтенщайн иска да бъде освободен от прилагането на Директива 2014/94/ЕС.</w:t>
      </w:r>
    </w:p>
    <w:p>
      <w:pPr>
        <w:pStyle w:val="ManualHeading2"/>
        <w:jc w:val="left"/>
        <w:rPr>
          <w:rFonts w:eastAsia="Arial Unicode MS"/>
          <w:noProof/>
          <w:u w:color="000000"/>
          <w:bdr w:val="nil"/>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2017/0314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w:t>
      </w:r>
      <w:r>
        <w:rPr>
          <w:noProof/>
        </w:rPr>
        <w:br/>
        <w:t>в рамките на Съвместния комитет на ЕИП във връзка с изменение на приложение XIII (Транспорт)</w:t>
      </w:r>
      <w:r>
        <w:rPr>
          <w:noProof/>
        </w:rPr>
        <w:br/>
        <w:t>към Споразумението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4"/>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5"/>
      </w:r>
      <w:r>
        <w:rPr>
          <w:noProof/>
        </w:rPr>
        <w:t xml:space="preserve"> („Споразумението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xml:space="preserve"> приложение XIII (Транспорт) към Споразумението за ЕИП.</w:t>
      </w:r>
    </w:p>
    <w:p>
      <w:pPr>
        <w:pStyle w:val="ManualConsidrant"/>
        <w:rPr>
          <w:noProof/>
        </w:rPr>
      </w:pPr>
      <w:r>
        <w:t>(3)</w:t>
      </w:r>
      <w:r>
        <w:tab/>
      </w:r>
      <w:r>
        <w:rPr>
          <w:noProof/>
        </w:rPr>
        <w:t>Директива 2014/94/ЕС на Европейския парламент и на Съвета</w:t>
      </w:r>
      <w:r>
        <w:rPr>
          <w:rStyle w:val="FootnoteReference"/>
          <w:noProof/>
        </w:rPr>
        <w:footnoteReference w:id="6"/>
      </w:r>
      <w:r>
        <w:rPr>
          <w:noProof/>
        </w:rPr>
        <w:t xml:space="preserve"> следва да бъде включена в Споразумението за ЕИП.</w:t>
      </w:r>
    </w:p>
    <w:p>
      <w:pPr>
        <w:pStyle w:val="ManualConsidrant"/>
        <w:rPr>
          <w:noProof/>
        </w:rPr>
      </w:pPr>
      <w:r>
        <w:t>(4)</w:t>
      </w:r>
      <w:r>
        <w:tab/>
      </w:r>
      <w:r>
        <w:rPr>
          <w:noProof/>
        </w:rPr>
        <w:t xml:space="preserve">Следователно приложение XIII (Транспорт) към Споразумението за ЕИП следва да бъде съответно изменено. </w:t>
      </w:r>
    </w:p>
    <w:p>
      <w:pPr>
        <w:pStyle w:val="ManualConsidrant"/>
        <w:rPr>
          <w:noProof/>
        </w:rPr>
      </w:pPr>
      <w:r>
        <w:t>(5)</w:t>
      </w:r>
      <w:r>
        <w:tab/>
      </w:r>
      <w:r>
        <w:rPr>
          <w:noProof/>
        </w:rPr>
        <w:t>С оглед на това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приложение XIII (Транспорт)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lastRenderedPageBreak/>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ОВ L 307, 28.10.2014 г., стр. 1.</w:t>
      </w:r>
    </w:p>
  </w:footnote>
  <w:footnote w:id="2">
    <w:p>
      <w:pPr>
        <w:pStyle w:val="FootnoteText"/>
        <w:rPr>
          <w:iCs/>
        </w:rPr>
      </w:pPr>
      <w:r>
        <w:rPr>
          <w:rStyle w:val="FootnoteReference"/>
        </w:rPr>
        <w:footnoteRef/>
      </w:r>
      <w:r>
        <w:tab/>
        <w:t>ОВ L 305, 30.11.1994 г., стр. 6—8.</w:t>
      </w:r>
    </w:p>
  </w:footnote>
  <w:footnote w:id="3">
    <w:p>
      <w:pPr>
        <w:pStyle w:val="FootnoteText"/>
        <w:rPr>
          <w:lang w:val="is-IS"/>
        </w:rPr>
      </w:pPr>
      <w:r>
        <w:rPr>
          <w:rStyle w:val="FootnoteReference"/>
        </w:rPr>
        <w:footnoteRef/>
      </w:r>
      <w:r>
        <w:tab/>
        <w:t>Директива 2009/28/ЕО на Европейския парламент и на Съвета от 23 април 2009 г. за насърчаване използването на енергия от възобновяеми източници и за изменение и впоследствие за отмяна на директиви 2001/77/ЕО и 2003/30/ЕО (ОВ L 140, 5.6.2009 г., стр. 16).</w:t>
      </w:r>
    </w:p>
  </w:footnote>
  <w:footnote w:id="4">
    <w:p>
      <w:pPr>
        <w:pStyle w:val="FootnoteText"/>
      </w:pPr>
      <w:r>
        <w:rPr>
          <w:rStyle w:val="FootnoteReference"/>
        </w:rPr>
        <w:footnoteRef/>
      </w:r>
      <w:r>
        <w:tab/>
        <w:t>ОВ L 305, 30.11.1994 г., стр. 6.</w:t>
      </w:r>
    </w:p>
  </w:footnote>
  <w:footnote w:id="5">
    <w:p>
      <w:pPr>
        <w:pStyle w:val="FootnoteText"/>
      </w:pPr>
      <w:r>
        <w:rPr>
          <w:rStyle w:val="FootnoteReference"/>
        </w:rPr>
        <w:footnoteRef/>
      </w:r>
      <w:r>
        <w:tab/>
        <w:t xml:space="preserve">ОВ L 1, 3.1.1994 г., стр. 3. </w:t>
      </w:r>
    </w:p>
  </w:footnote>
  <w:footnote w:id="6">
    <w:p>
      <w:pPr>
        <w:pStyle w:val="FootnoteText"/>
      </w:pPr>
      <w:r>
        <w:rPr>
          <w:rStyle w:val="FootnoteReference"/>
        </w:rPr>
        <w:footnoteRef/>
      </w:r>
      <w:r>
        <w:tab/>
        <w:t>Директива 2014/94/EC на Европейския парламент и на Съвета от 22 октомври 2014 г. за разгръщането на инфраструктура за алтернативни горива (ОВ L 307, 28.10.2014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21 15:18: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52E5D1-54DB-4EBB-AD35-72CE913CDBDF"/>
    <w:docVar w:name="LW_COVERPAGE_TYPE" w:val="1"/>
    <w:docVar w:name="LW_CROSSREFERENCE" w:val="&lt;UNUSED&gt;"/>
    <w:docVar w:name="LW_DocType" w:val="COM"/>
    <w:docVar w:name="LW_EMISSION" w:val="30.11.2017"/>
    <w:docVar w:name="LW_EMISSION_ISODATE" w:val="2017-11-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4"/>
    <w:docVar w:name="LW_REF.II.NEW.CP_YEAR" w:val="2017"/>
    <w:docVar w:name="LW_REF.INST.NEW" w:val="COM"/>
    <w:docVar w:name="LW_REF.INST.NEW_ADOPTED" w:val="final"/>
    <w:docVar w:name="LW_REF.INST.NEW_TEXT" w:val="(2017)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XIII (\u1058?\u1088?\u1072?\u1085?\u1089?\u1087?\u1086?\u1088?\u1090?)_x000b_\u1082?\u1098?\u1084? \u1057?\u1087?\u1086?\u1088?\u1072?\u1079?\u1091?\u1084?\u1077?\u1085?\u1080?\u1077?\u1090?\u1086? \u1079?\u1072? \u1045?\u1048?\u105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7E41-A992-428A-B92A-44EDA249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960</Words>
  <Characters>5425</Characters>
  <Application>Microsoft Office Word</Application>
  <DocSecurity>0</DocSecurity>
  <Lines>123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2014-03-28T09:12:00Z</cp:lastPrinted>
  <dcterms:created xsi:type="dcterms:W3CDTF">2017-11-14T10:46:00Z</dcterms:created>
  <dcterms:modified xsi:type="dcterms:W3CDTF">2017-11-21T14:18:00Z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