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39AF40CA-50F7-463E-B51F-9C9659EBE351" style="width:450.75pt;height:410.2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  <w:u w:val="none"/>
        </w:rPr>
      </w:pPr>
      <w:bookmarkStart w:id="0" w:name="_GoBack"/>
      <w:bookmarkEnd w:id="0"/>
      <w:r>
        <w:rPr>
          <w:noProof/>
          <w:u w:val="none"/>
        </w:rPr>
        <w:lastRenderedPageBreak/>
        <w:t>ПРИЛОЖЕНИЕ</w:t>
      </w:r>
      <w:r>
        <w:rPr>
          <w:noProof/>
          <w:u w:val="none"/>
        </w:rPr>
        <w:br/>
      </w:r>
      <w:r>
        <w:rPr>
          <w:noProof/>
          <w:u w:val="none"/>
        </w:rPr>
        <w:br/>
        <w:t>РЕШЕНИЕ НА СЪВМЕСТНИЯ КОМИТЕТ НА ЕИП № …/2017</w:t>
      </w:r>
      <w:r>
        <w:rPr>
          <w:noProof/>
          <w:u w:val="none"/>
        </w:rPr>
        <w:br/>
      </w:r>
      <w:r>
        <w:rPr>
          <w:noProof/>
          <w:u w:val="none"/>
        </w:rPr>
        <w:br/>
        <w:t>от … г.</w:t>
      </w:r>
      <w:r>
        <w:rPr>
          <w:noProof/>
          <w:u w:val="none"/>
        </w:rPr>
        <w:br/>
      </w:r>
      <w:r>
        <w:rPr>
          <w:noProof/>
          <w:u w:val="none"/>
        </w:rPr>
        <w:br/>
        <w:t>за изменение на приложение XI (Електронни комуникации, аудио-визуални услуги и информационно общество) към Споразумението за ЕИП</w:t>
      </w:r>
    </w:p>
    <w:p>
      <w:pPr>
        <w:pStyle w:val="Institutionquiagit"/>
        <w:rPr>
          <w:noProof/>
        </w:rPr>
      </w:pPr>
      <w:r>
        <w:rPr>
          <w:noProof/>
        </w:rPr>
        <w:t>СЪВМЕСТНИЯТ КОМИТЕТ НА ЕИП,</w:t>
      </w:r>
    </w:p>
    <w:p>
      <w:pPr>
        <w:rPr>
          <w:noProof/>
        </w:rPr>
      </w:pPr>
      <w:r>
        <w:rPr>
          <w:noProof/>
        </w:rPr>
        <w:t>като взе предвид Споразумението за Европейското икономическо пространство („Споразумението за ЕИП“), и по-специално член 98 от него,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Considrant"/>
        <w:numPr>
          <w:ilvl w:val="0"/>
          <w:numId w:val="1"/>
        </w:numPr>
        <w:rPr>
          <w:noProof/>
        </w:rPr>
      </w:pPr>
      <w:r>
        <w:rPr>
          <w:noProof/>
        </w:rPr>
        <w:t>Регламент (ЕС) № 910/2014 на Европейския парламент и на Съвета от 23 юли 2014 г. относно електронната идентификация и удостоверителните услуги при електронни трансакции на вътрешния пазар и за отмяна на Директива 1999/93/ЕО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следва да бъде включен в Споразумението за ЕИП.</w:t>
      </w:r>
    </w:p>
    <w:p>
      <w:pPr>
        <w:pStyle w:val="Considrant"/>
        <w:numPr>
          <w:ilvl w:val="0"/>
          <w:numId w:val="1"/>
        </w:numPr>
        <w:rPr>
          <w:noProof/>
        </w:rPr>
      </w:pPr>
      <w:r>
        <w:rPr>
          <w:noProof/>
        </w:rPr>
        <w:t>Регламент (ЕС) № 910/2014 отменя Директива 1999/93/ЕО на Европейския парламент и на Съвета</w:t>
      </w:r>
      <w:r>
        <w:rPr>
          <w:rStyle w:val="FootnoteReference"/>
          <w:noProof/>
        </w:rPr>
        <w:footnoteReference w:id="2"/>
      </w:r>
      <w:r>
        <w:rPr>
          <w:noProof/>
        </w:rPr>
        <w:t>, която е включена в Споразумението за ЕИП и следователно следва да бъде заличена от Споразумението за ЕИП.</w:t>
      </w:r>
    </w:p>
    <w:p>
      <w:pPr>
        <w:pStyle w:val="Considrant"/>
        <w:numPr>
          <w:ilvl w:val="0"/>
          <w:numId w:val="1"/>
        </w:numPr>
        <w:rPr>
          <w:noProof/>
        </w:rPr>
      </w:pPr>
      <w:r>
        <w:rPr>
          <w:noProof/>
        </w:rPr>
        <w:t>Поради това приложение XIII към Споразумението за ЕИП следва да бъде съответно изменено,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 1</w:t>
      </w:r>
    </w:p>
    <w:p>
      <w:pPr>
        <w:rPr>
          <w:noProof/>
        </w:rPr>
      </w:pPr>
      <w:r>
        <w:rPr>
          <w:noProof/>
        </w:rPr>
        <w:t>Текстът в точка 5л (Директива 1999/93/ЕО на Европейския парламент и на Съвета) от приложение XI към Споразумението за ЕИП се заменя със следното:</w:t>
      </w:r>
    </w:p>
    <w:p>
      <w:pPr>
        <w:rPr>
          <w:noProof/>
        </w:rPr>
      </w:pPr>
      <w:r>
        <w:rPr>
          <w:noProof/>
        </w:rPr>
        <w:t>„</w:t>
      </w:r>
      <w:r>
        <w:rPr>
          <w:b/>
          <w:noProof/>
        </w:rPr>
        <w:t>32014 R 0910</w:t>
      </w:r>
      <w:r>
        <w:rPr>
          <w:noProof/>
        </w:rPr>
        <w:t>: Регламент (ЕС) № 910/2014 на Европейския парламент и на Съвета от 23 юли 2014 г. относно електронната идентификация и удостоверителните услуги при електронни трансакции на вътрешния пазар и за отмяна на Директива 1999/93/ЕО (ОВ L 257, 28.8.2014 г., стр. 73).</w:t>
      </w:r>
    </w:p>
    <w:p>
      <w:pPr>
        <w:rPr>
          <w:noProof/>
        </w:rPr>
      </w:pPr>
      <w:r>
        <w:rPr>
          <w:noProof/>
        </w:rPr>
        <w:t>За целите на настоящото споразумение разпоредбите на регламента се тълкуват със следните адаптации:</w:t>
      </w: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 xml:space="preserve">В член 14, параграф 1 след думите „член 218 от ДФЕС“ се вмъкват думите „или между държавите от ЕАСТ и въпросната трета държава или международна организация“. </w:t>
      </w: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Договарящите страни се информират взаимно относно договарянето и сключването на споразуменията, посочени в член 14, параграф 1, и при поискване се провеждат консултации в рамките на Съвместния комитет на ЕИП.</w:t>
      </w:r>
    </w:p>
    <w:p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Когато Европейският съюз преговаря по споразумение, посочено в член 14, параграф 1, той се стреми да постигне равностойно третиране за квалифицираните удостоверителни услуги, предоставяни от доставчици на квалифицирани удостоверителни услуги, установени в държавите от ЕАСТ.</w:t>
      </w:r>
    </w:p>
    <w:p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>В член 51, по отношение на държавите от ЕАСТ:</w:t>
      </w:r>
    </w:p>
    <w:p>
      <w:pPr>
        <w:pStyle w:val="Point1"/>
        <w:rPr>
          <w:noProof/>
        </w:rPr>
      </w:pPr>
      <w:r>
        <w:rPr>
          <w:noProof/>
        </w:rPr>
        <w:t>i)</w:t>
      </w:r>
      <w:r>
        <w:rPr>
          <w:noProof/>
        </w:rPr>
        <w:tab/>
        <w:t>в параграф 3 думите „1 юли 2017 г.“ се четат „датата на влизане в сила на Решение на Съвместния комитет на ЕИП № …/… от … [настоящото решение]“;</w:t>
      </w:r>
    </w:p>
    <w:p>
      <w:pPr>
        <w:pStyle w:val="Point1"/>
        <w:rPr>
          <w:noProof/>
        </w:rPr>
      </w:pPr>
      <w:r>
        <w:rPr>
          <w:noProof/>
        </w:rPr>
        <w:t>ii)</w:t>
      </w:r>
      <w:r>
        <w:rPr>
          <w:noProof/>
        </w:rPr>
        <w:tab/>
        <w:t>в параграф 4 думите „от 2 юли 2017 г.“ се четат „шест месеца след датата на влизане в сила на Решение на Съвместния комитет на ЕИП № …/… от … [настоящото решение]“.</w:t>
      </w:r>
    </w:p>
    <w:p>
      <w:pPr>
        <w:pStyle w:val="Titrearticle"/>
        <w:rPr>
          <w:noProof/>
        </w:rPr>
      </w:pPr>
      <w:r>
        <w:rPr>
          <w:noProof/>
        </w:rPr>
        <w:t>Член 2</w:t>
      </w:r>
    </w:p>
    <w:p>
      <w:pPr>
        <w:rPr>
          <w:noProof/>
        </w:rPr>
      </w:pPr>
      <w:r>
        <w:rPr>
          <w:noProof/>
        </w:rPr>
        <w:t xml:space="preserve">Текстовете на Регламент (ЕС) № 910/2014 на исландски и норвежки език, които ще бъдат публикувани в притурката за ЕИП към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, са автентични.</w:t>
      </w:r>
    </w:p>
    <w:p>
      <w:pPr>
        <w:pStyle w:val="Titrearticle"/>
        <w:rPr>
          <w:noProof/>
        </w:rPr>
      </w:pPr>
      <w:r>
        <w:rPr>
          <w:noProof/>
        </w:rPr>
        <w:t>Член 3</w:t>
      </w:r>
    </w:p>
    <w:p>
      <w:pPr>
        <w:rPr>
          <w:noProof/>
        </w:rPr>
      </w:pPr>
      <w:r>
        <w:rPr>
          <w:noProof/>
        </w:rPr>
        <w:t>Настоящото решение влиза в сила на […] г., при условие че са внесени всички нотификации, предвидени в член 103, параграф 1 от Споразумението за ЕИП</w:t>
      </w:r>
      <w:r>
        <w:rPr>
          <w:rStyle w:val="FootnoteReference"/>
          <w:noProof/>
        </w:rPr>
        <w:sym w:font="Symbol" w:char="F02A"/>
      </w:r>
      <w:r>
        <w:rPr>
          <w:noProof/>
        </w:rPr>
        <w:t>.</w:t>
      </w:r>
    </w:p>
    <w:p>
      <w:pPr>
        <w:pStyle w:val="Titrearticle"/>
        <w:rPr>
          <w:noProof/>
        </w:rPr>
      </w:pPr>
      <w:r>
        <w:rPr>
          <w:noProof/>
        </w:rPr>
        <w:footnoteReference w:customMarkFollows="1" w:id="3"/>
        <w:t>Член 4</w:t>
      </w:r>
    </w:p>
    <w:p>
      <w:pPr>
        <w:rPr>
          <w:noProof/>
        </w:rPr>
      </w:pPr>
      <w:r>
        <w:rPr>
          <w:noProof/>
        </w:rPr>
        <w:t xml:space="preserve">Настоящото решение се публикува в раздела за ЕИП и в притурката за ЕИП към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[...]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Съвместния комитет на ЕИП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  <w:t>Секретари</w:t>
      </w:r>
      <w:r>
        <w:rPr>
          <w:noProof/>
        </w:rPr>
        <w:br/>
      </w:r>
      <w:r>
        <w:rPr>
          <w:noProof/>
        </w:rPr>
        <w:tab/>
        <w:t>на Съвместния комитет на ЕИП</w:t>
      </w:r>
      <w:r>
        <w:rPr>
          <w:noProof/>
        </w:rPr>
        <w:br/>
      </w:r>
      <w:r>
        <w:rPr>
          <w:noProof/>
        </w:rPr>
        <w:tab/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ОВ L 257, 28.8.2014 г., стр. 73.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ОВ L 13, 19.1.2000 г., стр. 12.</w:t>
      </w:r>
    </w:p>
  </w:footnote>
  <w:footnote w:id="3">
    <w:p>
      <w:pPr>
        <w:pStyle w:val="FootnoteText"/>
      </w:pPr>
      <w:r>
        <w:rPr>
          <w:rStyle w:val="FootnoteReference"/>
        </w:rPr>
        <w:sym w:font="Symbol" w:char="F02A"/>
      </w:r>
      <w:r>
        <w:tab/>
        <w:t>[Без отбелязани конституционни изисквания.] [С отбелязани конституционни изисквания.]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9EA2A6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8BA26C8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9D0ABA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6F4297C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7EC0AE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0F4A1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996E5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6BA3F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7-11-23 10:49:3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1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39AF40CA-50F7-463E-B51F-9C9659EBE351"/>
    <w:docVar w:name="LW_COVERPAGE_TYPE" w:val="1"/>
    <w:docVar w:name="LW_CROSSREFERENCE" w:val="&lt;UNUSED&gt;"/>
    <w:docVar w:name="LW_DocType" w:val="ANNEX"/>
    <w:docVar w:name="LW_EMISSION" w:val="30.11.2017"/>
    <w:docVar w:name="LW_EMISSION_ISODATE" w:val="2017-11-30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76?\u1072? \u1073?\u1098?\u1076?\u1077? \u1079?\u1072?\u1077?\u1090?\u1072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87?\u1088?\u1080?\u1083?\u1086?\u1078?\u1077?\u1085?\u1080?\u1077? XI (\u1045?\u1083?\u1077?\u1082?\u1090?\u1088?\u1086?\u1085?\u1085?\u1080? \u1082?\u1086?\u1084?\u1091?\u1085?\u1080?\u1082?\u1072?\u1094?\u1080?\u1080?, \u1072?\u1091?\u1076?\u1080?\u1086?-\u1074?\u1080?\u1079?\u1091?\u1072?\u1083?\u1085?\u1080? \u1091?\u1089?\u1083?\u1091?\u1075?\u1080? \u1080? \u1080?\u1085?\u1092?\u1086?\u1088?\u1084?\u1072?\u1094?\u1080?\u1086?\u1085?\u1085?\u1086? \u1086?\u1073?\u1097?\u1077?\u1089?\u1090?\u1074?\u1086?) \u1082?\u1098?\u1084? \u1057?\u1087?\u1086?\u1088?\u1072?\u1079?\u1091?\u1084?\u1077?\u1085?\u1080?\u1077?\u1090?\u1086? \u1079?\u1072? \u1045?\u1048?\u1055?"/>
    <w:docVar w:name="LW_OBJETACTEPRINCIPAL.CP" w:val="\u1086?\u1090?\u1085?\u1086?\u1089?\u1085?\u1086? \u1087?\u1086?\u1079?\u1080?\u1094?\u1080?\u1103?\u1090?\u1072?, \u1082?\u1086?\u1103?\u1090?\u1086? \u1076?\u1072? \u1073?\u1098?\u1076?\u1077? \u1079?\u1072?\u1077?\u1090?\u1072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87?\u1088?\u1080?\u1083?\u1086?\u1078?\u1077?\u1085?\u1080?\u1077? XI (\u1045?\u1083?\u1077?\u1082?\u1090?\u1088?\u1086?\u1085?\u1085?\u1080? \u1082?\u1086?\u1084?\u1091?\u1085?\u1080?\u1082?\u1072?\u1094?\u1080?\u1080?, \u1072?\u1091?\u1076?\u1080?\u1086?-\u1074?\u1080?\u1079?\u1091?\u1072?\u1083?\u1085?\u1080? \u1091?\u1089?\u1083?\u1091?\u1075?\u1080? \u1080? \u1080?\u1085?\u1092?\u1086?\u1088?\u1084?\u1072?\u1094?\u1080?\u1086?\u1085?\u1085?\u1086? \u1086?\u1073?\u1097?\u1077?\u1089?\u1090?\u1074?\u1086?) \u1082?\u1098?\u1084? \u1057?\u1087?\u1086?\u1088?\u1072?\u1079?\u1091?\u1084?\u1077?\u1085?\u1080?\u1077?\u1090?\u1086? \u1079?\u1072? \u1045?\u1048?\u1055?"/>
    <w:docVar w:name="LW_PART_NBR" w:val="1"/>
    <w:docVar w:name="LW_PART_NBR_TOTAL" w:val="1"/>
    <w:docVar w:name="LW_REF.INST.NEW" w:val="COM"/>
    <w:docVar w:name="LW_REF.INST.NEW_ADOPTED" w:val="final"/>
    <w:docVar w:name="LW_REF.INST.NEW_TEXT" w:val="(2017) 70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88?\u1077?\u1096?\u1077?\u1085?\u1080?\u1077? \u1085?\u1072? \u1057?\u1098?\u1074?\u1077?\u1090?\u1072?"/>
    <w:docVar w:name="LW_TYPEACTEPRINCIPAL.CP" w:val="\u1055?\u1088?\u1077?\u1076?\u1083?\u1086?\u1078?\u1077?\u1085?\u1080?\u1077? \u1079?\u1072? \u1088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2FFBD-849E-40F5-8597-D5B9701C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487</Words>
  <Characters>2616</Characters>
  <Application>Microsoft Office Word</Application>
  <DocSecurity>0</DocSecurity>
  <Lines>70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VERNHES Nathalie (EEAS)</dc:creator>
  <cp:lastModifiedBy>DIGIT/A3</cp:lastModifiedBy>
  <cp:revision>7</cp:revision>
  <dcterms:created xsi:type="dcterms:W3CDTF">2017-11-21T16:42:00Z</dcterms:created>
  <dcterms:modified xsi:type="dcterms:W3CDTF">2017-11-23T09:49:00Z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