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alt="04ED4922-7A7C-42E6-9698-0A1178BF39EB" style="width:450.75pt;height:379.5pt">
            <v:imagedata r:id="rId9" o:title=""/>
          </v:shape>
        </w:pict>
      </w:r>
    </w:p>
    <w:p>
      <w:pPr>
        <w:pStyle w:val="Pagedecouverture"/>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pStyle w:val="ManualHeading2"/>
        <w:rPr>
          <w:rFonts w:eastAsia="Arial Unicode MS"/>
          <w:noProof/>
        </w:rPr>
      </w:pPr>
      <w:r>
        <w:rPr>
          <w:noProof/>
          <w:color w:val="000000"/>
          <w:u w:color="000000"/>
          <w:bdr w:val="nil"/>
        </w:rPr>
        <w:t>•</w:t>
      </w:r>
      <w:r>
        <w:rPr>
          <w:noProof/>
        </w:rPr>
        <w:tab/>
        <w:t>Основания и цели на предложението</w:t>
      </w:r>
    </w:p>
    <w:p>
      <w:pPr>
        <w:pStyle w:val="Text1"/>
        <w:rPr>
          <w:noProof/>
        </w:rPr>
      </w:pPr>
      <w:r>
        <w:rPr>
          <w:noProof/>
        </w:rPr>
        <w:t>С проекта на решение на Съвместния комитет на ЕИП (приложен към предложението за решение на Съвета) се цели изменение на приложение XI (Електронни комуникации, аудио-визуални услуги и информационно общество) към Споразумението за ЕИП, за да се включи в него Регламент (ЕС) № 910/2014 относно електронната идентификация и удостоверителните услуги при електронни трансакции на вътрешния пазар</w:t>
      </w:r>
      <w:r>
        <w:rPr>
          <w:rStyle w:val="FootnoteReference"/>
          <w:noProof/>
        </w:rPr>
        <w:footnoteReference w:id="1"/>
      </w:r>
      <w:r>
        <w:rPr>
          <w:noProof/>
        </w:rPr>
        <w:t>.</w:t>
      </w:r>
    </w:p>
    <w:p>
      <w:pPr>
        <w:pStyle w:val="Text1"/>
        <w:rPr>
          <w:noProof/>
        </w:rPr>
      </w:pPr>
      <w:r>
        <w:rPr>
          <w:noProof/>
        </w:rPr>
        <w:t>Адаптациите, които фигурират в приложения проект на решение на Съвместния комитет на ЕИП, надхвърлят това, което може да се счита за чисто технически адаптации по смисъла на Регламент № 2894/94 на Съвета.</w:t>
      </w:r>
    </w:p>
    <w:p>
      <w:pPr>
        <w:pStyle w:val="ManualHeading2"/>
        <w:rPr>
          <w:rFonts w:eastAsia="Arial Unicode MS"/>
          <w:noProof/>
          <w:color w:val="000000"/>
          <w:u w:color="000000"/>
          <w:bdr w:val="nil"/>
        </w:rPr>
      </w:pPr>
      <w:r>
        <w:rPr>
          <w:noProof/>
          <w:color w:val="000000"/>
          <w:u w:color="000000"/>
          <w:bdr w:val="nil"/>
        </w:rPr>
        <w:t>•</w:t>
      </w:r>
      <w:r>
        <w:rPr>
          <w:noProof/>
        </w:rPr>
        <w:tab/>
        <w:t>Съгласуваност с действащите разпоредби в тази област на политиката</w:t>
      </w:r>
    </w:p>
    <w:p>
      <w:pPr>
        <w:pStyle w:val="Text1"/>
        <w:rPr>
          <w:noProof/>
        </w:rPr>
      </w:pPr>
      <w:r>
        <w:rPr>
          <w:noProof/>
        </w:rPr>
        <w:t xml:space="preserve">Приложеният проект на Решение на Съвместния комитет на ЕИП разширява вече съществуващата политика на ЕС, за да включи в нея членуващите в ЕИП държави от ЕАСТ (Норвегия, Исландия и Лихтенщайн). </w:t>
      </w:r>
    </w:p>
    <w:p>
      <w:pPr>
        <w:pStyle w:val="ManualHeading2"/>
        <w:rPr>
          <w:rFonts w:eastAsia="Arial Unicode MS"/>
          <w:noProof/>
        </w:rPr>
      </w:pPr>
      <w:r>
        <w:rPr>
          <w:noProof/>
          <w:color w:val="000000"/>
          <w:u w:color="000000"/>
          <w:bdr w:val="nil"/>
        </w:rPr>
        <w:t>•</w:t>
      </w:r>
      <w:r>
        <w:rPr>
          <w:noProof/>
        </w:rPr>
        <w:tab/>
        <w:t>Съгласуваност с другите политики на Съюза</w:t>
      </w:r>
    </w:p>
    <w:p>
      <w:pPr>
        <w:pStyle w:val="Text1"/>
        <w:rPr>
          <w:noProof/>
        </w:rPr>
      </w:pPr>
      <w:r>
        <w:rPr>
          <w:noProof/>
        </w:rPr>
        <w:t xml:space="preserve">Разширяването на обхвата на достиженията на правото на ЕС в членуващите в ЕИП държави от ЕАСТ чрез включването на тези достижения в Споразумението за ЕИП се извършва в съответствие с целите и принципите на това споразумение, чиято цел е създаването на динамично и хомогенно европейско икономическо пространство, основано на общи правила и еднакви условия на конкуренция. </w:t>
      </w:r>
    </w:p>
    <w:p>
      <w:pPr>
        <w:pStyle w:val="ManualHeading1"/>
        <w:rPr>
          <w:noProof/>
        </w:rPr>
      </w:pPr>
      <w:r>
        <w:rPr>
          <w:noProof/>
        </w:rPr>
        <w:t>2.</w:t>
      </w:r>
      <w:r>
        <w:rPr>
          <w:noProof/>
        </w:rPr>
        <w:tab/>
        <w:t>ПРАВНО ОСНОВАНИЕ, СУБСИДИАРНОСТ И ПРОПОРЦИОНАЛНОСТ</w:t>
      </w:r>
    </w:p>
    <w:p>
      <w:pPr>
        <w:pStyle w:val="ManualHeading2"/>
        <w:rPr>
          <w:rFonts w:eastAsia="Arial Unicode MS"/>
          <w:noProof/>
          <w:u w:color="000000"/>
          <w:bdr w:val="nil"/>
        </w:rPr>
      </w:pPr>
      <w:r>
        <w:rPr>
          <w:noProof/>
        </w:rPr>
        <w:t>•</w:t>
      </w:r>
      <w:r>
        <w:rPr>
          <w:noProof/>
        </w:rPr>
        <w:tab/>
        <w:t>Правно основание</w:t>
      </w:r>
    </w:p>
    <w:p>
      <w:pPr>
        <w:pStyle w:val="Text1"/>
        <w:rPr>
          <w:noProof/>
        </w:rPr>
      </w:pPr>
      <w:r>
        <w:rPr>
          <w:noProof/>
        </w:rPr>
        <w:t>Законодателството, което трябва да бъде включено в Споразумението за ЕИП, се основава на член 114 от Договора за функционирането на Европейския съюз.</w:t>
      </w:r>
    </w:p>
    <w:p>
      <w:pPr>
        <w:pStyle w:val="Text1"/>
        <w:rPr>
          <w:noProof/>
        </w:rPr>
      </w:pPr>
      <w:r>
        <w:rPr>
          <w:noProof/>
        </w:rPr>
        <w:t>Съгласно член 1, параграф 3 от Регламент (ЕО) № 2894/94 на Съвета</w:t>
      </w:r>
      <w:r>
        <w:rPr>
          <w:rStyle w:val="FootnoteReference"/>
          <w:noProof/>
        </w:rPr>
        <w:footnoteReference w:id="2"/>
      </w:r>
      <w:r>
        <w:rPr>
          <w:noProof/>
        </w:rPr>
        <w:t xml:space="preserve"> относно условията за прилагане на Споразумението за Европейското икономическо пространство Съветът определя въз основа на предложение на Комисията позицията, която да бъде заета от името на Съюза по отношение на подобни решения. </w:t>
      </w:r>
    </w:p>
    <w:p>
      <w:pPr>
        <w:pStyle w:val="Text1"/>
        <w:rPr>
          <w:noProof/>
        </w:rPr>
      </w:pPr>
      <w:r>
        <w:rPr>
          <w:noProof/>
        </w:rPr>
        <w:t>В сътрудничество с Комисията ЕСВД представя проекта на решение на Съвместния комитет на ЕИП пред Съвета, който следва да го приеме като позиция на Съюза. ЕСВД се надява да има възможност да представи позицията на Съюза пред Съвместния комитет на ЕИП възможно най-скоро.</w:t>
      </w:r>
    </w:p>
    <w:p>
      <w:pPr>
        <w:pStyle w:val="ManualHeading2"/>
        <w:rPr>
          <w:rFonts w:eastAsia="Arial Unicode MS"/>
          <w:noProof/>
          <w:u w:color="000000"/>
          <w:bdr w:val="nil"/>
        </w:rPr>
      </w:pPr>
      <w:r>
        <w:rPr>
          <w:noProof/>
        </w:rPr>
        <w:lastRenderedPageBreak/>
        <w:t>•</w:t>
      </w:r>
      <w:r>
        <w:rPr>
          <w:noProof/>
        </w:rPr>
        <w:tab/>
        <w:t xml:space="preserve">Субсидиарност (при неизключителна компетентност) </w:t>
      </w:r>
    </w:p>
    <w:p>
      <w:pPr>
        <w:pStyle w:val="Text1"/>
        <w:rPr>
          <w:rFonts w:cs="EUAlbertina"/>
          <w:noProof/>
          <w:color w:val="000000"/>
        </w:rPr>
      </w:pPr>
      <w:r>
        <w:rPr>
          <w:noProof/>
        </w:rPr>
        <w:t xml:space="preserve">Предложението е в съответствие с принципа на субсидиарност по следната причина: </w:t>
      </w:r>
    </w:p>
    <w:p>
      <w:pPr>
        <w:pStyle w:val="Text1"/>
        <w:rPr>
          <w:rFonts w:cs="EUAlbertina"/>
          <w:noProof/>
          <w:color w:val="000000"/>
          <w:szCs w:val="24"/>
        </w:rPr>
      </w:pPr>
      <w:r>
        <w:rPr>
          <w:noProof/>
          <w:color w:val="000000"/>
        </w:rPr>
        <w:t xml:space="preserve">целта на настоящото предложение, а именно да се гарантира хомогенността на вътрешния пазар, не може да бъде постигната в достатъчна степен от държавите членки, вследствие на което може, поради последиците, да бъде постигната по-добре на равнището на Съюза. </w:t>
      </w:r>
    </w:p>
    <w:p>
      <w:pPr>
        <w:pStyle w:val="Text1"/>
        <w:rPr>
          <w:bCs/>
          <w:noProof/>
          <w:szCs w:val="24"/>
        </w:rPr>
      </w:pPr>
      <w:r>
        <w:rPr>
          <w:noProof/>
        </w:rPr>
        <w:t xml:space="preserve">Процесът на включване на достиженията на правото на ЕС в Споразумението за ЕИП се извършва в съответствие с Регламент (ЕО) № 2894/94 на Съвета от 28 ноември 1994 г. относно условията за прилагане на Споразумението за Европейското икономическо пространство, който потвърждава възприетия подход. </w:t>
      </w:r>
    </w:p>
    <w:p>
      <w:pPr>
        <w:pStyle w:val="ManualHeading2"/>
        <w:rPr>
          <w:rFonts w:eastAsia="Arial Unicode MS"/>
          <w:noProof/>
          <w:u w:color="000000"/>
          <w:bdr w:val="nil"/>
        </w:rPr>
      </w:pPr>
      <w:r>
        <w:rPr>
          <w:noProof/>
        </w:rPr>
        <w:t>•</w:t>
      </w:r>
      <w:r>
        <w:rPr>
          <w:noProof/>
        </w:rPr>
        <w:tab/>
        <w:t>Пропорционалност</w:t>
      </w:r>
    </w:p>
    <w:p>
      <w:pPr>
        <w:pStyle w:val="Text1"/>
        <w:rPr>
          <w:noProof/>
        </w:rPr>
      </w:pPr>
      <w:r>
        <w:rPr>
          <w:noProof/>
        </w:rPr>
        <w:t>В съответствие с принципа на пропорционалност настоящото предложение не надхвърля необходимото за постигане на целта.</w:t>
      </w:r>
    </w:p>
    <w:p>
      <w:pPr>
        <w:pStyle w:val="ManualHeading2"/>
        <w:rPr>
          <w:rFonts w:eastAsia="Arial Unicode MS"/>
          <w:noProof/>
          <w:u w:color="000000"/>
          <w:bdr w:val="nil"/>
        </w:rPr>
      </w:pPr>
      <w:r>
        <w:rPr>
          <w:noProof/>
        </w:rPr>
        <w:t>•</w:t>
      </w:r>
      <w:r>
        <w:rPr>
          <w:noProof/>
        </w:rPr>
        <w:tab/>
        <w:t>Избор на инструмент</w:t>
      </w:r>
    </w:p>
    <w:p>
      <w:pPr>
        <w:pStyle w:val="Text1"/>
        <w:rPr>
          <w:noProof/>
        </w:rPr>
      </w:pPr>
      <w:r>
        <w:rPr>
          <w:noProof/>
        </w:rPr>
        <w:t xml:space="preserve">В съответствие с член 98 от Споразумението за ЕИП избраният инструмент е решение на Съвместния комитет на ЕИП. Съвместния комитет на ЕИП осигурява ефективното изпълнение и функциониране на Споразумението за ЕИП. За тази цел той взема решения в случаите, предвидени в това споразумение. </w:t>
      </w:r>
    </w:p>
    <w:p>
      <w:pPr>
        <w:pStyle w:val="ManualHeading1"/>
        <w:jc w:val="left"/>
        <w:rPr>
          <w:noProof/>
        </w:rPr>
      </w:pPr>
      <w:r>
        <w:rPr>
          <w:noProof/>
        </w:rPr>
        <w:t>3.</w:t>
      </w:r>
      <w:r>
        <w:rPr>
          <w:noProof/>
        </w:rPr>
        <w:tab/>
        <w:t>РЕЗУЛТАТИ ОТ ПОСЛЕДВАЩИТЕ ОЦЕНКИ, КОНСУЛТАЦИИТЕ СЪС ЗАИНТЕРЕСОВАНИТЕ СТРАНИ И ОЦЕНКИТЕ НА ВЪЗДЕЙСТВИЕТО</w:t>
      </w:r>
    </w:p>
    <w:p>
      <w:pPr>
        <w:pStyle w:val="ManualHeading2"/>
        <w:rPr>
          <w:rFonts w:eastAsia="Arial Unicode MS"/>
          <w:noProof/>
          <w:u w:color="000000"/>
          <w:bdr w:val="nil"/>
        </w:rPr>
      </w:pPr>
      <w:r>
        <w:rPr>
          <w:noProof/>
        </w:rPr>
        <w:t>•</w:t>
      </w:r>
      <w:r>
        <w:rPr>
          <w:noProof/>
        </w:rPr>
        <w:tab/>
        <w:t>Събиране и използване на експертни становища</w:t>
      </w:r>
    </w:p>
    <w:p>
      <w:pPr>
        <w:pStyle w:val="Text1"/>
        <w:rPr>
          <w:noProof/>
        </w:rPr>
      </w:pPr>
      <w:r>
        <w:rPr>
          <w:noProof/>
        </w:rPr>
        <w:t xml:space="preserve">Не е приложимо </w:t>
      </w:r>
    </w:p>
    <w:p>
      <w:pPr>
        <w:pStyle w:val="ManualHeading2"/>
        <w:rPr>
          <w:rFonts w:eastAsia="Arial Unicode MS"/>
          <w:noProof/>
          <w:u w:color="000000"/>
          <w:bdr w:val="nil"/>
        </w:rPr>
      </w:pPr>
      <w:r>
        <w:rPr>
          <w:noProof/>
        </w:rPr>
        <w:t>•</w:t>
      </w:r>
      <w:r>
        <w:rPr>
          <w:noProof/>
        </w:rPr>
        <w:tab/>
        <w:t>Оценка на въздействието</w:t>
      </w:r>
    </w:p>
    <w:p>
      <w:pPr>
        <w:pStyle w:val="Text1"/>
        <w:rPr>
          <w:noProof/>
        </w:rPr>
      </w:pPr>
      <w:r>
        <w:rPr>
          <w:noProof/>
        </w:rPr>
        <w:t xml:space="preserve">Не е приложимо </w:t>
      </w:r>
    </w:p>
    <w:p>
      <w:pPr>
        <w:pStyle w:val="ManualHeading2"/>
        <w:rPr>
          <w:noProof/>
        </w:rPr>
      </w:pPr>
      <w:r>
        <w:rPr>
          <w:noProof/>
        </w:rPr>
        <w:t>4.</w:t>
      </w:r>
      <w:r>
        <w:rPr>
          <w:noProof/>
        </w:rPr>
        <w:tab/>
        <w:t>ОТРАЖЕНИЕ ВЪРХУ БЮДЖЕТА</w:t>
      </w:r>
    </w:p>
    <w:p>
      <w:pPr>
        <w:pStyle w:val="Text1"/>
        <w:rPr>
          <w:noProof/>
        </w:rPr>
      </w:pPr>
      <w:r>
        <w:rPr>
          <w:noProof/>
        </w:rPr>
        <w:t>Не се очаква отражение върху бюджета в резултат на включването на Регламент (ЕС) № 910/2014 в Споразумението за ЕИП.</w:t>
      </w:r>
    </w:p>
    <w:p>
      <w:pPr>
        <w:pStyle w:val="ManualHeading1"/>
        <w:rPr>
          <w:noProof/>
        </w:rPr>
      </w:pPr>
      <w:r>
        <w:rPr>
          <w:noProof/>
        </w:rPr>
        <w:t>5.</w:t>
      </w:r>
      <w:r>
        <w:rPr>
          <w:noProof/>
        </w:rPr>
        <w:tab/>
        <w:t>ДРУГИ ЕЛЕМЕНТИ</w:t>
      </w:r>
    </w:p>
    <w:p>
      <w:pPr>
        <w:pStyle w:val="ManualHeading2"/>
        <w:rPr>
          <w:rFonts w:eastAsia="Arial Unicode MS"/>
          <w:noProof/>
          <w:u w:color="000000"/>
          <w:bdr w:val="nil"/>
        </w:rPr>
      </w:pPr>
      <w:r>
        <w:rPr>
          <w:noProof/>
        </w:rPr>
        <w:t>•</w:t>
      </w:r>
      <w:r>
        <w:rPr>
          <w:noProof/>
        </w:rPr>
        <w:tab/>
        <w:t>Обосновка и предложено решение:</w:t>
      </w:r>
    </w:p>
    <w:p>
      <w:pPr>
        <w:pStyle w:val="Text1"/>
        <w:rPr>
          <w:noProof/>
          <w:u w:val="single"/>
        </w:rPr>
      </w:pPr>
      <w:r>
        <w:rPr>
          <w:noProof/>
        </w:rPr>
        <w:t>Член 14 от Регламент (ЕС) № 910/2014;</w:t>
      </w:r>
    </w:p>
    <w:p>
      <w:pPr>
        <w:pStyle w:val="Text1"/>
        <w:rPr>
          <w:noProof/>
        </w:rPr>
      </w:pPr>
      <w:r>
        <w:rPr>
          <w:noProof/>
        </w:rPr>
        <w:t xml:space="preserve">Съгласно член 14 от Регламент (ЕС) № 910/2014 удостоверителните услуги, предоставяни от доставчици, установени в трета държава, се признават за равностойни от правна гледна точка на тези, предоставяни от доставчици, установени в ЕС, ако тези услуги са признати съгласно споразумение, сключено между ЕС и въпросната трета държава или международна организация. </w:t>
      </w:r>
    </w:p>
    <w:p>
      <w:pPr>
        <w:pStyle w:val="Text1"/>
        <w:rPr>
          <w:noProof/>
        </w:rPr>
      </w:pPr>
      <w:r>
        <w:rPr>
          <w:noProof/>
        </w:rPr>
        <w:t xml:space="preserve">След включването на Регламент (ЕС) № 910/2014 в Споразумението за ЕИП принципът на вътрешния пазар, залегнал в член 4 от този регламент, се прилага по отношение на всички договарящи страни по Споразумението за ЕИП, създавайки по този начин вътрешен пазар между държавите от ЕАСТ и ЕС. При все това споразуменията на ЕС, които, в съответствие с член 14, разрешават на дружества от трети страни да предоставят услуги на разширения единен пазар — включително в държавите от ЕАСТ — няма да бъдат сключвани от името на тези държави. И обратно, Споразумението за ЕИП не засяга компетентността на държавите от ЕАСТ да сключва международни споразумения с трети страни или международни организации от свое име. Ето защо, при условие че тези споразумения спазват стандартите, установени в член 14, параграф 2, те трябва да дават възможност и удостоверителните услуги, установени в трети държави, да бъдат признати за равностойни на разширения вътрешен пазар. По тази причина се предоставя адаптация на член 14, параграф 1. </w:t>
      </w:r>
    </w:p>
    <w:p>
      <w:pPr>
        <w:pStyle w:val="Text1"/>
        <w:rPr>
          <w:noProof/>
        </w:rPr>
      </w:pPr>
      <w:r>
        <w:rPr>
          <w:noProof/>
        </w:rPr>
        <w:t xml:space="preserve">С цел да се осигури ефективното функциониране на Споразумението за ЕИП в това отношение, в рамките на Съвместния комитет на ЕИП следва да се осъществи обмен на информация относно международните споразумения по отношение на достъпа до пазара за удостоверителни услуги, в съответствие с член 92 от Споразумението за ЕИП. Ако е необходимо, договарящите се страни провеждат консултации за преодоляването на евентуалните затруднения. Поради това се предоставя адаптация. </w:t>
      </w:r>
    </w:p>
    <w:p>
      <w:pPr>
        <w:pStyle w:val="Text1"/>
        <w:rPr>
          <w:noProof/>
        </w:rPr>
      </w:pPr>
      <w:r>
        <w:rPr>
          <w:noProof/>
        </w:rPr>
        <w:t xml:space="preserve">С цел запазване на еднакви условия на конкуренция на вътрешния пазар е важно доставчиците на удостоверителни услуги, установени в държавите от ЕАСТ, да се възползват, доколкото е възможно, от реципрочното третиране, предоставено от страна на трети държави на предприятията от ЕС в рамките на споразуменията, сключени между Европейския съюз и въпросните трети държави — тъй като по този начин предприятията автоматично биха получили достъп до пазара на държавите от ЕАСТ. С проекта на решение на Съвместния комитет на ЕИП се предлага съответната адаптация. </w:t>
      </w:r>
    </w:p>
    <w:p>
      <w:pPr>
        <w:pStyle w:val="Text1"/>
        <w:rPr>
          <w:i/>
          <w:noProof/>
          <w:u w:val="single"/>
        </w:rPr>
      </w:pPr>
      <w:r>
        <w:rPr>
          <w:noProof/>
        </w:rPr>
        <w:t>Трите предложени адаптации са идентични по същество с адаптациите, които понастоящем са в сила в ЕИП по отношение на Директива 1999/93/ЕО на Европейския парламент и на Съвета</w:t>
      </w:r>
      <w:r>
        <w:rPr>
          <w:rStyle w:val="FootnoteReference"/>
          <w:noProof/>
        </w:rPr>
        <w:footnoteReference w:id="3"/>
      </w:r>
      <w:r>
        <w:rPr>
          <w:noProof/>
        </w:rPr>
        <w:t xml:space="preserve"> (вж. точка 5л от приложение XI към Споразумението за ЕИП).</w:t>
      </w:r>
    </w:p>
    <w:p>
      <w:pPr>
        <w:pStyle w:val="Text1"/>
        <w:rPr>
          <w:rFonts w:eastAsia="Arial Unicode MS"/>
          <w:noProof/>
        </w:rPr>
        <w:sectPr>
          <w:footerReference w:type="default" r:id="rId16"/>
          <w:footerReference w:type="first" r:id="rId17"/>
          <w:pgSz w:w="11907" w:h="16839"/>
          <w:pgMar w:top="1134" w:right="1417" w:bottom="1134" w:left="1417" w:header="709" w:footer="709" w:gutter="0"/>
          <w:pgNumType w:start="1"/>
          <w:cols w:space="708"/>
          <w:docGrid w:linePitch="360"/>
        </w:sectPr>
      </w:pPr>
    </w:p>
    <w:p>
      <w:pPr>
        <w:pStyle w:val="Rfrenceinterinstitutionnelle"/>
        <w:rPr>
          <w:noProof/>
        </w:rPr>
      </w:pPr>
      <w:r>
        <w:rPr>
          <w:noProof/>
        </w:rPr>
        <w:t>2017/0315 (NLE)</w:t>
      </w:r>
    </w:p>
    <w:p>
      <w:pPr>
        <w:pStyle w:val="Statut"/>
        <w:rPr>
          <w:noProof/>
        </w:rPr>
      </w:pPr>
      <w:r>
        <w:rPr>
          <w:noProof/>
        </w:rPr>
        <w:t>Предложение за</w:t>
      </w:r>
    </w:p>
    <w:p>
      <w:pPr>
        <w:pStyle w:val="Typedudocument"/>
        <w:rPr>
          <w:noProof/>
        </w:rPr>
      </w:pPr>
      <w:r>
        <w:rPr>
          <w:noProof/>
        </w:rPr>
        <w:t>РЕШЕНИЕ НА СЪВЕТА</w:t>
      </w:r>
    </w:p>
    <w:p>
      <w:pPr>
        <w:pStyle w:val="Titreobjet"/>
        <w:rPr>
          <w:noProof/>
        </w:rPr>
      </w:pPr>
      <w:r>
        <w:rPr>
          <w:noProof/>
        </w:rPr>
        <w:t>относно позицията, която да бъде заета от името на Европейския съюз</w:t>
      </w:r>
      <w:r>
        <w:rPr>
          <w:noProof/>
        </w:rPr>
        <w:br/>
        <w:t xml:space="preserve">в рамките на Съвместния комитет на ЕИП във връзка с изменение на </w:t>
      </w:r>
      <w:r>
        <w:rPr>
          <w:noProof/>
        </w:rPr>
        <w:br/>
        <w:t>приложение XI (Електронни комуникации, аудио-визуални услуги и информационно общество) към Споразумението за ЕИП</w:t>
      </w:r>
    </w:p>
    <w:p>
      <w:pPr>
        <w:pStyle w:val="Institutionquiagit"/>
        <w:rPr>
          <w:noProof/>
        </w:rPr>
      </w:pPr>
      <w:r>
        <w:rPr>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114 във връзка с член 218, параграф 9 от него,</w:t>
      </w:r>
    </w:p>
    <w:p>
      <w:pPr>
        <w:rPr>
          <w:noProof/>
        </w:rPr>
      </w:pPr>
      <w:r>
        <w:rPr>
          <w:noProof/>
        </w:rPr>
        <w:t>като взе предвид Регламент (ЕО) № 2894/94 на Съвета от 28 ноември 1994 г. относно условията за прилагане на Споразумението за Европейското икономическо пространство</w:t>
      </w:r>
      <w:r>
        <w:rPr>
          <w:rStyle w:val="FootnoteReference"/>
          <w:noProof/>
        </w:rPr>
        <w:footnoteReference w:id="4"/>
      </w:r>
      <w:r>
        <w:rPr>
          <w:noProof/>
        </w:rPr>
        <w:t>, и по-специално член 1, параграф 3 от него,</w:t>
      </w:r>
    </w:p>
    <w:p>
      <w:pPr>
        <w:rPr>
          <w:noProof/>
        </w:rPr>
      </w:pPr>
      <w:r>
        <w:rPr>
          <w:noProof/>
        </w:rPr>
        <w:t>като взе предвид предложението на Европейската комисия,</w:t>
      </w:r>
    </w:p>
    <w:p>
      <w:pPr>
        <w:rPr>
          <w:noProof/>
        </w:rPr>
      </w:pPr>
      <w:r>
        <w:rPr>
          <w:noProof/>
        </w:rPr>
        <w:t>като има предвид, че:</w:t>
      </w:r>
    </w:p>
    <w:p>
      <w:pPr>
        <w:pStyle w:val="ManualConsidrant"/>
        <w:rPr>
          <w:noProof/>
        </w:rPr>
      </w:pPr>
      <w:r>
        <w:t>(1)</w:t>
      </w:r>
      <w:r>
        <w:tab/>
      </w:r>
      <w:r>
        <w:rPr>
          <w:noProof/>
        </w:rPr>
        <w:t>Споразумението за Европейското икономическо пространство</w:t>
      </w:r>
      <w:r>
        <w:rPr>
          <w:rStyle w:val="FootnoteReference"/>
          <w:noProof/>
        </w:rPr>
        <w:footnoteReference w:id="5"/>
      </w:r>
      <w:r>
        <w:rPr>
          <w:noProof/>
        </w:rPr>
        <w:t xml:space="preserve"> (Споразумението за ЕИП) влезе в сила на 1 януари 1994 г.</w:t>
      </w:r>
    </w:p>
    <w:p>
      <w:pPr>
        <w:pStyle w:val="ManualConsidrant"/>
        <w:rPr>
          <w:noProof/>
        </w:rPr>
      </w:pPr>
      <w:r>
        <w:t>(2)</w:t>
      </w:r>
      <w:r>
        <w:tab/>
      </w:r>
      <w:r>
        <w:rPr>
          <w:noProof/>
        </w:rPr>
        <w:t>В съответствие с член 98 от Споразумението за ЕИП Съвместният комитет на ЕИП може да реши да измени, inter alia, приложение XI (Електронни комуникации, аудио-визуални услуги и информационно общество) към Споразумението за ЕИП.</w:t>
      </w:r>
    </w:p>
    <w:p>
      <w:pPr>
        <w:pStyle w:val="ManualConsidrant"/>
        <w:rPr>
          <w:noProof/>
        </w:rPr>
      </w:pPr>
      <w:r>
        <w:t>(3)</w:t>
      </w:r>
      <w:r>
        <w:tab/>
      </w:r>
      <w:r>
        <w:rPr>
          <w:noProof/>
        </w:rPr>
        <w:t>Регламент (ЕС) № 910/2014 на Европейския парламент и на Съвета</w:t>
      </w:r>
      <w:r>
        <w:rPr>
          <w:rStyle w:val="FootnoteReference"/>
          <w:noProof/>
        </w:rPr>
        <w:footnoteReference w:id="6"/>
      </w:r>
      <w:r>
        <w:rPr>
          <w:noProof/>
        </w:rPr>
        <w:t xml:space="preserve"> следва да бъде включен в Споразумението за ЕИП.</w:t>
      </w:r>
    </w:p>
    <w:p>
      <w:pPr>
        <w:pStyle w:val="ManualConsidrant"/>
        <w:rPr>
          <w:noProof/>
        </w:rPr>
      </w:pPr>
      <w:r>
        <w:t>(4)</w:t>
      </w:r>
      <w:r>
        <w:tab/>
      </w:r>
      <w:r>
        <w:rPr>
          <w:noProof/>
        </w:rPr>
        <w:t xml:space="preserve">Приложение XI (Електронни комуникации, аудио-визуални услуги и информационно общество) към Споразумението за ЕИП следва да бъде съответно изменено. </w:t>
      </w:r>
    </w:p>
    <w:p>
      <w:pPr>
        <w:pStyle w:val="ManualConsidrant"/>
        <w:rPr>
          <w:noProof/>
        </w:rPr>
      </w:pPr>
      <w:r>
        <w:t>(5)</w:t>
      </w:r>
      <w:r>
        <w:tab/>
      </w:r>
      <w:r>
        <w:rPr>
          <w:noProof/>
        </w:rPr>
        <w:t>С оглед на това позицията на Съюза в рамките на Съвместния комитет на ЕИП следва да се основава на приложения проект за решение,</w:t>
      </w:r>
    </w:p>
    <w:p>
      <w:pPr>
        <w:pStyle w:val="Formuledadoption"/>
        <w:rPr>
          <w:noProof/>
        </w:rPr>
      </w:pPr>
      <w:r>
        <w:rPr>
          <w:noProof/>
        </w:rPr>
        <w:t xml:space="preserve">ПРИЕ НАСТОЯЩОТО РЕШЕНИЕ: </w:t>
      </w:r>
    </w:p>
    <w:p>
      <w:pPr>
        <w:pStyle w:val="Titrearticle"/>
        <w:rPr>
          <w:noProof/>
        </w:rPr>
      </w:pPr>
      <w:r>
        <w:rPr>
          <w:noProof/>
        </w:rPr>
        <w:t>Член 1</w:t>
      </w:r>
    </w:p>
    <w:p>
      <w:pPr>
        <w:rPr>
          <w:noProof/>
        </w:rPr>
      </w:pPr>
      <w:r>
        <w:rPr>
          <w:noProof/>
        </w:rPr>
        <w:t>Позицията, която да бъде заета от името на Съюза в рамките на Съвместния комитет на ЕИП във връзка с предложеното изменение на приложение XI (Електронни комуникации, аудио-визуални услуги и информационно общество) към Споразумението за ЕИП, се основава на проекта за решение на Съвместния комитет на ЕИП, приложен към настоящото решение.</w:t>
      </w:r>
    </w:p>
    <w:p>
      <w:pPr>
        <w:pStyle w:val="Titrearticle"/>
        <w:rPr>
          <w:noProof/>
        </w:rPr>
      </w:pPr>
      <w:r>
        <w:rPr>
          <w:noProof/>
        </w:rPr>
        <w:t>Член 2</w:t>
      </w:r>
    </w:p>
    <w:p>
      <w:pPr>
        <w:keepLines/>
        <w:rPr>
          <w:noProof/>
        </w:rPr>
      </w:pPr>
      <w:r>
        <w:rPr>
          <w:noProof/>
        </w:rPr>
        <w:t>Настоящото решение влиза в сила в деня на приемането му.</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ab/>
        <w:t>За Съвета</w:t>
      </w:r>
    </w:p>
    <w:p>
      <w:pPr>
        <w:pStyle w:val="Personnequisigne"/>
        <w:rPr>
          <w:noProof/>
        </w:rPr>
      </w:pP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en-US"/>
        </w:rPr>
      </w:pPr>
      <w:r>
        <w:rPr>
          <w:rStyle w:val="FootnoteReference"/>
        </w:rPr>
        <w:footnoteRef/>
      </w:r>
      <w:r>
        <w:tab/>
        <w:t>Регламент (ЕС) № 910/2014 на Европейския парламент и на Съвета от 23 юли 2014 г. относно електронната идентификация и удостоверителните услуги при електронни трансакции на вътрешния пазар и за отмяна на Директива 1999/93/ЕО (ОВ L 257, 28.8.2014 г., стр. 73).</w:t>
      </w:r>
    </w:p>
  </w:footnote>
  <w:footnote w:id="2">
    <w:p>
      <w:pPr>
        <w:pStyle w:val="FootnoteText"/>
        <w:rPr>
          <w:iCs/>
          <w:lang w:val="en-US"/>
        </w:rPr>
      </w:pPr>
      <w:r>
        <w:rPr>
          <w:rStyle w:val="FootnoteReference"/>
        </w:rPr>
        <w:footnoteRef/>
      </w:r>
      <w:r>
        <w:tab/>
        <w:t>ОВ L 305, 30.11.1994 г., стр. 6—8.</w:t>
      </w:r>
    </w:p>
  </w:footnote>
  <w:footnote w:id="3">
    <w:p>
      <w:pPr>
        <w:pStyle w:val="FootnoteText"/>
        <w:rPr>
          <w:lang w:val="en-US"/>
        </w:rPr>
      </w:pPr>
      <w:r>
        <w:rPr>
          <w:rStyle w:val="FootnoteReference"/>
        </w:rPr>
        <w:footnoteRef/>
      </w:r>
      <w:r>
        <w:tab/>
        <w:t>ОВ L 13, 19.1.2000 г., стр. 12.</w:t>
      </w:r>
    </w:p>
  </w:footnote>
  <w:footnote w:id="4">
    <w:p>
      <w:pPr>
        <w:pStyle w:val="FootnoteText"/>
        <w:rPr>
          <w:lang w:val="en-US"/>
        </w:rPr>
      </w:pPr>
      <w:r>
        <w:rPr>
          <w:rStyle w:val="FootnoteReference"/>
        </w:rPr>
        <w:footnoteRef/>
      </w:r>
      <w:r>
        <w:tab/>
        <w:t>ОВ L 305, 30.11.1994 г., стр. 6.</w:t>
      </w:r>
    </w:p>
  </w:footnote>
  <w:footnote w:id="5">
    <w:p>
      <w:pPr>
        <w:pStyle w:val="FootnoteText"/>
      </w:pPr>
      <w:r>
        <w:rPr>
          <w:rStyle w:val="FootnoteReference"/>
        </w:rPr>
        <w:footnoteRef/>
      </w:r>
      <w:r>
        <w:tab/>
        <w:t xml:space="preserve">ОВ L 1, 3.1.1994 г., стр. 3. </w:t>
      </w:r>
    </w:p>
  </w:footnote>
  <w:footnote w:id="6">
    <w:p>
      <w:pPr>
        <w:pStyle w:val="FootnoteText"/>
      </w:pPr>
      <w:r>
        <w:rPr>
          <w:rStyle w:val="FootnoteReference"/>
        </w:rPr>
        <w:footnoteRef/>
      </w:r>
      <w:r>
        <w:tab/>
        <w:t>Регламент (ЕС) № 910/2014 на Европейския парламент и на Съвета от 23 юли 2014 г. относно електронната идентификация и удостоверителните услуги при електронни трансакции на вътрешния пазар и за отмяна на Директива 1999/93/ЕО (ОВ L 257, 28.8.2014 г., стр. 73).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D82550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99641A32"/>
    <w:lvl w:ilvl="0">
      <w:start w:val="1"/>
      <w:numFmt w:val="decimal"/>
      <w:pStyle w:val="ListNumber3"/>
      <w:lvlText w:val="%1."/>
      <w:lvlJc w:val="left"/>
      <w:pPr>
        <w:tabs>
          <w:tab w:val="num" w:pos="926"/>
        </w:tabs>
        <w:ind w:left="926" w:hanging="360"/>
      </w:pPr>
    </w:lvl>
  </w:abstractNum>
  <w:abstractNum w:abstractNumId="2">
    <w:nsid w:val="FFFFFF7F"/>
    <w:multiLevelType w:val="singleLevel"/>
    <w:tmpl w:val="C1429B2A"/>
    <w:lvl w:ilvl="0">
      <w:start w:val="1"/>
      <w:numFmt w:val="decimal"/>
      <w:pStyle w:val="ListNumber2"/>
      <w:lvlText w:val="%1."/>
      <w:lvlJc w:val="left"/>
      <w:pPr>
        <w:tabs>
          <w:tab w:val="num" w:pos="643"/>
        </w:tabs>
        <w:ind w:left="643" w:hanging="360"/>
      </w:pPr>
    </w:lvl>
  </w:abstractNum>
  <w:abstractNum w:abstractNumId="3">
    <w:nsid w:val="FFFFFF81"/>
    <w:multiLevelType w:val="singleLevel"/>
    <w:tmpl w:val="87EA8CF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5B8C657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DA4E724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439C3710"/>
    <w:lvl w:ilvl="0">
      <w:start w:val="1"/>
      <w:numFmt w:val="decimal"/>
      <w:pStyle w:val="ListNumber"/>
      <w:lvlText w:val="%1."/>
      <w:lvlJc w:val="left"/>
      <w:pPr>
        <w:tabs>
          <w:tab w:val="num" w:pos="360"/>
        </w:tabs>
        <w:ind w:left="360" w:hanging="360"/>
      </w:pPr>
    </w:lvl>
  </w:abstractNum>
  <w:abstractNum w:abstractNumId="7">
    <w:nsid w:val="FFFFFF89"/>
    <w:multiLevelType w:val="singleLevel"/>
    <w:tmpl w:val="339AF32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efaultTabStop w:val="720"/>
  <w:hyphenationZone w:val="425"/>
  <w:drawingGridHorizontalSpacing w:val="57"/>
  <w:characterSpacingControl w:val="doNotCompress"/>
  <w:hdrShapeDefaults>
    <o:shapedefaults v:ext="edit" spidmax="2560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
  <w:docVars>
    <w:docVar w:name="DQCDateTime" w:val="2017-11-23 10:49:04"/>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1"/>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04ED4922-7A7C-42E6-9698-0A1178BF39EB"/>
    <w:docVar w:name="LW_COVERPAGE_TYPE" w:val="1"/>
    <w:docVar w:name="LW_CROSSREFERENCE" w:val="&lt;UNUSED&gt;"/>
    <w:docVar w:name="LW_DocType" w:val="COM"/>
    <w:docVar w:name="LW_EMISSION" w:val="30.11.2017"/>
    <w:docVar w:name="LW_EMISSION_ISODATE" w:val="2017-11-30"/>
    <w:docVar w:name="LW_EMISSION_LOCATION" w:val="BRX"/>
    <w:docVar w:name="LW_EMISSION_PREFIX" w:val="Брюксел, "/>
    <w:docVar w:name="LW_EMISSION_SUFFIX" w:val=" \u1075?."/>
    <w:docVar w:name="LW_ID_DOCMODEL" w:val="SJ-019"/>
    <w:docVar w:name="LW_ID_DOCSIGNATURE" w:val="SJ-019"/>
    <w:docVar w:name="LW_ID_DOCSTRUCTURE" w:val="COM/PL/ORG"/>
    <w:docVar w:name="LW_ID_DOCTYPE" w:val="SJ-019"/>
    <w:docVar w:name="LW_ID_STATUT" w:val="SJ-019"/>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315"/>
    <w:docVar w:name="LW_REF.II.NEW.CP_YEAR" w:val="2017"/>
    <w:docVar w:name="LW_REF.INST.NEW" w:val="COM"/>
    <w:docVar w:name="LW_REF.INST.NEW_ADOPTED" w:val="final"/>
    <w:docVar w:name="LW_REF.INST.NEW_TEXT" w:val="(2017) 70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TATUT.CP" w:val="\u1055?\u1088?\u1077?\u1076?\u1083?\u1086?\u1078?\u1077?\u1085?\u1080?\u1077? \u1079?\u1072?"/>
    <w:docVar w:name="LW_SUPERTITRE" w:val="&lt;UNUSED&gt;"/>
    <w:docVar w:name="LW_TITRE.OBJ.CP" w:val="\u1086?\u1090?\u1085?\u1086?\u1089?\u1085?\u1086? \u1087?\u1086?\u1079?\u1080?\u1094?\u1080?\u1103?\u1090?\u1072?, \u1082?\u1086?\u1103?\u1090?\u1086? \u1076?\u1072? \u1073?\u1098?\u1076?\u1077? \u1079?\u1072?\u1077?\u1090?\u1072? \u1086?\u1090? \u1080?\u1084?\u1077?\u1090?\u1086? \u1085?\u1072? \u1045?\u1074?\u1088?\u1086?\u1087?\u1077?\u1081?\u1089?\u1082?\u1080?\u1103? \u1089?\u1098?\u1102?\u1079?_x000b_\u1074? \u1088?\u1072?\u1084?\u1082?\u1080?\u1090?\u1077? \u1085?\u1072? \u1057?\u1098?\u1074?\u1084?\u1077?\u1089?\u1090?\u1085?\u1080?\u1103? \u1082?\u1086?\u1084?\u1080?\u1090?\u1077?\u1090? \u1085?\u1072? \u1045?\u1048?\u1055? \u1074?\u1098?\u1074? \u1074?\u1088?\u1098?\u1079?\u1082?\u1072? \u1089? \u1080?\u1079?\u1084?\u1077?\u1085?\u1077?\u1085?\u1080?\u1077? \u1085?\u1072? _x000b_\u1087?\u1088?\u1080?\u1083?\u1086?\u1078?\u1077?\u1085?\u1080?\u1077? XI (\u1045?\u1083?\u1077?\u1082?\u1090?\u1088?\u1086?\u1085?\u1085?\u1080? \u1082?\u1086?\u1084?\u1091?\u1085?\u1080?\u1082?\u1072?\u1094?\u1080?\u1080?, \u1072?\u1091?\u1076?\u1080?\u1086?-\u1074?\u1080?\u1079?\u1091?\u1072?\u1083?\u1085?\u1080? \u1091?\u1089?\u1083?\u1091?\u1075?\u1080? \u1080? \u1080?\u1085?\u1092?\u1086?\u1088?\u1084?\u1072?\u1094?\u1080?\u1086?\u1085?\u1085?\u1086? \u1086?\u1073?\u1097?\u1077?\u1089?\u1090?\u1074?\u1086?) \u1082?\u1098?\u1084? \u1057?\u1087?\u1086?\u1088?\u1072?\u1079?\u1091?\u1084?\u1077?\u1085?\u1080?\u1077?\u1090?\u1086? \u1079?\u1072? \u1045?\u1048?\u1055?"/>
    <w:docVar w:name="LW_TYPE.DOC.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56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pPr>
      <w:spacing w:before="0"/>
      <w:ind w:left="283"/>
      <w:jc w:val="left"/>
    </w:pPr>
  </w:style>
  <w:style w:type="character" w:customStyle="1" w:styleId="BodyTextIndentChar">
    <w:name w:val="Body Text Indent Char"/>
    <w:link w:val="BodyTextIndent"/>
    <w:rPr>
      <w:sz w:val="24"/>
      <w:szCs w:val="24"/>
      <w:lang w:val="bg-BG" w:eastAsia="bg-BG"/>
    </w:rPr>
  </w:style>
  <w:style w:type="paragraph" w:styleId="BodyText2">
    <w:name w:val="Body Text 2"/>
    <w:basedOn w:val="Normal"/>
    <w:link w:val="BodyText2Char"/>
    <w:pPr>
      <w:spacing w:line="480" w:lineRule="auto"/>
    </w:pPr>
  </w:style>
  <w:style w:type="character" w:customStyle="1" w:styleId="BodyText2Char">
    <w:name w:val="Body Text 2 Char"/>
    <w:link w:val="BodyText2"/>
    <w:rPr>
      <w:sz w:val="24"/>
      <w:szCs w:val="24"/>
      <w:lang w:eastAsia="bg-BG"/>
    </w:rPr>
  </w:style>
  <w:style w:type="paragraph" w:customStyle="1" w:styleId="Default">
    <w:name w:val="Default"/>
    <w:pPr>
      <w:autoSpaceDE w:val="0"/>
      <w:autoSpaceDN w:val="0"/>
      <w:adjustRightInd w:val="0"/>
    </w:pPr>
    <w:rPr>
      <w:color w:val="000000"/>
      <w:sz w:val="24"/>
      <w:szCs w:val="24"/>
    </w:rPr>
  </w:style>
  <w:style w:type="paragraph" w:styleId="ListBullet">
    <w:name w:val="List Bullet"/>
    <w:basedOn w:val="Normal"/>
    <w:pPr>
      <w:numPr>
        <w:numId w:val="1"/>
      </w:numPr>
      <w:contextualSpacing/>
    </w:pPr>
  </w:style>
  <w:style w:type="paragraph" w:styleId="ListBullet2">
    <w:name w:val="List Bullet 2"/>
    <w:basedOn w:val="Normal"/>
    <w:pPr>
      <w:numPr>
        <w:numId w:val="2"/>
      </w:numPr>
      <w:contextualSpacing/>
    </w:pPr>
  </w:style>
  <w:style w:type="paragraph" w:styleId="ListBullet3">
    <w:name w:val="List Bullet 3"/>
    <w:basedOn w:val="Normal"/>
    <w:pPr>
      <w:numPr>
        <w:numId w:val="3"/>
      </w:numPr>
      <w:contextualSpacing/>
    </w:pPr>
  </w:style>
  <w:style w:type="paragraph" w:styleId="ListBullet4">
    <w:name w:val="List Bullet 4"/>
    <w:basedOn w:val="Normal"/>
    <w:pPr>
      <w:numPr>
        <w:numId w:val="4"/>
      </w:numPr>
      <w:contextualSpacing/>
    </w:pPr>
  </w:style>
  <w:style w:type="paragraph" w:styleId="Caption">
    <w:name w:val="caption"/>
    <w:basedOn w:val="Normal"/>
    <w:next w:val="Normal"/>
    <w:semiHidden/>
    <w:unhideWhenUsed/>
    <w:qFormat/>
    <w:rPr>
      <w:b/>
      <w:bCs/>
      <w:sz w:val="20"/>
    </w:rPr>
  </w:style>
  <w:style w:type="paragraph" w:styleId="TableofFigures">
    <w:name w:val="table of figures"/>
    <w:basedOn w:val="Normal"/>
    <w:next w:val="Normal"/>
  </w:style>
  <w:style w:type="paragraph" w:styleId="ListNumber">
    <w:name w:val="List Number"/>
    <w:basedOn w:val="Normal"/>
    <w:pPr>
      <w:numPr>
        <w:numId w:val="6"/>
      </w:numPr>
      <w:contextualSpacing/>
    </w:pPr>
  </w:style>
  <w:style w:type="paragraph" w:styleId="ListNumber2">
    <w:name w:val="List Number 2"/>
    <w:basedOn w:val="Normal"/>
    <w:pPr>
      <w:numPr>
        <w:numId w:val="7"/>
      </w:numPr>
      <w:contextualSpacing/>
    </w:pPr>
  </w:style>
  <w:style w:type="paragraph" w:styleId="ListNumber3">
    <w:name w:val="List Number 3"/>
    <w:basedOn w:val="Normal"/>
    <w:pPr>
      <w:numPr>
        <w:numId w:val="8"/>
      </w:numPr>
      <w:contextualSpacing/>
    </w:pPr>
  </w:style>
  <w:style w:type="paragraph" w:styleId="ListNumber4">
    <w:name w:val="List Number 4"/>
    <w:basedOn w:val="Normal"/>
    <w:pPr>
      <w:numPr>
        <w:numId w:val="9"/>
      </w:numPr>
      <w:contextualSpacing/>
    </w:pPr>
  </w:style>
  <w:style w:type="character" w:styleId="CommentReference">
    <w:name w:val="annotation reference"/>
    <w:rPr>
      <w:sz w:val="16"/>
      <w:szCs w:val="16"/>
    </w:rPr>
  </w:style>
  <w:style w:type="paragraph" w:styleId="CommentText">
    <w:name w:val="annotation text"/>
    <w:basedOn w:val="Normal"/>
    <w:link w:val="CommentTextChar"/>
    <w:rPr>
      <w:sz w:val="20"/>
    </w:rP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rPr>
  </w:style>
  <w:style w:type="character" w:styleId="Hyperlink">
    <w:name w:val="Hyperlink"/>
    <w:rPr>
      <w:color w:val="0000FF"/>
      <w:u w:val="single"/>
    </w:rPr>
  </w:style>
  <w:style w:type="paragraph" w:styleId="BalloonText">
    <w:name w:val="Balloon Text"/>
    <w:basedOn w:val="Normal"/>
    <w:link w:val="BalloonTextChar"/>
    <w:pPr>
      <w:spacing w:before="0" w:after="0"/>
    </w:pP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rPr>
      <w:lang w:eastAsia="en-US" w:bidi="ar-SA"/>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lang w:eastAsia="en-US" w:bidi="ar-SA"/>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8780827">
      <w:bodyDiv w:val="1"/>
      <w:marLeft w:val="0"/>
      <w:marRight w:val="0"/>
      <w:marTop w:val="0"/>
      <w:marBottom w:val="0"/>
      <w:divBdr>
        <w:top w:val="none" w:sz="0" w:space="0" w:color="auto"/>
        <w:left w:val="none" w:sz="0" w:space="0" w:color="auto"/>
        <w:bottom w:val="none" w:sz="0" w:space="0" w:color="auto"/>
        <w:right w:val="none" w:sz="0" w:space="0" w:color="auto"/>
      </w:divBdr>
      <w:divsChild>
        <w:div w:id="19940859">
          <w:marLeft w:val="0"/>
          <w:marRight w:val="0"/>
          <w:marTop w:val="0"/>
          <w:marBottom w:val="0"/>
          <w:divBdr>
            <w:top w:val="none" w:sz="0" w:space="0" w:color="auto"/>
            <w:left w:val="none" w:sz="0" w:space="0" w:color="auto"/>
            <w:bottom w:val="none" w:sz="0" w:space="0" w:color="auto"/>
            <w:right w:val="none" w:sz="0" w:space="0" w:color="auto"/>
          </w:divBdr>
          <w:divsChild>
            <w:div w:id="307515087">
              <w:marLeft w:val="2"/>
              <w:marRight w:val="2"/>
              <w:marTop w:val="0"/>
              <w:marBottom w:val="0"/>
              <w:divBdr>
                <w:top w:val="none" w:sz="0" w:space="0" w:color="auto"/>
                <w:left w:val="none" w:sz="0" w:space="0" w:color="auto"/>
                <w:bottom w:val="none" w:sz="0" w:space="0" w:color="auto"/>
                <w:right w:val="none" w:sz="0" w:space="0" w:color="auto"/>
              </w:divBdr>
              <w:divsChild>
                <w:div w:id="1828667934">
                  <w:marLeft w:val="0"/>
                  <w:marRight w:val="0"/>
                  <w:marTop w:val="0"/>
                  <w:marBottom w:val="0"/>
                  <w:divBdr>
                    <w:top w:val="none" w:sz="0" w:space="0" w:color="auto"/>
                    <w:left w:val="none" w:sz="0" w:space="0" w:color="auto"/>
                    <w:bottom w:val="none" w:sz="0" w:space="0" w:color="auto"/>
                    <w:right w:val="none" w:sz="0" w:space="0" w:color="auto"/>
                  </w:divBdr>
                  <w:divsChild>
                    <w:div w:id="932975110">
                      <w:marLeft w:val="0"/>
                      <w:marRight w:val="0"/>
                      <w:marTop w:val="0"/>
                      <w:marBottom w:val="0"/>
                      <w:divBdr>
                        <w:top w:val="none" w:sz="0" w:space="0" w:color="auto"/>
                        <w:left w:val="none" w:sz="0" w:space="0" w:color="auto"/>
                        <w:bottom w:val="none" w:sz="0" w:space="0" w:color="auto"/>
                        <w:right w:val="none" w:sz="0" w:space="0" w:color="auto"/>
                      </w:divBdr>
                      <w:divsChild>
                        <w:div w:id="1861619885">
                          <w:marLeft w:val="0"/>
                          <w:marRight w:val="0"/>
                          <w:marTop w:val="0"/>
                          <w:marBottom w:val="0"/>
                          <w:divBdr>
                            <w:top w:val="none" w:sz="0" w:space="0" w:color="auto"/>
                            <w:left w:val="none" w:sz="0" w:space="0" w:color="auto"/>
                            <w:bottom w:val="none" w:sz="0" w:space="0" w:color="auto"/>
                            <w:right w:val="none" w:sz="0" w:space="0" w:color="auto"/>
                          </w:divBdr>
                          <w:divsChild>
                            <w:div w:id="2047023996">
                              <w:marLeft w:val="0"/>
                              <w:marRight w:val="0"/>
                              <w:marTop w:val="0"/>
                              <w:marBottom w:val="0"/>
                              <w:divBdr>
                                <w:top w:val="none" w:sz="0" w:space="0" w:color="auto"/>
                                <w:left w:val="none" w:sz="0" w:space="0" w:color="auto"/>
                                <w:bottom w:val="none" w:sz="0" w:space="0" w:color="auto"/>
                                <w:right w:val="none" w:sz="0" w:space="0" w:color="auto"/>
                              </w:divBdr>
                              <w:divsChild>
                                <w:div w:id="1368599428">
                                  <w:marLeft w:val="0"/>
                                  <w:marRight w:val="0"/>
                                  <w:marTop w:val="0"/>
                                  <w:marBottom w:val="0"/>
                                  <w:divBdr>
                                    <w:top w:val="none" w:sz="0" w:space="0" w:color="auto"/>
                                    <w:left w:val="none" w:sz="0" w:space="0" w:color="auto"/>
                                    <w:bottom w:val="none" w:sz="0" w:space="0" w:color="auto"/>
                                    <w:right w:val="none" w:sz="0" w:space="0" w:color="auto"/>
                                  </w:divBdr>
                                  <w:divsChild>
                                    <w:div w:id="1736586996">
                                      <w:marLeft w:val="0"/>
                                      <w:marRight w:val="0"/>
                                      <w:marTop w:val="0"/>
                                      <w:marBottom w:val="0"/>
                                      <w:divBdr>
                                        <w:top w:val="none" w:sz="0" w:space="0" w:color="auto"/>
                                        <w:left w:val="none" w:sz="0" w:space="0" w:color="auto"/>
                                        <w:bottom w:val="none" w:sz="0" w:space="0" w:color="auto"/>
                                        <w:right w:val="none" w:sz="0" w:space="0" w:color="auto"/>
                                      </w:divBdr>
                                      <w:divsChild>
                                        <w:div w:id="1481725310">
                                          <w:marLeft w:val="0"/>
                                          <w:marRight w:val="0"/>
                                          <w:marTop w:val="0"/>
                                          <w:marBottom w:val="0"/>
                                          <w:divBdr>
                                            <w:top w:val="none" w:sz="0" w:space="0" w:color="auto"/>
                                            <w:left w:val="none" w:sz="0" w:space="0" w:color="auto"/>
                                            <w:bottom w:val="none" w:sz="0" w:space="0" w:color="auto"/>
                                            <w:right w:val="none" w:sz="0" w:space="0" w:color="auto"/>
                                          </w:divBdr>
                                          <w:divsChild>
                                            <w:div w:id="1711151638">
                                              <w:marLeft w:val="0"/>
                                              <w:marRight w:val="0"/>
                                              <w:marTop w:val="0"/>
                                              <w:marBottom w:val="0"/>
                                              <w:divBdr>
                                                <w:top w:val="none" w:sz="0" w:space="0" w:color="auto"/>
                                                <w:left w:val="none" w:sz="0" w:space="0" w:color="auto"/>
                                                <w:bottom w:val="none" w:sz="0" w:space="0" w:color="auto"/>
                                                <w:right w:val="none" w:sz="0" w:space="0" w:color="auto"/>
                                              </w:divBdr>
                                              <w:divsChild>
                                                <w:div w:id="805195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054981-60A4-48E3-ADA9-1814387FE8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6</Pages>
  <Words>1240</Words>
  <Characters>7122</Characters>
  <Application>Microsoft Office Word</Application>
  <DocSecurity>0</DocSecurity>
  <Lines>154</Lines>
  <Paragraphs>69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DIGIT/A3</cp:lastModifiedBy>
  <cp:revision>19</cp:revision>
  <cp:lastPrinted>2014-03-28T08:12:00Z</cp:lastPrinted>
  <dcterms:created xsi:type="dcterms:W3CDTF">2017-11-13T10:53:00Z</dcterms:created>
  <dcterms:modified xsi:type="dcterms:W3CDTF">2017-11-23T09:49:00Z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5.8.64.0</vt:lpwstr>
  </property>
  <property fmtid="{D5CDD505-2E9C-101B-9397-08002B2CF9AE}" pid="4" name="Last edited using">
    <vt:lpwstr>LW 5.8.4, Build 20150407</vt:lpwstr>
  </property>
  <property fmtid="{D5CDD505-2E9C-101B-9397-08002B2CF9AE}" pid="5" name="Created using">
    <vt:lpwstr>LW 5.8.2, Build 20120919</vt:lpwstr>
  </property>
  <property fmtid="{D5CDD505-2E9C-101B-9397-08002B2CF9AE}" pid="6" name="LWTemplateID">
    <vt:lpwstr>SJ-019</vt:lpwstr>
  </property>
  <property fmtid="{D5CDD505-2E9C-101B-9397-08002B2CF9AE}" pid="7" name="Part">
    <vt:lpwstr>1</vt:lpwstr>
  </property>
  <property fmtid="{D5CDD505-2E9C-101B-9397-08002B2CF9AE}" pid="8" name="Total parts">
    <vt:lpwstr>1</vt:lpwstr>
  </property>
  <property fmtid="{D5CDD505-2E9C-101B-9397-08002B2CF9AE}" pid="9" name="DQCStatus">
    <vt:lpwstr>Green (DQC version 03)</vt:lpwstr>
  </property>
  <property fmtid="{D5CDD505-2E9C-101B-9397-08002B2CF9AE}" pid="10" name="Level of sensitivity">
    <vt:lpwstr>Standard treatment</vt:lpwstr>
  </property>
</Properties>
</file>