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655F4A6-2BB0-40E2-BCED-E0BEF298910B"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t>ANNEX</w:t>
      </w:r>
      <w:r>
        <w:rPr>
          <w:noProof/>
          <w:u w:val="none"/>
        </w:rPr>
        <w:br/>
      </w:r>
      <w:r>
        <w:rPr>
          <w:noProof/>
          <w:u w:val="none"/>
        </w:rPr>
        <w:br/>
        <w:t>DECISION OF THE EEA JOINT COMMITTEE No .../2017</w:t>
      </w:r>
      <w:r>
        <w:rPr>
          <w:noProof/>
          <w:u w:val="none"/>
        </w:rPr>
        <w:br/>
      </w:r>
      <w:r>
        <w:rPr>
          <w:noProof/>
          <w:u w:val="none"/>
        </w:rPr>
        <w:br/>
        <w:t>of</w:t>
      </w:r>
      <w:r>
        <w:rPr>
          <w:noProof/>
          <w:u w:val="none"/>
        </w:rPr>
        <w:br/>
      </w:r>
      <w:r>
        <w:rPr>
          <w:noProof/>
          <w:u w:val="none"/>
        </w:rPr>
        <w:br/>
        <w:t>amending Annex XI (Electronic communication, audiovisual services and information society) to the EEA Agreement</w:t>
      </w:r>
    </w:p>
    <w:p>
      <w:pPr>
        <w:pStyle w:val="Institutionquiagit"/>
        <w:rPr>
          <w:noProof/>
        </w:rPr>
      </w:pPr>
      <w:r>
        <w:rPr>
          <w:noProof/>
        </w:rPr>
        <w:t>THE EEA JOINT COMMITTEE,</w:t>
      </w:r>
    </w:p>
    <w:p>
      <w:pPr>
        <w:rPr>
          <w:noProof/>
        </w:rPr>
      </w:pPr>
      <w:r>
        <w:rPr>
          <w:noProof/>
        </w:rPr>
        <w:t>Having regard to the Agreement on the European Economic Area (“the EEA Agreement”), and in particular Article 98 thereof,</w:t>
      </w:r>
    </w:p>
    <w:p>
      <w:pPr>
        <w:rPr>
          <w:noProof/>
        </w:rPr>
      </w:pPr>
      <w:r>
        <w:rPr>
          <w:noProof/>
        </w:rPr>
        <w:t>Whereas:</w:t>
      </w:r>
    </w:p>
    <w:p>
      <w:pPr>
        <w:pStyle w:val="Considrant"/>
        <w:numPr>
          <w:ilvl w:val="0"/>
          <w:numId w:val="1"/>
        </w:numPr>
        <w:rPr>
          <w:noProof/>
        </w:rPr>
      </w:pPr>
      <w:r>
        <w:rPr>
          <w:noProof/>
        </w:rPr>
        <w:t>Regulation (EU) No 910/2014 of the European Parliament and of the Council of 23 July 2014 on electronic identification and trust services for electronic transactions in the internal market and repealing Directive 1999/93/EC</w:t>
      </w:r>
      <w:r>
        <w:rPr>
          <w:rStyle w:val="FootnoteReference"/>
          <w:noProof/>
        </w:rPr>
        <w:footnoteReference w:id="1"/>
      </w:r>
      <w:r>
        <w:rPr>
          <w:noProof/>
        </w:rPr>
        <w:t xml:space="preserve"> is to be incorporated into the EEA Agreement.</w:t>
      </w:r>
    </w:p>
    <w:p>
      <w:pPr>
        <w:pStyle w:val="Considrant"/>
        <w:numPr>
          <w:ilvl w:val="0"/>
          <w:numId w:val="1"/>
        </w:numPr>
        <w:rPr>
          <w:noProof/>
        </w:rPr>
      </w:pPr>
      <w:r>
        <w:rPr>
          <w:noProof/>
        </w:rPr>
        <w:t>Regulation (EU) No 910/2014 repeals Directive 1999/93/EC of the European Parliament and of the Council</w:t>
      </w:r>
      <w:r>
        <w:rPr>
          <w:rStyle w:val="FootnoteReference"/>
          <w:noProof/>
        </w:rPr>
        <w:footnoteReference w:id="2"/>
      </w:r>
      <w:r>
        <w:rPr>
          <w:noProof/>
        </w:rPr>
        <w:t>, which is incorporated into the EEA Agreement and which is consequently to be repealed under the EEA Agreement.</w:t>
      </w:r>
    </w:p>
    <w:p>
      <w:pPr>
        <w:pStyle w:val="Considrant"/>
        <w:numPr>
          <w:ilvl w:val="0"/>
          <w:numId w:val="1"/>
        </w:numPr>
        <w:rPr>
          <w:noProof/>
        </w:rPr>
      </w:pPr>
      <w:r>
        <w:rPr>
          <w:noProof/>
        </w:rPr>
        <w:t>Annex XI to the EEA Agreement should therefore be amended accordingly,</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text of point 5l (Directive 1999/93/EC of the European Parliament and of the Council) of Annex XI to the EEA Agreement is replaced by the following:</w:t>
      </w:r>
    </w:p>
    <w:p>
      <w:pPr>
        <w:rPr>
          <w:noProof/>
        </w:rPr>
      </w:pPr>
      <w:r>
        <w:rPr>
          <w:noProof/>
        </w:rPr>
        <w:t>‘</w:t>
      </w:r>
      <w:r>
        <w:rPr>
          <w:b/>
          <w:noProof/>
        </w:rPr>
        <w:t>32014 R 0910</w:t>
      </w:r>
      <w:r>
        <w:rPr>
          <w:noProof/>
        </w:rPr>
        <w:t>: Regulation (EU) No 910/2014 of the European Parliament and of the Council of 23 July 2014 on electronic identification and trust services for electronic transactions in the internal market and repealing Directive 1999/93/EC (OJ L 257, 28.8.2014, p. 73).</w:t>
      </w:r>
    </w:p>
    <w:p>
      <w:pPr>
        <w:rPr>
          <w:noProof/>
        </w:rPr>
      </w:pPr>
      <w:r>
        <w:rPr>
          <w:noProof/>
        </w:rPr>
        <w:t>The provisions of the Regulation shall, for the purposes of this Agreement, be read with the following adaptations:</w:t>
      </w:r>
    </w:p>
    <w:p>
      <w:pPr>
        <w:pStyle w:val="Point0"/>
        <w:rPr>
          <w:noProof/>
        </w:rPr>
      </w:pPr>
      <w:r>
        <w:rPr>
          <w:noProof/>
        </w:rPr>
        <w:t>(a)</w:t>
      </w:r>
      <w:r>
        <w:rPr>
          <w:noProof/>
        </w:rPr>
        <w:tab/>
        <w:t>In Article 14(1), the words “, or between an EFTA State and the third country in question or an international organisation” shall be inserted after the words “Article 218 TFEU”.</w:t>
      </w:r>
    </w:p>
    <w:p>
      <w:pPr>
        <w:pStyle w:val="Point0"/>
        <w:rPr>
          <w:noProof/>
        </w:rPr>
      </w:pPr>
      <w:r>
        <w:rPr>
          <w:noProof/>
        </w:rPr>
        <w:t>(b)</w:t>
      </w:r>
      <w:r>
        <w:rPr>
          <w:noProof/>
        </w:rPr>
        <w:tab/>
        <w:t>The Contracting Parties shall keep each other informed as regards the negotiation and conclusion of agreements referred to in Article 14(1) and, upon request, consultations shall take place within the EEA Joint Committee.</w:t>
      </w:r>
    </w:p>
    <w:p>
      <w:pPr>
        <w:pStyle w:val="Point0"/>
        <w:rPr>
          <w:noProof/>
        </w:rPr>
      </w:pPr>
      <w:r>
        <w:rPr>
          <w:noProof/>
        </w:rPr>
        <w:t>(c)</w:t>
      </w:r>
      <w:r>
        <w:rPr>
          <w:noProof/>
        </w:rPr>
        <w:tab/>
        <w:t>Whenever the European Union negotiates an agreement referred to in Article 14(1), it shall endeavour to obtain equal treatment for qualified trust services provided by qualified trust service providers established in the EFTA States.</w:t>
      </w:r>
    </w:p>
    <w:p>
      <w:pPr>
        <w:pStyle w:val="Point0"/>
        <w:rPr>
          <w:noProof/>
        </w:rPr>
      </w:pPr>
      <w:r>
        <w:rPr>
          <w:noProof/>
        </w:rPr>
        <w:t>(d)</w:t>
      </w:r>
      <w:r>
        <w:rPr>
          <w:noProof/>
        </w:rPr>
        <w:tab/>
        <w:t>In Article 51, as regards the EFTA States:</w:t>
      </w:r>
    </w:p>
    <w:p>
      <w:pPr>
        <w:pStyle w:val="Point1"/>
        <w:rPr>
          <w:noProof/>
        </w:rPr>
      </w:pPr>
      <w:r>
        <w:rPr>
          <w:noProof/>
        </w:rPr>
        <w:t>(i)</w:t>
      </w:r>
      <w:r>
        <w:rPr>
          <w:noProof/>
        </w:rPr>
        <w:tab/>
        <w:t>in paragraph 3, the words “1 July 2017” shall read “six months after the date of entry into force of Decision of the EEA Joint Committee No …/… of …[this decision]”;</w:t>
      </w:r>
    </w:p>
    <w:p>
      <w:pPr>
        <w:pStyle w:val="Point1"/>
        <w:rPr>
          <w:noProof/>
        </w:rPr>
      </w:pPr>
      <w:r>
        <w:rPr>
          <w:noProof/>
        </w:rPr>
        <w:t>(ii)</w:t>
      </w:r>
      <w:r>
        <w:rPr>
          <w:noProof/>
        </w:rPr>
        <w:tab/>
        <w:t>in paragraph 4, the words “from 2 July 2017” shall read “after six months from the date of entry into force of Decision of the EEA Joint Committee No …/… of …[this decision]”.’</w:t>
      </w:r>
    </w:p>
    <w:p>
      <w:pPr>
        <w:pStyle w:val="Titrearticle"/>
        <w:rPr>
          <w:noProof/>
        </w:rPr>
      </w:pPr>
      <w:r>
        <w:rPr>
          <w:noProof/>
        </w:rPr>
        <w:t>Article 2</w:t>
      </w:r>
    </w:p>
    <w:p>
      <w:pPr>
        <w:rPr>
          <w:noProof/>
        </w:rPr>
      </w:pPr>
      <w:r>
        <w:rPr>
          <w:noProof/>
        </w:rPr>
        <w:t xml:space="preserve">The texts of Regulation (EU) No 910/2014 in the Icelandic and Norwegian languages, to be published in the EEA Supplement to the </w:t>
      </w:r>
      <w:r>
        <w:rPr>
          <w:i/>
          <w:noProof/>
        </w:rPr>
        <w:t>Official Journal of the European Union</w:t>
      </w:r>
      <w:r>
        <w:rPr>
          <w:noProof/>
        </w:rPr>
        <w:t>, shall be authentic.</w:t>
      </w:r>
    </w:p>
    <w:p>
      <w:pPr>
        <w:pStyle w:val="Titrearticle"/>
        <w:rPr>
          <w:noProof/>
        </w:rPr>
      </w:pPr>
      <w:r>
        <w:rPr>
          <w:noProof/>
        </w:rPr>
        <w:t>Article 3</w:t>
      </w:r>
    </w:p>
    <w:p>
      <w:pPr>
        <w:rPr>
          <w:noProof/>
        </w:rPr>
      </w:pPr>
      <w:r>
        <w:rPr>
          <w:noProof/>
        </w:rPr>
        <w:t>This Decision shall enter into force on […], provided that all the notifications under Article 103(1) of the EEA Agreement have been made</w:t>
      </w:r>
      <w:r>
        <w:rPr>
          <w:rStyle w:val="FootnoteReference"/>
          <w:noProof/>
        </w:rPr>
        <w:footnoteReference w:customMarkFollows="1" w:id="3"/>
        <w:sym w:font="Symbol" w:char="F02A"/>
      </w:r>
      <w:r>
        <w:rPr>
          <w:noProof/>
        </w:rPr>
        <w:t>.</w:t>
      </w:r>
    </w:p>
    <w:p>
      <w:pPr>
        <w:pStyle w:val="Titrearticle"/>
        <w:rPr>
          <w:noProof/>
        </w:rPr>
      </w:pPr>
      <w:r>
        <w:rPr>
          <w:noProof/>
        </w:rPr>
        <w:t>Article 4</w:t>
      </w:r>
    </w:p>
    <w:p>
      <w:pPr>
        <w:rPr>
          <w:noProof/>
        </w:rPr>
      </w:pPr>
      <w:r>
        <w:rPr>
          <w:noProof/>
        </w:rPr>
        <w:t xml:space="preserve">This Decision shall be published in the EEA Section of, and in the EEA Supplement to, the </w:t>
      </w:r>
      <w:r>
        <w:rPr>
          <w:i/>
          <w:noProof/>
        </w:rPr>
        <w:t>Official Journal of the European Union</w:t>
      </w:r>
      <w:r>
        <w:rPr>
          <w:noProof/>
        </w:rPr>
        <w:t>.</w:t>
      </w:r>
    </w:p>
    <w:p>
      <w:pPr>
        <w:pStyle w:val="Fait"/>
        <w:rPr>
          <w:noProof/>
        </w:rPr>
      </w:pPr>
      <w:r>
        <w:rPr>
          <w:noProof/>
        </w:rPr>
        <w:t>Done at Brussels, .</w:t>
      </w:r>
    </w:p>
    <w:p>
      <w:pPr>
        <w:pStyle w:val="Institutionquisigne"/>
        <w:rPr>
          <w:noProof/>
        </w:rPr>
      </w:pPr>
      <w:r>
        <w:rPr>
          <w:noProof/>
        </w:rPr>
        <w:tab/>
        <w:t>For the EEA Joint Committee</w:t>
      </w:r>
    </w:p>
    <w:p>
      <w:pPr>
        <w:pStyle w:val="Personnequisigne"/>
        <w:rPr>
          <w:noProof/>
        </w:rPr>
      </w:pPr>
      <w:r>
        <w:rPr>
          <w:noProof/>
        </w:rPr>
        <w:tab/>
        <w:t>The President</w:t>
      </w:r>
      <w:r>
        <w:rPr>
          <w:noProof/>
        </w:rPr>
        <w:br/>
      </w:r>
      <w:r>
        <w:rPr>
          <w:noProof/>
        </w:rPr>
        <w:tab/>
      </w:r>
      <w:r>
        <w:rPr>
          <w:noProof/>
        </w:rPr>
        <w:br/>
      </w:r>
      <w:r>
        <w:rPr>
          <w:noProof/>
        </w:rPr>
        <w:tab/>
      </w:r>
      <w:r>
        <w:rPr>
          <w:noProof/>
        </w:rPr>
        <w:br/>
      </w:r>
      <w:r>
        <w:rPr>
          <w:noProof/>
        </w:rPr>
        <w:tab/>
      </w:r>
      <w:r>
        <w:rPr>
          <w:noProof/>
        </w:rPr>
        <w:br/>
      </w:r>
      <w:r>
        <w:rPr>
          <w:noProof/>
        </w:rPr>
        <w:tab/>
        <w:t>The Secretaries</w:t>
      </w:r>
      <w:r>
        <w:rPr>
          <w:noProof/>
        </w:rPr>
        <w:br/>
      </w:r>
      <w:r>
        <w:rPr>
          <w:noProof/>
        </w:rPr>
        <w:tab/>
        <w:t>to the EEA Joint Committee</w:t>
      </w:r>
      <w:r>
        <w:rPr>
          <w:noProof/>
        </w:rPr>
        <w:br/>
      </w:r>
      <w:r>
        <w:rPr>
          <w:noProof/>
        </w:rPr>
        <w:tab/>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OJ L 257, 28.8.2014, p. 73.</w:t>
      </w:r>
    </w:p>
  </w:footnote>
  <w:footnote w:id="2">
    <w:p>
      <w:pPr>
        <w:pStyle w:val="FootnoteText"/>
      </w:pPr>
      <w:r>
        <w:rPr>
          <w:rStyle w:val="FootnoteReference"/>
        </w:rPr>
        <w:footnoteRef/>
      </w:r>
      <w:r>
        <w:tab/>
        <w:t>OJ L 13, 19.1.2000, p. 12.</w:t>
      </w:r>
    </w:p>
  </w:footnote>
  <w:footnote w:id="3">
    <w:p>
      <w:pPr>
        <w:pStyle w:val="FootnoteText"/>
      </w:pPr>
      <w:r>
        <w:rPr>
          <w:rStyle w:val="FootnoteReference"/>
        </w:rPr>
        <w:sym w:font="Symbol" w:char="F02A"/>
      </w:r>
      <w:r>
        <w:tab/>
        <w:t>[No constitutional requirements indicated.] [Constitutional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9EA2A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BA26C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D0AB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4297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EC0A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F4A1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96E5FA"/>
    <w:lvl w:ilvl="0">
      <w:start w:val="1"/>
      <w:numFmt w:val="decimal"/>
      <w:pStyle w:val="ListNumber"/>
      <w:lvlText w:val="%1."/>
      <w:lvlJc w:val="left"/>
      <w:pPr>
        <w:tabs>
          <w:tab w:val="num" w:pos="360"/>
        </w:tabs>
        <w:ind w:left="360" w:hanging="360"/>
      </w:pPr>
    </w:lvl>
  </w:abstractNum>
  <w:abstractNum w:abstractNumId="7">
    <w:nsid w:val="FFFFFF89"/>
    <w:multiLevelType w:val="singleLevel"/>
    <w:tmpl w:val="D6BA3F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3 10:52:57"/>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655F4A6-2BB0-40E2-BCED-E0BEF298910B"/>
    <w:docVar w:name="LW_COVERPAGE_TYPE" w:val="1"/>
    <w:docVar w:name="LW_CROSSREFERENCE" w:val="&lt;UNUSED&gt;"/>
    <w:docVar w:name="LW_DocType" w:val="ANNEX"/>
    <w:docVar w:name="LW_EMISSION" w:val="30.11.2017"/>
    <w:docVar w:name="LW_EMISSION_ISODATE" w:val="2017-11-30"/>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an amendment to Annex XI (Electronic communication, audiovisual services and information society) to the EEA Agreement"/>
    <w:docVar w:name="LW_OBJETACTEPRINCIPAL.CP" w:val="on the position to be adopted, on behalf of the European Union, within the EEA Joint Committee concerning an amendment to Annex XI (Electronic communication, audiovisual services and information society) to the EEA Agreement"/>
    <w:docVar w:name="LW_PART_NBR" w:val="1"/>
    <w:docVar w:name="LW_PART_NBR_TOTAL" w:val="1"/>
    <w:docVar w:name="LW_REF.INST.NEW" w:val="COM"/>
    <w:docVar w:name="LW_REF.INST.NEW_ADOPTED" w:val="final"/>
    <w:docVar w:name="LW_REF.INST.NEW_TEXT" w:val="(2017) 7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D9F5F-91A7-471F-AD5F-7CA6F008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507</Words>
  <Characters>2607</Characters>
  <Application>Microsoft Office Word</Application>
  <DocSecurity>0</DocSecurity>
  <Lines>66</Lines>
  <Paragraphs>32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VERNHES Nathalie (EEAS)</dc:creator>
  <cp:lastModifiedBy>DIGIT/A3</cp:lastModifiedBy>
  <cp:revision>7</cp:revision>
  <dcterms:created xsi:type="dcterms:W3CDTF">2017-11-21T11:15:00Z</dcterms:created>
  <dcterms:modified xsi:type="dcterms:W3CDTF">2017-11-23T09:52:00Z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