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6B8397F-6BC6-4E7C-A267-5CE42F64AE8B"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1.1.</w:t>
      </w:r>
      <w:r>
        <w:rPr>
          <w:noProof/>
        </w:rPr>
        <w:tab/>
        <w:t>Основания и цели на предложението</w:t>
      </w:r>
    </w:p>
    <w:p>
      <w:pPr>
        <w:rPr>
          <w:rFonts w:eastAsia="Times New Roman"/>
          <w:noProof/>
          <w:szCs w:val="24"/>
        </w:rPr>
      </w:pPr>
      <w:r>
        <w:rPr>
          <w:noProof/>
        </w:rPr>
        <w:t>Данъчното облагане на енергийните продукти и електроенергията в Съюза попада в регулаторния обхват на Директива 2003/96/ЕО на Съвета</w:t>
      </w:r>
      <w:r>
        <w:rPr>
          <w:rStyle w:val="FootnoteReference"/>
          <w:noProof/>
        </w:rPr>
        <w:footnoteReference w:id="1"/>
      </w:r>
      <w:r>
        <w:rPr>
          <w:noProof/>
        </w:rPr>
        <w:t xml:space="preserve"> (наричана по-долу „Директивата за данъчното облагане на енергийните продукти и електроенергията“ или „Директивата“).</w:t>
      </w:r>
    </w:p>
    <w:p>
      <w:pPr>
        <w:rPr>
          <w:rFonts w:eastAsia="Times New Roman"/>
          <w:noProof/>
          <w:szCs w:val="24"/>
        </w:rPr>
      </w:pPr>
      <w:r>
        <w:rPr>
          <w:noProof/>
        </w:rPr>
        <w:t>В член 19, параграф 1 от Директивата се посочва, че в допълнение към разпоредбите, предвидени по-специално в членове 5, 15 и 17 от нея, Съветът, като действа единодушно по предложение на Комисията, може да даде разрешение на всяка държава членка да въведе допълнително освобождаване или намаление на равнищата на данъчно облагане поради специфични съображения.</w:t>
      </w:r>
    </w:p>
    <w:p>
      <w:pPr>
        <w:rPr>
          <w:rFonts w:eastAsia="Times New Roman"/>
          <w:noProof/>
          <w:szCs w:val="24"/>
        </w:rPr>
      </w:pPr>
      <w:r>
        <w:rPr>
          <w:noProof/>
        </w:rPr>
        <w:t xml:space="preserve">Целта на настоящото предложение е да позволи на Швеция да прилага, в определени граници, намалена ставка на акциза върху електроенергията, потребявана от домакинствата и предприятията в сектора на услугите в някои райони в Северна Швеция. Целта на тази мярка е да компенсира по-високите разходи за отопление в тези райони, причината за които са специфичните местни климатични условия. </w:t>
      </w:r>
    </w:p>
    <w:p>
      <w:pPr>
        <w:rPr>
          <w:rFonts w:eastAsia="Times New Roman"/>
          <w:noProof/>
          <w:szCs w:val="24"/>
        </w:rPr>
      </w:pPr>
      <w:r>
        <w:rPr>
          <w:noProof/>
        </w:rPr>
        <w:t>Член 19, параграф 1 от Директивата предвижда, че Съветът, като действа единодушно по предложение на Комисията, може да даде разрешение на всяка държава членка да въведе допълнително освобождаване или намаление на равнищата на данъчно облагане поради специфични съображения.</w:t>
      </w:r>
    </w:p>
    <w:p>
      <w:pPr>
        <w:rPr>
          <w:rFonts w:eastAsia="Times New Roman"/>
          <w:noProof/>
          <w:szCs w:val="24"/>
        </w:rPr>
      </w:pPr>
      <w:r>
        <w:rPr>
          <w:noProof/>
        </w:rPr>
        <w:t>С Решение 2012/47/ЕС на Съвета на Швеция се разрешава да приложи намалена ставка на акциза върху електроенергията, потребявана от домакинствата и предприятията в сектора на услугите в някои общини, изброени в приложението към решението. Намалената данъчна ставка следва да бъде пропорционална на допълнителните разходи за отопление, дължащи се на северното разположение, в сравнение с останалата част от Швеция, като намалената ставка трябва да е в съответствие с изискванията на Директива 2003/96/ЕО, и по-специално с минималните равнища на данъчно облагане, предвидени в член 10 от същата директива. Срокът на действие на това разрешение изтича на 31 декември 2017 г.</w:t>
      </w:r>
    </w:p>
    <w:p>
      <w:pPr>
        <w:rPr>
          <w:rFonts w:eastAsia="Times New Roman"/>
          <w:noProof/>
          <w:szCs w:val="24"/>
        </w:rPr>
      </w:pPr>
      <w:r>
        <w:rPr>
          <w:noProof/>
        </w:rPr>
        <w:t>С писмо от 10 май 2017 г. и съгласно член 19 от Директивата шведските власти информираха Комисията, че възнамеряват да продължат да прилагат тази намалена акцизна ставка. Намалението няма да надхвърля 96 SEK/MWh, или приблизително 10 EUR/MWh</w:t>
      </w:r>
      <w:r>
        <w:rPr>
          <w:rStyle w:val="FootnoteReference"/>
          <w:noProof/>
        </w:rPr>
        <w:footnoteReference w:id="2"/>
      </w:r>
      <w:r>
        <w:rPr>
          <w:noProof/>
        </w:rPr>
        <w:t>. Швеция поиска разрешение да прилага намалението за срок от шест години, т.е. до 31 декември 2023 г., което представлява максималният срок по член 19, параграф 2 от Директивата.</w:t>
      </w:r>
    </w:p>
    <w:p>
      <w:pPr>
        <w:rPr>
          <w:rFonts w:eastAsia="Times New Roman"/>
          <w:noProof/>
          <w:szCs w:val="24"/>
        </w:rPr>
      </w:pPr>
      <w:r>
        <w:rPr>
          <w:noProof/>
        </w:rPr>
        <w:t>Швеция предостави допълнителна информация и пояснения на 1 септември 2017 г.</w:t>
      </w:r>
    </w:p>
    <w:p>
      <w:pPr>
        <w:rPr>
          <w:rFonts w:eastAsia="Times New Roman"/>
          <w:noProof/>
          <w:szCs w:val="24"/>
        </w:rPr>
      </w:pPr>
      <w:r>
        <w:rPr>
          <w:noProof/>
        </w:rPr>
        <w:t>Швеция обосновава необходимостта от тази мярка с целите на политиката в областта на околната среда, на регионалната политика и политиката за сближаване. Швеция подчертава факта, че националните ставки на акциза върху електроенергията значително надхвърлят минималните равнища на данъчно облагане, предвидени в Директива 2003/96/ЕО, и поради това националната данъчна система насърчава в по-голяма степен енергийната ефективност, отколкото се изисква от минималните ставки на ЕС. Според шведските власти обаче това високо общо равнище на данъчно облагане може да бъде поддържано само ако северните райони, които са в конкурентно неизгодна позиция поради климатичните условия, получат данъчно облекчение. Същевременно тази мярка ще намали разликите в разходите за отопление между различните части на страната и така ще допринесе за постигането на целите на регионалната политика и политиката за сближаване на ЕС.</w:t>
      </w:r>
    </w:p>
    <w:p>
      <w:pPr>
        <w:rPr>
          <w:rFonts w:eastAsia="Times New Roman"/>
          <w:noProof/>
          <w:szCs w:val="24"/>
        </w:rPr>
      </w:pPr>
      <w:r>
        <w:rPr>
          <w:noProof/>
        </w:rPr>
        <w:t xml:space="preserve">Що се отнася до естеството на неблагоприятното положение вследствие на климатичните различия, шведските власти повтарят заявеното в предишни искания, а именно, че разходите за отопление са средно с 30 % по-високи в северните райони, тъй като там отоплителният период е по-дълъг. </w:t>
      </w:r>
    </w:p>
    <w:p>
      <w:pPr>
        <w:rPr>
          <w:rFonts w:eastAsia="Times New Roman"/>
          <w:noProof/>
          <w:szCs w:val="24"/>
        </w:rPr>
      </w:pPr>
      <w:r>
        <w:rPr>
          <w:noProof/>
        </w:rPr>
        <w:t>Загубата на приходи в резултат на намалената до 96 SEK/MWh ставка се изчислява на 710 милиона шведски крони, или 74 милиона евро годишно.</w:t>
      </w:r>
    </w:p>
    <w:p>
      <w:pPr>
        <w:pStyle w:val="Point0number"/>
        <w:numPr>
          <w:ilvl w:val="0"/>
          <w:numId w:val="13"/>
        </w:numPr>
        <w:rPr>
          <w:i/>
          <w:noProof/>
        </w:rPr>
      </w:pPr>
      <w:r>
        <w:rPr>
          <w:i/>
          <w:noProof/>
        </w:rPr>
        <w:t>Прилагане на мярката</w:t>
      </w:r>
    </w:p>
    <w:p>
      <w:pPr>
        <w:rPr>
          <w:rFonts w:eastAsia="Times New Roman"/>
          <w:noProof/>
          <w:szCs w:val="24"/>
        </w:rPr>
      </w:pPr>
      <w:r>
        <w:rPr>
          <w:noProof/>
        </w:rPr>
        <w:t xml:space="preserve">Мярката се разрешава под формата на намалена ставка на акциза върху електроенергията. Тази намалена ставка се прилага непосредствено при данъчното облагане. </w:t>
      </w:r>
    </w:p>
    <w:p>
      <w:pPr>
        <w:tabs>
          <w:tab w:val="num" w:pos="850"/>
        </w:tabs>
        <w:ind w:left="850" w:hanging="850"/>
        <w:rPr>
          <w:i/>
          <w:noProof/>
        </w:rPr>
      </w:pPr>
      <w:r>
        <w:rPr>
          <w:i/>
          <w:noProof/>
        </w:rPr>
        <w:t>Обхват</w:t>
      </w:r>
    </w:p>
    <w:p>
      <w:pPr>
        <w:rPr>
          <w:rFonts w:eastAsia="Times New Roman"/>
          <w:noProof/>
          <w:szCs w:val="24"/>
        </w:rPr>
      </w:pPr>
      <w:r>
        <w:rPr>
          <w:noProof/>
          <w:color w:val="000000"/>
        </w:rPr>
        <w:t>Шведските власти заявиха, че географската диференциация е въведена на основата на обективни данни, свързани със средните температури през отоплителния период. На това основание намалената ставка на акциза върху електроенергията се прилага във всички общини в регионите Norrbotten, Västerbotten и Jämtland, както и в общините Sollefteå, Ånge, Örnsköldsvik (в регион Västernorrland), Ljusdal (в регион Gävleborg), Malung-Sälen, Mora, Orsa, Älvdalen (в регион Dalarna ) и Torsby (в регион Värmland).</w:t>
      </w:r>
      <w:r>
        <w:rPr>
          <w:noProof/>
        </w:rPr>
        <w:t xml:space="preserve"> Мярката е ограничена до домакинствата и предприятията в сектора на услугите, за които би се прилагала стандартната ставка на акциза върху електроенергията в размер на 325 SEK/MWh, или 33,83 EUR/MWh. Тъй като потребяваната от преработващата промишленост електроенергия така или иначе се облага с по-ниска ставка в размер на 0,50 EUR(5 SEK)/MWh, горепосочената мярка не засяга предприятията в този сектор.</w:t>
      </w:r>
    </w:p>
    <w:p>
      <w:pPr>
        <w:pBdr>
          <w:top w:val="nil"/>
          <w:left w:val="nil"/>
          <w:bottom w:val="nil"/>
          <w:right w:val="nil"/>
          <w:between w:val="nil"/>
          <w:bar w:val="nil"/>
        </w:pBdr>
        <w:spacing w:before="0" w:after="240"/>
        <w:rPr>
          <w:rFonts w:eastAsia="Arial Unicode MS"/>
          <w:noProof/>
        </w:rPr>
      </w:pPr>
      <w:r>
        <w:rPr>
          <w:noProof/>
          <w:color w:val="000000"/>
        </w:rPr>
        <w:t>Мярката позволява на групите потребители на електроенергия от тези части на страната да се радват на същите условия като същите групи потребители в Южна Швеция.</w:t>
      </w:r>
    </w:p>
    <w:p>
      <w:pPr>
        <w:pStyle w:val="Point0number"/>
        <w:rPr>
          <w:i/>
          <w:noProof/>
        </w:rPr>
      </w:pPr>
      <w:r>
        <w:rPr>
          <w:i/>
          <w:noProof/>
        </w:rPr>
        <w:t>Аргументи на шведските власти по отношение на въздействието на мярката върху вътрешния пазар</w:t>
      </w:r>
    </w:p>
    <w:p>
      <w:pPr>
        <w:rPr>
          <w:rFonts w:eastAsia="Times New Roman"/>
          <w:noProof/>
          <w:szCs w:val="24"/>
        </w:rPr>
      </w:pPr>
      <w:r>
        <w:rPr>
          <w:noProof/>
        </w:rPr>
        <w:t>Шведските власти не считат, че мярката би оказала въздействие върху правилното функциониране на вътрешния пазар. Те смятат, че въпреки вероятното въздействие на мярката върху търговията между държавите членки, дължащо се на намалените разходи на предприятията в сектора на услугите в някои райони на Северна Швеция, това въздействие ще остане ограничено, тъй като повечето предприятия в този сектор обикновено извършват дейността си в ограничен географски район.</w:t>
      </w:r>
    </w:p>
    <w:p>
      <w:pPr>
        <w:pStyle w:val="Point0number"/>
        <w:rPr>
          <w:i/>
          <w:noProof/>
        </w:rPr>
      </w:pPr>
      <w:r>
        <w:rPr>
          <w:i/>
          <w:noProof/>
        </w:rPr>
        <w:t>Действащи разпоредби в областта на предложението</w:t>
      </w:r>
    </w:p>
    <w:p>
      <w:pPr>
        <w:rPr>
          <w:rFonts w:eastAsia="Arial Unicode MS"/>
          <w:noProof/>
          <w:color w:val="000000"/>
          <w:u w:color="000000"/>
          <w:bdr w:val="nil"/>
        </w:rPr>
      </w:pPr>
      <w:r>
        <w:rPr>
          <w:noProof/>
        </w:rPr>
        <w:t>Директива 2003/96/EО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p>
    <w:p>
      <w:pPr>
        <w:rPr>
          <w:rFonts w:eastAsia="Times New Roman"/>
          <w:noProof/>
          <w:szCs w:val="24"/>
        </w:rPr>
      </w:pPr>
    </w:p>
    <w:p>
      <w:pPr>
        <w:pStyle w:val="ManualHeading2"/>
        <w:rPr>
          <w:rFonts w:eastAsia="Arial Unicode MS"/>
          <w:noProof/>
          <w:color w:val="000000"/>
          <w:u w:color="000000"/>
          <w:bdr w:val="nil"/>
        </w:rPr>
      </w:pPr>
      <w:r>
        <w:rPr>
          <w:noProof/>
        </w:rPr>
        <w:t>1.2.</w:t>
      </w:r>
      <w:r>
        <w:rPr>
          <w:noProof/>
        </w:rPr>
        <w:tab/>
        <w:t>Съгласуваност с действащите разпоредби в тази област на политиката</w:t>
      </w:r>
    </w:p>
    <w:p>
      <w:pPr>
        <w:pStyle w:val="Point0number"/>
        <w:numPr>
          <w:ilvl w:val="0"/>
          <w:numId w:val="1"/>
        </w:numPr>
        <w:rPr>
          <w:i/>
          <w:noProof/>
        </w:rPr>
      </w:pPr>
      <w:r>
        <w:rPr>
          <w:i/>
          <w:noProof/>
        </w:rPr>
        <w:t>Специфични съображения</w:t>
      </w:r>
    </w:p>
    <w:p>
      <w:pPr>
        <w:rPr>
          <w:rFonts w:eastAsia="Times New Roman"/>
          <w:noProof/>
          <w:szCs w:val="24"/>
        </w:rPr>
      </w:pPr>
      <w:r>
        <w:rPr>
          <w:noProof/>
        </w:rPr>
        <w:t xml:space="preserve">Член 19, параграф 1, първа алинея от Директивата гласи: </w:t>
      </w:r>
    </w:p>
    <w:p>
      <w:pPr>
        <w:ind w:left="850"/>
        <w:rPr>
          <w:rFonts w:eastAsia="Times New Roman"/>
          <w:i/>
          <w:noProof/>
          <w:szCs w:val="24"/>
        </w:rPr>
      </w:pPr>
      <w:r>
        <w:rPr>
          <w:i/>
          <w:noProof/>
        </w:rPr>
        <w:t>В допълнение към разпоредбите от предишните членове, и по-специално тези от членове 5, 15 и 17, Съветът, като действа единодушно по предложение на Комисията, може да даде разрешение на всяка държава членка да въведе допълнително освобождаване или редуциране на нивата на данъчно облагане поради специфични съображения.</w:t>
      </w:r>
    </w:p>
    <w:p>
      <w:pPr>
        <w:rPr>
          <w:rFonts w:eastAsia="Times New Roman"/>
          <w:noProof/>
          <w:szCs w:val="24"/>
        </w:rPr>
      </w:pPr>
      <w:r>
        <w:rPr>
          <w:noProof/>
        </w:rPr>
        <w:t>Мярката, предвидена от Швеция, се състои в намаляването на акциза върху електроенергията, консумирана от домакинствата и предприятията в сектора на услугите в някои райони на Северна Швеция. Шведските власти акцентират върху две цели на мярката. Те обявяват на първо място, че намалената акцизна ставка има непряко положително въздействие върху околната среда, тъй като позволява на Швеция да прилага по-висока данъчна ставка спрямо останалата част от страната, която в противен случай би била намалена поради специалното положение на Северна Швеция. В това отношение Комисията отбелязва, че изискванията за опазване на околната среда са сами по себе си вече неделима част от Директива 2003/96/EО</w:t>
      </w:r>
      <w:r>
        <w:rPr>
          <w:rStyle w:val="FootnoteReference"/>
          <w:noProof/>
        </w:rPr>
        <w:footnoteReference w:id="3"/>
      </w:r>
      <w:r>
        <w:rPr>
          <w:noProof/>
        </w:rPr>
        <w:t xml:space="preserve"> и следователно не могат да бъдат признати за специфични съображения. Въпреки това като цяло Директивата не позволява да се отговори на специфичните нужди на регионите с по-особени климатични условия. В този контекст целта да се допринесе за поддържането на сравнително високо равнище на данъчно облагане, като чрез намалената ставка се избягва иначе прекомерната тежест в региони с такива условия, може да се счита за специфично съображение.</w:t>
      </w:r>
    </w:p>
    <w:p>
      <w:pPr>
        <w:rPr>
          <w:rFonts w:eastAsia="Times New Roman"/>
          <w:noProof/>
          <w:szCs w:val="24"/>
        </w:rPr>
      </w:pPr>
      <w:r>
        <w:rPr>
          <w:noProof/>
        </w:rPr>
        <w:t xml:space="preserve">На второ място, шведските власти изтъкват, че намалението отговаря приблизително на цялостните разходи за отопление на потребителите в някои райони на Северна Швеция, като разходите се поемат от потребителите в други части на страната, поради което то преследва целите на регионалната политика и политиката за сближаване. </w:t>
      </w:r>
    </w:p>
    <w:p>
      <w:pPr>
        <w:rPr>
          <w:rFonts w:eastAsia="Times New Roman"/>
          <w:noProof/>
          <w:szCs w:val="24"/>
        </w:rPr>
      </w:pPr>
      <w:r>
        <w:rPr>
          <w:noProof/>
        </w:rPr>
        <w:t>И по тази точка може да се счита, че поисканото разрешение се основава на специфични съображения.</w:t>
      </w:r>
    </w:p>
    <w:p>
      <w:pPr>
        <w:pStyle w:val="ManualHeading2"/>
        <w:rPr>
          <w:rFonts w:eastAsia="Arial Unicode MS"/>
          <w:noProof/>
        </w:rPr>
      </w:pPr>
      <w:r>
        <w:rPr>
          <w:noProof/>
        </w:rPr>
        <w:t>1.3.</w:t>
      </w:r>
      <w:r>
        <w:rPr>
          <w:noProof/>
        </w:rPr>
        <w:tab/>
        <w:t>Съответствие с другите политики на Съюза</w:t>
      </w:r>
    </w:p>
    <w:p>
      <w:pPr>
        <w:rPr>
          <w:rFonts w:eastAsia="Times New Roman"/>
          <w:noProof/>
          <w:szCs w:val="24"/>
        </w:rPr>
      </w:pPr>
      <w:r>
        <w:rPr>
          <w:noProof/>
        </w:rPr>
        <w:t>Стандартната ставка на акциза върху електроенергията, приложима към домакинствата и предприятията в сектора на услугите в Швеция, е 325 SEK/MWh, или 33,83 EUR/MWh</w:t>
      </w:r>
      <w:r>
        <w:rPr>
          <w:rStyle w:val="FootnoteReference"/>
          <w:noProof/>
        </w:rPr>
        <w:footnoteReference w:id="4"/>
      </w:r>
      <w:r>
        <w:rPr>
          <w:noProof/>
        </w:rPr>
        <w:t>. С предложеното намаление приложимата ставка в някои райони на Северна Швеция става най-малко 229 SEK/MWh, или 26,13 EUR/MWh. Тъй като равнищата на данъчно облагане на електроенергията са значително над минималните равнища както в Северна Швеция, така и в останалите части на страната, реалистично е да се предположи, че посоченото данъчно облекчение действително допринася непряко за постигането на по-високо общо ниво на опазване на околната среда по начина, описан от шведските власти.</w:t>
      </w:r>
    </w:p>
    <w:p>
      <w:pPr>
        <w:rPr>
          <w:rFonts w:eastAsia="Times New Roman"/>
          <w:noProof/>
          <w:szCs w:val="24"/>
        </w:rPr>
      </w:pPr>
      <w:r>
        <w:rPr>
          <w:noProof/>
        </w:rPr>
        <w:t xml:space="preserve">В този контекст целта на мярката е частично да компенсира по-високите разходи за отопление в районите, където се прилага намалената акцизна ставка. Според шведските власти климатичните условия в тези райони водят до средно потребление на електроенергия, което е с около 30 % по-високо от това в останалите части на страната, най-вече поради по-дългия отоплителен период. </w:t>
      </w:r>
    </w:p>
    <w:p>
      <w:pPr>
        <w:rPr>
          <w:rFonts w:eastAsia="Times New Roman"/>
          <w:noProof/>
          <w:szCs w:val="24"/>
        </w:rPr>
      </w:pPr>
      <w:r>
        <w:rPr>
          <w:noProof/>
        </w:rPr>
        <w:t>В това отношение Комисията отбелязва, че предвид най-актуалните цени на електроенергията в Швеция намалението на цените в резултат на предложената мярка ще бъде значително под 25 % за всички съответни групи потребители. Въз основа на най-новите данни на Евростат за цените това намаление варира от 2,7 % до 7 % в зависимост от равнището на потребление на домакинствата</w:t>
      </w:r>
      <w:r>
        <w:rPr>
          <w:rStyle w:val="FootnoteReference"/>
          <w:noProof/>
        </w:rPr>
        <w:footnoteReference w:id="5"/>
      </w:r>
      <w:r>
        <w:rPr>
          <w:noProof/>
        </w:rPr>
        <w:t xml:space="preserve">. </w:t>
      </w:r>
    </w:p>
    <w:p>
      <w:pPr>
        <w:rPr>
          <w:rFonts w:eastAsia="Times New Roman"/>
          <w:noProof/>
          <w:szCs w:val="24"/>
        </w:rPr>
      </w:pPr>
      <w:r>
        <w:rPr>
          <w:noProof/>
        </w:rPr>
        <w:t>Така размерът на облекчението остава под размера на допълнителните разходи за отопление в съответните региони. В резултат на това данъчният стимул за ефективно използване на енергията се поддържа на равнище, което е най-малко равно на преобладаващото в останалите части на Швеция.</w:t>
      </w:r>
    </w:p>
    <w:p>
      <w:pPr>
        <w:rPr>
          <w:rFonts w:eastAsia="Times New Roman"/>
          <w:noProof/>
          <w:szCs w:val="24"/>
        </w:rPr>
      </w:pPr>
      <w:r>
        <w:rPr>
          <w:noProof/>
        </w:rPr>
        <w:t xml:space="preserve">Мярката е съвместима с политиките на Съюза в областта на здравеопазването, околната среда, енергетиката и транспорта. </w:t>
      </w:r>
    </w:p>
    <w:p>
      <w:pPr>
        <w:rPr>
          <w:rFonts w:eastAsia="Times New Roman"/>
          <w:noProof/>
          <w:szCs w:val="24"/>
        </w:rPr>
      </w:pPr>
      <w:r>
        <w:rPr>
          <w:noProof/>
        </w:rPr>
        <w:t>При така описаните обстоятелства мярката изглежда приемлива също и с оглед на правилното функциониране на вътрешния пазар и на необходимостта от осигуряване на лоялна конкуренция. По-конкретно поради отдалечеността на районите, където ще се прилага мярката, и обстоятелството, че тя обхваща само домакинствата и предприятията в сектора на услугите, не се очаква тя да доведе до сериозни изменения в конкуренцията или до промени в моделите на търговия между държавите членки. В заключение се припомня, че през последните тридесет години за въпросните райони се прилага данъчно облекчение, без това да предизвиква, доколкото е известно на Комисията, проблеми във връзка с правилното функциониране на вътрешния пазар или във връзка с други цели на политиките на ЕС.</w:t>
      </w:r>
    </w:p>
    <w:p>
      <w:pPr>
        <w:rPr>
          <w:rFonts w:eastAsia="Times New Roman"/>
          <w:noProof/>
          <w:szCs w:val="24"/>
        </w:rPr>
      </w:pPr>
      <w:r>
        <w:rPr>
          <w:noProof/>
        </w:rPr>
        <w:t>Дори и след прилагането на планираното от шведските власти намаление ставката на акциза върху електроенергията в съответните региони ще бъде съобразена с изискването за минималното равнище на данъчно облагане съгласно член 10 от Директива 2003/96/ЕО. Ако мярката отговаря на условията, определени в член 44 от Общия регламент за групово освобождаване (Регламент (ЕС) № 651/2014)</w:t>
      </w:r>
      <w:r>
        <w:rPr>
          <w:rStyle w:val="FootnoteReference"/>
          <w:noProof/>
        </w:rPr>
        <w:footnoteReference w:id="6"/>
      </w:r>
      <w:r>
        <w:rPr>
          <w:noProof/>
        </w:rPr>
        <w:t>, то тя е освободена от изискването за предварително уведомяване.</w:t>
      </w:r>
    </w:p>
    <w:p>
      <w:pPr>
        <w:pStyle w:val="Point0number"/>
        <w:numPr>
          <w:ilvl w:val="0"/>
          <w:numId w:val="2"/>
        </w:numPr>
        <w:rPr>
          <w:i/>
          <w:noProof/>
        </w:rPr>
      </w:pPr>
      <w:r>
        <w:rPr>
          <w:i/>
          <w:noProof/>
        </w:rPr>
        <w:t>Срок на прилагане на мярката и развитие на правната рамка на ЕС за данъчно облагане на енергийните продукти и електроенергията</w:t>
      </w:r>
    </w:p>
    <w:p>
      <w:pPr>
        <w:rPr>
          <w:rFonts w:eastAsia="Times New Roman"/>
          <w:noProof/>
          <w:szCs w:val="24"/>
        </w:rPr>
      </w:pPr>
      <w:r>
        <w:rPr>
          <w:noProof/>
        </w:rPr>
        <w:t>Комисията предлага за срок на прилагане да бъде определен максималният, разрешен от Директива 2003/96/ЕО, т.e. шест години. Този срок изглежда подходящ, за да разполагат засегнатите потребители с достатъчно ниво на сигурност.</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2.1.</w:t>
      </w:r>
      <w:r>
        <w:rPr>
          <w:noProof/>
        </w:rPr>
        <w:tab/>
        <w:t>Правно основание</w:t>
      </w:r>
    </w:p>
    <w:p>
      <w:pPr>
        <w:rPr>
          <w:rFonts w:eastAsia="Times New Roman"/>
          <w:noProof/>
          <w:szCs w:val="24"/>
        </w:rPr>
      </w:pPr>
      <w:r>
        <w:rPr>
          <w:noProof/>
        </w:rPr>
        <w:t>Член 19 от Директива 2003/96/ЕО на Съвета.</w:t>
      </w:r>
    </w:p>
    <w:p>
      <w:pPr>
        <w:pStyle w:val="ManualHeading2"/>
        <w:rPr>
          <w:rFonts w:eastAsia="Arial Unicode MS"/>
          <w:noProof/>
          <w:u w:color="000000"/>
          <w:bdr w:val="nil"/>
        </w:rPr>
      </w:pPr>
      <w:r>
        <w:rPr>
          <w:noProof/>
        </w:rPr>
        <w:t>2.2.</w:t>
      </w:r>
      <w:r>
        <w:rPr>
          <w:noProof/>
        </w:rPr>
        <w:tab/>
        <w:t xml:space="preserve">Субсидиарност (при неизключителна компетентност) </w:t>
      </w:r>
    </w:p>
    <w:p>
      <w:pPr>
        <w:rPr>
          <w:rFonts w:eastAsia="Times New Roman"/>
          <w:noProof/>
          <w:szCs w:val="24"/>
        </w:rPr>
      </w:pPr>
      <w:r>
        <w:rPr>
          <w:noProof/>
        </w:rPr>
        <w:t>Областта на косвеното данъчно облагане, включена в обхвата на член 113 от Договора за функционирането на Европейския съюз, не е сама по себе си от изключителната компетентност на ЕС по смисъла на член 3 от Договора.</w:t>
      </w:r>
    </w:p>
    <w:p>
      <w:pPr>
        <w:pBdr>
          <w:top w:val="nil"/>
          <w:left w:val="nil"/>
          <w:bottom w:val="nil"/>
          <w:right w:val="nil"/>
          <w:between w:val="nil"/>
          <w:bar w:val="nil"/>
        </w:pBdr>
        <w:spacing w:before="0" w:after="240"/>
        <w:rPr>
          <w:rFonts w:eastAsia="Times New Roman"/>
          <w:noProof/>
          <w:szCs w:val="24"/>
        </w:rPr>
      </w:pPr>
      <w:r>
        <w:rPr>
          <w:noProof/>
        </w:rPr>
        <w:t>Същевременно съгласно член 19 от Директива 2003/96/ЕО на Съвета е предоставена изключителна компетентност — в рамките на вторичното право — да разрешава на дадена държава членка да въвежда допълнителни освобождавания или намаления по смисъла на посочената разпоредба. Държавите членки съответно не могат да изземат функциите на Съвета. В резултат на това принципът на субсидиарност не е приложим към настоящото решение за изпълнение.</w:t>
      </w:r>
    </w:p>
    <w:p>
      <w:pPr>
        <w:pStyle w:val="ManualHeading2"/>
        <w:rPr>
          <w:rFonts w:eastAsia="Arial Unicode MS"/>
          <w:noProof/>
          <w:u w:color="000000"/>
          <w:bdr w:val="nil"/>
        </w:rPr>
      </w:pPr>
      <w:r>
        <w:rPr>
          <w:noProof/>
        </w:rPr>
        <w:t>2.3.</w:t>
      </w:r>
      <w:r>
        <w:rPr>
          <w:noProof/>
        </w:rPr>
        <w:tab/>
        <w:t>Пропорционалност</w:t>
      </w:r>
    </w:p>
    <w:p>
      <w:pPr>
        <w:rPr>
          <w:rFonts w:eastAsia="Times New Roman"/>
          <w:noProof/>
          <w:szCs w:val="24"/>
        </w:rPr>
      </w:pPr>
      <w:r>
        <w:rPr>
          <w:noProof/>
        </w:rPr>
        <w:t>Предложението е в съответствие с принципа на пропорционалност. Данъчното облекчение не надхвърля необходимото за постигане на въпросната цел.</w:t>
      </w:r>
    </w:p>
    <w:p>
      <w:pPr>
        <w:pStyle w:val="ManualHeading2"/>
        <w:rPr>
          <w:rFonts w:eastAsia="Arial Unicode MS"/>
          <w:noProof/>
          <w:u w:color="000000"/>
          <w:bdr w:val="nil"/>
        </w:rPr>
      </w:pPr>
      <w:r>
        <w:rPr>
          <w:noProof/>
        </w:rPr>
        <w:t>2.4.</w:t>
      </w:r>
      <w:r>
        <w:rPr>
          <w:noProof/>
        </w:rPr>
        <w:tab/>
        <w:t>Избор на инструмент</w:t>
      </w:r>
    </w:p>
    <w:p>
      <w:pPr>
        <w:rPr>
          <w:rFonts w:eastAsia="Times New Roman"/>
          <w:noProof/>
          <w:szCs w:val="24"/>
        </w:rPr>
      </w:pPr>
      <w:r>
        <w:rPr>
          <w:noProof/>
        </w:rPr>
        <w:t>Предложен инструмент: решение за изпълнение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3.1.</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За мярката не е необходима оценка на действащото законодателство.</w:t>
      </w:r>
    </w:p>
    <w:p>
      <w:pPr>
        <w:pStyle w:val="ManualHeading2"/>
        <w:rPr>
          <w:rFonts w:eastAsia="Arial Unicode MS"/>
          <w:noProof/>
          <w:u w:color="000000"/>
          <w:bdr w:val="nil"/>
        </w:rPr>
      </w:pPr>
      <w:r>
        <w:rPr>
          <w:noProof/>
        </w:rPr>
        <w:t>3.2.</w:t>
      </w:r>
      <w:r>
        <w:rPr>
          <w:noProof/>
        </w:rPr>
        <w:tab/>
        <w:t>Консултации със заинтересованите страни</w:t>
      </w:r>
    </w:p>
    <w:p>
      <w:pPr>
        <w:rPr>
          <w:rFonts w:eastAsia="Times New Roman"/>
          <w:b/>
          <w:noProof/>
          <w:szCs w:val="24"/>
        </w:rPr>
      </w:pPr>
      <w:r>
        <w:rPr>
          <w:noProof/>
        </w:rPr>
        <w:t>Настоящото предложение се основава на искане, отправено от Швеция, и засяга само тази държава членка.</w:t>
      </w:r>
    </w:p>
    <w:p>
      <w:pPr>
        <w:pStyle w:val="ManualHeading2"/>
        <w:rPr>
          <w:rFonts w:eastAsia="Arial Unicode MS"/>
          <w:noProof/>
          <w:u w:color="000000"/>
          <w:bdr w:val="nil"/>
        </w:rPr>
      </w:pPr>
      <w:r>
        <w:rPr>
          <w:noProof/>
        </w:rPr>
        <w:t>3.3.</w:t>
      </w:r>
      <w:r>
        <w:rPr>
          <w:noProof/>
        </w:rPr>
        <w:tab/>
        <w:t>Събиране и използване на експертни становища</w:t>
      </w:r>
    </w:p>
    <w:p>
      <w:pPr>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3.4.</w:t>
      </w:r>
      <w:r>
        <w:rPr>
          <w:noProof/>
        </w:rPr>
        <w:tab/>
        <w:t>Оценка на въздействието</w:t>
      </w:r>
    </w:p>
    <w:p>
      <w:pPr>
        <w:pBdr>
          <w:top w:val="nil"/>
          <w:left w:val="nil"/>
          <w:bottom w:val="nil"/>
          <w:right w:val="nil"/>
          <w:between w:val="nil"/>
          <w:bar w:val="nil"/>
        </w:pBdr>
        <w:spacing w:before="0" w:after="240"/>
        <w:rPr>
          <w:rFonts w:eastAsia="Times New Roman"/>
          <w:noProof/>
          <w:szCs w:val="24"/>
        </w:rPr>
      </w:pPr>
      <w:r>
        <w:rPr>
          <w:noProof/>
        </w:rPr>
        <w:t>Настоящото предложение се отнася до разрешение за отделна държава членка по нейно искане и не налага извършването на оценка на въздействието.</w:t>
      </w:r>
    </w:p>
    <w:p>
      <w:pPr>
        <w:pBdr>
          <w:top w:val="nil"/>
          <w:left w:val="nil"/>
          <w:bottom w:val="nil"/>
          <w:right w:val="nil"/>
          <w:between w:val="nil"/>
          <w:bar w:val="nil"/>
        </w:pBdr>
        <w:spacing w:before="0" w:after="240"/>
        <w:rPr>
          <w:rFonts w:eastAsia="Arial Unicode MS"/>
          <w:noProof/>
        </w:rPr>
      </w:pPr>
      <w:r>
        <w:rPr>
          <w:noProof/>
        </w:rPr>
        <w:t>От представената от Швеция информация изглежда, че въздействието на мярката върху приходите от данъци ще бъде ограничено, като ставката на акциза върху електроенергията в Северна Швеция ще продължи да бъде над минималните равнища на данъчно облагане, установени в Директива 2003/96/ЕО. Швеция очаква мярката да има положително въздействие върху постигането на нейните цели от областта на социалната политика и политиката за сближаване.</w:t>
      </w:r>
    </w:p>
    <w:p>
      <w:pPr>
        <w:pStyle w:val="ManualHeading2"/>
        <w:rPr>
          <w:rFonts w:eastAsia="Arial Unicode MS"/>
          <w:noProof/>
          <w:u w:color="000000"/>
          <w:bdr w:val="nil"/>
        </w:rPr>
      </w:pPr>
      <w:r>
        <w:rPr>
          <w:noProof/>
        </w:rPr>
        <w:t>3.5.</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Мярката не предвижда опростяване. Тя е резултат от искането, подадено от Швеция, и се отнася само до тази държава членка.</w:t>
      </w:r>
    </w:p>
    <w:p>
      <w:pPr>
        <w:pStyle w:val="ManualHeading2"/>
        <w:rPr>
          <w:rFonts w:eastAsia="Arial Unicode MS"/>
          <w:noProof/>
          <w:u w:color="000000"/>
          <w:bdr w:val="nil"/>
        </w:rPr>
      </w:pPr>
      <w:r>
        <w:rPr>
          <w:noProof/>
        </w:rPr>
        <w:t>3.6.</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Мярката не оказва влияние върху основните права.</w:t>
      </w:r>
    </w:p>
    <w:p>
      <w:pPr>
        <w:pStyle w:val="ManualHeading1"/>
        <w:rPr>
          <w:noProof/>
        </w:rPr>
      </w:pPr>
      <w:r>
        <w:rPr>
          <w:noProof/>
        </w:rPr>
        <w:t>4.</w:t>
      </w:r>
      <w:r>
        <w:rPr>
          <w:noProof/>
        </w:rPr>
        <w:tab/>
        <w:t>ОТРАЖЕНИЕ ВЪРХУ БЮДЖЕТА</w:t>
      </w:r>
    </w:p>
    <w:p>
      <w:pPr>
        <w:rPr>
          <w:rFonts w:eastAsia="Times New Roman"/>
          <w:noProof/>
          <w:szCs w:val="24"/>
        </w:rPr>
      </w:pPr>
      <w:r>
        <w:rPr>
          <w:noProof/>
        </w:rPr>
        <w:t>От мярката не произтича финансова и административна тежест за ЕС. Следователно предложението не оказва въздействие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5.1.</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ind w:left="60"/>
        <w:rPr>
          <w:rFonts w:eastAsia="Times New Roman"/>
          <w:noProof/>
          <w:szCs w:val="24"/>
        </w:rPr>
      </w:pPr>
      <w:r>
        <w:rPr>
          <w:noProof/>
        </w:rPr>
        <w:t xml:space="preserve">Член 1 — на Швеция ще бъде позволено да продължи да прилага намалена ставка на акциза върху електроенергията в някои северни райони.  </w:t>
      </w:r>
    </w:p>
    <w:p>
      <w:pPr>
        <w:pBdr>
          <w:top w:val="nil"/>
          <w:left w:val="nil"/>
          <w:bottom w:val="nil"/>
          <w:right w:val="nil"/>
          <w:between w:val="nil"/>
          <w:bar w:val="nil"/>
        </w:pBdr>
        <w:spacing w:before="0" w:after="240"/>
        <w:ind w:left="60"/>
        <w:rPr>
          <w:rFonts w:eastAsia="Times New Roman"/>
          <w:noProof/>
          <w:szCs w:val="24"/>
        </w:rPr>
      </w:pPr>
      <w:r>
        <w:rPr>
          <w:noProof/>
        </w:rPr>
        <w:t>Равнището на данъчно облагане след намалението в никакъв случай не може да бъде по-ниско от минималните равнища за ЕС, определени в Директива 2003/96/ЕО, като намалението ще се прилага за всички потребители на електроенергия, заплащащи акциз по стандартната ставка в Северна Швеция.</w:t>
      </w:r>
    </w:p>
    <w:p>
      <w:pPr>
        <w:pBdr>
          <w:top w:val="nil"/>
          <w:left w:val="nil"/>
          <w:bottom w:val="nil"/>
          <w:right w:val="nil"/>
          <w:between w:val="nil"/>
          <w:bar w:val="nil"/>
        </w:pBdr>
        <w:spacing w:before="0" w:after="240"/>
        <w:ind w:left="60"/>
        <w:rPr>
          <w:rFonts w:eastAsia="Times New Roman"/>
          <w:noProof/>
          <w:szCs w:val="24"/>
        </w:rPr>
      </w:pPr>
      <w:r>
        <w:rPr>
          <w:noProof/>
        </w:rPr>
        <w:t xml:space="preserve">Мярката ще помогне на регионите в неблагоприятно положение да компенсират по-високите разходи за електроенергия, дължащи се на студения климат. </w:t>
      </w:r>
    </w:p>
    <w:p>
      <w:pPr>
        <w:pBdr>
          <w:top w:val="nil"/>
          <w:left w:val="nil"/>
          <w:bottom w:val="nil"/>
          <w:right w:val="nil"/>
          <w:between w:val="nil"/>
          <w:bar w:val="nil"/>
        </w:pBdr>
        <w:spacing w:before="0" w:after="240"/>
        <w:ind w:left="60"/>
        <w:rPr>
          <w:noProof/>
        </w:rPr>
      </w:pPr>
      <w:r>
        <w:rPr>
          <w:noProof/>
        </w:rPr>
        <w:t>Член 2 — съгласно искането на Швеция разрешението се предоставя за срок от шест години, считано от 1 януари 2018 г.</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2017/0320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разрешаване на Швеция да прилага намалена ставка на акциза върху електроенергията, потребявана от домакинствата и предприятията в сектора на услугите, разположени в някои райони на Северна Швеция, в съответствие с член 19 от Директива 2003/96/ЕО</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2003/96/EО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rPr>
        <w:footnoteReference w:id="7"/>
      </w:r>
      <w:r>
        <w:rPr>
          <w:noProof/>
        </w:rPr>
        <w:t>, и по-специално член 19, параграф 1 от нея,</w:t>
      </w:r>
    </w:p>
    <w:p>
      <w:pPr>
        <w:rPr>
          <w:noProof/>
        </w:rPr>
      </w:pPr>
      <w:r>
        <w:rPr>
          <w:noProof/>
        </w:rPr>
        <w:t>като взе предвид предложението на Европейската комисия,</w:t>
      </w:r>
    </w:p>
    <w:p>
      <w:pPr>
        <w:rPr>
          <w:i/>
          <w:noProof/>
        </w:rPr>
      </w:pPr>
      <w:r>
        <w:rPr>
          <w:noProof/>
        </w:rPr>
        <w:t xml:space="preserve">като има предвид, че: </w:t>
      </w:r>
    </w:p>
    <w:p>
      <w:pPr>
        <w:pStyle w:val="ManualConsidrant"/>
        <w:rPr>
          <w:noProof/>
        </w:rPr>
      </w:pPr>
      <w:r>
        <w:rPr>
          <w:noProof/>
        </w:rPr>
        <w:t>(1)</w:t>
      </w:r>
      <w:r>
        <w:rPr>
          <w:noProof/>
        </w:rPr>
        <w:tab/>
        <w:t>С Решение за изпълнение 2012/47/ЕС на Съвета</w:t>
      </w:r>
      <w:r>
        <w:rPr>
          <w:rStyle w:val="FootnoteReference"/>
          <w:noProof/>
        </w:rPr>
        <w:footnoteReference w:id="8"/>
      </w:r>
      <w:r>
        <w:rPr>
          <w:noProof/>
        </w:rPr>
        <w:t xml:space="preserve"> на Швеция се разрешава да прилага до 31 декември 2017 г. намалена ставка на акциза върху електроенергията, потребявана от домакинствата и предприятията в сектора на услугите в някои райони в Северна Швеция съгласно член 19 от Директива 2003/96/ЕО.</w:t>
      </w:r>
    </w:p>
    <w:p>
      <w:pPr>
        <w:pStyle w:val="ManualConsidrant"/>
        <w:rPr>
          <w:noProof/>
        </w:rPr>
      </w:pPr>
      <w:r>
        <w:rPr>
          <w:noProof/>
        </w:rPr>
        <w:t>(2)</w:t>
      </w:r>
      <w:r>
        <w:rPr>
          <w:noProof/>
        </w:rPr>
        <w:tab/>
        <w:t>С писмо от 10 май 2017 г. Швеция отправи искане за разрешение да продължи да използва намалена ставка на акциза върху електроенергията, потребявана от същите бенефициери, за нов срок от шест години, тоест до 31 декември 2023 г. Намалената ставка ще бъде ограничена до 96 SEK/MWh. С писмо от 1 септември 2017 г. Швеция изпрати допълнителна информация и разяснения.</w:t>
      </w:r>
    </w:p>
    <w:p>
      <w:pPr>
        <w:pStyle w:val="ManualConsidrant"/>
        <w:rPr>
          <w:noProof/>
        </w:rPr>
      </w:pPr>
      <w:r>
        <w:rPr>
          <w:noProof/>
        </w:rPr>
        <w:t>(3)</w:t>
      </w:r>
      <w:r>
        <w:rPr>
          <w:noProof/>
        </w:rPr>
        <w:tab/>
        <w:t>Разходите за отопление в засегнатите райони са средно с 30 % по-високи от тези в останалите части на страната поради по-дългия отоплителен период. Ето защо, като се намалят разходите за електроенергия за домакинствата и предприятията от сектора на услугите в тези райони, ще се снижи и разликата между общите разходи за отопление на потребителите в Северна Швеция и разходите на потребителите в останалите части на страната. С оглед на това мярката допринася за постигането на целите на регионалната политика и политиката за сближаване. Данъчното облекчение следва да не надхвърля необходимото за компенсиране на допълнителните разходи за отопление на домакинствата и предприятията в сектора на услугите в някои райони на Северна Швеция.</w:t>
      </w:r>
    </w:p>
    <w:p>
      <w:pPr>
        <w:pStyle w:val="ManualConsidrant"/>
        <w:rPr>
          <w:noProof/>
        </w:rPr>
      </w:pPr>
      <w:r>
        <w:rPr>
          <w:noProof/>
        </w:rPr>
        <w:t>(4)</w:t>
      </w:r>
      <w:r>
        <w:rPr>
          <w:noProof/>
        </w:rPr>
        <w:tab/>
        <w:t xml:space="preserve">Намалените ставки на данъчно облагане ще надхвърлят минималните ставки, постановени в член 10 от Директива 2003/96/ЕО. </w:t>
      </w:r>
    </w:p>
    <w:p>
      <w:pPr>
        <w:pStyle w:val="ManualConsidrant"/>
        <w:rPr>
          <w:noProof/>
        </w:rPr>
      </w:pPr>
      <w:r>
        <w:rPr>
          <w:noProof/>
        </w:rPr>
        <w:t>(5)</w:t>
      </w:r>
      <w:r>
        <w:rPr>
          <w:noProof/>
        </w:rPr>
        <w:tab/>
        <w:t xml:space="preserve">Предвид отдалечеността на районите, към които се прилага, предвид факта, че намалението следва не да надхвърля допълнителните разходи за отопление в Северна Швеция, и предвид ограничеността на мярката до домакинствата и предприятията в сектора на услугите, не се очаква тя да наруши значително конкуренцията или да доведе до промени в търговията между държавите членки. </w:t>
      </w:r>
    </w:p>
    <w:p>
      <w:pPr>
        <w:pStyle w:val="ManualConsidrant"/>
        <w:rPr>
          <w:noProof/>
        </w:rPr>
      </w:pPr>
      <w:r>
        <w:rPr>
          <w:noProof/>
        </w:rPr>
        <w:t>(6)</w:t>
      </w:r>
      <w:r>
        <w:rPr>
          <w:noProof/>
        </w:rPr>
        <w:tab/>
        <w:t xml:space="preserve">Следователно мярката е приемлива с оглед на доброто функциониране на вътрешния пазар и на необходимостта да се осигури лоялна конкуренция.  Тя е съвместима и с политиките на Съюза в областта на здравеопазването, околната среда, енергетиката и транспорта. </w:t>
      </w:r>
    </w:p>
    <w:p>
      <w:pPr>
        <w:pStyle w:val="ManualConsidrant"/>
        <w:rPr>
          <w:noProof/>
        </w:rPr>
      </w:pPr>
      <w:r>
        <w:rPr>
          <w:noProof/>
        </w:rPr>
        <w:t>(7)</w:t>
      </w:r>
      <w:r>
        <w:rPr>
          <w:noProof/>
        </w:rPr>
        <w:tab/>
        <w:t>От член 19, параграф 2 от Директива 2003/96/ЕО следва, че всяко разрешение, предоставено съгласно същия член, трябва да бъде строго ограничено във времето. За да се осигури достатъчна степен на сигурност за засегнатите потребители, разрешението следва да се предостави за срок от шест години.</w:t>
      </w:r>
    </w:p>
    <w:p>
      <w:pPr>
        <w:pStyle w:val="ManualConsidrant"/>
        <w:rPr>
          <w:noProof/>
        </w:rPr>
      </w:pPr>
      <w:r>
        <w:rPr>
          <w:noProof/>
        </w:rPr>
        <w:t>(8)</w:t>
      </w:r>
      <w:r>
        <w:rPr>
          <w:noProof/>
        </w:rPr>
        <w:tab/>
        <w:t>Важно е да се гарантира, че разрешението съгласно Решение 2012/47/ЕО продължава да се прилага, с цел да се избегне прекъсване между изтичането на срока на действие на посоченото решение и влизането в сила на настоящото решение.</w:t>
      </w:r>
    </w:p>
    <w:p>
      <w:pPr>
        <w:pStyle w:val="ManualConsidrant"/>
        <w:rPr>
          <w:noProof/>
        </w:rPr>
      </w:pPr>
      <w:r>
        <w:rPr>
          <w:noProof/>
        </w:rPr>
        <w:t>(9)</w:t>
      </w:r>
      <w:r>
        <w:rPr>
          <w:noProof/>
        </w:rPr>
        <w:tab/>
        <w:t xml:space="preserve">Настоящото решение не засяга прилагането на правилата на Съюза относно държавните помощи, </w:t>
      </w:r>
    </w:p>
    <w:p>
      <w:pPr>
        <w:pStyle w:val="Formuledadoption"/>
        <w:rPr>
          <w:noProof/>
        </w:rPr>
      </w:pPr>
      <w:r>
        <w:rPr>
          <w:noProof/>
        </w:rPr>
        <w:t xml:space="preserve">ПРИЕ НАСТОЯЩОТО РЕШЕНИЕ: </w:t>
      </w:r>
    </w:p>
    <w:p>
      <w:pPr>
        <w:keepNext/>
        <w:spacing w:before="360"/>
        <w:jc w:val="center"/>
        <w:rPr>
          <w:i/>
          <w:noProof/>
        </w:rPr>
      </w:pPr>
      <w:r>
        <w:rPr>
          <w:i/>
          <w:noProof/>
        </w:rPr>
        <w:t>Член 1</w:t>
      </w:r>
    </w:p>
    <w:p>
      <w:pPr>
        <w:pStyle w:val="ManualNumPar1"/>
        <w:rPr>
          <w:noProof/>
        </w:rPr>
      </w:pPr>
      <w:r>
        <w:rPr>
          <w:noProof/>
        </w:rPr>
        <w:t>1.</w:t>
      </w:r>
      <w:r>
        <w:rPr>
          <w:noProof/>
        </w:rPr>
        <w:tab/>
        <w:t>На Швеция се разрешава да прилага намалена ставка на акциза за електроенергията, потребявана от домакинствата и предприятията в сектора на услугите, разположени в изброените в приложението общини.</w:t>
      </w:r>
      <w:r>
        <w:rPr>
          <w:noProof/>
        </w:rPr>
        <w:tab/>
      </w:r>
      <w:r>
        <w:rPr>
          <w:noProof/>
        </w:rPr>
        <w:br/>
      </w:r>
      <w:r>
        <w:rPr>
          <w:noProof/>
        </w:rPr>
        <w:br/>
        <w:t>Намалението на стандартната национална ставка на акциза за електроенергията няма да надвишава необходимото за компенсиране на допълнителните разходи за отопление, дължащи се на северното географско разположение, в сравнение с останалите части на Швеция и няма да надхвърля 96 SEK/MWh.</w:t>
      </w:r>
    </w:p>
    <w:p>
      <w:pPr>
        <w:pStyle w:val="ManualNumPar1"/>
        <w:rPr>
          <w:noProof/>
        </w:rPr>
      </w:pPr>
      <w:r>
        <w:rPr>
          <w:noProof/>
        </w:rPr>
        <w:t>2.</w:t>
      </w:r>
      <w:r>
        <w:rPr>
          <w:noProof/>
        </w:rPr>
        <w:tab/>
        <w:t>Намалените ставки трябва да съответстват на изискванията на Директива 2003/96/ЕО, и по-специално на минималните данъчни ставки, постановени в член 10 от нея.</w:t>
      </w:r>
    </w:p>
    <w:p>
      <w:pPr>
        <w:keepNext/>
        <w:spacing w:before="360"/>
        <w:jc w:val="center"/>
        <w:rPr>
          <w:i/>
          <w:noProof/>
        </w:rPr>
      </w:pPr>
      <w:r>
        <w:rPr>
          <w:i/>
          <w:noProof/>
        </w:rPr>
        <w:t>Член 2</w:t>
      </w:r>
    </w:p>
    <w:p>
      <w:pPr>
        <w:keepNext/>
        <w:keepLines/>
        <w:widowControl w:val="0"/>
        <w:rPr>
          <w:rFonts w:eastAsia="Times New Roman"/>
          <w:noProof/>
          <w:szCs w:val="24"/>
        </w:rPr>
      </w:pPr>
      <w:r>
        <w:rPr>
          <w:noProof/>
        </w:rPr>
        <w:t>Настоящото решение се прилага от 1 януари 2018 г. до 31 декември 2023 г.</w:t>
      </w:r>
    </w:p>
    <w:p>
      <w:pPr>
        <w:keepNext/>
        <w:spacing w:before="360"/>
        <w:jc w:val="center"/>
        <w:rPr>
          <w:i/>
          <w:noProof/>
        </w:rPr>
      </w:pPr>
      <w:r>
        <w:rPr>
          <w:i/>
          <w:noProof/>
        </w:rPr>
        <w:t>Член 3</w:t>
      </w:r>
    </w:p>
    <w:p>
      <w:pPr>
        <w:keepNext/>
        <w:keepLines/>
        <w:rPr>
          <w:rFonts w:eastAsia="Times New Roman"/>
          <w:noProof/>
          <w:szCs w:val="24"/>
        </w:rPr>
      </w:pPr>
      <w:r>
        <w:rPr>
          <w:noProof/>
        </w:rPr>
        <w:t>Адресат на настоящото решение е Кралство Швеция.</w:t>
      </w:r>
    </w:p>
    <w:p>
      <w:pPr>
        <w:keepNext/>
        <w:spacing w:after="0"/>
        <w:rPr>
          <w:rFonts w:eastAsia="Times New Roman"/>
          <w:noProof/>
          <w:szCs w:val="24"/>
        </w:rPr>
      </w:pPr>
      <w:r>
        <w:rPr>
          <w:noProof/>
        </w:rPr>
        <w:t>Съставено в Брюксел на [...] година.</w:t>
      </w:r>
    </w:p>
    <w:p>
      <w:pPr>
        <w:keepNext/>
        <w:tabs>
          <w:tab w:val="left" w:pos="4252"/>
        </w:tabs>
        <w:spacing w:before="720" w:after="0"/>
        <w:rPr>
          <w:rFonts w:eastAsia="Times New Roman"/>
          <w:i/>
          <w:noProof/>
          <w:szCs w:val="24"/>
        </w:rPr>
      </w:pPr>
      <w:r>
        <w:rPr>
          <w:noProof/>
        </w:rPr>
        <w:tab/>
      </w:r>
      <w:r>
        <w:rPr>
          <w:i/>
          <w:noProof/>
        </w:rPr>
        <w:t>За Съвета</w:t>
      </w:r>
    </w:p>
    <w:p>
      <w:pPr>
        <w:tabs>
          <w:tab w:val="left" w:pos="4252"/>
        </w:tabs>
        <w:spacing w:before="0" w:after="0"/>
        <w:jc w:val="left"/>
        <w:rPr>
          <w:rFonts w:eastAsia="Times New Roman"/>
          <w:i/>
          <w:noProof/>
          <w:szCs w:val="24"/>
        </w:rPr>
      </w:pPr>
      <w:r>
        <w:rPr>
          <w:noProof/>
        </w:rPr>
        <w:tab/>
      </w:r>
      <w:r>
        <w:rPr>
          <w:i/>
          <w:noProof/>
        </w:rPr>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 ОВ L 283, 31.10.2003 г., стр. 51.</w:t>
      </w:r>
    </w:p>
  </w:footnote>
  <w:footnote w:id="2">
    <w:p>
      <w:pPr>
        <w:pStyle w:val="FootnoteText"/>
      </w:pPr>
      <w:r>
        <w:rPr>
          <w:rStyle w:val="FootnoteReference"/>
        </w:rPr>
        <w:footnoteRef/>
      </w:r>
      <w:r>
        <w:tab/>
        <w:t>По обменния курс на 2 октомври 2017 г. (9,6055 SEK = 1 EUR), вж. член 13, параграф 1 от Директива 2003/96/ЕО и ОВ C 331, 3.10.2017 г., стр. 3.</w:t>
      </w:r>
    </w:p>
  </w:footnote>
  <w:footnote w:id="3">
    <w:p>
      <w:pPr>
        <w:pStyle w:val="FootnoteText"/>
      </w:pPr>
      <w:r>
        <w:rPr>
          <w:rStyle w:val="FootnoteReference"/>
        </w:rPr>
        <w:footnoteRef/>
      </w:r>
      <w:r>
        <w:tab/>
        <w:t>Вж. по-специално съображения 6 и 7.</w:t>
      </w:r>
    </w:p>
  </w:footnote>
  <w:footnote w:id="4">
    <w:p>
      <w:pPr>
        <w:pStyle w:val="FootnoteText"/>
      </w:pPr>
      <w:r>
        <w:rPr>
          <w:rStyle w:val="FootnoteReference"/>
        </w:rPr>
        <w:footnoteRef/>
      </w:r>
      <w:r>
        <w:tab/>
        <w:t xml:space="preserve">На основание на член 5 от Директива 2003/96/ЕО държавите членки могат да прилагат диференцирани ставки за данъчно облагане в зависимост от използването за стопански и нестопански цели. На основание на член 11, параграф 4 от Директива 2003/96/ЕО държавите членки могат да ограничат приложението на намаленото равнище на данъчно облагане до използването за стопански цели. Представената от Швеция информация сочи, че тя е ограничила ставката върху електроенергията, потребявана за стопански цели, до преработващата промишленост.  В резултат на това данъчната ставка върху потреблението за нестопански цели се прилага както спрямо домакинствата, така и спрямо предприятията в сектора на услугите. Минималната данъчна ставка на ЕС за облагане на потреблението за нестопански цели е 1 EUR/MWh. </w:t>
      </w:r>
    </w:p>
  </w:footnote>
  <w:footnote w:id="5">
    <w:p>
      <w:pPr>
        <w:pStyle w:val="FootnoteText"/>
      </w:pPr>
      <w:r>
        <w:rPr>
          <w:rStyle w:val="FootnoteReference"/>
        </w:rPr>
        <w:footnoteRef/>
      </w:r>
      <w:r>
        <w:tab/>
        <w:t xml:space="preserve">Източник: данни на Евростат за цените от втората половина на 2016 г. Данните обхващат потреблението за нестопански цели на домакинствата с годишно потребление под 1 MWh до домакинствата с годишно потребление над 15 MWh. </w:t>
      </w:r>
    </w:p>
  </w:footnote>
  <w:footnote w:id="6">
    <w:p>
      <w:pPr>
        <w:pStyle w:val="FootnoteText"/>
      </w:pPr>
      <w:r>
        <w:rPr>
          <w:rStyle w:val="FootnoteReference"/>
        </w:rPr>
        <w:footnoteRef/>
      </w:r>
      <w:r>
        <w:tab/>
        <w:t>Регламент (ЕС) № 651/2014 на Комисията за обявяване на някои категории помощи за съвместими с вътрешния пазар в приложение на членове 107 и 108 от Договора (ОВ L 187, 26.6.2014 г., стр. 1 — 78).</w:t>
      </w:r>
    </w:p>
  </w:footnote>
  <w:footnote w:id="7">
    <w:p>
      <w:pPr>
        <w:pStyle w:val="FootnoteText"/>
      </w:pPr>
      <w:r>
        <w:rPr>
          <w:rStyle w:val="FootnoteReference"/>
        </w:rPr>
        <w:footnoteRef/>
      </w:r>
      <w:r>
        <w:tab/>
        <w:t>OВ L 283, 31.10.2003 г., стр. 51.</w:t>
      </w:r>
    </w:p>
  </w:footnote>
  <w:footnote w:id="8">
    <w:p>
      <w:pPr>
        <w:pStyle w:val="FootnoteText"/>
      </w:pPr>
      <w:r>
        <w:rPr>
          <w:rStyle w:val="FootnoteReference"/>
        </w:rPr>
        <w:footnoteRef/>
      </w:r>
      <w:r>
        <w:tab/>
        <w:t>ОВ L 26, 28.1.2012 г., стр.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9CF5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B0FF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2CDD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3A81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256DA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FFA16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16465A"/>
    <w:lvl w:ilvl="0">
      <w:start w:val="1"/>
      <w:numFmt w:val="decimal"/>
      <w:pStyle w:val="ListNumber"/>
      <w:lvlText w:val="%1."/>
      <w:lvlJc w:val="left"/>
      <w:pPr>
        <w:tabs>
          <w:tab w:val="num" w:pos="360"/>
        </w:tabs>
        <w:ind w:left="360" w:hanging="360"/>
      </w:pPr>
    </w:lvl>
  </w:abstractNum>
  <w:abstractNum w:abstractNumId="7">
    <w:nsid w:val="FFFFFF89"/>
    <w:multiLevelType w:val="singleLevel"/>
    <w:tmpl w:val="BE1609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08:0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6B8397F-6BC6-4E7C-A267-5CE42F64AE8B"/>
    <w:docVar w:name="LW_COVERPAGE_TYPE" w:val="1"/>
    <w:docVar w:name="LW_CROSSREFERENCE" w:val="&lt;UNUSED&gt;"/>
    <w:docVar w:name="LW_DocType" w:val="COM"/>
    <w:docVar w:name="LW_EMISSION" w:val="1.12.2017"/>
    <w:docVar w:name="LW_EMISSION_ISODATE" w:val="2017-12-01"/>
    <w:docVar w:name="LW_EMISSION_LOCATION" w:val="BRX"/>
    <w:docVar w:name="LW_EMISSION_PREFIX" w:val="\u1041?\u1088?\u1102?\u1082?\u1089?\u1077?\u1083?,"/>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0"/>
    <w:docVar w:name="LW_REF.II.NEW.CP_YEAR" w:val="2017"/>
    <w:docVar w:name="LW_REF.INST.NEW" w:val="COM"/>
    <w:docVar w:name="LW_REF.INST.NEW_ADOPTED" w:val="final"/>
    <w:docVar w:name="LW_REF.INST.NEW_TEXT" w:val="(2017)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8?\u1072?\u1079?\u1088?\u1077?\u1096?\u1072?\u1074?\u1072?\u1085?\u1077? \u1085?\u1072? \u1064?\u1074?\u1077?\u1094?\u1080?\u1103? \u1076?\u1072? \u1087?\u1088?\u1080?\u1083?\u1072?\u1075?\u1072? \u1085?\u1072?\u1084?\u1072?\u1083?\u1077?\u1085?\u1072? \u1089?\u1090?\u1072?\u1074?\u1082?\u1072? \u1085?\u1072? \u1072?\u1082?\u1094?\u1080?\u1079?\u1072? \u1074?\u1098?\u1088?\u1093?\u1091? \u1077?\u1083?\u1077?\u1082?\u1090?\u1088?\u1086?\u1077?\u1085?\u1077?\u1088?\u1075?\u1080?\u1103?\u1090?\u1072?, \u1087?\u1086?\u1090?\u1088?\u1077?\u1073?\u1103?\u1074?\u1072?\u1085?\u1072? \u1086?\u1090? \u1076?\u1086?\u1084?\u1072?\u1082?\u1080?\u1085?\u1089?\u1090?\u1074?\u1072?\u1090?\u1072? \u1080? \u1087?\u1088?\u1077?\u1076?\u1087?\u1088?\u1080?\u1103?\u1090?\u1080?\u1103?\u1090?\u1072? \u1074? \u1089?\u1077?\u1082?\u1090?\u1086?\u1088?\u1072? \u1085?\u1072? \u1091?\u1089?\u1083?\u1091?\u1075?\u1080?\u1090?\u1077?, \u1088?\u1072?\u1079?\u1087?\u1086?\u1083?\u1086?\u1078?\u1077?\u1085?\u1080? \u1074? \u1085?\u1103?\u1082?\u1086?\u1080? \u1088?\u1072?\u1081?\u1086?\u1085?\u1080? \u1085?\u1072? \u1057?\u1077?\u1074?\u1077?\u1088?\u1085?\u1072? \u1064?\u1074?\u1077?\u1094?\u1080?\u1103?, \u1074? \u1089?\u1098?\u1086?\u1090?\u1074?\u1077?\u1090?\u1089?\u1090?\u1074?\u1080?\u1077? \u1089? \u1095?\u1083?\u1077?\u1085? 19 \u1086?\u1090? \u1044?\u1080?\u1088?\u1077?\u1082?\u1090?\u1080?\u1074?\u1072? 2003/96/\u1045?\u1054?"/>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Heading20">
    <w:name w:val="Heading2"/>
    <w:basedOn w:val="Normal"/>
    <w:pPr>
      <w:keepNext/>
      <w:outlineLvl w:val="1"/>
    </w:pPr>
    <w:rPr>
      <w:rFonts w:eastAsia="Arial Unicode MS"/>
      <w:b/>
      <w:bCs/>
      <w:szCs w:val="26"/>
      <w:u w:color="000000"/>
      <w:bdr w:val="nil"/>
    </w:rPr>
  </w:style>
  <w:style w:type="paragraph" w:customStyle="1" w:styleId="Heading10">
    <w:name w:val="Heading1"/>
    <w:basedOn w:val="Normal"/>
    <w:pPr>
      <w:keepNext/>
      <w:spacing w:before="360"/>
      <w:outlineLvl w:val="0"/>
    </w:pPr>
    <w:rPr>
      <w:rFonts w:eastAsiaTheme="majorEastAsia"/>
      <w:b/>
      <w:bCs/>
      <w:smallCaps/>
      <w:szCs w:val="2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Heading20">
    <w:name w:val="Heading2"/>
    <w:basedOn w:val="Normal"/>
    <w:pPr>
      <w:keepNext/>
      <w:outlineLvl w:val="1"/>
    </w:pPr>
    <w:rPr>
      <w:rFonts w:eastAsia="Arial Unicode MS"/>
      <w:b/>
      <w:bCs/>
      <w:szCs w:val="26"/>
      <w:u w:color="000000"/>
      <w:bdr w:val="nil"/>
    </w:rPr>
  </w:style>
  <w:style w:type="paragraph" w:customStyle="1" w:styleId="Heading10">
    <w:name w:val="Heading1"/>
    <w:basedOn w:val="Normal"/>
    <w:pPr>
      <w:keepNext/>
      <w:spacing w:before="360"/>
      <w:outlineLvl w:val="0"/>
    </w:pPr>
    <w:rPr>
      <w:rFonts w:eastAsiaTheme="majorEastAsia"/>
      <w:b/>
      <w:bCs/>
      <w:smallCaps/>
      <w:szCs w:val="2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9F6BD-4DE7-445E-AED5-3A7A73E6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2770</Words>
  <Characters>16291</Characters>
  <Application>Microsoft Office Word</Application>
  <DocSecurity>0</DocSecurity>
  <Lines>301</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2017-11-20T12:28:00Z</dcterms:created>
  <dcterms:modified xsi:type="dcterms:W3CDTF">2017-11-23T07:07:00Z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