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AE4416F-C54B-4821-B865-F44D79CB9CB1" style="width:450.8pt;height:452.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spacing w:after="0"/>
        <w:rPr>
          <w:rFonts w:eastAsia="Calibri"/>
          <w:noProof/>
          <w:szCs w:val="24"/>
        </w:rPr>
      </w:pPr>
    </w:p>
    <w:p>
      <w:pPr>
        <w:spacing w:after="0"/>
        <w:jc w:val="center"/>
        <w:rPr>
          <w:rFonts w:eastAsia="Calibri"/>
          <w:b/>
          <w:noProof/>
          <w:szCs w:val="24"/>
        </w:rPr>
      </w:pPr>
      <w:r>
        <w:rPr>
          <w:b/>
          <w:noProof/>
        </w:rPr>
        <w:t>DÉCISION N° 1/2017 DU CONSEIL CONJOINT UE-MEXIQUE</w:t>
      </w:r>
    </w:p>
    <w:p>
      <w:pPr>
        <w:spacing w:after="0"/>
        <w:jc w:val="center"/>
        <w:rPr>
          <w:rFonts w:eastAsia="Calibri"/>
          <w:b/>
          <w:noProof/>
          <w:szCs w:val="24"/>
        </w:rPr>
      </w:pPr>
    </w:p>
    <w:p>
      <w:pPr>
        <w:spacing w:after="0"/>
        <w:jc w:val="center"/>
        <w:rPr>
          <w:rFonts w:eastAsia="Calibri"/>
          <w:b/>
          <w:noProof/>
          <w:szCs w:val="24"/>
        </w:rPr>
      </w:pPr>
      <w:r>
        <w:rPr>
          <w:b/>
          <w:noProof/>
        </w:rPr>
        <w:t>du XX XXX 2017</w:t>
      </w:r>
    </w:p>
    <w:p>
      <w:pPr>
        <w:spacing w:after="0"/>
        <w:jc w:val="center"/>
        <w:rPr>
          <w:rFonts w:eastAsia="Calibri"/>
          <w:b/>
          <w:noProof/>
          <w:szCs w:val="24"/>
        </w:rPr>
      </w:pPr>
    </w:p>
    <w:p>
      <w:pPr>
        <w:spacing w:after="0"/>
        <w:jc w:val="center"/>
        <w:rPr>
          <w:rFonts w:eastAsia="Calibri"/>
          <w:b/>
          <w:noProof/>
          <w:szCs w:val="24"/>
        </w:rPr>
      </w:pPr>
      <w:r>
        <w:rPr>
          <w:b/>
          <w:noProof/>
        </w:rPr>
        <w:t>portant modification de la décision n° 2/2000 du Conseil conjoint, telle que modifiée par les décisions n° 3/2004 et n° 2/2008</w:t>
      </w:r>
    </w:p>
    <w:p>
      <w:pPr>
        <w:spacing w:after="0"/>
        <w:rPr>
          <w:rFonts w:eastAsia="Calibri"/>
          <w:noProof/>
          <w:szCs w:val="24"/>
        </w:rPr>
      </w:pPr>
    </w:p>
    <w:p>
      <w:pPr>
        <w:spacing w:after="0"/>
        <w:rPr>
          <w:rFonts w:eastAsia="Calibri"/>
          <w:noProof/>
          <w:szCs w:val="24"/>
        </w:rPr>
      </w:pPr>
      <w:r>
        <w:rPr>
          <w:noProof/>
        </w:rPr>
        <w:t>LE CONSEIL CONJOINT,</w:t>
      </w:r>
    </w:p>
    <w:p>
      <w:pPr>
        <w:spacing w:after="0"/>
        <w:rPr>
          <w:rFonts w:eastAsia="Calibri"/>
          <w:noProof/>
          <w:szCs w:val="24"/>
        </w:rPr>
      </w:pPr>
    </w:p>
    <w:p>
      <w:pPr>
        <w:spacing w:after="0"/>
        <w:rPr>
          <w:rFonts w:eastAsia="Calibri"/>
          <w:noProof/>
          <w:szCs w:val="24"/>
        </w:rPr>
      </w:pPr>
      <w:r>
        <w:rPr>
          <w:noProof/>
        </w:rPr>
        <w:t>vu l’accord de partenariat économique, de coordination politique et de coopération entre la Communauté européenne et ses États membres, d’une part, et les États-Unis mexicains, d’autre part, (ci-après dénommé l’«accord global»), signé à Bruxelles le 8 décembre 1997, et notamment ses articles 5 et 10, en liaison avec l’article 47,</w:t>
      </w:r>
    </w:p>
    <w:p>
      <w:pPr>
        <w:spacing w:after="0"/>
        <w:rPr>
          <w:rFonts w:eastAsia="Calibri"/>
          <w:noProof/>
          <w:szCs w:val="24"/>
        </w:rPr>
      </w:pPr>
    </w:p>
    <w:p>
      <w:pPr>
        <w:spacing w:after="0"/>
        <w:rPr>
          <w:rFonts w:eastAsia="Calibri"/>
          <w:noProof/>
          <w:szCs w:val="24"/>
        </w:rPr>
      </w:pPr>
      <w:r>
        <w:rPr>
          <w:noProof/>
        </w:rPr>
        <w:t>considérant ce qui suit:</w:t>
      </w:r>
    </w:p>
    <w:p>
      <w:pPr>
        <w:spacing w:after="0"/>
        <w:rPr>
          <w:rFonts w:eastAsia="Calibri"/>
          <w:noProof/>
          <w:szCs w:val="24"/>
        </w:rPr>
      </w:pPr>
    </w:p>
    <w:p>
      <w:pPr>
        <w:spacing w:after="0"/>
        <w:rPr>
          <w:rFonts w:eastAsia="Calibri"/>
          <w:noProof/>
          <w:szCs w:val="24"/>
        </w:rPr>
      </w:pPr>
      <w:r>
        <w:rPr>
          <w:noProof/>
        </w:rPr>
        <w:t>1) À la suite de l’adhésion de la République de Croatie (ci-après la «Croatie») à l’Union européenne, le 1</w:t>
      </w:r>
      <w:r>
        <w:rPr>
          <w:noProof/>
          <w:vertAlign w:val="superscript"/>
        </w:rPr>
        <w:t>er</w:t>
      </w:r>
      <w:r>
        <w:rPr>
          <w:noProof/>
        </w:rPr>
        <w:t xml:space="preserve"> juillet 2013, un troisième protocole additionnel a été signé à Mexico le XX XXX 2015 et est applicable depuis le [X] [Y] 2016. </w:t>
      </w:r>
    </w:p>
    <w:p>
      <w:pPr>
        <w:spacing w:after="0"/>
        <w:rPr>
          <w:rFonts w:eastAsia="Calibri"/>
          <w:noProof/>
          <w:szCs w:val="24"/>
        </w:rPr>
      </w:pPr>
    </w:p>
    <w:p>
      <w:pPr>
        <w:spacing w:after="0"/>
        <w:rPr>
          <w:rFonts w:eastAsia="Calibri"/>
          <w:noProof/>
          <w:szCs w:val="24"/>
        </w:rPr>
      </w:pPr>
      <w:r>
        <w:rPr>
          <w:noProof/>
        </w:rPr>
        <w:t>2) Dans ce contexte, il est nécessaire d’adapter, avec effet à la date d’adhésion de la Croatie à l’accord, certaines dispositions de la décision n° 2/2000 du Conseil conjoint UE-Mexique du 23 mars 2000, telle que modifiée par les décisions n° 3/2004 du 29 juillet 2004 et n° 2/2008 du 25 juillet 2008 du Conseil conjoint concernant le commerce des biens, la certification de l’origine et les marchés publics.</w:t>
      </w:r>
    </w:p>
    <w:p>
      <w:pPr>
        <w:spacing w:after="0"/>
        <w:rPr>
          <w:rFonts w:eastAsia="Calibri"/>
          <w:noProof/>
          <w:szCs w:val="24"/>
        </w:rPr>
      </w:pPr>
    </w:p>
    <w:p>
      <w:pPr>
        <w:spacing w:after="0"/>
        <w:rPr>
          <w:rFonts w:eastAsia="Calibri"/>
          <w:noProof/>
          <w:szCs w:val="24"/>
        </w:rPr>
      </w:pPr>
      <w:r>
        <w:rPr>
          <w:noProof/>
        </w:rPr>
        <w:t>3) Les articles 5, 6, 7, 10 et 47 de l’accord global confèrent au Conseil conjoint institué au titre dudit accord le pouvoir de prendre des décisions aux fins d’atteindre les objectifs de l’accord, et en particulier le pouvoir de décider des mesures appropriées et du calendrier concernant le commerce des biens, le commerce des services et les marchés publics,</w:t>
      </w:r>
    </w:p>
    <w:p>
      <w:pPr>
        <w:spacing w:after="0"/>
        <w:rPr>
          <w:rFonts w:eastAsia="Calibri"/>
          <w:noProof/>
          <w:szCs w:val="24"/>
        </w:rPr>
      </w:pPr>
    </w:p>
    <w:p>
      <w:pPr>
        <w:spacing w:after="0"/>
        <w:rPr>
          <w:rFonts w:eastAsia="Calibri"/>
          <w:noProof/>
          <w:szCs w:val="24"/>
        </w:rPr>
      </w:pPr>
      <w:r>
        <w:rPr>
          <w:noProof/>
        </w:rPr>
        <w:t>DÉCIDE:</w:t>
      </w:r>
    </w:p>
    <w:p>
      <w:pPr>
        <w:spacing w:after="0"/>
        <w:rPr>
          <w:rFonts w:eastAsia="Calibri"/>
          <w:noProof/>
          <w:szCs w:val="24"/>
        </w:rPr>
      </w:pPr>
    </w:p>
    <w:p>
      <w:pPr>
        <w:spacing w:after="0"/>
        <w:jc w:val="center"/>
        <w:rPr>
          <w:rFonts w:eastAsia="Calibri"/>
          <w:noProof/>
          <w:szCs w:val="24"/>
        </w:rPr>
      </w:pPr>
      <w:r>
        <w:rPr>
          <w:noProof/>
        </w:rPr>
        <w:t>Article premier</w:t>
      </w:r>
    </w:p>
    <w:p>
      <w:pPr>
        <w:spacing w:after="0"/>
        <w:rPr>
          <w:rFonts w:eastAsia="Calibri"/>
          <w:noProof/>
          <w:szCs w:val="24"/>
        </w:rPr>
      </w:pPr>
    </w:p>
    <w:p>
      <w:pPr>
        <w:spacing w:after="0"/>
        <w:rPr>
          <w:rFonts w:eastAsia="Calibri"/>
          <w:noProof/>
          <w:szCs w:val="24"/>
        </w:rPr>
      </w:pPr>
      <w:r>
        <w:rPr>
          <w:noProof/>
        </w:rPr>
        <w:t>1 L'annexe I de la décision n° 2/2000 du Conseil conjoint est modifiée conformément à l'annexe I de la présente décision.</w:t>
      </w:r>
    </w:p>
    <w:p>
      <w:pPr>
        <w:spacing w:after="0"/>
        <w:rPr>
          <w:rFonts w:eastAsia="Calibri"/>
          <w:noProof/>
          <w:szCs w:val="24"/>
        </w:rPr>
      </w:pPr>
    </w:p>
    <w:p>
      <w:pPr>
        <w:spacing w:after="0"/>
        <w:rPr>
          <w:rFonts w:eastAsia="Calibri"/>
          <w:noProof/>
          <w:szCs w:val="24"/>
        </w:rPr>
      </w:pPr>
      <w:r>
        <w:rPr>
          <w:noProof/>
        </w:rPr>
        <w:t>2 Le présent article n'a aucune incidence sur le contenu de la clause de révision figurant à l’article 10 de la décision n° 2/2000 du Conseil conjoint.</w:t>
      </w:r>
    </w:p>
    <w:p>
      <w:pPr>
        <w:spacing w:after="0"/>
        <w:rPr>
          <w:rFonts w:eastAsia="Calibri"/>
          <w:noProof/>
          <w:szCs w:val="24"/>
        </w:rPr>
      </w:pPr>
    </w:p>
    <w:p>
      <w:pPr>
        <w:spacing w:after="0"/>
        <w:jc w:val="center"/>
        <w:rPr>
          <w:rFonts w:eastAsia="Calibri"/>
          <w:noProof/>
          <w:szCs w:val="24"/>
        </w:rPr>
      </w:pPr>
      <w:r>
        <w:rPr>
          <w:noProof/>
        </w:rPr>
        <w:t>Article 2</w:t>
      </w:r>
    </w:p>
    <w:p>
      <w:pPr>
        <w:spacing w:after="0"/>
        <w:rPr>
          <w:rFonts w:eastAsia="Calibri"/>
          <w:noProof/>
          <w:szCs w:val="24"/>
        </w:rPr>
      </w:pPr>
    </w:p>
    <w:p>
      <w:pPr>
        <w:spacing w:after="0"/>
        <w:rPr>
          <w:rFonts w:eastAsia="Calibri"/>
          <w:noProof/>
          <w:szCs w:val="24"/>
        </w:rPr>
      </w:pPr>
      <w:r>
        <w:rPr>
          <w:noProof/>
        </w:rPr>
        <w:t>L’article 17, paragraphe 4, l’article 18, paragraphe 2, ainsi que l’appendice IV de l’annexe III de la décision n° 2/2000 du Conseil conjoint sont modifiés conformément à l’annexe II de la présente décision.</w:t>
      </w:r>
    </w:p>
    <w:p>
      <w:pPr>
        <w:spacing w:after="0"/>
        <w:rPr>
          <w:rFonts w:eastAsia="Calibri"/>
          <w:noProof/>
          <w:szCs w:val="24"/>
        </w:rPr>
      </w:pPr>
    </w:p>
    <w:p>
      <w:pPr>
        <w:spacing w:after="0"/>
        <w:jc w:val="center"/>
        <w:rPr>
          <w:rFonts w:eastAsia="Calibri"/>
          <w:noProof/>
          <w:szCs w:val="24"/>
        </w:rPr>
      </w:pPr>
      <w:r>
        <w:rPr>
          <w:noProof/>
        </w:rPr>
        <w:t>Article 3</w:t>
      </w:r>
    </w:p>
    <w:p>
      <w:pPr>
        <w:spacing w:after="0"/>
        <w:rPr>
          <w:rFonts w:eastAsia="Calibri"/>
          <w:noProof/>
          <w:szCs w:val="24"/>
        </w:rPr>
      </w:pPr>
    </w:p>
    <w:p>
      <w:pPr>
        <w:spacing w:after="0"/>
        <w:rPr>
          <w:rFonts w:eastAsia="Calibri"/>
          <w:noProof/>
          <w:szCs w:val="24"/>
        </w:rPr>
      </w:pPr>
      <w:r>
        <w:rPr>
          <w:noProof/>
        </w:rPr>
        <w:t>1. Les entités croates énumérées à l’annexe III de la présente décision sont ajoutées aux sections correspondantes de l’annexe VI, partie B, de la décision n° 2/2000 du Conseil conjoint.</w:t>
      </w:r>
    </w:p>
    <w:p>
      <w:pPr>
        <w:spacing w:after="0"/>
        <w:rPr>
          <w:rFonts w:eastAsia="Calibri"/>
          <w:noProof/>
          <w:szCs w:val="24"/>
        </w:rPr>
      </w:pPr>
    </w:p>
    <w:p>
      <w:pPr>
        <w:spacing w:after="0"/>
        <w:rPr>
          <w:rFonts w:eastAsia="Calibri"/>
          <w:noProof/>
          <w:szCs w:val="24"/>
        </w:rPr>
      </w:pPr>
      <w:r>
        <w:rPr>
          <w:noProof/>
        </w:rPr>
        <w:t>2. Les publications de la Croatie énumérées à l’annexe IV de la présente décision sont ajoutées à l’annexe XIII, partie B, de la décision n° 2/2000 du Conseil conjoint.</w:t>
      </w:r>
    </w:p>
    <w:p>
      <w:pPr>
        <w:spacing w:after="0"/>
        <w:rPr>
          <w:rFonts w:eastAsia="Calibri"/>
          <w:noProof/>
          <w:szCs w:val="24"/>
        </w:rPr>
      </w:pPr>
    </w:p>
    <w:p>
      <w:pPr>
        <w:spacing w:after="0"/>
        <w:jc w:val="center"/>
        <w:rPr>
          <w:rFonts w:eastAsia="Calibri"/>
          <w:noProof/>
          <w:szCs w:val="24"/>
        </w:rPr>
      </w:pPr>
      <w:r>
        <w:rPr>
          <w:noProof/>
        </w:rPr>
        <w:t>Article 4</w:t>
      </w:r>
    </w:p>
    <w:p>
      <w:pPr>
        <w:spacing w:after="0"/>
        <w:rPr>
          <w:rFonts w:eastAsia="Calibri"/>
          <w:noProof/>
          <w:szCs w:val="24"/>
        </w:rPr>
      </w:pPr>
    </w:p>
    <w:p>
      <w:pPr>
        <w:spacing w:after="0"/>
        <w:rPr>
          <w:rFonts w:eastAsia="Calibri"/>
          <w:noProof/>
          <w:szCs w:val="24"/>
        </w:rPr>
      </w:pPr>
      <w:r>
        <w:rPr>
          <w:noProof/>
        </w:rPr>
        <w:t xml:space="preserve">1. La présente décision entre en vigueur le jour de son adoption. </w:t>
      </w:r>
    </w:p>
    <w:p>
      <w:pPr>
        <w:spacing w:after="0"/>
        <w:rPr>
          <w:rFonts w:eastAsia="Calibri"/>
          <w:noProof/>
          <w:szCs w:val="24"/>
        </w:rPr>
      </w:pPr>
    </w:p>
    <w:p>
      <w:pPr>
        <w:spacing w:after="0"/>
        <w:rPr>
          <w:rFonts w:eastAsia="Calibri"/>
          <w:noProof/>
          <w:szCs w:val="24"/>
        </w:rPr>
      </w:pPr>
      <w:r>
        <w:rPr>
          <w:noProof/>
        </w:rPr>
        <w:t>2. Elle est applicable avec effet à la date d’adhésion de la Croatie à l’accord.</w:t>
      </w:r>
    </w:p>
    <w:p>
      <w:pPr>
        <w:spacing w:after="0"/>
        <w:rPr>
          <w:rFonts w:eastAsia="Calibri"/>
          <w:noProof/>
          <w:szCs w:val="24"/>
        </w:rPr>
      </w:pPr>
    </w:p>
    <w:p>
      <w:pPr>
        <w:spacing w:after="0"/>
        <w:jc w:val="right"/>
        <w:rPr>
          <w:rFonts w:eastAsia="Calibri"/>
          <w:noProof/>
          <w:szCs w:val="24"/>
        </w:rPr>
      </w:pPr>
      <w:r>
        <w:rPr>
          <w:noProof/>
        </w:rPr>
        <w:t>Fait à Mexico, le XX XXX 2017.</w:t>
      </w:r>
    </w:p>
    <w:p>
      <w:pPr>
        <w:spacing w:after="0"/>
        <w:jc w:val="right"/>
        <w:rPr>
          <w:rFonts w:eastAsia="Calibri"/>
          <w:noProof/>
          <w:szCs w:val="24"/>
        </w:rPr>
      </w:pPr>
      <w:r>
        <w:rPr>
          <w:noProof/>
        </w:rPr>
        <w:t>Par le Conseil conjoint</w:t>
      </w:r>
    </w:p>
    <w:p>
      <w:pPr>
        <w:spacing w:after="0"/>
        <w:jc w:val="right"/>
        <w:rPr>
          <w:rFonts w:eastAsia="Calibri"/>
          <w:noProof/>
          <w:szCs w:val="24"/>
        </w:rPr>
      </w:pPr>
      <w:r>
        <w:rPr>
          <w:noProof/>
        </w:rPr>
        <w:t>Le président</w:t>
      </w:r>
    </w:p>
    <w:p>
      <w:pPr>
        <w:spacing w:after="0"/>
        <w:jc w:val="right"/>
        <w:rPr>
          <w:rFonts w:eastAsia="Calibri"/>
          <w:noProof/>
          <w:szCs w:val="24"/>
        </w:rPr>
      </w:pPr>
      <w:r>
        <w:rPr>
          <w:noProof/>
        </w:rPr>
        <w:t>[X]</w:t>
      </w:r>
    </w:p>
    <w:p>
      <w:pPr>
        <w:spacing w:after="0"/>
        <w:rPr>
          <w:rFonts w:eastAsia="Calibri"/>
          <w:noProof/>
          <w:szCs w:val="24"/>
        </w:rPr>
      </w:pPr>
    </w:p>
    <w:p>
      <w:pPr>
        <w:spacing w:after="0"/>
        <w:rPr>
          <w:rFonts w:eastAsia="Calibri"/>
          <w:noProof/>
          <w:szCs w:val="24"/>
        </w:rPr>
      </w:pPr>
    </w:p>
    <w:p>
      <w:pPr>
        <w:spacing w:after="0"/>
        <w:rPr>
          <w:rFonts w:eastAsia="Calibri"/>
          <w:noProof/>
          <w:szCs w:val="24"/>
        </w:rPr>
      </w:pPr>
    </w:p>
    <w:p>
      <w:pPr>
        <w:spacing w:after="0"/>
        <w:jc w:val="center"/>
        <w:rPr>
          <w:rFonts w:eastAsia="Calibri"/>
          <w:noProof/>
          <w:szCs w:val="24"/>
        </w:rPr>
      </w:pPr>
    </w:p>
    <w:p>
      <w:pPr>
        <w:spacing w:after="0"/>
        <w:jc w:val="center"/>
        <w:rPr>
          <w:rFonts w:eastAsia="Calibri"/>
          <w:noProof/>
          <w:szCs w:val="24"/>
        </w:rPr>
      </w:pPr>
      <w:r>
        <w:rPr>
          <w:noProof/>
        </w:rPr>
        <w:br w:type="page"/>
        <w:t>ANNEXE I</w:t>
      </w:r>
    </w:p>
    <w:p>
      <w:pPr>
        <w:spacing w:after="0"/>
        <w:rPr>
          <w:rFonts w:eastAsia="Calibri"/>
          <w:noProof/>
          <w:szCs w:val="24"/>
        </w:rPr>
      </w:pPr>
    </w:p>
    <w:p>
      <w:pPr>
        <w:spacing w:after="0"/>
        <w:jc w:val="center"/>
        <w:rPr>
          <w:rFonts w:eastAsia="Calibri"/>
          <w:b/>
          <w:noProof/>
          <w:szCs w:val="24"/>
        </w:rPr>
      </w:pPr>
      <w:r>
        <w:rPr>
          <w:b/>
          <w:noProof/>
        </w:rPr>
        <w:t>Calendrier de démantèlement tarifaire de la Communauté</w:t>
      </w:r>
    </w:p>
    <w:p>
      <w:pPr>
        <w:spacing w:after="0"/>
        <w:rPr>
          <w:rFonts w:eastAsia="Calibri"/>
          <w:noProof/>
          <w:szCs w:val="24"/>
        </w:rPr>
      </w:pPr>
    </w:p>
    <w:p>
      <w:pPr>
        <w:spacing w:after="0"/>
        <w:jc w:val="center"/>
        <w:rPr>
          <w:rFonts w:eastAsia="Calibri"/>
          <w:noProof/>
          <w:szCs w:val="24"/>
        </w:rPr>
      </w:pPr>
    </w:p>
    <w:p>
      <w:pPr>
        <w:spacing w:after="0"/>
        <w:jc w:val="center"/>
        <w:rPr>
          <w:rFonts w:eastAsia="Calibri"/>
          <w:b/>
          <w:noProof/>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180"/>
      </w:tblGrid>
      <w:tr>
        <w:tc>
          <w:tcPr>
            <w:tcW w:w="2181" w:type="dxa"/>
            <w:tcBorders>
              <w:left w:val="nil"/>
            </w:tcBorders>
            <w:shd w:val="clear" w:color="auto" w:fill="auto"/>
            <w:vAlign w:val="center"/>
          </w:tcPr>
          <w:p>
            <w:pPr>
              <w:spacing w:after="0"/>
              <w:jc w:val="center"/>
              <w:rPr>
                <w:rFonts w:eastAsia="Calibri"/>
                <w:noProof/>
                <w:szCs w:val="24"/>
              </w:rPr>
            </w:pPr>
            <w:r>
              <w:rPr>
                <w:noProof/>
              </w:rPr>
              <w:t>Code NC</w:t>
            </w:r>
          </w:p>
        </w:tc>
        <w:tc>
          <w:tcPr>
            <w:tcW w:w="2181" w:type="dxa"/>
            <w:shd w:val="clear" w:color="auto" w:fill="auto"/>
            <w:vAlign w:val="center"/>
          </w:tcPr>
          <w:p>
            <w:pPr>
              <w:spacing w:after="0"/>
              <w:jc w:val="center"/>
              <w:rPr>
                <w:rFonts w:eastAsia="Calibri"/>
                <w:noProof/>
                <w:szCs w:val="24"/>
              </w:rPr>
            </w:pPr>
            <w:r>
              <w:rPr>
                <w:noProof/>
              </w:rPr>
              <w:t>Désignation</w:t>
            </w:r>
          </w:p>
        </w:tc>
        <w:tc>
          <w:tcPr>
            <w:tcW w:w="2181" w:type="dxa"/>
            <w:tcBorders>
              <w:right w:val="single" w:sz="4" w:space="0" w:color="auto"/>
            </w:tcBorders>
            <w:shd w:val="clear" w:color="auto" w:fill="auto"/>
            <w:vAlign w:val="center"/>
          </w:tcPr>
          <w:p>
            <w:pPr>
              <w:spacing w:after="0"/>
              <w:jc w:val="center"/>
              <w:rPr>
                <w:rFonts w:eastAsia="Calibri"/>
                <w:noProof/>
                <w:szCs w:val="24"/>
              </w:rPr>
            </w:pPr>
            <w:r>
              <w:rPr>
                <w:noProof/>
              </w:rPr>
              <w:t>Quantité de marchandises couvertes par le contingent tarifaire annuel</w:t>
            </w:r>
          </w:p>
        </w:tc>
        <w:tc>
          <w:tcPr>
            <w:tcW w:w="2181" w:type="dxa"/>
            <w:tcBorders>
              <w:left w:val="single" w:sz="4" w:space="0" w:color="auto"/>
              <w:right w:val="nil"/>
            </w:tcBorders>
            <w:shd w:val="clear" w:color="auto" w:fill="auto"/>
            <w:vAlign w:val="center"/>
          </w:tcPr>
          <w:p>
            <w:pPr>
              <w:spacing w:after="0"/>
              <w:jc w:val="center"/>
              <w:rPr>
                <w:rFonts w:eastAsia="Calibri"/>
                <w:noProof/>
                <w:szCs w:val="24"/>
              </w:rPr>
            </w:pPr>
            <w:r>
              <w:rPr>
                <w:noProof/>
              </w:rPr>
              <w:t>Taux de droit du contingent tarifaire</w:t>
            </w:r>
          </w:p>
        </w:tc>
      </w:tr>
      <w:tr>
        <w:tc>
          <w:tcPr>
            <w:tcW w:w="2181" w:type="dxa"/>
            <w:tcBorders>
              <w:left w:val="nil"/>
            </w:tcBorders>
            <w:shd w:val="clear" w:color="auto" w:fill="auto"/>
            <w:vAlign w:val="center"/>
          </w:tcPr>
          <w:p>
            <w:pPr>
              <w:spacing w:after="0"/>
              <w:rPr>
                <w:rFonts w:eastAsia="Calibri"/>
                <w:noProof/>
                <w:szCs w:val="24"/>
              </w:rPr>
            </w:pPr>
            <w:r>
              <w:rPr>
                <w:noProof/>
              </w:rPr>
              <w:t>«0803 00 19</w:t>
            </w:r>
          </w:p>
        </w:tc>
        <w:tc>
          <w:tcPr>
            <w:tcW w:w="2181" w:type="dxa"/>
            <w:shd w:val="clear" w:color="auto" w:fill="auto"/>
            <w:vAlign w:val="center"/>
          </w:tcPr>
          <w:p>
            <w:pPr>
              <w:spacing w:after="0"/>
              <w:rPr>
                <w:rFonts w:eastAsia="Calibri"/>
                <w:noProof/>
                <w:szCs w:val="24"/>
              </w:rPr>
            </w:pPr>
            <w:r>
              <w:rPr>
                <w:noProof/>
              </w:rPr>
              <w:t>Bananes, fraîches (à l’exclusion des bananes plantains)</w:t>
            </w:r>
          </w:p>
        </w:tc>
        <w:tc>
          <w:tcPr>
            <w:tcW w:w="2181" w:type="dxa"/>
            <w:shd w:val="clear" w:color="auto" w:fill="auto"/>
            <w:vAlign w:val="center"/>
          </w:tcPr>
          <w:p>
            <w:pPr>
              <w:spacing w:after="0"/>
              <w:rPr>
                <w:rFonts w:eastAsia="Calibri"/>
                <w:noProof/>
                <w:szCs w:val="24"/>
              </w:rPr>
            </w:pPr>
            <w:r>
              <w:rPr>
                <w:noProof/>
              </w:rPr>
              <w:t>2 010 tonnes (*)</w:t>
            </w:r>
          </w:p>
        </w:tc>
        <w:tc>
          <w:tcPr>
            <w:tcW w:w="2181" w:type="dxa"/>
            <w:tcBorders>
              <w:right w:val="nil"/>
            </w:tcBorders>
            <w:shd w:val="clear" w:color="auto" w:fill="auto"/>
            <w:vAlign w:val="center"/>
          </w:tcPr>
          <w:p>
            <w:pPr>
              <w:spacing w:after="0"/>
              <w:rPr>
                <w:rFonts w:eastAsia="Calibri"/>
                <w:noProof/>
                <w:szCs w:val="24"/>
              </w:rPr>
            </w:pPr>
            <w:r>
              <w:rPr>
                <w:noProof/>
              </w:rPr>
              <w:t>70 EUR/tonne</w:t>
            </w:r>
          </w:p>
        </w:tc>
      </w:tr>
      <w:tr>
        <w:tc>
          <w:tcPr>
            <w:tcW w:w="8724" w:type="dxa"/>
            <w:gridSpan w:val="4"/>
            <w:tcBorders>
              <w:left w:val="nil"/>
              <w:right w:val="nil"/>
            </w:tcBorders>
            <w:shd w:val="clear" w:color="auto" w:fill="auto"/>
            <w:vAlign w:val="center"/>
          </w:tcPr>
          <w:p>
            <w:pPr>
              <w:spacing w:after="0"/>
              <w:rPr>
                <w:rFonts w:eastAsia="Calibri"/>
                <w:noProof/>
                <w:szCs w:val="24"/>
              </w:rPr>
            </w:pPr>
            <w:r>
              <w:rPr>
                <w:noProof/>
              </w:rPr>
              <w:t>(*) Ce contingent tarifaire annuel est ouvert du 1</w:t>
            </w:r>
            <w:r>
              <w:rPr>
                <w:noProof/>
                <w:vertAlign w:val="superscript"/>
              </w:rPr>
              <w:t>er</w:t>
            </w:r>
            <w:r>
              <w:rPr>
                <w:noProof/>
              </w:rPr>
              <w:t xml:space="preserve"> janvier au 31 décembre de chaque année civile. Toutefois, il sera appliqué pour la première fois à partir du troisième jour suivant la publication de la présente décision au </w:t>
            </w:r>
            <w:r>
              <w:rPr>
                <w:i/>
                <w:noProof/>
              </w:rPr>
              <w:t>Journal officiel de l'Union européenne</w:t>
            </w:r>
            <w:r>
              <w:rPr>
                <w:noProof/>
              </w:rPr>
              <w:t>.»</w:t>
            </w:r>
          </w:p>
        </w:tc>
      </w:tr>
    </w:tbl>
    <w:p>
      <w:pPr>
        <w:spacing w:after="0"/>
        <w:jc w:val="center"/>
        <w:rPr>
          <w:rFonts w:eastAsia="Calibri"/>
          <w:noProof/>
          <w:szCs w:val="24"/>
        </w:rPr>
      </w:pPr>
      <w:r>
        <w:rPr>
          <w:noProof/>
        </w:rPr>
        <w:br w:type="page"/>
        <w:t>ANNEXE II</w:t>
      </w:r>
    </w:p>
    <w:p>
      <w:pPr>
        <w:spacing w:after="0"/>
        <w:rPr>
          <w:rFonts w:eastAsia="Calibri"/>
          <w:noProof/>
          <w:szCs w:val="24"/>
        </w:rPr>
      </w:pPr>
    </w:p>
    <w:p>
      <w:pPr>
        <w:spacing w:after="0"/>
        <w:jc w:val="center"/>
        <w:rPr>
          <w:rFonts w:eastAsia="Calibri"/>
          <w:b/>
          <w:noProof/>
          <w:szCs w:val="24"/>
        </w:rPr>
      </w:pPr>
      <w:r>
        <w:rPr>
          <w:b/>
          <w:noProof/>
        </w:rPr>
        <w:t>Nouvelles versions linguistiques des observations administratives et de la «déclaration sur facture» figurant à l’annexe III de la décision n° 2/2000 du Conseil conjoint</w:t>
      </w:r>
    </w:p>
    <w:p>
      <w:pPr>
        <w:spacing w:after="0"/>
        <w:rPr>
          <w:rFonts w:eastAsia="Calibri"/>
          <w:noProof/>
          <w:szCs w:val="24"/>
        </w:rPr>
      </w:pPr>
    </w:p>
    <w:p>
      <w:pPr>
        <w:spacing w:after="0"/>
        <w:rPr>
          <w:rFonts w:eastAsia="Calibri"/>
          <w:noProof/>
          <w:szCs w:val="24"/>
        </w:rPr>
      </w:pPr>
      <w:r>
        <w:rPr>
          <w:noProof/>
        </w:rPr>
        <w:t>1 L’article 17, paragraphe 4, de l’annexe III de la décision n° 2/2000 est modifié comme suit:</w:t>
      </w:r>
    </w:p>
    <w:p>
      <w:pPr>
        <w:spacing w:after="0"/>
        <w:rPr>
          <w:rFonts w:eastAsia="Calibri"/>
          <w:noProof/>
          <w:szCs w:val="24"/>
        </w:rPr>
      </w:pPr>
      <w:r>
        <w:rPr>
          <w:noProof/>
        </w:rPr>
        <w:t>(…)</w:t>
      </w:r>
    </w:p>
    <w:p>
      <w:pPr>
        <w:spacing w:after="0"/>
        <w:rPr>
          <w:rFonts w:eastAsia="Calibri"/>
          <w:noProof/>
          <w:szCs w:val="24"/>
        </w:rPr>
      </w:pPr>
      <w:r>
        <w:rPr>
          <w:noProof/>
        </w:rPr>
        <w:t>«4. Les certificats de circulation des marchandises EUR.1 délivrés a posteriori doivent être revêtus d'une des mentions suivantes:</w:t>
      </w:r>
    </w:p>
    <w:p>
      <w:pPr>
        <w:spacing w:after="0"/>
        <w:rPr>
          <w:rFonts w:eastAsia="Calibri"/>
          <w:noProof/>
          <w:szCs w:val="24"/>
        </w:rPr>
      </w:pPr>
    </w:p>
    <w:p>
      <w:pPr>
        <w:spacing w:after="0"/>
        <w:rPr>
          <w:rFonts w:eastAsia="Calibri"/>
          <w:noProof/>
          <w:szCs w:val="24"/>
        </w:rPr>
      </w:pPr>
      <w:r>
        <w:rPr>
          <w:noProof/>
        </w:rPr>
        <w:t>BG “ИЗДАДЕН ВПОСЛЕДСТВИЕ”</w:t>
      </w:r>
    </w:p>
    <w:p>
      <w:pPr>
        <w:spacing w:after="0"/>
        <w:rPr>
          <w:rFonts w:eastAsia="Calibri"/>
          <w:noProof/>
          <w:szCs w:val="24"/>
        </w:rPr>
      </w:pPr>
      <w:r>
        <w:rPr>
          <w:noProof/>
        </w:rPr>
        <w:t>ES “EXPEDIDO A POSTERIORI”</w:t>
      </w:r>
    </w:p>
    <w:p>
      <w:pPr>
        <w:spacing w:after="0"/>
        <w:rPr>
          <w:rFonts w:eastAsia="Calibri"/>
          <w:noProof/>
          <w:szCs w:val="24"/>
        </w:rPr>
      </w:pPr>
      <w:r>
        <w:rPr>
          <w:noProof/>
        </w:rPr>
        <w:t>CS “VYSTAVENO DODATEČNE”</w:t>
      </w:r>
    </w:p>
    <w:p>
      <w:pPr>
        <w:spacing w:after="0"/>
        <w:rPr>
          <w:rFonts w:eastAsia="Calibri"/>
          <w:noProof/>
          <w:szCs w:val="24"/>
        </w:rPr>
      </w:pPr>
      <w:r>
        <w:rPr>
          <w:noProof/>
        </w:rPr>
        <w:t>DA “UDSTEDT EFTERFØLGENDE”</w:t>
      </w:r>
    </w:p>
    <w:p>
      <w:pPr>
        <w:spacing w:after="0"/>
        <w:rPr>
          <w:rFonts w:eastAsia="Calibri"/>
          <w:noProof/>
          <w:szCs w:val="24"/>
          <w:lang w:val="de-DE"/>
        </w:rPr>
      </w:pPr>
      <w:r>
        <w:rPr>
          <w:noProof/>
          <w:lang w:val="de-DE"/>
        </w:rPr>
        <w:t>DE “NACHTRÄGLICH AUSGESTELLT”</w:t>
      </w:r>
    </w:p>
    <w:p>
      <w:pPr>
        <w:spacing w:after="0"/>
        <w:rPr>
          <w:rFonts w:eastAsia="Calibri"/>
          <w:noProof/>
          <w:szCs w:val="24"/>
          <w:lang w:val="de-DE"/>
        </w:rPr>
      </w:pPr>
      <w:r>
        <w:rPr>
          <w:noProof/>
          <w:lang w:val="de-DE"/>
        </w:rPr>
        <w:t>ET “TAGANTJÄRELE VÄLJA ANTUD”</w:t>
      </w:r>
    </w:p>
    <w:p>
      <w:pPr>
        <w:spacing w:after="0"/>
        <w:rPr>
          <w:rFonts w:eastAsia="Calibri"/>
          <w:noProof/>
          <w:szCs w:val="24"/>
          <w:lang w:val="el-GR"/>
        </w:rPr>
      </w:pPr>
      <w:r>
        <w:rPr>
          <w:noProof/>
        </w:rPr>
        <w:t>EL</w:t>
      </w:r>
      <w:r>
        <w:rPr>
          <w:noProof/>
          <w:lang w:val="el-GR"/>
        </w:rPr>
        <w:t xml:space="preserve"> “ΕΚΔΟΘΕΝ ΕΚ ΤΩΝ ΥΣΤΕΡΩΝ”</w:t>
      </w:r>
    </w:p>
    <w:p>
      <w:pPr>
        <w:spacing w:after="0"/>
        <w:rPr>
          <w:rFonts w:eastAsia="Calibri"/>
          <w:noProof/>
          <w:szCs w:val="24"/>
        </w:rPr>
      </w:pPr>
      <w:r>
        <w:rPr>
          <w:noProof/>
        </w:rPr>
        <w:t>EN “ISSUED RETROSPECTIVELY”</w:t>
      </w:r>
    </w:p>
    <w:p>
      <w:pPr>
        <w:spacing w:after="0"/>
        <w:rPr>
          <w:rFonts w:eastAsia="Calibri"/>
          <w:noProof/>
          <w:szCs w:val="24"/>
        </w:rPr>
      </w:pPr>
      <w:r>
        <w:rPr>
          <w:noProof/>
        </w:rPr>
        <w:t>FR “DÉLIVRÉ A POSTERIORI”</w:t>
      </w:r>
    </w:p>
    <w:p>
      <w:pPr>
        <w:spacing w:after="0"/>
        <w:rPr>
          <w:rFonts w:eastAsia="Calibri"/>
          <w:noProof/>
          <w:szCs w:val="24"/>
          <w:lang w:val="it-IT"/>
        </w:rPr>
      </w:pPr>
      <w:r>
        <w:rPr>
          <w:noProof/>
          <w:lang w:val="it-IT"/>
        </w:rPr>
        <w:t>HR “NAKNADNO IZDANO”</w:t>
      </w:r>
    </w:p>
    <w:p>
      <w:pPr>
        <w:spacing w:after="0"/>
        <w:rPr>
          <w:rFonts w:eastAsia="Calibri"/>
          <w:noProof/>
          <w:szCs w:val="24"/>
          <w:lang w:val="it-IT"/>
        </w:rPr>
      </w:pPr>
      <w:r>
        <w:rPr>
          <w:noProof/>
          <w:lang w:val="it-IT"/>
        </w:rPr>
        <w:t>IT “RILASCIATO A POSTERIORI”</w:t>
      </w:r>
    </w:p>
    <w:p>
      <w:pPr>
        <w:spacing w:after="0"/>
        <w:rPr>
          <w:rFonts w:eastAsia="Calibri"/>
          <w:noProof/>
          <w:szCs w:val="24"/>
          <w:lang w:val="it-IT"/>
        </w:rPr>
      </w:pPr>
      <w:r>
        <w:rPr>
          <w:noProof/>
          <w:lang w:val="it-IT"/>
        </w:rPr>
        <w:t>LV “IZSNIEGTS RETROSPEKTĪVI”</w:t>
      </w:r>
    </w:p>
    <w:p>
      <w:pPr>
        <w:spacing w:after="0"/>
        <w:rPr>
          <w:rFonts w:eastAsia="Calibri"/>
          <w:noProof/>
          <w:szCs w:val="24"/>
          <w:lang w:val="it-IT"/>
        </w:rPr>
      </w:pPr>
      <w:r>
        <w:rPr>
          <w:noProof/>
          <w:lang w:val="it-IT"/>
        </w:rPr>
        <w:t>LT “RETROSPEKTYVUSIS IŠDAVIMAS”</w:t>
      </w:r>
    </w:p>
    <w:p>
      <w:pPr>
        <w:spacing w:after="0"/>
        <w:rPr>
          <w:rFonts w:eastAsia="Calibri"/>
          <w:noProof/>
          <w:szCs w:val="24"/>
          <w:lang w:val="it-IT"/>
        </w:rPr>
      </w:pPr>
      <w:r>
        <w:rPr>
          <w:noProof/>
          <w:lang w:val="it-IT"/>
        </w:rPr>
        <w:t>HU “KIADVA VISSZAMENŐLEGES HATÁLLYAL”</w:t>
      </w:r>
    </w:p>
    <w:p>
      <w:pPr>
        <w:spacing w:after="0"/>
        <w:rPr>
          <w:rFonts w:eastAsia="Calibri"/>
          <w:noProof/>
          <w:szCs w:val="24"/>
          <w:lang w:val="it-IT"/>
        </w:rPr>
      </w:pPr>
      <w:r>
        <w:rPr>
          <w:noProof/>
          <w:lang w:val="it-IT"/>
        </w:rPr>
        <w:t>MT “MAHRUG RETROSPETTIVAMENT”</w:t>
      </w:r>
    </w:p>
    <w:p>
      <w:pPr>
        <w:spacing w:after="0"/>
        <w:rPr>
          <w:rFonts w:eastAsia="Calibri"/>
          <w:noProof/>
          <w:szCs w:val="24"/>
          <w:lang w:val="it-IT"/>
        </w:rPr>
      </w:pPr>
      <w:r>
        <w:rPr>
          <w:noProof/>
          <w:lang w:val="it-IT"/>
        </w:rPr>
        <w:t>NL “AFGEGEVEN A POSTERIORI”</w:t>
      </w:r>
    </w:p>
    <w:p>
      <w:pPr>
        <w:spacing w:after="0"/>
        <w:rPr>
          <w:rFonts w:eastAsia="Calibri"/>
          <w:noProof/>
          <w:szCs w:val="24"/>
          <w:lang w:val="it-IT"/>
        </w:rPr>
      </w:pPr>
      <w:r>
        <w:rPr>
          <w:noProof/>
          <w:lang w:val="it-IT"/>
        </w:rPr>
        <w:t>PL “WYSTAWIONE RETROSPEKTYWNIE”</w:t>
      </w:r>
    </w:p>
    <w:p>
      <w:pPr>
        <w:spacing w:after="0"/>
        <w:rPr>
          <w:rFonts w:eastAsia="Calibri"/>
          <w:noProof/>
          <w:szCs w:val="24"/>
          <w:lang w:val="it-IT"/>
        </w:rPr>
      </w:pPr>
      <w:r>
        <w:rPr>
          <w:noProof/>
          <w:lang w:val="it-IT"/>
        </w:rPr>
        <w:t>PT “EMITIDO A POSTERIORI”</w:t>
      </w:r>
    </w:p>
    <w:p>
      <w:pPr>
        <w:spacing w:after="0"/>
        <w:rPr>
          <w:rFonts w:eastAsia="Calibri"/>
          <w:noProof/>
          <w:szCs w:val="24"/>
          <w:lang w:val="it-IT"/>
        </w:rPr>
      </w:pPr>
      <w:r>
        <w:rPr>
          <w:noProof/>
          <w:lang w:val="it-IT"/>
        </w:rPr>
        <w:t>RO “EMIS A POSTERIORI”</w:t>
      </w:r>
    </w:p>
    <w:p>
      <w:pPr>
        <w:spacing w:after="0"/>
        <w:rPr>
          <w:rFonts w:eastAsia="Calibri"/>
          <w:noProof/>
          <w:szCs w:val="24"/>
          <w:lang w:val="it-IT"/>
        </w:rPr>
      </w:pPr>
      <w:r>
        <w:rPr>
          <w:noProof/>
          <w:lang w:val="it-IT"/>
        </w:rPr>
        <w:t>SK “VYDANÉ DODATOČNE”</w:t>
      </w:r>
    </w:p>
    <w:p>
      <w:pPr>
        <w:spacing w:after="0"/>
        <w:rPr>
          <w:rFonts w:eastAsia="Calibri"/>
          <w:noProof/>
          <w:szCs w:val="24"/>
          <w:lang w:val="it-IT"/>
        </w:rPr>
      </w:pPr>
      <w:r>
        <w:rPr>
          <w:noProof/>
          <w:lang w:val="it-IT"/>
        </w:rPr>
        <w:t>SL “IZDANO NAKNADNO”</w:t>
      </w:r>
    </w:p>
    <w:p>
      <w:pPr>
        <w:spacing w:after="0"/>
        <w:rPr>
          <w:rFonts w:eastAsia="Calibri"/>
          <w:noProof/>
          <w:szCs w:val="24"/>
          <w:lang w:val="it-IT"/>
        </w:rPr>
      </w:pPr>
      <w:r>
        <w:rPr>
          <w:noProof/>
          <w:lang w:val="it-IT"/>
        </w:rPr>
        <w:t>FI “ANNETTU JÄLKIKÄTEEN”</w:t>
      </w:r>
    </w:p>
    <w:p>
      <w:pPr>
        <w:spacing w:after="0"/>
        <w:rPr>
          <w:rFonts w:eastAsia="Calibri"/>
          <w:noProof/>
          <w:szCs w:val="24"/>
        </w:rPr>
      </w:pPr>
      <w:r>
        <w:rPr>
          <w:noProof/>
        </w:rPr>
        <w:t>SV “UTFÄRDAT I EFTERHAND”»</w:t>
      </w:r>
    </w:p>
    <w:p>
      <w:pPr>
        <w:spacing w:after="0"/>
        <w:rPr>
          <w:rFonts w:eastAsia="Calibri"/>
          <w:noProof/>
          <w:szCs w:val="24"/>
        </w:rPr>
      </w:pPr>
    </w:p>
    <w:p>
      <w:pPr>
        <w:spacing w:after="0"/>
        <w:rPr>
          <w:rFonts w:eastAsia="Calibri"/>
          <w:noProof/>
          <w:szCs w:val="24"/>
        </w:rPr>
      </w:pPr>
      <w:r>
        <w:rPr>
          <w:noProof/>
        </w:rPr>
        <w:t>2. L’article 18, paragraphe 2, de l’annexe III de la décision n° 2/2000 est modifié comme suit:</w:t>
      </w:r>
    </w:p>
    <w:p>
      <w:pPr>
        <w:spacing w:after="0"/>
        <w:rPr>
          <w:rFonts w:eastAsia="Calibri"/>
          <w:noProof/>
          <w:szCs w:val="24"/>
        </w:rPr>
      </w:pPr>
    </w:p>
    <w:p>
      <w:pPr>
        <w:spacing w:after="0"/>
        <w:rPr>
          <w:rFonts w:eastAsia="Calibri"/>
          <w:noProof/>
          <w:szCs w:val="24"/>
        </w:rPr>
      </w:pPr>
      <w:r>
        <w:rPr>
          <w:noProof/>
        </w:rPr>
        <w:t>«2. Le duplicata délivré conformément au paragraphe 1 est revêtu d’une des mentions suivantes:</w:t>
      </w:r>
    </w:p>
    <w:p>
      <w:pPr>
        <w:spacing w:after="0"/>
        <w:rPr>
          <w:rFonts w:eastAsia="Calibri"/>
          <w:noProof/>
          <w:szCs w:val="24"/>
        </w:rPr>
      </w:pPr>
    </w:p>
    <w:p>
      <w:pPr>
        <w:spacing w:after="0"/>
        <w:rPr>
          <w:rFonts w:eastAsia="Calibri"/>
          <w:noProof/>
          <w:szCs w:val="24"/>
        </w:rPr>
      </w:pPr>
      <w:r>
        <w:rPr>
          <w:noProof/>
        </w:rPr>
        <w:t>BG “ДУБЛИКАТ”</w:t>
      </w:r>
    </w:p>
    <w:p>
      <w:pPr>
        <w:spacing w:after="0"/>
        <w:rPr>
          <w:rFonts w:eastAsia="Calibri"/>
          <w:noProof/>
          <w:szCs w:val="24"/>
        </w:rPr>
      </w:pPr>
      <w:r>
        <w:rPr>
          <w:noProof/>
        </w:rPr>
        <w:t>ES “DUPLICADO”</w:t>
      </w:r>
    </w:p>
    <w:p>
      <w:pPr>
        <w:spacing w:after="0"/>
        <w:rPr>
          <w:rFonts w:eastAsia="Calibri"/>
          <w:noProof/>
          <w:szCs w:val="24"/>
        </w:rPr>
      </w:pPr>
      <w:r>
        <w:rPr>
          <w:noProof/>
        </w:rPr>
        <w:t>CS “DUPLIKÁT”</w:t>
      </w:r>
    </w:p>
    <w:p>
      <w:pPr>
        <w:spacing w:after="0"/>
        <w:rPr>
          <w:rFonts w:eastAsia="Calibri"/>
          <w:noProof/>
          <w:szCs w:val="24"/>
        </w:rPr>
      </w:pPr>
      <w:r>
        <w:rPr>
          <w:noProof/>
        </w:rPr>
        <w:t>DA “DUPLIKAT”</w:t>
      </w:r>
    </w:p>
    <w:p>
      <w:pPr>
        <w:spacing w:after="0"/>
        <w:rPr>
          <w:rFonts w:eastAsia="Calibri"/>
          <w:noProof/>
          <w:szCs w:val="24"/>
        </w:rPr>
      </w:pPr>
      <w:r>
        <w:rPr>
          <w:noProof/>
        </w:rPr>
        <w:t>DE “DUPLIKAT”</w:t>
      </w:r>
    </w:p>
    <w:p>
      <w:pPr>
        <w:spacing w:after="0"/>
        <w:rPr>
          <w:rFonts w:eastAsia="Calibri"/>
          <w:noProof/>
          <w:szCs w:val="24"/>
        </w:rPr>
      </w:pPr>
      <w:r>
        <w:rPr>
          <w:noProof/>
        </w:rPr>
        <w:t>ET “DUPLIKAAT”</w:t>
      </w:r>
    </w:p>
    <w:p>
      <w:pPr>
        <w:spacing w:after="0"/>
        <w:rPr>
          <w:rFonts w:eastAsia="Calibri"/>
          <w:noProof/>
          <w:szCs w:val="24"/>
        </w:rPr>
      </w:pPr>
      <w:r>
        <w:rPr>
          <w:noProof/>
        </w:rPr>
        <w:t>EL “ΑΝΤΙΓΡΑΦΟ”</w:t>
      </w:r>
    </w:p>
    <w:p>
      <w:pPr>
        <w:spacing w:after="0"/>
        <w:rPr>
          <w:rFonts w:eastAsia="Calibri"/>
          <w:noProof/>
          <w:szCs w:val="24"/>
        </w:rPr>
      </w:pPr>
      <w:r>
        <w:rPr>
          <w:noProof/>
        </w:rPr>
        <w:t>EN “DUPLICATE”</w:t>
      </w:r>
    </w:p>
    <w:p>
      <w:pPr>
        <w:spacing w:after="0"/>
        <w:rPr>
          <w:rFonts w:eastAsia="Calibri"/>
          <w:noProof/>
          <w:szCs w:val="24"/>
        </w:rPr>
      </w:pPr>
      <w:r>
        <w:rPr>
          <w:noProof/>
        </w:rPr>
        <w:t>FR “DUPLICATA”</w:t>
      </w:r>
    </w:p>
    <w:p>
      <w:pPr>
        <w:spacing w:after="0"/>
        <w:rPr>
          <w:rFonts w:eastAsia="Calibri"/>
          <w:noProof/>
          <w:szCs w:val="24"/>
        </w:rPr>
      </w:pPr>
      <w:r>
        <w:rPr>
          <w:noProof/>
        </w:rPr>
        <w:t>HR “DUPLIKAT”</w:t>
      </w:r>
    </w:p>
    <w:p>
      <w:pPr>
        <w:spacing w:after="0"/>
        <w:rPr>
          <w:rFonts w:eastAsia="Calibri"/>
          <w:noProof/>
          <w:szCs w:val="24"/>
        </w:rPr>
      </w:pPr>
      <w:r>
        <w:rPr>
          <w:noProof/>
        </w:rPr>
        <w:t>IT “DUPLICATO”</w:t>
      </w:r>
    </w:p>
    <w:p>
      <w:pPr>
        <w:spacing w:after="0"/>
        <w:rPr>
          <w:rFonts w:eastAsia="Calibri"/>
          <w:noProof/>
          <w:szCs w:val="24"/>
        </w:rPr>
      </w:pPr>
      <w:r>
        <w:rPr>
          <w:noProof/>
        </w:rPr>
        <w:t>LV “DUBLIKĀTS”</w:t>
      </w:r>
    </w:p>
    <w:p>
      <w:pPr>
        <w:tabs>
          <w:tab w:val="right" w:pos="8504"/>
        </w:tabs>
        <w:spacing w:after="0"/>
        <w:rPr>
          <w:rFonts w:eastAsia="Calibri"/>
          <w:noProof/>
          <w:szCs w:val="24"/>
        </w:rPr>
      </w:pPr>
      <w:r>
        <w:rPr>
          <w:noProof/>
        </w:rPr>
        <w:t>LT “DUBLIKATAS”</w:t>
      </w:r>
      <w:r>
        <w:rPr>
          <w:noProof/>
        </w:rPr>
        <w:tab/>
      </w:r>
    </w:p>
    <w:p>
      <w:pPr>
        <w:spacing w:after="0"/>
        <w:rPr>
          <w:rFonts w:eastAsia="Calibri"/>
          <w:noProof/>
          <w:szCs w:val="24"/>
        </w:rPr>
      </w:pPr>
      <w:r>
        <w:rPr>
          <w:noProof/>
        </w:rPr>
        <w:t>HU “MÁSODLAT”</w:t>
      </w:r>
    </w:p>
    <w:p>
      <w:pPr>
        <w:spacing w:after="0"/>
        <w:rPr>
          <w:rFonts w:eastAsia="Calibri"/>
          <w:noProof/>
          <w:szCs w:val="24"/>
        </w:rPr>
      </w:pPr>
      <w:r>
        <w:rPr>
          <w:noProof/>
        </w:rPr>
        <w:t>MT “DUPLIKAT”</w:t>
      </w:r>
    </w:p>
    <w:p>
      <w:pPr>
        <w:spacing w:after="0"/>
        <w:rPr>
          <w:rFonts w:eastAsia="Calibri"/>
          <w:noProof/>
          <w:szCs w:val="24"/>
        </w:rPr>
      </w:pPr>
      <w:r>
        <w:rPr>
          <w:noProof/>
        </w:rPr>
        <w:t>NL “DUPLICAAT”</w:t>
      </w:r>
    </w:p>
    <w:p>
      <w:pPr>
        <w:spacing w:after="0"/>
        <w:rPr>
          <w:rFonts w:eastAsia="Calibri"/>
          <w:noProof/>
          <w:szCs w:val="24"/>
        </w:rPr>
      </w:pPr>
      <w:r>
        <w:rPr>
          <w:noProof/>
        </w:rPr>
        <w:t>PL “DUPLIKAT”</w:t>
      </w:r>
    </w:p>
    <w:p>
      <w:pPr>
        <w:spacing w:after="0"/>
        <w:rPr>
          <w:rFonts w:eastAsia="Calibri"/>
          <w:noProof/>
          <w:szCs w:val="24"/>
          <w:lang w:val="pt-PT"/>
        </w:rPr>
      </w:pPr>
      <w:r>
        <w:rPr>
          <w:noProof/>
          <w:lang w:val="pt-PT"/>
        </w:rPr>
        <w:t>PT “SEGUNDA VIA”</w:t>
      </w:r>
    </w:p>
    <w:p>
      <w:pPr>
        <w:spacing w:after="0"/>
        <w:rPr>
          <w:rFonts w:eastAsia="Calibri"/>
          <w:noProof/>
          <w:szCs w:val="24"/>
          <w:lang w:val="pt-PT"/>
        </w:rPr>
      </w:pPr>
      <w:r>
        <w:rPr>
          <w:noProof/>
          <w:lang w:val="pt-PT"/>
        </w:rPr>
        <w:t>RO “DUPLICAT”</w:t>
      </w:r>
    </w:p>
    <w:p>
      <w:pPr>
        <w:spacing w:after="0"/>
        <w:rPr>
          <w:rFonts w:eastAsia="Calibri"/>
          <w:noProof/>
          <w:szCs w:val="24"/>
          <w:lang w:val="pt-PT"/>
        </w:rPr>
      </w:pPr>
      <w:r>
        <w:rPr>
          <w:noProof/>
          <w:lang w:val="pt-PT"/>
        </w:rPr>
        <w:t>SK “DUPLIKÁT”</w:t>
      </w:r>
    </w:p>
    <w:p>
      <w:pPr>
        <w:spacing w:after="0"/>
        <w:rPr>
          <w:rFonts w:eastAsia="Calibri"/>
          <w:noProof/>
          <w:szCs w:val="24"/>
          <w:lang w:val="pt-PT"/>
        </w:rPr>
      </w:pPr>
      <w:r>
        <w:rPr>
          <w:noProof/>
          <w:lang w:val="pt-PT"/>
        </w:rPr>
        <w:t>SL “DVOJNIK”</w:t>
      </w:r>
    </w:p>
    <w:p>
      <w:pPr>
        <w:spacing w:after="0"/>
        <w:rPr>
          <w:rFonts w:eastAsia="Calibri"/>
          <w:noProof/>
          <w:szCs w:val="24"/>
          <w:lang w:val="pt-PT"/>
        </w:rPr>
      </w:pPr>
      <w:r>
        <w:rPr>
          <w:noProof/>
          <w:lang w:val="pt-PT"/>
        </w:rPr>
        <w:t>FI “KAKSOISKAPPALE”</w:t>
      </w:r>
    </w:p>
    <w:p>
      <w:pPr>
        <w:spacing w:after="0"/>
        <w:rPr>
          <w:rFonts w:eastAsia="Calibri"/>
          <w:noProof/>
          <w:szCs w:val="24"/>
        </w:rPr>
      </w:pPr>
      <w:r>
        <w:rPr>
          <w:noProof/>
        </w:rPr>
        <w:t>SV “DUPLIKAT”»</w:t>
      </w:r>
    </w:p>
    <w:p>
      <w:pPr>
        <w:spacing w:after="0"/>
        <w:rPr>
          <w:rFonts w:eastAsia="Calibri"/>
          <w:noProof/>
          <w:szCs w:val="24"/>
        </w:rPr>
      </w:pPr>
    </w:p>
    <w:p>
      <w:pPr>
        <w:spacing w:after="0"/>
        <w:rPr>
          <w:rFonts w:eastAsia="Calibri"/>
          <w:noProof/>
          <w:szCs w:val="24"/>
        </w:rPr>
      </w:pPr>
      <w:r>
        <w:rPr>
          <w:noProof/>
        </w:rPr>
        <w:t>3. Le texte suivant est ajouté à l'appendice IV de l'annexe III de la décision n° 2/2000:</w:t>
      </w:r>
    </w:p>
    <w:p>
      <w:pPr>
        <w:spacing w:after="0"/>
        <w:rPr>
          <w:rFonts w:eastAsia="Calibri"/>
          <w:noProof/>
          <w:szCs w:val="24"/>
        </w:rPr>
      </w:pPr>
    </w:p>
    <w:p>
      <w:pPr>
        <w:spacing w:after="0"/>
        <w:rPr>
          <w:rFonts w:eastAsia="Calibri"/>
          <w:noProof/>
          <w:szCs w:val="24"/>
        </w:rPr>
      </w:pPr>
      <w:r>
        <w:rPr>
          <w:noProof/>
        </w:rPr>
        <w:t>«Version croate</w:t>
      </w:r>
    </w:p>
    <w:p>
      <w:pPr>
        <w:rPr>
          <w:rFonts w:eastAsia="Calibri"/>
          <w:noProof/>
          <w:szCs w:val="24"/>
        </w:rPr>
      </w:pPr>
    </w:p>
    <w:p>
      <w:pPr>
        <w:rPr>
          <w:rFonts w:eastAsia="Calibri"/>
          <w:noProof/>
          <w:szCs w:val="24"/>
        </w:rPr>
      </w:pPr>
      <w:r>
        <w:rPr>
          <w:noProof/>
        </w:rPr>
        <w:t xml:space="preserve">Izvoznik proizvoda obuhvaćenih ovom ispravom (carinsko ovlaštenje br. ... </w:t>
      </w:r>
      <w:r>
        <w:rPr>
          <w:noProof/>
          <w:vertAlign w:val="superscript"/>
        </w:rPr>
        <w:t>(</w:t>
      </w:r>
      <w:r>
        <w:rPr>
          <w:rStyle w:val="FootnoteReference"/>
          <w:noProof/>
        </w:rPr>
        <w:footnoteReference w:id="1"/>
      </w:r>
      <w:r>
        <w:rPr>
          <w:noProof/>
          <w:vertAlign w:val="superscript"/>
        </w:rPr>
        <w:t>)</w:t>
      </w:r>
      <w:r>
        <w:rPr>
          <w:noProof/>
        </w:rPr>
        <w:t xml:space="preserve">) izjavljuje da su, osim ako je drukčije izričito navedeno, ovi proizvodi ... </w:t>
      </w:r>
      <w:r>
        <w:rPr>
          <w:noProof/>
          <w:vertAlign w:val="superscript"/>
        </w:rPr>
        <w:t>(</w:t>
      </w:r>
      <w:r>
        <w:rPr>
          <w:rStyle w:val="FootnoteReference"/>
          <w:noProof/>
        </w:rPr>
        <w:footnoteReference w:id="2"/>
      </w:r>
      <w:r>
        <w:rPr>
          <w:noProof/>
          <w:vertAlign w:val="superscript"/>
        </w:rPr>
        <w:t>)</w:t>
      </w:r>
      <w:r>
        <w:rPr>
          <w:noProof/>
        </w:rPr>
        <w:t xml:space="preserve"> preferencijalnog podrijetla.»</w:t>
      </w:r>
    </w:p>
    <w:p>
      <w:pPr>
        <w:spacing w:after="0"/>
        <w:jc w:val="center"/>
        <w:rPr>
          <w:rFonts w:eastAsia="Calibri"/>
          <w:noProof/>
          <w:szCs w:val="24"/>
        </w:rPr>
        <w:sectPr>
          <w:footerReference w:type="default" r:id="rId15"/>
          <w:footerReference w:type="first" r:id="rId16"/>
          <w:footnotePr>
            <w:numRestart w:val="eachSect"/>
          </w:footnotePr>
          <w:pgSz w:w="11906" w:h="16838"/>
          <w:pgMar w:top="1412" w:right="1701" w:bottom="1412" w:left="1701" w:header="709" w:footer="709" w:gutter="0"/>
          <w:pgNumType w:start="1"/>
          <w:cols w:space="720"/>
          <w:docGrid w:linePitch="326"/>
        </w:sectPr>
      </w:pPr>
    </w:p>
    <w:p>
      <w:pPr>
        <w:spacing w:after="0"/>
        <w:jc w:val="center"/>
        <w:rPr>
          <w:rFonts w:eastAsia="Calibri"/>
          <w:noProof/>
          <w:szCs w:val="24"/>
        </w:rPr>
      </w:pPr>
      <w:r>
        <w:rPr>
          <w:noProof/>
        </w:rPr>
        <w:t>ANNEXE III</w:t>
      </w:r>
    </w:p>
    <w:p>
      <w:pPr>
        <w:spacing w:after="0"/>
        <w:rPr>
          <w:rFonts w:eastAsia="Calibri"/>
          <w:noProof/>
          <w:szCs w:val="24"/>
        </w:rPr>
      </w:pPr>
    </w:p>
    <w:p>
      <w:pPr>
        <w:spacing w:after="0"/>
        <w:jc w:val="center"/>
        <w:rPr>
          <w:rFonts w:eastAsia="Calibri"/>
          <w:b/>
          <w:noProof/>
          <w:szCs w:val="24"/>
        </w:rPr>
      </w:pPr>
      <w:r>
        <w:rPr>
          <w:b/>
          <w:noProof/>
        </w:rPr>
        <w:t>ENTITÉS PUBLIQUES CENTRALES</w:t>
      </w:r>
    </w:p>
    <w:p>
      <w:pPr>
        <w:spacing w:after="0"/>
        <w:rPr>
          <w:rFonts w:eastAsia="Calibri"/>
          <w:noProof/>
          <w:szCs w:val="24"/>
        </w:rPr>
      </w:pPr>
    </w:p>
    <w:p>
      <w:pPr>
        <w:spacing w:after="0"/>
        <w:rPr>
          <w:rFonts w:eastAsia="Calibri"/>
          <w:noProof/>
          <w:szCs w:val="24"/>
        </w:rPr>
      </w:pPr>
      <w:r>
        <w:rPr>
          <w:noProof/>
        </w:rPr>
        <w:t>1. Les entités publiques centrales énumérées ci-après sont ajoutées à l'annexe VI, partie B, section 1, de la décision n° 2/2000:</w:t>
      </w:r>
    </w:p>
    <w:p>
      <w:pPr>
        <w:spacing w:after="0"/>
        <w:rPr>
          <w:rFonts w:eastAsia="Calibri"/>
          <w:noProof/>
          <w:szCs w:val="24"/>
        </w:rPr>
      </w:pPr>
    </w:p>
    <w:p>
      <w:pPr>
        <w:spacing w:after="0"/>
        <w:rPr>
          <w:rFonts w:eastAsia="Calibri"/>
          <w:noProof/>
          <w:szCs w:val="24"/>
        </w:rPr>
      </w:pPr>
      <w:r>
        <w:rPr>
          <w:noProof/>
        </w:rPr>
        <w:t>«</w:t>
      </w:r>
      <w:r>
        <w:rPr>
          <w:b/>
          <w:noProof/>
        </w:rPr>
        <w:t>AC – République de Croatie</w:t>
      </w:r>
    </w:p>
    <w:p>
      <w:pPr>
        <w:spacing w:after="0"/>
        <w:rPr>
          <w:rFonts w:eastAsia="Calibri"/>
          <w:noProof/>
          <w:szCs w:val="24"/>
        </w:rPr>
      </w:pPr>
    </w:p>
    <w:tbl>
      <w:tblPr>
        <w:tblW w:w="83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843"/>
        <w:gridCol w:w="3843"/>
      </w:tblGrid>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1</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Parlement croate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Hrvatski Sabor</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2</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Président de la République de Croatie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Predsjednik Republike Hrvatske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3</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Bureau du président de la République de Croatie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Ured predsjednika Republike Hrvatske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4</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Bureau du président de la République de Croatie après expiration de son mandat</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Ured predsjednika Republike Hrvatske po prestanku obnašanja dužnosti</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5</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Gouvernement de la République de Croatie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Vlada Republike Hrvatske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6</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Bureaux du gouvernement de la République de Croatie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uredi Vlade Republike Hrvatske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7</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 l’économie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gospodarstva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8</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du développement régional et des fonds UE</w:t>
            </w:r>
          </w:p>
        </w:tc>
        <w:tc>
          <w:tcPr>
            <w:tcW w:w="3843" w:type="dxa"/>
            <w:shd w:val="clear" w:color="auto" w:fill="auto"/>
            <w:vAlign w:val="center"/>
          </w:tcPr>
          <w:p>
            <w:pPr>
              <w:spacing w:after="0"/>
              <w:rPr>
                <w:rFonts w:ascii="Calibri" w:eastAsia="Calibri" w:hAnsi="Calibri"/>
                <w:i/>
                <w:noProof/>
                <w:szCs w:val="24"/>
                <w:lang w:val="it-IT"/>
              </w:rPr>
            </w:pPr>
            <w:r>
              <w:rPr>
                <w:rFonts w:ascii="Calibri" w:hAnsi="Calibri"/>
                <w:i/>
                <w:noProof/>
                <w:lang w:val="it-IT"/>
              </w:rPr>
              <w:t>Ministarstvo regionalnoga razvoja i fondova Europske unije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9</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des finances</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financija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10</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 la défense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obrane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11</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des affaires étrangères et européennes</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vanjskih i europskih poslova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12</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 l’intérieur</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unutarnjih poslova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13</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 la justice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pravosuđa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14</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 l’administration publique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uprave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15</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 l’entrepreneuriat et de l’artisanat</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poduzetništva i obrta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16</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du travail et du régime des retraites</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rada i mirovinskoga sustava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17</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des affaires maritimes, des transports et des infrastructures</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pomorstva, prometa i infrastrukture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18</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 l’agriculture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poljoprivrede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19</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du tourisme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turizma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20</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 l’environnement et de la protection de la nature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zaštite okoliša i prirode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21</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 la construction et de l’aménagement du territoire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graditeljstva i prostornoga uređenja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22</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des anciens combattants</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branitelja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23</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 la politique sociale et de la jeunesse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socijalne politike i mladih</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24</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 la santé</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zdravlja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25</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 la science, de l’éducation nationale et des sports</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znanosti, obrazovanja i sporta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26</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Ministère de la culture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Ministarstvo kulture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27</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Organes de l’administration publique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državne upravne organizacije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28</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Bureaux de l’administration d’État dans les départements</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uredi državne uprave u županijama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29</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Cour constitutionnelle de la République de Croatie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Ustavni sud Republike Hrvatske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30</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Cour suprême de la République de Croatie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Vrhovni sud Republike Hrvatske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31</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Juridictions</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sudovi</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32</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Conseil national des juges</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Državno sudbeno vijeće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33</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Bureaux du procureur de l’État</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državna odvjetništva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34</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Conseil national des procureurs</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Državno odvjetničko vijeće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35</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Bureaux du médiateur</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pravobraniteljstva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36</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Commission nationale de contrôle des procédures de passation des marchés</w:t>
            </w:r>
          </w:p>
        </w:tc>
        <w:tc>
          <w:tcPr>
            <w:tcW w:w="3843" w:type="dxa"/>
            <w:shd w:val="clear" w:color="auto" w:fill="auto"/>
            <w:vAlign w:val="center"/>
          </w:tcPr>
          <w:p>
            <w:pPr>
              <w:spacing w:after="0"/>
              <w:rPr>
                <w:rFonts w:ascii="Calibri" w:eastAsia="Calibri" w:hAnsi="Calibri"/>
                <w:i/>
                <w:noProof/>
                <w:szCs w:val="24"/>
                <w:lang w:val="pl-PL"/>
              </w:rPr>
            </w:pPr>
            <w:r>
              <w:rPr>
                <w:rFonts w:ascii="Calibri" w:hAnsi="Calibri"/>
                <w:i/>
                <w:noProof/>
                <w:lang w:val="pl-PL"/>
              </w:rPr>
              <w:t>Državna komisija za kontrolu postupaka javne nabave</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37</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Banque nationale croate</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Hrvatska narodna banka</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38</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Agences et bureaux nationaux</w:t>
            </w:r>
          </w:p>
        </w:tc>
        <w:tc>
          <w:tcPr>
            <w:tcW w:w="3843" w:type="dxa"/>
            <w:shd w:val="clear" w:color="auto" w:fill="auto"/>
            <w:vAlign w:val="center"/>
          </w:tcPr>
          <w:p>
            <w:pPr>
              <w:spacing w:after="0"/>
              <w:rPr>
                <w:rFonts w:ascii="Calibri" w:eastAsia="Calibri" w:hAnsi="Calibri"/>
                <w:i/>
                <w:noProof/>
                <w:szCs w:val="24"/>
              </w:rPr>
            </w:pPr>
            <w:r>
              <w:rPr>
                <w:rFonts w:ascii="Calibri" w:hAnsi="Calibri"/>
                <w:i/>
                <w:noProof/>
              </w:rPr>
              <w:t>državne agencije i uredi</w:t>
            </w:r>
          </w:p>
        </w:tc>
      </w:tr>
      <w:tr>
        <w:tc>
          <w:tcPr>
            <w:tcW w:w="648" w:type="dxa"/>
            <w:shd w:val="clear" w:color="auto" w:fill="auto"/>
            <w:vAlign w:val="center"/>
          </w:tcPr>
          <w:p>
            <w:pPr>
              <w:spacing w:after="0"/>
              <w:jc w:val="center"/>
              <w:rPr>
                <w:rFonts w:ascii="Calibri" w:eastAsia="Calibri" w:hAnsi="Calibri"/>
                <w:noProof/>
                <w:szCs w:val="24"/>
              </w:rPr>
            </w:pPr>
            <w:r>
              <w:rPr>
                <w:rFonts w:ascii="Calibri" w:hAnsi="Calibri"/>
                <w:noProof/>
              </w:rPr>
              <w:t>39</w:t>
            </w:r>
          </w:p>
        </w:tc>
        <w:tc>
          <w:tcPr>
            <w:tcW w:w="3843" w:type="dxa"/>
            <w:shd w:val="clear" w:color="auto" w:fill="auto"/>
            <w:vAlign w:val="center"/>
          </w:tcPr>
          <w:p>
            <w:pPr>
              <w:spacing w:after="0"/>
              <w:rPr>
                <w:rFonts w:ascii="Calibri" w:eastAsia="Calibri" w:hAnsi="Calibri"/>
                <w:noProof/>
                <w:szCs w:val="24"/>
              </w:rPr>
            </w:pPr>
            <w:r>
              <w:rPr>
                <w:rFonts w:ascii="Calibri" w:hAnsi="Calibri"/>
                <w:noProof/>
              </w:rPr>
              <w:t>Cour des comptes</w:t>
            </w:r>
          </w:p>
        </w:tc>
        <w:tc>
          <w:tcPr>
            <w:tcW w:w="3843" w:type="dxa"/>
            <w:shd w:val="clear" w:color="auto" w:fill="auto"/>
            <w:vAlign w:val="center"/>
          </w:tcPr>
          <w:p>
            <w:pPr>
              <w:tabs>
                <w:tab w:val="left" w:pos="972"/>
              </w:tabs>
              <w:spacing w:after="0"/>
              <w:rPr>
                <w:rFonts w:ascii="Calibri" w:eastAsia="Calibri" w:hAnsi="Calibri"/>
                <w:i/>
                <w:noProof/>
                <w:szCs w:val="24"/>
              </w:rPr>
            </w:pPr>
            <w:r>
              <w:rPr>
                <w:rFonts w:ascii="Calibri" w:hAnsi="Calibri"/>
                <w:i/>
                <w:noProof/>
              </w:rPr>
              <w:t>Državni ured za reviziju»</w:t>
            </w:r>
          </w:p>
        </w:tc>
      </w:tr>
    </w:tbl>
    <w:p>
      <w:pPr>
        <w:spacing w:after="0"/>
        <w:rPr>
          <w:rFonts w:eastAsia="Calibri"/>
          <w:noProof/>
          <w:szCs w:val="24"/>
        </w:rPr>
      </w:pPr>
    </w:p>
    <w:p>
      <w:pPr>
        <w:spacing w:after="0"/>
        <w:rPr>
          <w:rFonts w:eastAsia="Calibri"/>
          <w:noProof/>
          <w:szCs w:val="24"/>
        </w:rPr>
      </w:pPr>
      <w:r>
        <w:rPr>
          <w:noProof/>
        </w:rPr>
        <w:t>2. Les entités et catégories d'entités suivantes visées aux annexes I, II, VII, VIII et IX de la directive 2004/17/CE sont ajoutées à l'appendice de l'annexe VI, partie B, section 2, de la décision n° 2/2000:</w:t>
      </w:r>
    </w:p>
    <w:p>
      <w:pPr>
        <w:spacing w:after="0"/>
        <w:rPr>
          <w:rFonts w:eastAsia="Calibri"/>
          <w:noProof/>
          <w:szCs w:val="24"/>
        </w:rPr>
      </w:pPr>
    </w:p>
    <w:p>
      <w:pPr>
        <w:spacing w:after="0"/>
        <w:rPr>
          <w:rFonts w:eastAsia="Calibri"/>
          <w:noProof/>
          <w:szCs w:val="24"/>
        </w:rPr>
      </w:pPr>
      <w:r>
        <w:rPr>
          <w:noProof/>
        </w:rPr>
        <w:t>a) Annexe I</w:t>
      </w:r>
    </w:p>
    <w:p>
      <w:pPr>
        <w:spacing w:after="0"/>
        <w:rPr>
          <w:rFonts w:eastAsia="Calibri"/>
          <w:noProof/>
          <w:szCs w:val="24"/>
        </w:rPr>
      </w:pPr>
    </w:p>
    <w:p>
      <w:pPr>
        <w:spacing w:after="0"/>
        <w:rPr>
          <w:rFonts w:eastAsia="Calibri"/>
          <w:noProof/>
          <w:szCs w:val="24"/>
        </w:rPr>
      </w:pPr>
    </w:p>
    <w:p>
      <w:pPr>
        <w:spacing w:after="0"/>
        <w:rPr>
          <w:rFonts w:eastAsia="Calibri"/>
          <w:b/>
          <w:noProof/>
          <w:szCs w:val="24"/>
        </w:rPr>
      </w:pPr>
      <w:r>
        <w:rPr>
          <w:b/>
          <w:noProof/>
        </w:rPr>
        <w:t>«PRODUCTION, TRANSPORT OU DISTRIBUTION D'EAU POTABLE»:</w:t>
      </w:r>
    </w:p>
    <w:p>
      <w:pPr>
        <w:spacing w:after="0"/>
        <w:rPr>
          <w:rFonts w:eastAsia="Calibri"/>
          <w:noProof/>
          <w:szCs w:val="24"/>
        </w:rPr>
      </w:pPr>
    </w:p>
    <w:p>
      <w:pPr>
        <w:spacing w:after="0"/>
        <w:rPr>
          <w:rFonts w:eastAsia="Calibri"/>
          <w:noProof/>
          <w:szCs w:val="24"/>
        </w:rPr>
      </w:pPr>
      <w:r>
        <w:rPr>
          <w:noProof/>
        </w:rPr>
        <w:t>«RÉPUBLIQUE DE CROATIE</w:t>
      </w:r>
    </w:p>
    <w:p>
      <w:pPr>
        <w:spacing w:after="0"/>
        <w:rPr>
          <w:rFonts w:eastAsia="Calibri"/>
          <w:noProof/>
          <w:szCs w:val="24"/>
        </w:rPr>
      </w:pPr>
    </w:p>
    <w:p>
      <w:pPr>
        <w:spacing w:after="0"/>
        <w:rPr>
          <w:rFonts w:eastAsia="Calibri"/>
          <w:noProof/>
          <w:szCs w:val="24"/>
        </w:rPr>
      </w:pPr>
      <w:r>
        <w:rPr>
          <w:noProof/>
        </w:rPr>
        <w:t>Les entreprises publiques qui sont des entités adjudicatrices visées à l'article 6 de la Zakon o javnoj nabavi (Narodne novine broj 90/11, 83/13, 143/13 i 13/14) (loi sur les marchés publics, Journal officiel croate n° 90/11, n° 83/13, n° 143/13 et n° 13/14), qui, en vertu de réglementations spéciales, exercent des activités</w:t>
      </w:r>
      <w:r>
        <w:rPr>
          <w:rFonts w:ascii="Calibri" w:hAnsi="Calibri"/>
          <w:noProof/>
        </w:rPr>
        <w:t xml:space="preserve"> </w:t>
      </w:r>
      <w:r>
        <w:rPr>
          <w:noProof/>
        </w:rPr>
        <w:t>de construction (fourniture) ou d'exploitation de réseaux fixes destinés à fournir des services publics liés à la production, à l'acheminement et à la distribution d'eau potable et à la fourniture d'eau potable aux réseaux fixes; il s'agit notamment des entités mises en place par les collectivités locales assurant la gestion publique de l'eau et de l'assainissement conformément à la loi relative à l'eau (Journal officiel croate n° 153/09, n° 63/11, n° 130/11, n° 53/13 et n° 14/14). »</w:t>
      </w:r>
    </w:p>
    <w:p>
      <w:pPr>
        <w:spacing w:after="0"/>
        <w:rPr>
          <w:rFonts w:eastAsia="Calibri"/>
          <w:noProof/>
          <w:szCs w:val="24"/>
        </w:rPr>
      </w:pPr>
    </w:p>
    <w:p>
      <w:pPr>
        <w:spacing w:after="0"/>
        <w:rPr>
          <w:rFonts w:eastAsia="Calibri"/>
          <w:noProof/>
          <w:szCs w:val="24"/>
        </w:rPr>
      </w:pPr>
      <w:r>
        <w:rPr>
          <w:noProof/>
        </w:rPr>
        <w:t>b) Annexe II</w:t>
      </w:r>
    </w:p>
    <w:p>
      <w:pPr>
        <w:spacing w:after="0"/>
        <w:rPr>
          <w:rFonts w:eastAsia="Calibri"/>
          <w:noProof/>
          <w:szCs w:val="24"/>
        </w:rPr>
      </w:pPr>
    </w:p>
    <w:p>
      <w:pPr>
        <w:spacing w:after="0"/>
        <w:rPr>
          <w:rFonts w:eastAsia="Calibri"/>
          <w:noProof/>
          <w:szCs w:val="24"/>
        </w:rPr>
      </w:pPr>
    </w:p>
    <w:p>
      <w:pPr>
        <w:spacing w:after="0"/>
        <w:rPr>
          <w:rFonts w:eastAsia="Calibri"/>
          <w:noProof/>
          <w:szCs w:val="24"/>
        </w:rPr>
      </w:pPr>
    </w:p>
    <w:p>
      <w:pPr>
        <w:spacing w:after="0"/>
        <w:rPr>
          <w:rFonts w:eastAsia="Calibri"/>
          <w:b/>
          <w:noProof/>
          <w:szCs w:val="24"/>
        </w:rPr>
      </w:pPr>
      <w:r>
        <w:rPr>
          <w:b/>
          <w:noProof/>
        </w:rPr>
        <w:t>«PRODUCTION, TRANSPORT OU DISTRIBUTION D'ÉLECTRICITÉ»:</w:t>
      </w:r>
    </w:p>
    <w:p>
      <w:pPr>
        <w:spacing w:after="0"/>
        <w:rPr>
          <w:rFonts w:eastAsia="Calibri"/>
          <w:noProof/>
          <w:szCs w:val="24"/>
        </w:rPr>
      </w:pPr>
    </w:p>
    <w:p>
      <w:pPr>
        <w:spacing w:after="0"/>
        <w:rPr>
          <w:rFonts w:eastAsia="Calibri"/>
          <w:noProof/>
          <w:szCs w:val="24"/>
        </w:rPr>
      </w:pPr>
      <w:r>
        <w:rPr>
          <w:noProof/>
        </w:rPr>
        <w:t>«RÉPUBLIQUE DE CROATIE</w:t>
      </w:r>
    </w:p>
    <w:p>
      <w:pPr>
        <w:spacing w:after="0"/>
        <w:rPr>
          <w:rFonts w:eastAsia="Calibri"/>
          <w:noProof/>
          <w:szCs w:val="24"/>
        </w:rPr>
      </w:pPr>
    </w:p>
    <w:p>
      <w:pPr>
        <w:spacing w:after="0"/>
        <w:rPr>
          <w:rFonts w:eastAsia="Calibri"/>
          <w:noProof/>
          <w:szCs w:val="24"/>
        </w:rPr>
      </w:pPr>
      <w:r>
        <w:rPr>
          <w:noProof/>
        </w:rPr>
        <w:t>Les entreprises publiques qui sont des entités adjudicatrices visées à l'article 6 de la Zakon o javnoj nabavi (Narodne novine broj 90/11, 83/13, 143/13 i 13/14) (loi sur les marchés publics, Journal officiel croate n° 90/11, n° 83/13, n° 143/13 et n° 13/14), qui, en vertu de réglementations spéciales, exercent des activités</w:t>
      </w:r>
      <w:r>
        <w:rPr>
          <w:rFonts w:ascii="Calibri" w:hAnsi="Calibri"/>
          <w:noProof/>
        </w:rPr>
        <w:t xml:space="preserve"> </w:t>
      </w:r>
      <w:r>
        <w:rPr>
          <w:noProof/>
        </w:rPr>
        <w:t>de construction (fourniture) ou d'exploitation de réseaux fixes destinés à fournir des services publics liés à la production, à l'acheminement et à la distribution d'électricité et à la fourniture d'électricité aux réseaux fixes; il s'agit notamment des entités exerçant lesdites activités au titre de la licence les autorisant à exercer des activités dans le secteur de l'énergie conformément à la loi relative à l'énergie (Journal officiel croate n° 120/12 et n° 14/14). »</w:t>
      </w:r>
    </w:p>
    <w:p>
      <w:pPr>
        <w:spacing w:after="0"/>
        <w:rPr>
          <w:rFonts w:eastAsia="Calibri"/>
          <w:noProof/>
          <w:szCs w:val="24"/>
        </w:rPr>
      </w:pPr>
    </w:p>
    <w:p>
      <w:pPr>
        <w:spacing w:after="0"/>
        <w:rPr>
          <w:rFonts w:eastAsia="Calibri"/>
          <w:noProof/>
          <w:szCs w:val="24"/>
        </w:rPr>
      </w:pPr>
      <w:r>
        <w:rPr>
          <w:noProof/>
        </w:rPr>
        <w:t>c) Annexe VII</w:t>
      </w:r>
    </w:p>
    <w:p>
      <w:pPr>
        <w:spacing w:after="0"/>
        <w:rPr>
          <w:rFonts w:eastAsia="Calibri"/>
          <w:noProof/>
          <w:szCs w:val="24"/>
        </w:rPr>
      </w:pPr>
    </w:p>
    <w:p>
      <w:pPr>
        <w:spacing w:after="0"/>
        <w:rPr>
          <w:rFonts w:eastAsia="Calibri"/>
          <w:noProof/>
          <w:szCs w:val="24"/>
        </w:rPr>
      </w:pPr>
    </w:p>
    <w:p>
      <w:pPr>
        <w:spacing w:after="0"/>
        <w:rPr>
          <w:rFonts w:eastAsia="Calibri"/>
          <w:noProof/>
          <w:szCs w:val="24"/>
        </w:rPr>
      </w:pPr>
    </w:p>
    <w:p>
      <w:pPr>
        <w:spacing w:after="0"/>
        <w:rPr>
          <w:rFonts w:eastAsia="Calibri"/>
          <w:b/>
          <w:noProof/>
          <w:szCs w:val="24"/>
        </w:rPr>
      </w:pPr>
      <w:r>
        <w:rPr>
          <w:b/>
          <w:noProof/>
        </w:rPr>
        <w:t>«ENTITÉS ADJUDICATRICES DANS LE DOMAINE DES SERVICES DE CHEMINS DE FER URBAINS, DE TRAMWAY, DE TROLLEY OU D'AUTOBUS»:</w:t>
      </w:r>
    </w:p>
    <w:p>
      <w:pPr>
        <w:spacing w:after="0"/>
        <w:rPr>
          <w:rFonts w:eastAsia="Calibri"/>
          <w:noProof/>
          <w:szCs w:val="24"/>
        </w:rPr>
      </w:pPr>
    </w:p>
    <w:p>
      <w:pPr>
        <w:spacing w:after="0"/>
        <w:rPr>
          <w:rFonts w:eastAsia="Calibri"/>
          <w:noProof/>
          <w:szCs w:val="24"/>
        </w:rPr>
      </w:pPr>
      <w:r>
        <w:rPr>
          <w:noProof/>
        </w:rPr>
        <w:t>«RÉPUBLIQUE DE CROATIE</w:t>
      </w:r>
    </w:p>
    <w:p>
      <w:pPr>
        <w:spacing w:after="0"/>
        <w:rPr>
          <w:rFonts w:eastAsia="Calibri"/>
          <w:noProof/>
          <w:szCs w:val="24"/>
        </w:rPr>
      </w:pPr>
    </w:p>
    <w:p>
      <w:pPr>
        <w:spacing w:after="0"/>
        <w:rPr>
          <w:rFonts w:eastAsia="Calibri"/>
          <w:noProof/>
          <w:szCs w:val="24"/>
        </w:rPr>
      </w:pPr>
      <w:r>
        <w:rPr>
          <w:noProof/>
        </w:rPr>
        <w:t>Les entreprises publiques qui sont des entités adjudicatrices visées à l'article 6 de la Zakon o javnoj nabavi (Narodne novine broj 90/11, 83/13, 143/13 i 13/14) (loi sur les marchés publics, Journal officiel croate n° 90/11, n° 83/13, n° 143/13 et n° 13/14), qui, en vertu de réglementations spéciales, exercent des activités</w:t>
      </w:r>
      <w:r>
        <w:rPr>
          <w:rFonts w:ascii="Calibri" w:hAnsi="Calibri"/>
          <w:noProof/>
        </w:rPr>
        <w:t xml:space="preserve"> </w:t>
      </w:r>
      <w:r>
        <w:rPr>
          <w:noProof/>
        </w:rPr>
        <w:t>de fourniture ou d'exploitation de réseaux de services destinés au public dans le domaine des transports par chemins de fer urbains, systèmes automatiques, tramways, autobus, trolleybus et téléphériques; il s'agit notamment des entités exerçant lesdites activités à titre de prestataires de services publics conformément à la loi sur les services publics (Journal officiel croate n° 36/95, n° 70/97, n° 128/99, n° 57/00, n° 129/00, n° 59/01, n° 26/03, n° 82/04, n° 110/04, n° 178/04, n° 38/09, n° 79/09, n° 153/09, n° 49/11, n° 84/11, n° 90/11, n° 144/12, n° 94/13, n° 153/13 et n° 147/14).»</w:t>
      </w:r>
    </w:p>
    <w:p>
      <w:pPr>
        <w:spacing w:after="0"/>
        <w:rPr>
          <w:rFonts w:eastAsia="Calibri"/>
          <w:noProof/>
          <w:szCs w:val="24"/>
        </w:rPr>
      </w:pPr>
    </w:p>
    <w:p>
      <w:pPr>
        <w:spacing w:after="0"/>
        <w:rPr>
          <w:rFonts w:eastAsia="Calibri"/>
          <w:noProof/>
          <w:szCs w:val="24"/>
        </w:rPr>
      </w:pPr>
      <w:r>
        <w:rPr>
          <w:noProof/>
        </w:rPr>
        <w:t>d) Annexe VIII</w:t>
      </w:r>
    </w:p>
    <w:p>
      <w:pPr>
        <w:spacing w:after="0"/>
        <w:rPr>
          <w:rFonts w:eastAsia="Calibri"/>
          <w:noProof/>
          <w:szCs w:val="24"/>
        </w:rPr>
      </w:pPr>
    </w:p>
    <w:p>
      <w:pPr>
        <w:spacing w:after="0"/>
        <w:rPr>
          <w:rFonts w:eastAsia="Calibri"/>
          <w:noProof/>
          <w:szCs w:val="24"/>
        </w:rPr>
      </w:pPr>
    </w:p>
    <w:p>
      <w:pPr>
        <w:spacing w:after="0"/>
        <w:rPr>
          <w:rFonts w:eastAsia="Calibri"/>
          <w:noProof/>
          <w:szCs w:val="24"/>
        </w:rPr>
      </w:pPr>
    </w:p>
    <w:p>
      <w:pPr>
        <w:spacing w:after="0"/>
        <w:rPr>
          <w:rFonts w:eastAsia="Calibri"/>
          <w:b/>
          <w:noProof/>
          <w:szCs w:val="24"/>
        </w:rPr>
      </w:pPr>
      <w:r>
        <w:rPr>
          <w:b/>
          <w:noProof/>
        </w:rPr>
        <w:t>«ENTITÉS ADJUDICATRICES DANS LE DOMAINE DES INSTALLATIONS AÉROPORTUAIRES»:</w:t>
      </w:r>
    </w:p>
    <w:p>
      <w:pPr>
        <w:spacing w:after="0"/>
        <w:rPr>
          <w:rFonts w:eastAsia="Calibri"/>
          <w:noProof/>
          <w:szCs w:val="24"/>
        </w:rPr>
      </w:pPr>
    </w:p>
    <w:p>
      <w:pPr>
        <w:spacing w:after="0"/>
        <w:rPr>
          <w:rFonts w:eastAsia="Calibri"/>
          <w:noProof/>
          <w:szCs w:val="24"/>
        </w:rPr>
      </w:pPr>
      <w:r>
        <w:rPr>
          <w:noProof/>
        </w:rPr>
        <w:t>«RÉPUBLIQUE DE CROATIE</w:t>
      </w:r>
    </w:p>
    <w:p>
      <w:pPr>
        <w:spacing w:after="0"/>
        <w:rPr>
          <w:rFonts w:eastAsia="Calibri"/>
          <w:noProof/>
          <w:szCs w:val="24"/>
        </w:rPr>
      </w:pPr>
    </w:p>
    <w:p>
      <w:pPr>
        <w:spacing w:after="0"/>
        <w:rPr>
          <w:rFonts w:eastAsia="Calibri"/>
          <w:noProof/>
          <w:szCs w:val="24"/>
        </w:rPr>
      </w:pPr>
      <w:r>
        <w:rPr>
          <w:noProof/>
        </w:rPr>
        <w:t>Les entreprises publiques qui sont des entités adjudicatrices visées à l'article 6 de la Zakon o javnoj nabavi (Narodne novine broj 90/11, 83/13, 143/13 i 13/14) (loi sur les marchés publics, Journal officiel croate n° 90/11, n° 83/13, n° 143/13 et n° 13/14) qui, en vertu de réglementations spéciales, exercent des activités liées à l'exploitation d'une zone géographique aux fins de la mise à disposition d'aéroports et d'autres équipements de terminaux à des opérateurs de transport aérien; il s'agit notamment des entités exerçant lesdites activités sur la base d'une concession accordée conformément à la loi sur les aéroports (Journal officiel croate n° 19/98 et n° 14/11).»</w:t>
      </w:r>
    </w:p>
    <w:p>
      <w:pPr>
        <w:spacing w:after="0"/>
        <w:rPr>
          <w:rFonts w:eastAsia="Calibri"/>
          <w:noProof/>
          <w:szCs w:val="24"/>
        </w:rPr>
      </w:pPr>
    </w:p>
    <w:p>
      <w:pPr>
        <w:spacing w:after="0"/>
        <w:rPr>
          <w:rFonts w:eastAsia="Calibri"/>
          <w:noProof/>
          <w:szCs w:val="24"/>
        </w:rPr>
      </w:pPr>
      <w:r>
        <w:rPr>
          <w:noProof/>
        </w:rPr>
        <w:t>e) Annexe IX</w:t>
      </w:r>
    </w:p>
    <w:p>
      <w:pPr>
        <w:spacing w:after="0"/>
        <w:rPr>
          <w:rFonts w:eastAsia="Calibri"/>
          <w:noProof/>
          <w:szCs w:val="24"/>
        </w:rPr>
      </w:pPr>
    </w:p>
    <w:p>
      <w:pPr>
        <w:spacing w:after="0"/>
        <w:rPr>
          <w:rFonts w:eastAsia="Calibri"/>
          <w:noProof/>
          <w:szCs w:val="24"/>
        </w:rPr>
      </w:pPr>
    </w:p>
    <w:p>
      <w:pPr>
        <w:spacing w:after="0"/>
        <w:rPr>
          <w:rFonts w:eastAsia="Calibri"/>
          <w:b/>
          <w:noProof/>
          <w:szCs w:val="24"/>
        </w:rPr>
      </w:pPr>
      <w:r>
        <w:rPr>
          <w:b/>
          <w:noProof/>
        </w:rPr>
        <w:t>«ENTITÉS ADJUDICATRICES DANS LE DOMAINE DES INSTALLATIONS PORTUAIRES MARITIMES OU INTÉRIEURES OU D'AUTRES TERMINAUX»:</w:t>
      </w:r>
    </w:p>
    <w:p>
      <w:pPr>
        <w:spacing w:after="0"/>
        <w:rPr>
          <w:rFonts w:eastAsia="Calibri"/>
          <w:noProof/>
          <w:szCs w:val="24"/>
        </w:rPr>
      </w:pPr>
    </w:p>
    <w:p>
      <w:pPr>
        <w:spacing w:after="0"/>
        <w:rPr>
          <w:rFonts w:eastAsia="Calibri"/>
          <w:noProof/>
          <w:szCs w:val="24"/>
        </w:rPr>
      </w:pPr>
      <w:r>
        <w:rPr>
          <w:noProof/>
        </w:rPr>
        <w:t xml:space="preserve">«RÉPUBLIQUE DE CROATIE </w:t>
      </w:r>
    </w:p>
    <w:p>
      <w:pPr>
        <w:spacing w:after="0"/>
        <w:rPr>
          <w:rFonts w:eastAsia="Calibri"/>
          <w:noProof/>
          <w:szCs w:val="24"/>
        </w:rPr>
      </w:pPr>
    </w:p>
    <w:p>
      <w:pPr>
        <w:spacing w:after="0"/>
        <w:rPr>
          <w:rFonts w:eastAsia="Calibri"/>
          <w:noProof/>
          <w:szCs w:val="24"/>
        </w:rPr>
      </w:pPr>
    </w:p>
    <w:p>
      <w:pPr>
        <w:spacing w:after="0"/>
        <w:rPr>
          <w:rFonts w:eastAsia="Calibri"/>
          <w:noProof/>
          <w:szCs w:val="24"/>
        </w:rPr>
      </w:pPr>
      <w:r>
        <w:rPr>
          <w:noProof/>
        </w:rPr>
        <w:t>Les entreprises publiques qui sont des entités adjudicatrices visées à l'article 6 de la Zakon o javnoj nabavi (Narodne novine broj 90/11, 83/13, 143/13 i 13/14) (loi sur les marchés publics, Journal officiel croate n° 90/11, n° 83/13, n° 143/13 et n° 13/14) qui, en vertu de réglementations spéciales, exercent des activités liées à l'exploitation d'une zone géographique aux fins de la mise à disposition de ports maritimes ou fluviaux ou d'autres terminaux de transport à des opérateurs de transport maritime ou fluvial; il s'agit notamment des entités exerçant lesdites activités sur la base d'une concession accordée conformément à la loi sur le domaine maritime et les ports de mer (Journal officiel croate n° 158/03, n° 100/04, n° 141/06 et n° 38/09). »</w:t>
      </w:r>
    </w:p>
    <w:p>
      <w:pPr>
        <w:spacing w:after="0"/>
        <w:rPr>
          <w:rFonts w:eastAsia="Calibri"/>
          <w:noProof/>
          <w:szCs w:val="24"/>
        </w:rPr>
      </w:pPr>
    </w:p>
    <w:p>
      <w:pPr>
        <w:spacing w:after="0"/>
        <w:jc w:val="center"/>
        <w:rPr>
          <w:rFonts w:eastAsia="Calibri"/>
          <w:noProof/>
          <w:szCs w:val="24"/>
        </w:rPr>
      </w:pPr>
      <w:r>
        <w:rPr>
          <w:noProof/>
        </w:rPr>
        <w:br w:type="page"/>
        <w:t>ANNEXE IV</w:t>
      </w:r>
    </w:p>
    <w:p>
      <w:pPr>
        <w:spacing w:after="0"/>
        <w:jc w:val="center"/>
        <w:rPr>
          <w:rFonts w:eastAsia="Calibri"/>
          <w:noProof/>
          <w:szCs w:val="24"/>
        </w:rPr>
      </w:pPr>
    </w:p>
    <w:p>
      <w:pPr>
        <w:spacing w:after="0"/>
        <w:jc w:val="center"/>
        <w:rPr>
          <w:rFonts w:eastAsia="Calibri"/>
          <w:b/>
          <w:noProof/>
          <w:szCs w:val="24"/>
        </w:rPr>
      </w:pPr>
      <w:r>
        <w:rPr>
          <w:b/>
          <w:noProof/>
        </w:rPr>
        <w:t>PUBLICATIONS</w:t>
      </w:r>
    </w:p>
    <w:p>
      <w:pPr>
        <w:spacing w:after="0"/>
        <w:jc w:val="center"/>
        <w:rPr>
          <w:rFonts w:eastAsia="Calibri"/>
          <w:noProof/>
          <w:szCs w:val="24"/>
        </w:rPr>
      </w:pPr>
    </w:p>
    <w:p>
      <w:pPr>
        <w:spacing w:after="0"/>
        <w:rPr>
          <w:rFonts w:eastAsia="Calibri"/>
          <w:noProof/>
          <w:szCs w:val="24"/>
        </w:rPr>
      </w:pPr>
    </w:p>
    <w:p>
      <w:pPr>
        <w:spacing w:after="0"/>
        <w:rPr>
          <w:rFonts w:eastAsia="Calibri"/>
          <w:noProof/>
          <w:szCs w:val="24"/>
        </w:rPr>
      </w:pPr>
      <w:r>
        <w:rPr>
          <w:noProof/>
        </w:rPr>
        <w:t>«</w:t>
      </w:r>
      <w:r>
        <w:rPr>
          <w:b/>
          <w:noProof/>
        </w:rPr>
        <w:t>République de Croatie</w:t>
      </w:r>
    </w:p>
    <w:p>
      <w:pPr>
        <w:spacing w:after="0"/>
        <w:rPr>
          <w:rFonts w:eastAsia="Calibri"/>
          <w:noProof/>
          <w:szCs w:val="24"/>
        </w:rPr>
      </w:pPr>
    </w:p>
    <w:p>
      <w:pPr>
        <w:spacing w:after="0"/>
        <w:rPr>
          <w:rFonts w:eastAsia="Calibri"/>
          <w:noProof/>
          <w:szCs w:val="24"/>
        </w:rPr>
      </w:pPr>
      <w:r>
        <w:rPr>
          <w:noProof/>
        </w:rPr>
        <w:t>Avis:</w:t>
      </w:r>
    </w:p>
    <w:p>
      <w:pPr>
        <w:spacing w:after="0"/>
        <w:rPr>
          <w:rFonts w:eastAsia="Calibri"/>
          <w:noProof/>
          <w:szCs w:val="24"/>
        </w:rPr>
      </w:pPr>
    </w:p>
    <w:p>
      <w:pPr>
        <w:spacing w:after="0"/>
        <w:rPr>
          <w:rFonts w:eastAsia="Calibri"/>
          <w:noProof/>
          <w:szCs w:val="24"/>
        </w:rPr>
      </w:pPr>
      <w:r>
        <w:rPr>
          <w:noProof/>
        </w:rPr>
        <w:t xml:space="preserve">- </w:t>
      </w:r>
      <w:r>
        <w:rPr>
          <w:i/>
          <w:noProof/>
        </w:rPr>
        <w:t>Journal officiel de l’Union européenne</w:t>
      </w:r>
    </w:p>
    <w:p>
      <w:pPr>
        <w:spacing w:after="0"/>
        <w:rPr>
          <w:rFonts w:eastAsia="Calibri"/>
          <w:noProof/>
          <w:szCs w:val="24"/>
        </w:rPr>
      </w:pPr>
    </w:p>
    <w:p>
      <w:pPr>
        <w:spacing w:after="0"/>
        <w:rPr>
          <w:rFonts w:eastAsia="Calibri"/>
          <w:noProof/>
          <w:szCs w:val="24"/>
        </w:rPr>
      </w:pPr>
      <w:r>
        <w:rPr>
          <w:noProof/>
        </w:rPr>
        <w:t>- Narodne Novine</w:t>
      </w:r>
    </w:p>
    <w:p>
      <w:pPr>
        <w:spacing w:after="0"/>
        <w:rPr>
          <w:rFonts w:eastAsia="Calibri"/>
          <w:noProof/>
          <w:szCs w:val="24"/>
        </w:rPr>
      </w:pPr>
    </w:p>
    <w:p>
      <w:pPr>
        <w:spacing w:after="0"/>
        <w:rPr>
          <w:rFonts w:eastAsia="Calibri"/>
          <w:noProof/>
          <w:szCs w:val="24"/>
        </w:rPr>
      </w:pPr>
      <w:r>
        <w:rPr>
          <w:noProof/>
        </w:rPr>
        <w:t>- Portail électronique des marchés publics de la République de Croatie (</w:t>
      </w:r>
      <w:hyperlink r:id="rId17">
        <w:r>
          <w:rPr>
            <w:noProof/>
            <w:color w:val="0000FF"/>
            <w:u w:val="single"/>
          </w:rPr>
          <w:t>https://eojn.nn.hr/Oglasnik/clanak/electronic-public-procurement-of-the-republic-of-croatia/0/81/</w:t>
        </w:r>
      </w:hyperlink>
      <w:r>
        <w:rPr>
          <w:noProof/>
        </w:rPr>
        <w:t>)»</w:t>
      </w:r>
    </w:p>
    <w:p>
      <w:pPr>
        <w:spacing w:after="0"/>
        <w:rPr>
          <w:rFonts w:eastAsia="Calibri"/>
          <w:noProof/>
          <w:szCs w:val="24"/>
        </w:rPr>
      </w:pPr>
    </w:p>
    <w:p>
      <w:pPr>
        <w:spacing w:after="0"/>
        <w:rPr>
          <w:rFonts w:eastAsia="Calibri"/>
          <w:noProof/>
          <w:szCs w:val="24"/>
        </w:rPr>
      </w:pPr>
      <w:r>
        <w:rPr>
          <w:noProof/>
        </w:rPr>
        <w:t xml:space="preserve"> </w:t>
      </w:r>
    </w:p>
    <w:p>
      <w:pPr>
        <w:rPr>
          <w:noProof/>
        </w:rPr>
      </w:pPr>
      <w:r>
        <w:rPr>
          <w:noProof/>
        </w:rPr>
        <w:br w:type="page"/>
      </w:r>
    </w:p>
    <w:p>
      <w:pPr>
        <w:pStyle w:val="Annexetitre"/>
        <w:rPr>
          <w:noProof/>
        </w:rPr>
      </w:pPr>
      <w:r>
        <w:rPr>
          <w:noProof/>
        </w:rPr>
        <w:t>ANNEXE II</w:t>
      </w:r>
    </w:p>
    <w:p>
      <w:pPr>
        <w:spacing w:after="0" w:line="360" w:lineRule="auto"/>
        <w:jc w:val="center"/>
        <w:rPr>
          <w:rFonts w:eastAsia="Times New Roman"/>
          <w:b/>
          <w:noProof/>
          <w:szCs w:val="24"/>
        </w:rPr>
      </w:pPr>
    </w:p>
    <w:p>
      <w:pPr>
        <w:spacing w:after="0"/>
        <w:jc w:val="center"/>
        <w:rPr>
          <w:rFonts w:eastAsia="Times New Roman"/>
          <w:b/>
          <w:noProof/>
          <w:szCs w:val="24"/>
        </w:rPr>
      </w:pPr>
      <w:r>
        <w:rPr>
          <w:b/>
          <w:noProof/>
        </w:rPr>
        <w:t>DÉCISION N° 2/2017 DU CONSEIL CONJOINT UE-MEXIQUE</w:t>
      </w:r>
    </w:p>
    <w:p>
      <w:pPr>
        <w:spacing w:after="0"/>
        <w:jc w:val="center"/>
        <w:rPr>
          <w:rFonts w:eastAsia="Times New Roman"/>
          <w:b/>
          <w:noProof/>
          <w:szCs w:val="24"/>
        </w:rPr>
      </w:pPr>
    </w:p>
    <w:p>
      <w:pPr>
        <w:spacing w:after="0"/>
        <w:jc w:val="center"/>
        <w:rPr>
          <w:rFonts w:eastAsia="Times New Roman"/>
          <w:b/>
          <w:noProof/>
          <w:szCs w:val="24"/>
        </w:rPr>
      </w:pPr>
      <w:r>
        <w:rPr>
          <w:b/>
          <w:noProof/>
        </w:rPr>
        <w:t>du XX XXX 2017</w:t>
      </w:r>
    </w:p>
    <w:p>
      <w:pPr>
        <w:spacing w:after="0"/>
        <w:jc w:val="center"/>
        <w:rPr>
          <w:rFonts w:eastAsia="Times New Roman"/>
          <w:b/>
          <w:noProof/>
          <w:szCs w:val="24"/>
        </w:rPr>
      </w:pPr>
    </w:p>
    <w:p>
      <w:pPr>
        <w:spacing w:after="0"/>
        <w:jc w:val="center"/>
        <w:rPr>
          <w:rFonts w:eastAsia="Times New Roman"/>
          <w:b/>
          <w:noProof/>
          <w:szCs w:val="24"/>
        </w:rPr>
      </w:pPr>
      <w:r>
        <w:rPr>
          <w:b/>
          <w:noProof/>
        </w:rPr>
        <w:t>portant modification de la décision n° 2/2001 du Conseil conjoint, telle que modifiée par les décisions n° 4/2004 et n° 3/2008 du Conseil conjoint</w:t>
      </w:r>
    </w:p>
    <w:p>
      <w:pPr>
        <w:spacing w:after="0"/>
        <w:rPr>
          <w:rFonts w:eastAsia="Times New Roman"/>
          <w:noProof/>
          <w:szCs w:val="24"/>
        </w:rPr>
      </w:pPr>
    </w:p>
    <w:p>
      <w:pPr>
        <w:spacing w:after="0"/>
        <w:rPr>
          <w:rFonts w:eastAsia="Times New Roman"/>
          <w:noProof/>
          <w:szCs w:val="24"/>
        </w:rPr>
      </w:pPr>
      <w:r>
        <w:rPr>
          <w:noProof/>
        </w:rPr>
        <w:t>LE CONSEIL CONJOINT,</w:t>
      </w:r>
    </w:p>
    <w:p>
      <w:pPr>
        <w:spacing w:after="0"/>
        <w:rPr>
          <w:rFonts w:eastAsia="Times New Roman"/>
          <w:noProof/>
          <w:szCs w:val="24"/>
        </w:rPr>
      </w:pPr>
    </w:p>
    <w:p>
      <w:pPr>
        <w:spacing w:after="0"/>
        <w:rPr>
          <w:rFonts w:eastAsia="Times New Roman"/>
          <w:noProof/>
          <w:szCs w:val="24"/>
        </w:rPr>
      </w:pPr>
      <w:r>
        <w:rPr>
          <w:noProof/>
        </w:rPr>
        <w:t>vu l’accord de partenariat économique, de coordination politique et de coopération entre la Communauté européenne et ses États membres, d’une part, et les États-Unis mexicains, d’autre part, (ci-après l’«accord global»), signé à Bruxelles le 8 décembre 1997, et notamment son article 6 en liaison avec son article 47,</w:t>
      </w:r>
    </w:p>
    <w:p>
      <w:pPr>
        <w:spacing w:after="0"/>
        <w:rPr>
          <w:rFonts w:eastAsia="Times New Roman"/>
          <w:noProof/>
          <w:szCs w:val="24"/>
        </w:rPr>
      </w:pPr>
    </w:p>
    <w:p>
      <w:pPr>
        <w:spacing w:after="0"/>
        <w:rPr>
          <w:rFonts w:eastAsia="Times New Roman"/>
          <w:noProof/>
          <w:szCs w:val="24"/>
        </w:rPr>
      </w:pPr>
      <w:r>
        <w:rPr>
          <w:noProof/>
        </w:rPr>
        <w:t>considérant ce qui suit:</w:t>
      </w:r>
    </w:p>
    <w:p>
      <w:pPr>
        <w:spacing w:after="0"/>
        <w:rPr>
          <w:rFonts w:eastAsia="Times New Roman"/>
          <w:noProof/>
          <w:szCs w:val="24"/>
        </w:rPr>
      </w:pPr>
    </w:p>
    <w:p>
      <w:pPr>
        <w:spacing w:after="0"/>
        <w:rPr>
          <w:rFonts w:eastAsia="Times New Roman"/>
          <w:noProof/>
          <w:szCs w:val="24"/>
        </w:rPr>
      </w:pPr>
      <w:r>
        <w:rPr>
          <w:noProof/>
        </w:rPr>
        <w:t>1) À la suite de l’adhésion de la République de Croatie (ci-après la «Croatie») à l’Union européenne, le 1</w:t>
      </w:r>
      <w:r>
        <w:rPr>
          <w:noProof/>
          <w:vertAlign w:val="superscript"/>
        </w:rPr>
        <w:t>er</w:t>
      </w:r>
      <w:r>
        <w:rPr>
          <w:noProof/>
        </w:rPr>
        <w:t xml:space="preserve"> juillet 2013, un troisième protocole additionnel a été signé à Mexico le XX XXX 2017 et est applicable depuis le [X] [Y] 2017. </w:t>
      </w:r>
    </w:p>
    <w:p>
      <w:pPr>
        <w:spacing w:after="0"/>
        <w:rPr>
          <w:rFonts w:eastAsia="Times New Roman"/>
          <w:noProof/>
          <w:szCs w:val="24"/>
        </w:rPr>
      </w:pPr>
    </w:p>
    <w:p>
      <w:pPr>
        <w:spacing w:after="0"/>
        <w:rPr>
          <w:rFonts w:eastAsia="Times New Roman"/>
          <w:noProof/>
          <w:szCs w:val="24"/>
        </w:rPr>
      </w:pPr>
      <w:r>
        <w:rPr>
          <w:noProof/>
        </w:rPr>
        <w:t>2) Dans ce contexte, il est nécessaire d’adapter, avec effet à la date d’adhésion de la Croatie à l’accord, les annexes I et II de la décision n° 2/2001 du Conseil conjoint du 27 février 2001, telle que modifiée par les décisions n° 4/2004 du 18 mai 2005 et n° 3/2008 du 15 décembre 2008 du Conseil conjoint, afin d’inclure les autorités chargées des services financiers en Croatie ainsi que les mesures non conformes aux articles 12 à 16 de la décision n° 2/2001 que la Croatie maintient jusqu’à ce que l'article 17, paragraphe 3, de ladite décision soit mis en œuvre.</w:t>
      </w:r>
    </w:p>
    <w:p>
      <w:pPr>
        <w:spacing w:after="0"/>
        <w:rPr>
          <w:rFonts w:eastAsia="Times New Roman"/>
          <w:noProof/>
          <w:szCs w:val="24"/>
        </w:rPr>
      </w:pPr>
    </w:p>
    <w:p>
      <w:pPr>
        <w:spacing w:after="0"/>
        <w:rPr>
          <w:rFonts w:eastAsia="Times New Roman"/>
          <w:noProof/>
          <w:szCs w:val="24"/>
        </w:rPr>
      </w:pPr>
      <w:r>
        <w:rPr>
          <w:noProof/>
        </w:rPr>
        <w:t>3) Cette adaptation est aussi l’occasion de mettre à jour la liste des autorités chargées des services financiers, établie à l’annexe II de la décision n° 2/2001 du Conseil conjoint du 27 février 2001, telle que modifiée par les décisions n° 4/2004 du 18 mai 2005 et n° 3/2008 du 15 décembre 2008 du Conseil conjoint.</w:t>
      </w:r>
    </w:p>
    <w:p>
      <w:pPr>
        <w:spacing w:after="0"/>
        <w:rPr>
          <w:rFonts w:eastAsia="Times New Roman"/>
          <w:noProof/>
          <w:szCs w:val="24"/>
        </w:rPr>
      </w:pPr>
    </w:p>
    <w:p>
      <w:pPr>
        <w:spacing w:after="0"/>
        <w:rPr>
          <w:rFonts w:eastAsia="Calibri"/>
          <w:noProof/>
          <w:szCs w:val="24"/>
        </w:rPr>
      </w:pPr>
      <w:r>
        <w:rPr>
          <w:noProof/>
        </w:rPr>
        <w:t>4) Les articles 5, 6, 7, 10 et 47 de l’accord global confèrent au Conseil conjoint institué au titre dudit accord le pouvoir de prendre des décisions aux fins d’atteindre les objectifs de l’accord, et en particulier le pouvoir de décider des mesures appropriées et du calendrier concernant le commerce des biens, le commerce des services et les marchés publics,</w:t>
      </w:r>
    </w:p>
    <w:p>
      <w:pPr>
        <w:spacing w:after="0"/>
        <w:rPr>
          <w:rFonts w:eastAsia="Times New Roman"/>
          <w:noProof/>
          <w:szCs w:val="24"/>
        </w:rPr>
      </w:pPr>
    </w:p>
    <w:p>
      <w:pPr>
        <w:spacing w:after="0"/>
        <w:rPr>
          <w:rFonts w:eastAsia="Times New Roman"/>
          <w:noProof/>
          <w:szCs w:val="24"/>
        </w:rPr>
      </w:pPr>
      <w:r>
        <w:rPr>
          <w:noProof/>
        </w:rPr>
        <w:t>DÉCIDE:</w:t>
      </w:r>
    </w:p>
    <w:p>
      <w:pPr>
        <w:spacing w:after="0"/>
        <w:rPr>
          <w:rFonts w:eastAsia="Times New Roman"/>
          <w:noProof/>
          <w:szCs w:val="24"/>
        </w:rPr>
      </w:pPr>
    </w:p>
    <w:p>
      <w:pPr>
        <w:spacing w:after="0"/>
        <w:jc w:val="center"/>
        <w:rPr>
          <w:rFonts w:eastAsia="Times New Roman"/>
          <w:noProof/>
          <w:szCs w:val="24"/>
        </w:rPr>
      </w:pPr>
      <w:r>
        <w:rPr>
          <w:noProof/>
        </w:rPr>
        <w:t>Article premier</w:t>
      </w:r>
    </w:p>
    <w:p>
      <w:pPr>
        <w:spacing w:after="0"/>
        <w:rPr>
          <w:rFonts w:eastAsia="Times New Roman"/>
          <w:noProof/>
          <w:szCs w:val="24"/>
        </w:rPr>
      </w:pPr>
    </w:p>
    <w:p>
      <w:pPr>
        <w:spacing w:after="0"/>
        <w:rPr>
          <w:rFonts w:eastAsia="Times New Roman"/>
          <w:noProof/>
          <w:szCs w:val="24"/>
        </w:rPr>
      </w:pPr>
      <w:r>
        <w:rPr>
          <w:noProof/>
        </w:rPr>
        <w:t>L’annexe I, partie A, de la décision n° 2/2001 du Conseil conjoint du 27 février 2001, telle que modifiée par les décisions n° 4/2004 du 18 mai 2005 et n° 3/2008 du 15 décembre 2008 du Conseil conjoint, est remplacée par le texte figurant à l’annexe I de la présente décision.</w:t>
      </w:r>
    </w:p>
    <w:p>
      <w:pPr>
        <w:spacing w:after="0"/>
        <w:rPr>
          <w:rFonts w:eastAsia="Times New Roman"/>
          <w:noProof/>
          <w:szCs w:val="24"/>
        </w:rPr>
      </w:pPr>
    </w:p>
    <w:p>
      <w:pPr>
        <w:spacing w:after="0"/>
        <w:jc w:val="center"/>
        <w:rPr>
          <w:rFonts w:eastAsia="Times New Roman"/>
          <w:noProof/>
          <w:szCs w:val="24"/>
        </w:rPr>
      </w:pPr>
      <w:r>
        <w:rPr>
          <w:noProof/>
        </w:rPr>
        <w:t>Article 2</w:t>
      </w:r>
    </w:p>
    <w:p>
      <w:pPr>
        <w:spacing w:after="0"/>
        <w:rPr>
          <w:rFonts w:eastAsia="Times New Roman"/>
          <w:noProof/>
          <w:szCs w:val="24"/>
        </w:rPr>
      </w:pPr>
    </w:p>
    <w:p>
      <w:pPr>
        <w:spacing w:after="0"/>
        <w:rPr>
          <w:rFonts w:eastAsia="Times New Roman"/>
          <w:noProof/>
          <w:szCs w:val="24"/>
        </w:rPr>
      </w:pPr>
      <w:r>
        <w:rPr>
          <w:noProof/>
        </w:rPr>
        <w:t xml:space="preserve">L’annexe II, parties A et B, de la décision n° 2/2001 du Conseil conjoint du 27 février 2001, telle que modifiée par les décisions n° 4/2004 du 18 mai 2005 et n° 3/2008 du 15 décembre 2008 du Conseil conjoint, est remplacée par le texte figurant à l’annexe II de la présente décision. </w:t>
      </w:r>
    </w:p>
    <w:p>
      <w:pPr>
        <w:spacing w:after="0" w:line="360" w:lineRule="auto"/>
        <w:rPr>
          <w:rFonts w:eastAsia="Times New Roman"/>
          <w:noProof/>
          <w:szCs w:val="24"/>
        </w:rPr>
      </w:pPr>
    </w:p>
    <w:p>
      <w:pPr>
        <w:spacing w:after="0" w:line="360" w:lineRule="auto"/>
        <w:jc w:val="center"/>
        <w:rPr>
          <w:rFonts w:eastAsia="Times New Roman"/>
          <w:noProof/>
          <w:szCs w:val="24"/>
        </w:rPr>
      </w:pPr>
      <w:r>
        <w:rPr>
          <w:noProof/>
        </w:rPr>
        <w:t>Article 3</w:t>
      </w:r>
    </w:p>
    <w:p>
      <w:pPr>
        <w:spacing w:after="0" w:line="360" w:lineRule="auto"/>
        <w:rPr>
          <w:rFonts w:eastAsia="Times New Roman"/>
          <w:noProof/>
          <w:szCs w:val="24"/>
        </w:rPr>
      </w:pPr>
    </w:p>
    <w:p>
      <w:pPr>
        <w:pStyle w:val="NumPar1"/>
        <w:numPr>
          <w:ilvl w:val="0"/>
          <w:numId w:val="38"/>
        </w:numPr>
        <w:rPr>
          <w:rFonts w:eastAsia="Calibri"/>
          <w:noProof/>
          <w:szCs w:val="24"/>
        </w:rPr>
      </w:pPr>
      <w:r>
        <w:rPr>
          <w:noProof/>
        </w:rPr>
        <w:t>La présente décision entre en vigueur le jour de son adoption.</w:t>
      </w:r>
    </w:p>
    <w:p>
      <w:pPr>
        <w:spacing w:after="0"/>
        <w:ind w:left="720"/>
        <w:contextualSpacing/>
        <w:rPr>
          <w:rFonts w:eastAsia="Calibri"/>
          <w:noProof/>
          <w:szCs w:val="24"/>
        </w:rPr>
      </w:pPr>
    </w:p>
    <w:p>
      <w:pPr>
        <w:pStyle w:val="NumPar1"/>
        <w:rPr>
          <w:rFonts w:eastAsia="Calibri"/>
          <w:noProof/>
          <w:szCs w:val="24"/>
        </w:rPr>
      </w:pPr>
      <w:r>
        <w:rPr>
          <w:noProof/>
        </w:rPr>
        <w:t xml:space="preserve">Elle est applicable avec effet à la date d’adhésion de la Croatie à l’accord. </w:t>
      </w:r>
    </w:p>
    <w:p>
      <w:pPr>
        <w:spacing w:after="0" w:line="360" w:lineRule="auto"/>
        <w:rPr>
          <w:rFonts w:eastAsia="Times New Roman"/>
          <w:noProof/>
          <w:szCs w:val="24"/>
        </w:rPr>
      </w:pPr>
    </w:p>
    <w:p>
      <w:pPr>
        <w:spacing w:after="0" w:line="360" w:lineRule="auto"/>
        <w:jc w:val="right"/>
        <w:rPr>
          <w:rFonts w:eastAsia="Times New Roman"/>
          <w:noProof/>
          <w:szCs w:val="24"/>
        </w:rPr>
      </w:pPr>
      <w:r>
        <w:rPr>
          <w:noProof/>
        </w:rPr>
        <w:t>Fait à Mexico, le XX XXX 2017.</w:t>
      </w:r>
    </w:p>
    <w:p>
      <w:pPr>
        <w:spacing w:after="0" w:line="360" w:lineRule="auto"/>
        <w:jc w:val="right"/>
        <w:rPr>
          <w:rFonts w:eastAsia="Times New Roman"/>
          <w:noProof/>
          <w:szCs w:val="24"/>
        </w:rPr>
      </w:pPr>
      <w:r>
        <w:rPr>
          <w:noProof/>
        </w:rPr>
        <w:t>Par le Conseil conjoint</w:t>
      </w:r>
    </w:p>
    <w:p>
      <w:pPr>
        <w:spacing w:after="0" w:line="360" w:lineRule="auto"/>
        <w:jc w:val="right"/>
        <w:rPr>
          <w:rFonts w:eastAsia="Times New Roman"/>
          <w:noProof/>
          <w:szCs w:val="24"/>
        </w:rPr>
      </w:pPr>
      <w:r>
        <w:rPr>
          <w:noProof/>
        </w:rPr>
        <w:t>Le président</w:t>
      </w:r>
      <w:r>
        <w:rPr>
          <w:noProof/>
        </w:rPr>
        <w:br w:type="page"/>
        <w:t xml:space="preserve"> </w:t>
      </w:r>
    </w:p>
    <w:p>
      <w:pPr>
        <w:spacing w:after="0" w:line="360" w:lineRule="auto"/>
        <w:jc w:val="center"/>
        <w:rPr>
          <w:rFonts w:eastAsia="Times New Roman"/>
          <w:noProof/>
          <w:szCs w:val="24"/>
        </w:rPr>
      </w:pPr>
    </w:p>
    <w:p>
      <w:pPr>
        <w:spacing w:after="0" w:line="360" w:lineRule="auto"/>
        <w:jc w:val="center"/>
        <w:rPr>
          <w:rFonts w:eastAsia="Times New Roman"/>
          <w:noProof/>
          <w:szCs w:val="24"/>
        </w:rPr>
      </w:pPr>
      <w:r>
        <w:rPr>
          <w:noProof/>
        </w:rPr>
        <w:t>«ANNEXE I</w:t>
      </w:r>
    </w:p>
    <w:p>
      <w:pPr>
        <w:spacing w:after="0" w:line="360" w:lineRule="auto"/>
        <w:rPr>
          <w:rFonts w:eastAsia="Times New Roman"/>
          <w:noProof/>
          <w:szCs w:val="24"/>
        </w:rPr>
      </w:pPr>
    </w:p>
    <w:p>
      <w:pPr>
        <w:spacing w:after="0" w:line="360" w:lineRule="auto"/>
        <w:jc w:val="center"/>
        <w:rPr>
          <w:rFonts w:eastAsia="Times New Roman"/>
          <w:bCs/>
          <w:noProof/>
          <w:szCs w:val="24"/>
        </w:rPr>
      </w:pPr>
      <w:r>
        <w:rPr>
          <w:noProof/>
        </w:rPr>
        <w:t>PARTIE A</w:t>
      </w:r>
    </w:p>
    <w:p>
      <w:pPr>
        <w:spacing w:after="0" w:line="360" w:lineRule="auto"/>
        <w:jc w:val="center"/>
        <w:rPr>
          <w:rFonts w:eastAsia="Times New Roman"/>
          <w:bCs/>
          <w:noProof/>
          <w:szCs w:val="24"/>
        </w:rPr>
      </w:pPr>
    </w:p>
    <w:p>
      <w:pPr>
        <w:spacing w:after="0" w:line="360" w:lineRule="auto"/>
        <w:jc w:val="center"/>
        <w:rPr>
          <w:rFonts w:eastAsia="Times New Roman"/>
          <w:b/>
          <w:bCs/>
          <w:noProof/>
          <w:szCs w:val="24"/>
        </w:rPr>
      </w:pPr>
      <w:r>
        <w:rPr>
          <w:b/>
          <w:noProof/>
        </w:rPr>
        <w:t>LA COMMUNAUTÉ ET SES ÉTATS MEMBRES</w:t>
      </w:r>
    </w:p>
    <w:p>
      <w:pPr>
        <w:spacing w:after="0" w:line="360" w:lineRule="auto"/>
        <w:jc w:val="center"/>
        <w:rPr>
          <w:rFonts w:eastAsia="Times New Roman"/>
          <w:b/>
          <w:bCs/>
          <w:noProof/>
          <w:szCs w:val="24"/>
        </w:rPr>
      </w:pPr>
    </w:p>
    <w:p>
      <w:pPr>
        <w:spacing w:after="0" w:line="360" w:lineRule="auto"/>
        <w:rPr>
          <w:rFonts w:eastAsia="Times New Roman"/>
          <w:noProof/>
          <w:szCs w:val="24"/>
        </w:rPr>
      </w:pPr>
      <w:r>
        <w:rPr>
          <w:noProof/>
        </w:rPr>
        <w:t>1. L’application du chapitre III à la Communauté et à ses États membres est soumise aux limitations sur l’accès au marché et le traitement national prévues par les Communautés européennes et leurs États membres</w:t>
      </w:r>
      <w:r>
        <w:rPr>
          <w:b/>
          <w:noProof/>
        </w:rPr>
        <w:t xml:space="preserve"> </w:t>
      </w:r>
      <w:r>
        <w:rPr>
          <w:noProof/>
        </w:rPr>
        <w:t>dans la section «tous les secteurs» de leur liste d’engagements spécifiques dans le cadre de l’AGCS et à celles concernant les sous-secteurs énumérés ci-dessous.</w:t>
      </w:r>
    </w:p>
    <w:p>
      <w:pPr>
        <w:spacing w:after="0" w:line="360" w:lineRule="auto"/>
        <w:rPr>
          <w:rFonts w:eastAsia="Times New Roman"/>
          <w:noProof/>
          <w:szCs w:val="24"/>
        </w:rPr>
      </w:pPr>
    </w:p>
    <w:p>
      <w:pPr>
        <w:spacing w:after="0" w:line="360" w:lineRule="auto"/>
        <w:rPr>
          <w:rFonts w:eastAsia="Times New Roman"/>
          <w:noProof/>
          <w:szCs w:val="24"/>
        </w:rPr>
      </w:pPr>
      <w:r>
        <w:rPr>
          <w:noProof/>
        </w:rPr>
        <w:t>2. Les États membres sont désignés par les abréviations suivantes:</w:t>
      </w:r>
    </w:p>
    <w:p>
      <w:pPr>
        <w:spacing w:after="0" w:line="360" w:lineRule="auto"/>
        <w:rPr>
          <w:rFonts w:eastAsia="Times New Roman"/>
          <w:noProof/>
          <w:szCs w:val="24"/>
        </w:rPr>
      </w:pPr>
    </w:p>
    <w:p>
      <w:pPr>
        <w:spacing w:after="0" w:line="360" w:lineRule="auto"/>
        <w:rPr>
          <w:rFonts w:eastAsia="Times New Roman"/>
          <w:noProof/>
          <w:szCs w:val="24"/>
        </w:rPr>
      </w:pPr>
      <w:r>
        <w:rPr>
          <w:noProof/>
        </w:rPr>
        <w:t>AT</w:t>
      </w:r>
      <w:r>
        <w:rPr>
          <w:noProof/>
        </w:rPr>
        <w:tab/>
        <w:t>Autriche</w:t>
      </w:r>
    </w:p>
    <w:p>
      <w:pPr>
        <w:spacing w:after="0" w:line="360" w:lineRule="auto"/>
        <w:rPr>
          <w:rFonts w:eastAsia="Times New Roman"/>
          <w:noProof/>
          <w:szCs w:val="24"/>
        </w:rPr>
      </w:pPr>
      <w:r>
        <w:rPr>
          <w:noProof/>
        </w:rPr>
        <w:t>BE</w:t>
      </w:r>
      <w:r>
        <w:rPr>
          <w:noProof/>
        </w:rPr>
        <w:tab/>
        <w:t>Belgique</w:t>
      </w:r>
    </w:p>
    <w:p>
      <w:pPr>
        <w:spacing w:after="0" w:line="360" w:lineRule="auto"/>
        <w:rPr>
          <w:rFonts w:eastAsia="Times New Roman"/>
          <w:noProof/>
          <w:szCs w:val="24"/>
        </w:rPr>
      </w:pPr>
      <w:r>
        <w:rPr>
          <w:noProof/>
        </w:rPr>
        <w:t>BG</w:t>
      </w:r>
      <w:r>
        <w:rPr>
          <w:noProof/>
        </w:rPr>
        <w:tab/>
        <w:t>Bulgarie</w:t>
      </w:r>
    </w:p>
    <w:p>
      <w:pPr>
        <w:spacing w:after="0" w:line="360" w:lineRule="auto"/>
        <w:rPr>
          <w:rFonts w:eastAsia="Times New Roman"/>
          <w:noProof/>
          <w:szCs w:val="24"/>
        </w:rPr>
      </w:pPr>
      <w:r>
        <w:rPr>
          <w:noProof/>
        </w:rPr>
        <w:t>CY</w:t>
      </w:r>
      <w:r>
        <w:rPr>
          <w:noProof/>
        </w:rPr>
        <w:tab/>
        <w:t>Chypre</w:t>
      </w:r>
    </w:p>
    <w:p>
      <w:pPr>
        <w:spacing w:after="0" w:line="360" w:lineRule="auto"/>
        <w:rPr>
          <w:rFonts w:eastAsia="Times New Roman"/>
          <w:noProof/>
          <w:szCs w:val="24"/>
        </w:rPr>
      </w:pPr>
      <w:r>
        <w:rPr>
          <w:noProof/>
        </w:rPr>
        <w:t>CZ</w:t>
      </w:r>
      <w:r>
        <w:rPr>
          <w:noProof/>
        </w:rPr>
        <w:tab/>
        <w:t>République tchèque</w:t>
      </w:r>
    </w:p>
    <w:p>
      <w:pPr>
        <w:spacing w:after="0" w:line="360" w:lineRule="auto"/>
        <w:rPr>
          <w:rFonts w:eastAsia="Times New Roman"/>
          <w:noProof/>
          <w:szCs w:val="24"/>
        </w:rPr>
      </w:pPr>
      <w:r>
        <w:rPr>
          <w:noProof/>
        </w:rPr>
        <w:t>DE</w:t>
      </w:r>
      <w:r>
        <w:rPr>
          <w:noProof/>
        </w:rPr>
        <w:tab/>
        <w:t>Allemagne</w:t>
      </w:r>
    </w:p>
    <w:p>
      <w:pPr>
        <w:spacing w:after="0" w:line="360" w:lineRule="auto"/>
        <w:rPr>
          <w:rFonts w:eastAsia="Times New Roman"/>
          <w:noProof/>
          <w:szCs w:val="24"/>
        </w:rPr>
      </w:pPr>
      <w:r>
        <w:rPr>
          <w:noProof/>
        </w:rPr>
        <w:t>DK</w:t>
      </w:r>
      <w:r>
        <w:rPr>
          <w:noProof/>
        </w:rPr>
        <w:tab/>
        <w:t>Danemark</w:t>
      </w:r>
    </w:p>
    <w:p>
      <w:pPr>
        <w:spacing w:after="0" w:line="360" w:lineRule="auto"/>
        <w:rPr>
          <w:rFonts w:eastAsia="Times New Roman"/>
          <w:noProof/>
          <w:szCs w:val="24"/>
        </w:rPr>
      </w:pPr>
      <w:r>
        <w:rPr>
          <w:noProof/>
        </w:rPr>
        <w:t>ES</w:t>
      </w:r>
      <w:r>
        <w:rPr>
          <w:noProof/>
        </w:rPr>
        <w:tab/>
        <w:t>Espagne</w:t>
      </w:r>
    </w:p>
    <w:p>
      <w:pPr>
        <w:spacing w:after="0" w:line="360" w:lineRule="auto"/>
        <w:rPr>
          <w:rFonts w:eastAsia="Times New Roman"/>
          <w:noProof/>
          <w:szCs w:val="24"/>
        </w:rPr>
      </w:pPr>
      <w:r>
        <w:rPr>
          <w:noProof/>
        </w:rPr>
        <w:t>EE</w:t>
      </w:r>
      <w:r>
        <w:rPr>
          <w:noProof/>
        </w:rPr>
        <w:tab/>
        <w:t>Estonie</w:t>
      </w:r>
    </w:p>
    <w:p>
      <w:pPr>
        <w:spacing w:after="0" w:line="360" w:lineRule="auto"/>
        <w:rPr>
          <w:rFonts w:eastAsia="Times New Roman"/>
          <w:noProof/>
          <w:szCs w:val="24"/>
        </w:rPr>
      </w:pPr>
      <w:r>
        <w:rPr>
          <w:noProof/>
        </w:rPr>
        <w:t>FI</w:t>
      </w:r>
      <w:r>
        <w:rPr>
          <w:noProof/>
        </w:rPr>
        <w:tab/>
        <w:t>Finlande</w:t>
      </w:r>
    </w:p>
    <w:p>
      <w:pPr>
        <w:spacing w:after="0" w:line="360" w:lineRule="auto"/>
        <w:rPr>
          <w:rFonts w:eastAsia="Times New Roman"/>
          <w:noProof/>
          <w:szCs w:val="24"/>
        </w:rPr>
      </w:pPr>
      <w:r>
        <w:rPr>
          <w:noProof/>
        </w:rPr>
        <w:t>FR</w:t>
      </w:r>
      <w:r>
        <w:rPr>
          <w:noProof/>
        </w:rPr>
        <w:tab/>
        <w:t>France</w:t>
      </w:r>
    </w:p>
    <w:p>
      <w:pPr>
        <w:spacing w:after="0" w:line="360" w:lineRule="auto"/>
        <w:rPr>
          <w:rFonts w:eastAsia="Times New Roman"/>
          <w:noProof/>
          <w:szCs w:val="24"/>
        </w:rPr>
      </w:pPr>
      <w:r>
        <w:rPr>
          <w:noProof/>
        </w:rPr>
        <w:t>EL</w:t>
      </w:r>
      <w:r>
        <w:rPr>
          <w:noProof/>
        </w:rPr>
        <w:tab/>
        <w:t>Grèce</w:t>
      </w:r>
    </w:p>
    <w:p>
      <w:pPr>
        <w:spacing w:after="0" w:line="360" w:lineRule="auto"/>
        <w:rPr>
          <w:rFonts w:eastAsia="Times New Roman"/>
          <w:noProof/>
          <w:szCs w:val="24"/>
        </w:rPr>
      </w:pPr>
      <w:r>
        <w:rPr>
          <w:noProof/>
        </w:rPr>
        <w:t>HR</w:t>
      </w:r>
      <w:r>
        <w:rPr>
          <w:noProof/>
        </w:rPr>
        <w:tab/>
        <w:t>Croatie</w:t>
      </w:r>
    </w:p>
    <w:p>
      <w:pPr>
        <w:spacing w:after="0" w:line="360" w:lineRule="auto"/>
        <w:rPr>
          <w:rFonts w:eastAsia="Times New Roman"/>
          <w:noProof/>
          <w:szCs w:val="24"/>
        </w:rPr>
      </w:pPr>
      <w:r>
        <w:rPr>
          <w:noProof/>
        </w:rPr>
        <w:t>HU</w:t>
      </w:r>
      <w:r>
        <w:rPr>
          <w:noProof/>
        </w:rPr>
        <w:tab/>
        <w:t>Hongrie</w:t>
      </w:r>
    </w:p>
    <w:p>
      <w:pPr>
        <w:spacing w:after="0" w:line="360" w:lineRule="auto"/>
        <w:rPr>
          <w:rFonts w:eastAsia="Times New Roman"/>
          <w:noProof/>
          <w:szCs w:val="24"/>
        </w:rPr>
      </w:pPr>
      <w:r>
        <w:rPr>
          <w:noProof/>
        </w:rPr>
        <w:t>IE</w:t>
      </w:r>
      <w:r>
        <w:rPr>
          <w:noProof/>
        </w:rPr>
        <w:tab/>
        <w:t>Irlande</w:t>
      </w:r>
    </w:p>
    <w:p>
      <w:pPr>
        <w:spacing w:after="0" w:line="360" w:lineRule="auto"/>
        <w:rPr>
          <w:rFonts w:eastAsia="Times New Roman"/>
          <w:noProof/>
          <w:szCs w:val="24"/>
        </w:rPr>
      </w:pPr>
      <w:r>
        <w:rPr>
          <w:noProof/>
        </w:rPr>
        <w:t>IT</w:t>
      </w:r>
      <w:r>
        <w:rPr>
          <w:noProof/>
        </w:rPr>
        <w:tab/>
        <w:t>Italie</w:t>
      </w:r>
    </w:p>
    <w:p>
      <w:pPr>
        <w:spacing w:after="0" w:line="360" w:lineRule="auto"/>
        <w:rPr>
          <w:rFonts w:eastAsia="Times New Roman"/>
          <w:noProof/>
          <w:szCs w:val="24"/>
        </w:rPr>
      </w:pPr>
      <w:r>
        <w:rPr>
          <w:noProof/>
        </w:rPr>
        <w:t>LV</w:t>
      </w:r>
      <w:r>
        <w:rPr>
          <w:noProof/>
        </w:rPr>
        <w:tab/>
        <w:t>Lettonie</w:t>
      </w:r>
    </w:p>
    <w:p>
      <w:pPr>
        <w:spacing w:after="0" w:line="360" w:lineRule="auto"/>
        <w:rPr>
          <w:rFonts w:eastAsia="Times New Roman"/>
          <w:noProof/>
          <w:szCs w:val="24"/>
        </w:rPr>
      </w:pPr>
      <w:r>
        <w:rPr>
          <w:noProof/>
        </w:rPr>
        <w:t>LT</w:t>
      </w:r>
      <w:r>
        <w:rPr>
          <w:noProof/>
        </w:rPr>
        <w:tab/>
        <w:t>Lituanie</w:t>
      </w:r>
    </w:p>
    <w:p>
      <w:pPr>
        <w:spacing w:after="0" w:line="360" w:lineRule="auto"/>
        <w:rPr>
          <w:rFonts w:eastAsia="Times New Roman"/>
          <w:noProof/>
          <w:szCs w:val="24"/>
        </w:rPr>
      </w:pPr>
      <w:r>
        <w:rPr>
          <w:noProof/>
        </w:rPr>
        <w:t>LU</w:t>
      </w:r>
      <w:r>
        <w:rPr>
          <w:noProof/>
        </w:rPr>
        <w:tab/>
        <w:t>Luxembourg</w:t>
      </w:r>
    </w:p>
    <w:p>
      <w:pPr>
        <w:spacing w:after="0" w:line="360" w:lineRule="auto"/>
        <w:rPr>
          <w:rFonts w:eastAsia="Times New Roman"/>
          <w:noProof/>
          <w:szCs w:val="24"/>
        </w:rPr>
      </w:pPr>
      <w:r>
        <w:rPr>
          <w:noProof/>
        </w:rPr>
        <w:t>MT</w:t>
      </w:r>
      <w:r>
        <w:rPr>
          <w:noProof/>
        </w:rPr>
        <w:tab/>
        <w:t>Malte</w:t>
      </w:r>
    </w:p>
    <w:p>
      <w:pPr>
        <w:spacing w:after="0" w:line="360" w:lineRule="auto"/>
        <w:rPr>
          <w:rFonts w:eastAsia="Times New Roman"/>
          <w:noProof/>
          <w:szCs w:val="24"/>
        </w:rPr>
      </w:pPr>
      <w:r>
        <w:rPr>
          <w:noProof/>
        </w:rPr>
        <w:t>NL</w:t>
      </w:r>
      <w:r>
        <w:rPr>
          <w:noProof/>
        </w:rPr>
        <w:tab/>
        <w:t>Pays-Bas</w:t>
      </w:r>
    </w:p>
    <w:p>
      <w:pPr>
        <w:spacing w:after="0" w:line="360" w:lineRule="auto"/>
        <w:rPr>
          <w:rFonts w:eastAsia="Times New Roman"/>
          <w:noProof/>
          <w:szCs w:val="24"/>
        </w:rPr>
      </w:pPr>
      <w:r>
        <w:rPr>
          <w:noProof/>
        </w:rPr>
        <w:t>PL</w:t>
      </w:r>
      <w:r>
        <w:rPr>
          <w:noProof/>
        </w:rPr>
        <w:tab/>
        <w:t>Pologne</w:t>
      </w:r>
    </w:p>
    <w:p>
      <w:pPr>
        <w:spacing w:after="0" w:line="360" w:lineRule="auto"/>
        <w:rPr>
          <w:rFonts w:eastAsia="Times New Roman"/>
          <w:noProof/>
          <w:szCs w:val="24"/>
        </w:rPr>
      </w:pPr>
      <w:r>
        <w:rPr>
          <w:noProof/>
        </w:rPr>
        <w:t>PT</w:t>
      </w:r>
      <w:r>
        <w:rPr>
          <w:noProof/>
        </w:rPr>
        <w:tab/>
        <w:t>Portugal</w:t>
      </w:r>
    </w:p>
    <w:p>
      <w:pPr>
        <w:spacing w:after="0" w:line="360" w:lineRule="auto"/>
        <w:rPr>
          <w:rFonts w:eastAsia="Times New Roman"/>
          <w:noProof/>
          <w:szCs w:val="24"/>
        </w:rPr>
      </w:pPr>
      <w:r>
        <w:rPr>
          <w:noProof/>
        </w:rPr>
        <w:t>RO</w:t>
      </w:r>
      <w:r>
        <w:rPr>
          <w:noProof/>
        </w:rPr>
        <w:tab/>
        <w:t>Roumanie</w:t>
      </w:r>
    </w:p>
    <w:p>
      <w:pPr>
        <w:spacing w:after="0" w:line="360" w:lineRule="auto"/>
        <w:rPr>
          <w:rFonts w:eastAsia="Times New Roman"/>
          <w:noProof/>
          <w:szCs w:val="24"/>
        </w:rPr>
      </w:pPr>
      <w:r>
        <w:rPr>
          <w:noProof/>
        </w:rPr>
        <w:t>SK</w:t>
      </w:r>
      <w:r>
        <w:rPr>
          <w:noProof/>
        </w:rPr>
        <w:tab/>
        <w:t>République slovaque</w:t>
      </w:r>
    </w:p>
    <w:p>
      <w:pPr>
        <w:spacing w:after="0" w:line="360" w:lineRule="auto"/>
        <w:rPr>
          <w:rFonts w:eastAsia="Times New Roman"/>
          <w:noProof/>
          <w:szCs w:val="24"/>
        </w:rPr>
      </w:pPr>
      <w:r>
        <w:rPr>
          <w:noProof/>
        </w:rPr>
        <w:t>SI</w:t>
      </w:r>
      <w:r>
        <w:rPr>
          <w:noProof/>
        </w:rPr>
        <w:tab/>
        <w:t>Slovénie</w:t>
      </w:r>
    </w:p>
    <w:p>
      <w:pPr>
        <w:spacing w:after="0" w:line="360" w:lineRule="auto"/>
        <w:rPr>
          <w:rFonts w:eastAsia="Times New Roman"/>
          <w:noProof/>
          <w:szCs w:val="24"/>
        </w:rPr>
      </w:pPr>
      <w:r>
        <w:rPr>
          <w:noProof/>
        </w:rPr>
        <w:t>SE</w:t>
      </w:r>
      <w:r>
        <w:rPr>
          <w:noProof/>
        </w:rPr>
        <w:tab/>
        <w:t>Suède</w:t>
      </w:r>
    </w:p>
    <w:p>
      <w:pPr>
        <w:spacing w:after="0" w:line="360" w:lineRule="auto"/>
        <w:rPr>
          <w:rFonts w:eastAsia="Times New Roman"/>
          <w:noProof/>
          <w:szCs w:val="24"/>
        </w:rPr>
      </w:pPr>
      <w:r>
        <w:rPr>
          <w:noProof/>
        </w:rPr>
        <w:t>UK</w:t>
      </w:r>
      <w:r>
        <w:rPr>
          <w:noProof/>
        </w:rPr>
        <w:tab/>
        <w:t>Royaume-Uni</w:t>
      </w:r>
    </w:p>
    <w:p>
      <w:pPr>
        <w:spacing w:after="0" w:line="360" w:lineRule="auto"/>
        <w:rPr>
          <w:rFonts w:eastAsia="Times New Roman"/>
          <w:noProof/>
          <w:szCs w:val="24"/>
        </w:rPr>
      </w:pPr>
    </w:p>
    <w:p>
      <w:pPr>
        <w:spacing w:after="0" w:line="360" w:lineRule="auto"/>
        <w:rPr>
          <w:rFonts w:eastAsia="Times New Roman"/>
          <w:noProof/>
          <w:szCs w:val="24"/>
        </w:rPr>
      </w:pPr>
      <w:r>
        <w:rPr>
          <w:noProof/>
        </w:rPr>
        <w:t>3. Les engagements en matière d’accès au marché relatifs aux modes de fourniture 1 et 2 ne s’appliquent:</w:t>
      </w:r>
    </w:p>
    <w:p>
      <w:pPr>
        <w:spacing w:after="0" w:line="360" w:lineRule="auto"/>
        <w:rPr>
          <w:rFonts w:eastAsia="Times New Roman"/>
          <w:noProof/>
          <w:szCs w:val="24"/>
        </w:rPr>
      </w:pPr>
    </w:p>
    <w:p>
      <w:pPr>
        <w:spacing w:after="0" w:line="360" w:lineRule="auto"/>
        <w:rPr>
          <w:rFonts w:eastAsia="Times New Roman"/>
          <w:noProof/>
          <w:szCs w:val="24"/>
        </w:rPr>
      </w:pPr>
      <w:r>
        <w:rPr>
          <w:noProof/>
        </w:rPr>
        <w:t>- qu’aux transactions indiquées aux paragraphes B.3. et B.4. de la section sur l’accès au marché du «mémorandum d’accord sur les engagements relatifs aux services financiers», pour tous les États membres respectivement,</w:t>
      </w:r>
    </w:p>
    <w:p>
      <w:pPr>
        <w:spacing w:after="0" w:line="360" w:lineRule="auto"/>
        <w:rPr>
          <w:rFonts w:eastAsia="Times New Roman"/>
          <w:noProof/>
          <w:szCs w:val="24"/>
        </w:rPr>
      </w:pPr>
    </w:p>
    <w:p>
      <w:pPr>
        <w:spacing w:after="0" w:line="360" w:lineRule="auto"/>
        <w:rPr>
          <w:rFonts w:eastAsia="Times New Roman"/>
          <w:noProof/>
          <w:szCs w:val="24"/>
        </w:rPr>
      </w:pPr>
      <w:r>
        <w:rPr>
          <w:noProof/>
        </w:rPr>
        <w:t>- qu’aux transactions indiquées ci-après, conformément aux définitions données à l’article 11, pour chaque État membre concerné:</w:t>
      </w:r>
    </w:p>
    <w:p>
      <w:pPr>
        <w:spacing w:after="0" w:line="360" w:lineRule="auto"/>
        <w:rPr>
          <w:rFonts w:eastAsia="Times New Roman"/>
          <w:noProof/>
          <w:szCs w:val="24"/>
        </w:rPr>
      </w:pPr>
    </w:p>
    <w:p>
      <w:pPr>
        <w:spacing w:after="0" w:line="360" w:lineRule="auto"/>
        <w:rPr>
          <w:rFonts w:eastAsia="Times New Roman"/>
          <w:noProof/>
          <w:szCs w:val="24"/>
        </w:rPr>
      </w:pPr>
      <w:r>
        <w:rPr>
          <w:noProof/>
        </w:rPr>
        <w:t>BG: sous-secteur A.1. a) (assurance-vie) et partie restante du sous-secteur A.1. b) (assurance dommages non-MAT - risques de transport maritime, aérien et autre) en modes 1 et 2;</w:t>
      </w:r>
    </w:p>
    <w:p>
      <w:pPr>
        <w:spacing w:after="0" w:line="360" w:lineRule="auto"/>
        <w:rPr>
          <w:rFonts w:eastAsia="Times New Roman"/>
          <w:noProof/>
          <w:szCs w:val="24"/>
        </w:rPr>
      </w:pPr>
    </w:p>
    <w:p>
      <w:pPr>
        <w:spacing w:after="0" w:line="360" w:lineRule="auto"/>
        <w:rPr>
          <w:rFonts w:eastAsia="Times New Roman"/>
          <w:noProof/>
          <w:szCs w:val="24"/>
        </w:rPr>
      </w:pPr>
      <w:r>
        <w:rPr>
          <w:noProof/>
        </w:rPr>
        <w:t>CY: sous-secteur A.1. a) (assurance-vie) et partie restante du sous-secteur A.1. b) (assurance dommages non-MAT - risques de transport maritime, aérien et autre) en mode 2, sous-secteur B.6. e) (opérations sur valeurs mobilières transférables) en mode 1;</w:t>
      </w:r>
    </w:p>
    <w:p>
      <w:pPr>
        <w:spacing w:after="0" w:line="360" w:lineRule="auto"/>
        <w:rPr>
          <w:rFonts w:eastAsia="Times New Roman"/>
          <w:noProof/>
          <w:szCs w:val="24"/>
        </w:rPr>
      </w:pPr>
    </w:p>
    <w:p>
      <w:pPr>
        <w:spacing w:after="0" w:line="360" w:lineRule="auto"/>
        <w:rPr>
          <w:rFonts w:eastAsia="Times New Roman"/>
          <w:noProof/>
          <w:szCs w:val="24"/>
        </w:rPr>
      </w:pPr>
      <w:r>
        <w:rPr>
          <w:noProof/>
        </w:rPr>
        <w:t>EE: sous-secteur A.1. a) (assurance-vie), partie restante du sous-secteur A.1. b) (assurance dommages non-MAT) et partie restante du sous-secteur A.3. (intermédiation en assurance non-MAT) en modes 1 et 2, sous-secteurs B.1. à B.10. (acceptation de dépôts, prêts de tous types, crédit-bail, tous services de règlement et de transferts monétaires, garanties et engagements, opérations sur valeurs mobilières, participation à des émissions de tout type de valeurs mobilières, courtage monétaire, gestion d’actifs, services de règlement et de compensation afférents à des actifs financiers) en mode 1;</w:t>
      </w:r>
    </w:p>
    <w:p>
      <w:pPr>
        <w:spacing w:after="0" w:line="360" w:lineRule="auto"/>
        <w:rPr>
          <w:rFonts w:eastAsia="Times New Roman"/>
          <w:noProof/>
          <w:szCs w:val="24"/>
        </w:rPr>
      </w:pPr>
    </w:p>
    <w:p>
      <w:pPr>
        <w:spacing w:after="0" w:line="360" w:lineRule="auto"/>
        <w:rPr>
          <w:rFonts w:eastAsia="Times New Roman"/>
          <w:noProof/>
          <w:szCs w:val="24"/>
        </w:rPr>
      </w:pPr>
      <w:r>
        <w:rPr>
          <w:noProof/>
        </w:rPr>
        <w:t>LV: sous-secteur A.1. a) (assurance-vie), partie restante du sous-secteur A.1. b) (assurance dommages non-MAT) et partie restante du sous-secteur A.3. (intermédiation en assurance non-MAT) en mode 2, sous-secteur B.7. (participation à des émissions de tout type de valeurs mobilières) en mode 1;</w:t>
      </w:r>
    </w:p>
    <w:p>
      <w:pPr>
        <w:spacing w:after="0" w:line="360" w:lineRule="auto"/>
        <w:rPr>
          <w:rFonts w:eastAsia="Times New Roman"/>
          <w:noProof/>
          <w:szCs w:val="24"/>
        </w:rPr>
      </w:pPr>
    </w:p>
    <w:p>
      <w:pPr>
        <w:spacing w:after="0" w:line="360" w:lineRule="auto"/>
        <w:rPr>
          <w:rFonts w:eastAsia="Times New Roman"/>
          <w:noProof/>
          <w:szCs w:val="24"/>
        </w:rPr>
      </w:pPr>
      <w:r>
        <w:rPr>
          <w:noProof/>
        </w:rPr>
        <w:t>LT: sous-secteur A.1. a) (assurance-vie), partie restante du sous-secteur A.1. b) (assurance dommages non-MAT) et partie restante du sous-secteur A.3. (intermédiation en assurance non-MAT) en mode 2, sous-secteurs B.1. à B.10. (acceptation de dépôts, prêts de tous types, crédit-bail, tous services de règlement et de transferts monétaires, garanties et engagements, opérations sur valeurs mobilières, participation à des émissions de tout type de valeurs mobilières, courtage monétaire, gestion d’actifs, services de règlement et de compensation afférents à des actifs financiers) en mode 1;</w:t>
      </w:r>
    </w:p>
    <w:p>
      <w:pPr>
        <w:spacing w:after="0" w:line="360" w:lineRule="auto"/>
        <w:rPr>
          <w:rFonts w:eastAsia="Times New Roman"/>
          <w:noProof/>
          <w:szCs w:val="24"/>
        </w:rPr>
      </w:pPr>
    </w:p>
    <w:p>
      <w:pPr>
        <w:spacing w:after="0" w:line="360" w:lineRule="auto"/>
        <w:rPr>
          <w:rFonts w:eastAsia="Times New Roman"/>
          <w:noProof/>
          <w:szCs w:val="24"/>
        </w:rPr>
      </w:pPr>
      <w:r>
        <w:rPr>
          <w:noProof/>
        </w:rPr>
        <w:t>MT: sous-secteur A.1. a) (assurance-vie) et partie restante du sous-secteur A.1.b) (assurance dommages non-MAT) en mode 2, sous-secteurs B.1. et B.2. (acceptation de dépôts et prêts de tous types) en mode 1;</w:t>
      </w:r>
    </w:p>
    <w:p>
      <w:pPr>
        <w:spacing w:after="0" w:line="360" w:lineRule="auto"/>
        <w:rPr>
          <w:rFonts w:eastAsia="Times New Roman"/>
          <w:noProof/>
          <w:szCs w:val="24"/>
        </w:rPr>
      </w:pPr>
    </w:p>
    <w:p>
      <w:pPr>
        <w:spacing w:after="0" w:line="360" w:lineRule="auto"/>
        <w:rPr>
          <w:rFonts w:eastAsia="Times New Roman"/>
          <w:noProof/>
          <w:szCs w:val="24"/>
        </w:rPr>
      </w:pPr>
      <w:r>
        <w:rPr>
          <w:noProof/>
        </w:rPr>
        <w:t xml:space="preserve">RO: sous-secteur B.1. (acceptation de dépôts) B.2. (prêts de tous types), B.4. (tous services de règlement et de transferts monétaires), B.5. (garanties et engagements) et B.8. (courtage monétaire) en mode 1; </w:t>
      </w:r>
    </w:p>
    <w:p>
      <w:pPr>
        <w:spacing w:after="0" w:line="360" w:lineRule="auto"/>
        <w:rPr>
          <w:rFonts w:eastAsia="Times New Roman"/>
          <w:noProof/>
          <w:szCs w:val="24"/>
        </w:rPr>
      </w:pPr>
    </w:p>
    <w:p>
      <w:pPr>
        <w:spacing w:after="0" w:line="360" w:lineRule="auto"/>
        <w:rPr>
          <w:rFonts w:eastAsia="Times New Roman"/>
          <w:noProof/>
          <w:szCs w:val="24"/>
        </w:rPr>
      </w:pPr>
      <w:r>
        <w:rPr>
          <w:noProof/>
        </w:rPr>
        <w:t>SI: sous-secteurs B.1. à B.10. (acceptation de dépôts, prêts de tous types, crédit-bail, tous services de règlement et de transferts monétaires, garanties et engagements, opérations sur valeurs mobilières, participation à des émissions de tout type de valeurs mobilières, courtage monétaire, gestion d’actifs, services de règlement et de compensation afférents à des actifs financiers) en mode 1.</w:t>
      </w:r>
    </w:p>
    <w:p>
      <w:pPr>
        <w:spacing w:after="0" w:line="360" w:lineRule="auto"/>
        <w:rPr>
          <w:rFonts w:eastAsia="Times New Roman"/>
          <w:noProof/>
          <w:szCs w:val="24"/>
        </w:rPr>
      </w:pPr>
    </w:p>
    <w:p>
      <w:pPr>
        <w:spacing w:after="0" w:line="360" w:lineRule="auto"/>
        <w:rPr>
          <w:rFonts w:eastAsia="Times New Roman"/>
          <w:noProof/>
          <w:szCs w:val="24"/>
        </w:rPr>
      </w:pPr>
      <w:r>
        <w:rPr>
          <w:noProof/>
        </w:rPr>
        <w:t>4. À la différence des filiales étrangères, les succursales établies directement dans un État membre par un établissement financier mexicain ne sont pas, sous réserve d’un petit nombre d’exceptions précises, soumises aux règlements prudentiels harmonisés au niveau communautaire, ce qui leur laisse plus de latitude pour créer de nouveaux établissements et fournir des services transfrontières dans toute la Communauté. Ces succursales sont donc autorisées à opérer sur le territoire d’un État membre dans des conditions équivalant à celles qui s’appliquent aux établissements financiers nationaux de cet État membre et peuvent être tenues de satisfaire à plusieurs règles prudentielles spécifiques telles que, dans le cas des banques et des services d’investissement dans le domaine des valeurs mobilières, un capital distinct et d’autres prescriptions relatives à la solvabilité ainsi qu’à la présentation et publication des comptes, ou, dans le cas des assurances, des prescriptions particulières en matière de garanties et de dépôts, un capital distinct et la domiciliation dans l’État membre en question des actifs représentant les réserves techniques et au moins un tiers de la marge de solvabilité. Les États membres ne peuvent appliquer ces restrictions que dans les cas où il y a établissement direct de la présence commerciale d’une succursale mexicaine ou prestation de services transfrontières à partir du Mexique; un État membre ne peut donc appliquer ces restrictions, y compris celles qui concernent l’établissement, à des filiales de sociétés mexicaines implantées dans d’autres États membres de la Communauté, à moins que ces restrictions ne puissent également s’appliquer à des sociétés ou des ressortissants d’autres États membres conformément au droit communautaire.</w:t>
      </w:r>
    </w:p>
    <w:p>
      <w:pPr>
        <w:spacing w:after="0" w:line="360" w:lineRule="auto"/>
        <w:rPr>
          <w:rFonts w:eastAsia="Times New Roman"/>
          <w:noProof/>
          <w:szCs w:val="24"/>
        </w:rPr>
      </w:pPr>
    </w:p>
    <w:p>
      <w:pPr>
        <w:spacing w:after="0" w:line="360" w:lineRule="auto"/>
        <w:rPr>
          <w:rFonts w:eastAsia="Times New Roman"/>
          <w:noProof/>
          <w:szCs w:val="24"/>
        </w:rPr>
      </w:pPr>
      <w:r>
        <w:rPr>
          <w:noProof/>
        </w:rPr>
        <w:t>5. BG: l’admission de nouveaux services ou produits financiers sur le marché peut être subordonnée à l’existence et au respect d’un cadre réglementaire visant à atteindre les objectifs énoncés à l’article 19 de la décision n° 2/2001 du Conseil conjoint UE-Mexique.</w:t>
      </w:r>
    </w:p>
    <w:p>
      <w:pPr>
        <w:spacing w:after="0" w:line="360" w:lineRule="auto"/>
        <w:rPr>
          <w:rFonts w:eastAsia="Times New Roman"/>
          <w:noProof/>
          <w:szCs w:val="24"/>
        </w:rPr>
      </w:pPr>
    </w:p>
    <w:p>
      <w:pPr>
        <w:spacing w:after="0" w:line="360" w:lineRule="auto"/>
        <w:rPr>
          <w:rFonts w:eastAsia="Times New Roman"/>
          <w:noProof/>
          <w:szCs w:val="24"/>
        </w:rPr>
      </w:pPr>
      <w:r>
        <w:rPr>
          <w:noProof/>
        </w:rPr>
        <w:t>6. BG: les activités d’assurance ou de banque ainsi que la négociation de valeurs mobilières et les activités qui y sont liées doivent être menées séparément par les entreprises autorisées à fournir lesdits services.</w:t>
      </w:r>
    </w:p>
    <w:p>
      <w:pPr>
        <w:spacing w:after="0" w:line="360" w:lineRule="auto"/>
        <w:rPr>
          <w:rFonts w:eastAsia="Times New Roman"/>
          <w:noProof/>
          <w:szCs w:val="24"/>
        </w:rPr>
      </w:pPr>
    </w:p>
    <w:p>
      <w:pPr>
        <w:spacing w:after="0" w:line="360" w:lineRule="auto"/>
        <w:rPr>
          <w:rFonts w:eastAsia="Times New Roman"/>
          <w:noProof/>
          <w:szCs w:val="24"/>
        </w:rPr>
      </w:pPr>
      <w:r>
        <w:rPr>
          <w:noProof/>
        </w:rPr>
        <w:t>7. BG: en règle générale et de façon non discriminatoire, les établissements financiers constitués en sociétés en République de Bulgarie doivent avoir la forme juridique de sociétés anonymes.</w:t>
      </w:r>
    </w:p>
    <w:p>
      <w:pPr>
        <w:spacing w:after="0" w:line="360" w:lineRule="auto"/>
        <w:rPr>
          <w:rFonts w:eastAsia="Times New Roman"/>
          <w:noProof/>
          <w:szCs w:val="24"/>
        </w:rPr>
      </w:pPr>
    </w:p>
    <w:p>
      <w:pPr>
        <w:spacing w:after="0" w:line="360" w:lineRule="auto"/>
        <w:rPr>
          <w:rFonts w:eastAsia="Times New Roman"/>
          <w:noProof/>
          <w:szCs w:val="24"/>
        </w:rPr>
      </w:pPr>
      <w:r>
        <w:rPr>
          <w:noProof/>
        </w:rPr>
        <w:t>8. CY: les conditions et restrictions générales suivantes s'appliquent, même si la liste ne contient aucune limitation ou condition:</w:t>
      </w:r>
    </w:p>
    <w:p>
      <w:pPr>
        <w:spacing w:after="0" w:line="360" w:lineRule="auto"/>
        <w:rPr>
          <w:rFonts w:eastAsia="Times New Roman"/>
          <w:noProof/>
          <w:szCs w:val="24"/>
        </w:rPr>
      </w:pPr>
    </w:p>
    <w:p>
      <w:pPr>
        <w:spacing w:after="0" w:line="360" w:lineRule="auto"/>
        <w:rPr>
          <w:rFonts w:eastAsia="Times New Roman"/>
          <w:noProof/>
          <w:szCs w:val="24"/>
        </w:rPr>
      </w:pPr>
      <w:r>
        <w:rPr>
          <w:noProof/>
        </w:rPr>
        <w:t>i)</w:t>
      </w:r>
      <w:r>
        <w:rPr>
          <w:noProof/>
        </w:rPr>
        <w:tab/>
        <w:t>il sera tenu compte des objectifs en matière de sécurité nationale et d’ordre public;</w:t>
      </w:r>
    </w:p>
    <w:p>
      <w:pPr>
        <w:spacing w:after="0" w:line="360" w:lineRule="auto"/>
        <w:rPr>
          <w:rFonts w:eastAsia="Times New Roman"/>
          <w:noProof/>
          <w:szCs w:val="24"/>
        </w:rPr>
      </w:pPr>
    </w:p>
    <w:p>
      <w:pPr>
        <w:spacing w:after="0" w:line="360" w:lineRule="auto"/>
        <w:rPr>
          <w:rFonts w:eastAsia="Times New Roman"/>
          <w:noProof/>
          <w:szCs w:val="24"/>
        </w:rPr>
      </w:pPr>
      <w:r>
        <w:rPr>
          <w:noProof/>
        </w:rPr>
        <w:t>ii)</w:t>
      </w:r>
      <w:r>
        <w:rPr>
          <w:noProof/>
        </w:rPr>
        <w:tab/>
        <w:t>la présente liste ne porte en aucune façon sur les services fournis dans l’exercice de fonctions gouvernementales. Elle ne concerne pas non plus les mesures relatives au commerce des marchandises pouvant servir d’intrants pour un service inscrit dans la liste ou pour d’autres services. En outre, les limitations relatives à l’accès au marché ou au traitement national en ce qui concerne les services pouvant constituer des intrants pour un service inscrit dans la liste ou être utilisés afin de fournir un tel service continuent de s'appliquer.</w:t>
      </w:r>
    </w:p>
    <w:p>
      <w:pPr>
        <w:spacing w:after="0" w:line="360" w:lineRule="auto"/>
        <w:rPr>
          <w:rFonts w:eastAsia="Times New Roman"/>
          <w:noProof/>
          <w:szCs w:val="24"/>
        </w:rPr>
      </w:pPr>
    </w:p>
    <w:p>
      <w:pPr>
        <w:spacing w:after="0" w:line="360" w:lineRule="auto"/>
        <w:rPr>
          <w:rFonts w:eastAsia="Times New Roman"/>
          <w:noProof/>
          <w:szCs w:val="24"/>
        </w:rPr>
      </w:pPr>
      <w:r>
        <w:rPr>
          <w:noProof/>
        </w:rPr>
        <w:t>9. CY: les mentions de lois et de réglementations figurant dans la présente liste ne doivent pas être interprétées comme une référence exhaustive à toutes les lois et réglementations régissant le secteur financier. Par exemple, le transfert de renseignements comprenant des données personnelles ou des données relevant du secret bancaire ou de tout autre secret commercial n’est pas autorisé. Ce transfert est régi par les lois nationales sur la protection du caractère confidentiel des renseignements concernant les clients des banques. En outre, il faut noter qu’aucune mesure qualitative non discriminatoire relative aux normes techniques, à la santé publique ou à des considérations concernant l’environnement, à l’octroi de licences, à des considérations prudentielles, aux qualifications professionnelles ou à des prescriptions en matière de compétences n’a été inscrite dans la liste en tant que condition ou limitation s’agissant de l’accès au marché et du traitement national.</w:t>
      </w:r>
    </w:p>
    <w:p>
      <w:pPr>
        <w:spacing w:after="0" w:line="360" w:lineRule="auto"/>
        <w:rPr>
          <w:rFonts w:eastAsia="Times New Roman"/>
          <w:noProof/>
          <w:szCs w:val="24"/>
        </w:rPr>
      </w:pPr>
    </w:p>
    <w:p>
      <w:pPr>
        <w:spacing w:after="0" w:line="360" w:lineRule="auto"/>
        <w:rPr>
          <w:rFonts w:eastAsia="Times New Roman"/>
          <w:noProof/>
          <w:szCs w:val="24"/>
        </w:rPr>
      </w:pPr>
      <w:r>
        <w:rPr>
          <w:noProof/>
        </w:rPr>
        <w:t>10. CY: les services et produits financiers non réglementés et l’admission sur le marché de nouveaux services ou produits financiers peuvent être subordonnés à l’existence ou à l’adoption d’un cadre réglementaire visant à atteindre les objectifs énoncés à l’article 19 de la décision n° 2/2001 du Conseil conjoint UE-Mexique.</w:t>
      </w:r>
    </w:p>
    <w:p>
      <w:pPr>
        <w:spacing w:after="0" w:line="360" w:lineRule="auto"/>
        <w:rPr>
          <w:rFonts w:eastAsia="Times New Roman"/>
          <w:noProof/>
          <w:szCs w:val="24"/>
        </w:rPr>
      </w:pPr>
    </w:p>
    <w:p>
      <w:pPr>
        <w:spacing w:after="0" w:line="360" w:lineRule="auto"/>
        <w:rPr>
          <w:rFonts w:eastAsia="Times New Roman"/>
          <w:noProof/>
          <w:szCs w:val="24"/>
        </w:rPr>
      </w:pPr>
      <w:r>
        <w:rPr>
          <w:noProof/>
        </w:rPr>
        <w:t>11. CY: en raison des mesures de contrôle des changes en vigueur à Chypre:</w:t>
      </w:r>
    </w:p>
    <w:p>
      <w:pPr>
        <w:spacing w:after="0" w:line="360" w:lineRule="auto"/>
        <w:rPr>
          <w:rFonts w:eastAsia="Times New Roman"/>
          <w:noProof/>
          <w:szCs w:val="24"/>
        </w:rPr>
      </w:pPr>
    </w:p>
    <w:p>
      <w:pPr>
        <w:spacing w:after="0" w:line="360" w:lineRule="auto"/>
        <w:rPr>
          <w:rFonts w:eastAsia="Times New Roman"/>
          <w:noProof/>
          <w:szCs w:val="24"/>
        </w:rPr>
      </w:pPr>
      <w:r>
        <w:rPr>
          <w:noProof/>
        </w:rPr>
        <w:t>- les résidents ne sont pas autorisés à acheter des services bancaires pouvant donner lieu à des transferts de fonds à l’étranger alors qu’ils se trouvent à l’étranger,</w:t>
      </w:r>
    </w:p>
    <w:p>
      <w:pPr>
        <w:spacing w:after="0" w:line="360" w:lineRule="auto"/>
        <w:rPr>
          <w:rFonts w:eastAsia="Times New Roman"/>
          <w:noProof/>
          <w:szCs w:val="24"/>
        </w:rPr>
      </w:pPr>
    </w:p>
    <w:p>
      <w:pPr>
        <w:spacing w:after="0" w:line="360" w:lineRule="auto"/>
        <w:rPr>
          <w:rFonts w:eastAsia="Times New Roman"/>
          <w:noProof/>
          <w:szCs w:val="24"/>
        </w:rPr>
      </w:pPr>
      <w:r>
        <w:rPr>
          <w:noProof/>
        </w:rPr>
        <w:t>- les prêts à des non-résidents/des étrangers ou à des entreprises contrôlées par des non-résidents doivent être approuvés par la Banque centrale,</w:t>
      </w:r>
    </w:p>
    <w:p>
      <w:pPr>
        <w:spacing w:after="0" w:line="360" w:lineRule="auto"/>
        <w:rPr>
          <w:rFonts w:eastAsia="Times New Roman"/>
          <w:noProof/>
          <w:szCs w:val="24"/>
        </w:rPr>
      </w:pPr>
    </w:p>
    <w:p>
      <w:pPr>
        <w:spacing w:after="0" w:line="360" w:lineRule="auto"/>
        <w:rPr>
          <w:rFonts w:eastAsia="Times New Roman"/>
          <w:noProof/>
          <w:szCs w:val="24"/>
        </w:rPr>
      </w:pPr>
      <w:r>
        <w:rPr>
          <w:noProof/>
        </w:rPr>
        <w:t>- l’acquisition de valeurs mobilières par des non-résidents doit aussi être approuvée par la Banque centrale,</w:t>
      </w:r>
    </w:p>
    <w:p>
      <w:pPr>
        <w:spacing w:after="0" w:line="360" w:lineRule="auto"/>
        <w:rPr>
          <w:rFonts w:eastAsia="Times New Roman"/>
          <w:noProof/>
          <w:szCs w:val="24"/>
        </w:rPr>
      </w:pPr>
    </w:p>
    <w:p>
      <w:pPr>
        <w:spacing w:after="0" w:line="360" w:lineRule="auto"/>
        <w:rPr>
          <w:rFonts w:eastAsia="Times New Roman"/>
          <w:noProof/>
          <w:szCs w:val="24"/>
        </w:rPr>
      </w:pPr>
      <w:r>
        <w:rPr>
          <w:noProof/>
        </w:rPr>
        <w:t>- les transactions sur devises ne peuvent être effectuées que par l’intermédiaire de banques auxquelles la Banque centrale a accordé le statut d'«agent agréé».</w:t>
      </w:r>
    </w:p>
    <w:p>
      <w:pPr>
        <w:spacing w:after="0" w:line="360" w:lineRule="auto"/>
        <w:rPr>
          <w:rFonts w:eastAsia="Times New Roman"/>
          <w:noProof/>
          <w:szCs w:val="24"/>
        </w:rPr>
      </w:pPr>
    </w:p>
    <w:p>
      <w:pPr>
        <w:spacing w:after="0" w:line="360" w:lineRule="auto"/>
        <w:rPr>
          <w:rFonts w:eastAsia="Times New Roman"/>
          <w:noProof/>
          <w:szCs w:val="24"/>
        </w:rPr>
      </w:pPr>
      <w:r>
        <w:rPr>
          <w:noProof/>
        </w:rPr>
        <w:t>12. CZ: l’admission de nouveaux services et instruments financiers sur le marché peut être subordonnée à l’existence et au respect d’un cadre réglementaire national visant à atteindre les objectifs énoncés à l’article 19 de la décision n° 2/2001 du Conseil conjoint UE-Mexique.</w:t>
      </w:r>
    </w:p>
    <w:p>
      <w:pPr>
        <w:spacing w:after="0" w:line="360" w:lineRule="auto"/>
        <w:rPr>
          <w:rFonts w:eastAsia="Times New Roman"/>
          <w:noProof/>
          <w:szCs w:val="24"/>
        </w:rPr>
      </w:pPr>
    </w:p>
    <w:p>
      <w:pPr>
        <w:spacing w:after="0" w:line="360" w:lineRule="auto"/>
        <w:rPr>
          <w:rFonts w:eastAsia="Times New Roman"/>
          <w:noProof/>
          <w:szCs w:val="24"/>
        </w:rPr>
      </w:pPr>
      <w:r>
        <w:rPr>
          <w:noProof/>
        </w:rPr>
        <w:t>13. CZ: en règle générale et de façon non discriminatoire, les établissements financiers constitués en sociétés dans la République tchèque doivent avoir une forme juridique déterminée.</w:t>
      </w:r>
    </w:p>
    <w:p>
      <w:pPr>
        <w:spacing w:after="0" w:line="360" w:lineRule="auto"/>
        <w:rPr>
          <w:rFonts w:eastAsia="Times New Roman"/>
          <w:noProof/>
          <w:szCs w:val="24"/>
        </w:rPr>
      </w:pPr>
    </w:p>
    <w:p>
      <w:pPr>
        <w:spacing w:after="0" w:line="360" w:lineRule="auto"/>
        <w:rPr>
          <w:rFonts w:eastAsia="Times New Roman"/>
          <w:noProof/>
          <w:szCs w:val="24"/>
        </w:rPr>
      </w:pPr>
      <w:r>
        <w:rPr>
          <w:noProof/>
        </w:rPr>
        <w:t>14. CZ: l’assurance responsabilité civile obligatoire des véhicules automobiles est réservée à un prestataire exclusif. Quand les droits monopolistiques concernant cette assurance seront éliminés, les prestataires de ce service établis dans la République tchèque seront autorisés, sur une base non discriminatoire, à le fournir. L’assurance-maladie obligatoire est réservée aux prestataires à capitaux tchèques détenteurs d’une licence.</w:t>
      </w:r>
    </w:p>
    <w:p>
      <w:pPr>
        <w:spacing w:after="0" w:line="360" w:lineRule="auto"/>
        <w:rPr>
          <w:rFonts w:eastAsia="Times New Roman"/>
          <w:noProof/>
          <w:szCs w:val="24"/>
        </w:rPr>
      </w:pPr>
    </w:p>
    <w:p>
      <w:pPr>
        <w:spacing w:after="0" w:line="360" w:lineRule="auto"/>
        <w:rPr>
          <w:rFonts w:eastAsia="Times New Roman"/>
          <w:noProof/>
          <w:szCs w:val="24"/>
        </w:rPr>
      </w:pPr>
      <w:r>
        <w:rPr>
          <w:noProof/>
        </w:rPr>
        <w:t>15. EE: pas d’engagement pour les services de sécurité sociale obligatoire.</w:t>
      </w:r>
    </w:p>
    <w:p>
      <w:pPr>
        <w:spacing w:after="0" w:line="360" w:lineRule="auto"/>
        <w:rPr>
          <w:rFonts w:eastAsia="Times New Roman"/>
          <w:noProof/>
          <w:szCs w:val="24"/>
        </w:rPr>
      </w:pPr>
    </w:p>
    <w:p>
      <w:pPr>
        <w:spacing w:after="0" w:line="360" w:lineRule="auto"/>
        <w:rPr>
          <w:rFonts w:eastAsia="Times New Roman"/>
          <w:noProof/>
          <w:szCs w:val="24"/>
        </w:rPr>
      </w:pPr>
      <w:r>
        <w:rPr>
          <w:noProof/>
        </w:rPr>
        <w:t xml:space="preserve">16. HR: les services d’assurance et de banque doivent être fournis par des entreprises distinctes sur le plan légal. De plus, contrairement aux compagnies d’assurance, les banques sont autorisées à participer directement à des activités de négociation de titres. </w:t>
      </w:r>
    </w:p>
    <w:p>
      <w:pPr>
        <w:spacing w:after="0" w:line="360" w:lineRule="auto"/>
        <w:rPr>
          <w:rFonts w:eastAsia="Times New Roman"/>
          <w:noProof/>
          <w:szCs w:val="24"/>
        </w:rPr>
      </w:pPr>
    </w:p>
    <w:p>
      <w:pPr>
        <w:spacing w:after="0" w:line="360" w:lineRule="auto"/>
        <w:rPr>
          <w:rFonts w:eastAsia="Times New Roman"/>
          <w:noProof/>
          <w:szCs w:val="24"/>
        </w:rPr>
      </w:pPr>
      <w:r>
        <w:rPr>
          <w:noProof/>
        </w:rPr>
        <w:t>17. HU: l’admission de nouveaux services ou produits financiers sur le marché peut être subordonnée à l’existence et au respect d’un cadre réglementaire visant à atteindre les objectifs énoncés à l’article 19 de la décision n° 2/2001 du Conseil conjoint UE-Mexique.</w:t>
      </w:r>
    </w:p>
    <w:p>
      <w:pPr>
        <w:spacing w:after="0" w:line="360" w:lineRule="auto"/>
        <w:rPr>
          <w:rFonts w:eastAsia="Times New Roman"/>
          <w:noProof/>
          <w:szCs w:val="24"/>
        </w:rPr>
      </w:pPr>
    </w:p>
    <w:p>
      <w:pPr>
        <w:spacing w:after="0" w:line="360" w:lineRule="auto"/>
        <w:rPr>
          <w:rFonts w:eastAsia="Times New Roman"/>
          <w:noProof/>
          <w:szCs w:val="24"/>
        </w:rPr>
      </w:pPr>
      <w:r>
        <w:rPr>
          <w:noProof/>
        </w:rPr>
        <w:t>18. HU: le transfert d’informations comprenant des renseignements personnels ainsi que des renseignements confidentiels en matière bancaire et commerciale ou en matière de valeurs mobilières n’est pas autorisé.</w:t>
      </w:r>
    </w:p>
    <w:p>
      <w:pPr>
        <w:spacing w:after="0" w:line="360" w:lineRule="auto"/>
        <w:rPr>
          <w:rFonts w:eastAsia="Times New Roman"/>
          <w:noProof/>
          <w:szCs w:val="24"/>
        </w:rPr>
      </w:pPr>
    </w:p>
    <w:p>
      <w:pPr>
        <w:spacing w:after="0" w:line="360" w:lineRule="auto"/>
        <w:rPr>
          <w:rFonts w:eastAsia="Times New Roman"/>
          <w:noProof/>
          <w:szCs w:val="24"/>
        </w:rPr>
      </w:pPr>
      <w:r>
        <w:rPr>
          <w:noProof/>
        </w:rPr>
        <w:t>19. HU: en règle générale et de façon non discriminatoire, les établissements financiers constitués en sociétés en Hongrie doivent avoir une forme juridique déterminée.</w:t>
      </w:r>
    </w:p>
    <w:p>
      <w:pPr>
        <w:spacing w:after="0" w:line="360" w:lineRule="auto"/>
        <w:rPr>
          <w:rFonts w:eastAsia="Times New Roman"/>
          <w:noProof/>
          <w:szCs w:val="24"/>
        </w:rPr>
      </w:pPr>
    </w:p>
    <w:p>
      <w:pPr>
        <w:spacing w:after="0" w:line="360" w:lineRule="auto"/>
        <w:rPr>
          <w:rFonts w:eastAsia="Times New Roman"/>
          <w:noProof/>
          <w:szCs w:val="24"/>
        </w:rPr>
      </w:pPr>
      <w:r>
        <w:rPr>
          <w:noProof/>
        </w:rPr>
        <w:t>20. HU: les services d’assurance, les services bancaires et les services de gestion de valeurs mobilières et d’investissements collectifs doivent être fournis par des prestataires de services financiers constitués en entités juridiquement séparées et dotées d’un capital social distinct.</w:t>
      </w:r>
    </w:p>
    <w:p>
      <w:pPr>
        <w:spacing w:after="0" w:line="360" w:lineRule="auto"/>
        <w:rPr>
          <w:rFonts w:eastAsia="Times New Roman"/>
          <w:noProof/>
          <w:szCs w:val="24"/>
        </w:rPr>
      </w:pPr>
    </w:p>
    <w:p>
      <w:pPr>
        <w:spacing w:after="0" w:line="360" w:lineRule="auto"/>
        <w:rPr>
          <w:rFonts w:eastAsia="Times New Roman"/>
          <w:noProof/>
          <w:szCs w:val="24"/>
        </w:rPr>
      </w:pPr>
      <w:r>
        <w:rPr>
          <w:noProof/>
        </w:rPr>
        <w:t>21. MT: en ce qui concerne les engagements relatifs au mode 3, conformément à la législation sur le contrôle des changes, les non-résidents souhaitant fournir des services au moyen de l’immatriculation d’une société locale peuvent le faire avec l’autorisation préalable de la Banque centrale de Malte. Les sociétés dans lesquelles des personnes morales ou physiques non résidentes détiennent une participation doivent être dotées d’un capital social de 10 000 MTL (lires maltaises), dont 50 % doit être versé. Les fonds versés au titre de la part en pourcentage du capital social détenue par les non-résidents doivent venir de l’étranger. Les sociétés dans lesquelles des non-résidents détiennent une participation doivent présenter une demande d’autorisation au ministère des finances pour pouvoir acquérir des locaux, conformément à la législation applicable.</w:t>
      </w:r>
    </w:p>
    <w:p>
      <w:pPr>
        <w:spacing w:after="0" w:line="360" w:lineRule="auto"/>
        <w:rPr>
          <w:rFonts w:eastAsia="Times New Roman"/>
          <w:noProof/>
          <w:szCs w:val="24"/>
        </w:rPr>
      </w:pPr>
    </w:p>
    <w:p>
      <w:pPr>
        <w:spacing w:after="0" w:line="360" w:lineRule="auto"/>
        <w:rPr>
          <w:rFonts w:eastAsia="Times New Roman"/>
          <w:noProof/>
          <w:szCs w:val="24"/>
        </w:rPr>
      </w:pPr>
      <w:r>
        <w:rPr>
          <w:noProof/>
        </w:rPr>
        <w:t>22. MT: en ce qui concerne les engagements relatifs au mode 4, les prescriptions établies dans la législation et la réglementation maltaises concernant l’admission, le séjour, l’acquisition de biens immobiliers, le travail et la sécurité sociale continueront de s’appliquer, y compris les règlements concernant la durée du séjour, les salaires minimaux et les conventions collectives. L’octroi des permis d’admission, de travail et de résidence est laissé à la discrétion des pouvoirs publics maltais.</w:t>
      </w:r>
    </w:p>
    <w:p>
      <w:pPr>
        <w:spacing w:after="0" w:line="360" w:lineRule="auto"/>
        <w:rPr>
          <w:rFonts w:eastAsia="Times New Roman"/>
          <w:noProof/>
          <w:szCs w:val="24"/>
        </w:rPr>
      </w:pPr>
    </w:p>
    <w:p>
      <w:pPr>
        <w:spacing w:after="0" w:line="360" w:lineRule="auto"/>
        <w:rPr>
          <w:rFonts w:eastAsia="Times New Roman"/>
          <w:noProof/>
          <w:szCs w:val="24"/>
        </w:rPr>
      </w:pPr>
      <w:r>
        <w:rPr>
          <w:noProof/>
        </w:rPr>
        <w:t>23. MT: en ce qui concerne les engagements relatifs aux modes 1 et 2, la législation sur le contrôle des changes autorise un résident à transférer à l’étranger jusqu’à 5 000 MTL chaque année pour des investissements de portefeuille. Une autorisation des autorités chargées du contrôle des changes est nécessaire pour les montants dépassant 5 000 MTL.</w:t>
      </w:r>
    </w:p>
    <w:p>
      <w:pPr>
        <w:spacing w:after="0" w:line="360" w:lineRule="auto"/>
        <w:rPr>
          <w:rFonts w:eastAsia="Times New Roman"/>
          <w:noProof/>
          <w:szCs w:val="24"/>
        </w:rPr>
      </w:pPr>
      <w:r>
        <w:rPr>
          <w:noProof/>
        </w:rPr>
        <w:t>24. MT: les résidents peuvent emprunter à l’étranger sans l’autorisation des autorités chargées du contrôle des changes si l’emprunt porte sur une période de plus de trois ans. Ces emprunts doivent toutefois être enregistrés auprès de la Banque centrale.</w:t>
      </w:r>
    </w:p>
    <w:p>
      <w:pPr>
        <w:spacing w:after="0" w:line="360" w:lineRule="auto"/>
        <w:rPr>
          <w:rFonts w:eastAsia="Times New Roman"/>
          <w:noProof/>
          <w:szCs w:val="24"/>
        </w:rPr>
      </w:pPr>
    </w:p>
    <w:p>
      <w:pPr>
        <w:spacing w:after="0" w:line="360" w:lineRule="auto"/>
        <w:rPr>
          <w:rFonts w:eastAsia="Times New Roman"/>
          <w:noProof/>
          <w:szCs w:val="24"/>
        </w:rPr>
      </w:pPr>
      <w:r>
        <w:rPr>
          <w:noProof/>
        </w:rPr>
        <w:t>25. PL: des règlements prudentiels sont actuellement élaborés en Pologne pour le secteur financier. Ils pourront nécessiter la modification des règles actuellement en vigueur ainsi que l’élaboration d’une nouvelle législation.</w:t>
      </w:r>
    </w:p>
    <w:p>
      <w:pPr>
        <w:spacing w:after="0" w:line="360" w:lineRule="auto"/>
        <w:rPr>
          <w:rFonts w:eastAsia="Times New Roman"/>
          <w:noProof/>
          <w:szCs w:val="24"/>
        </w:rPr>
      </w:pPr>
    </w:p>
    <w:p>
      <w:pPr>
        <w:spacing w:after="0" w:line="360" w:lineRule="auto"/>
        <w:rPr>
          <w:rFonts w:eastAsia="Times New Roman"/>
          <w:noProof/>
          <w:szCs w:val="24"/>
        </w:rPr>
      </w:pPr>
      <w:r>
        <w:rPr>
          <w:noProof/>
        </w:rPr>
        <w:t>26. RO: pour qu’une société d’assurance et de réassurance puisse être créée et exercer une activité, elle doit recevoir une autorisation délivrée par l’autorité de contrôle des activités d’assurance et de réassurance. Pour qu’une société bancaire puisse être créée et exercer une activité, elle doit recevoir une autorisation délivrée par la Banque nationale de Roumanie. Pour qu’une entité liée au marché des valeurs mobilières (personne physique ou morale selon le cas) puisse être créée et exercer une activité, elle doit recevoir une autorisation de la Commission nationale des valeurs mobilières de Roumanie. Après la création d’une présence commerciale, les établissements financiers réalisent leurs transactions avec les résidents uniquement dans la monnaie nationale de Roumanie.</w:t>
      </w:r>
    </w:p>
    <w:p>
      <w:pPr>
        <w:spacing w:after="0" w:line="360" w:lineRule="auto"/>
        <w:rPr>
          <w:rFonts w:eastAsia="Times New Roman"/>
          <w:noProof/>
          <w:szCs w:val="24"/>
        </w:rPr>
      </w:pPr>
    </w:p>
    <w:p>
      <w:pPr>
        <w:spacing w:after="0" w:line="360" w:lineRule="auto"/>
        <w:rPr>
          <w:rFonts w:eastAsia="Times New Roman"/>
          <w:noProof/>
          <w:szCs w:val="24"/>
        </w:rPr>
      </w:pPr>
      <w:r>
        <w:rPr>
          <w:noProof/>
        </w:rPr>
        <w:t>27. SK: l’admission de nouveaux services et instruments financiers sur le marché peut être subordonnée à l’existence et au respect d’un cadre réglementaire national visant à atteindre les objectifs énoncés à l’article 19 de la décision n° 2/2001 du Conseil conjoint UE-Mexique.</w:t>
      </w:r>
    </w:p>
    <w:p>
      <w:pPr>
        <w:spacing w:after="0" w:line="360" w:lineRule="auto"/>
        <w:rPr>
          <w:rFonts w:eastAsia="Times New Roman"/>
          <w:noProof/>
          <w:szCs w:val="24"/>
        </w:rPr>
      </w:pPr>
    </w:p>
    <w:p>
      <w:pPr>
        <w:spacing w:after="0" w:line="360" w:lineRule="auto"/>
        <w:rPr>
          <w:rFonts w:eastAsia="Times New Roman"/>
          <w:noProof/>
          <w:szCs w:val="24"/>
        </w:rPr>
      </w:pPr>
      <w:r>
        <w:rPr>
          <w:noProof/>
        </w:rPr>
        <w:t>28. SK: les services d’assurance ci-après sont réservés à des prestataires exclusifs: l’assurance responsabilité civile obligatoire des véhicules automobiles, l’assurance obligatoire du transport aérien et l’assurance responsabilité civile de l’employeur en cas de blessures ou de maladies professionnelles doivent être contractées auprès de la Compagnie slovaque d’assurance. L’assurance-maladie de base est réservée aux compagnies d’assurance-maladie slovaques titulaires d’une licence délivrée par le ministère slovaque de la santé pour la prestation de services d’assurance-maladie conformément à la loi n° 273/1994. Les régimes de pension et l’assurance-maladie sont réservés à la Compagnie d’assurance sociale.</w:t>
      </w:r>
    </w:p>
    <w:p>
      <w:pPr>
        <w:spacing w:after="0" w:line="360" w:lineRule="auto"/>
        <w:rPr>
          <w:rFonts w:eastAsia="Times New Roman"/>
          <w:noProof/>
          <w:szCs w:val="24"/>
        </w:rPr>
      </w:pPr>
    </w:p>
    <w:p>
      <w:pPr>
        <w:spacing w:after="0" w:line="360" w:lineRule="auto"/>
        <w:rPr>
          <w:rFonts w:eastAsia="Times New Roman"/>
          <w:noProof/>
          <w:szCs w:val="24"/>
        </w:rPr>
      </w:pPr>
      <w:r>
        <w:rPr>
          <w:noProof/>
        </w:rPr>
        <w:t>29. SI: l’admission de nouveaux services ou produits financiers sur le marché peut être subordonnée à l’existence et au respect d’un cadre réglementaire visant à atteindre les objectifs énoncés à l’article 19 de la décision n° 2/2001 du Conseil conjoint UE-Mexique.</w:t>
      </w:r>
    </w:p>
    <w:p>
      <w:pPr>
        <w:spacing w:after="0" w:line="360" w:lineRule="auto"/>
        <w:rPr>
          <w:rFonts w:eastAsia="Times New Roman"/>
          <w:noProof/>
          <w:szCs w:val="24"/>
        </w:rPr>
      </w:pPr>
    </w:p>
    <w:p>
      <w:pPr>
        <w:spacing w:after="0" w:line="360" w:lineRule="auto"/>
        <w:rPr>
          <w:rFonts w:eastAsia="Times New Roman"/>
          <w:noProof/>
          <w:szCs w:val="24"/>
        </w:rPr>
      </w:pPr>
      <w:r>
        <w:rPr>
          <w:noProof/>
        </w:rPr>
        <w:t>30. SI: en règle générale et de façon non discriminatoire, les établissements financiers constitués en sociétés en République de Slovénie doivent avoir une forme juridique déterminée.</w:t>
      </w:r>
    </w:p>
    <w:p>
      <w:pPr>
        <w:spacing w:after="0" w:line="360" w:lineRule="auto"/>
        <w:rPr>
          <w:rFonts w:eastAsia="Times New Roman"/>
          <w:noProof/>
          <w:szCs w:val="24"/>
        </w:rPr>
      </w:pPr>
    </w:p>
    <w:p>
      <w:pPr>
        <w:spacing w:after="0" w:line="360" w:lineRule="auto"/>
        <w:rPr>
          <w:rFonts w:eastAsia="Times New Roman"/>
          <w:noProof/>
          <w:szCs w:val="24"/>
        </w:rPr>
      </w:pPr>
      <w:r>
        <w:rPr>
          <w:noProof/>
        </w:rPr>
        <w:t>31. SI: les activités d’assurance et de banque doivent être exercées par des prestataires de services financiers juridiquement distincts.</w:t>
      </w:r>
    </w:p>
    <w:p>
      <w:pPr>
        <w:spacing w:after="0" w:line="360" w:lineRule="auto"/>
        <w:rPr>
          <w:rFonts w:eastAsia="Times New Roman"/>
          <w:noProof/>
          <w:szCs w:val="24"/>
        </w:rPr>
      </w:pPr>
    </w:p>
    <w:p>
      <w:pPr>
        <w:spacing w:after="0" w:line="360" w:lineRule="auto"/>
        <w:rPr>
          <w:rFonts w:eastAsia="Times New Roman"/>
          <w:b/>
          <w:noProof/>
          <w:szCs w:val="24"/>
          <w:u w:val="single"/>
        </w:rPr>
      </w:pPr>
      <w:r>
        <w:rPr>
          <w:noProof/>
        </w:rPr>
        <w:t>32. SI: les services de placement ne peuvent être fournis que par des banques ou des sociétés d’investissement.</w:t>
      </w:r>
    </w:p>
    <w:p>
      <w:pPr>
        <w:spacing w:after="0" w:line="360" w:lineRule="auto"/>
        <w:rPr>
          <w:rFonts w:eastAsia="Times New Roman"/>
          <w:noProof/>
          <w:szCs w:val="24"/>
        </w:rPr>
        <w:sectPr>
          <w:pgSz w:w="12240" w:h="15840" w:code="1"/>
          <w:pgMar w:top="1411" w:right="1699" w:bottom="1411" w:left="1699" w:header="706" w:footer="706" w:gutter="0"/>
          <w:cols w:space="720"/>
          <w:docGrid w:linePitch="326"/>
        </w:sectPr>
      </w:pPr>
    </w:p>
    <w:tbl>
      <w:tblPr>
        <w:tblW w:w="10620" w:type="dxa"/>
        <w:tblInd w:w="-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500"/>
        <w:gridCol w:w="2100"/>
        <w:gridCol w:w="7020"/>
      </w:tblGrid>
      <w:tr>
        <w:tc>
          <w:tcPr>
            <w:tcW w:w="150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noProof/>
                <w:szCs w:val="24"/>
              </w:rPr>
            </w:pPr>
            <w:r>
              <w:rPr>
                <w:noProof/>
              </w:rPr>
              <w:br w:type="page"/>
            </w:r>
          </w:p>
          <w:p>
            <w:pPr>
              <w:spacing w:after="0" w:line="360" w:lineRule="auto"/>
              <w:rPr>
                <w:rFonts w:eastAsia="Times New Roman"/>
                <w:b/>
                <w:noProof/>
                <w:szCs w:val="24"/>
              </w:rPr>
            </w:pPr>
            <w:r>
              <w:rPr>
                <w:noProof/>
              </w:rPr>
              <w:br w:type="page"/>
            </w:r>
            <w:r>
              <w:rPr>
                <w:b/>
                <w:noProof/>
              </w:rPr>
              <w:t>A. Services d'assurance et services connexes</w:t>
            </w:r>
          </w:p>
        </w:tc>
        <w:tc>
          <w:tcPr>
            <w:tcW w:w="210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p>
            <w:pPr>
              <w:spacing w:after="0" w:line="360" w:lineRule="auto"/>
              <w:rPr>
                <w:rFonts w:eastAsia="Times New Roman"/>
                <w:b/>
                <w:noProof/>
                <w:szCs w:val="24"/>
              </w:rPr>
            </w:pPr>
            <w:r>
              <w:rPr>
                <w:b/>
                <w:noProof/>
              </w:rPr>
              <w:t>1) Fourniture transfrontières</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p>
            <w:pPr>
              <w:spacing w:after="0" w:line="360" w:lineRule="auto"/>
              <w:rPr>
                <w:rFonts w:eastAsia="Times New Roman"/>
                <w:noProof/>
                <w:szCs w:val="24"/>
              </w:rPr>
            </w:pPr>
            <w:r>
              <w:rPr>
                <w:noProof/>
              </w:rPr>
              <w:t>AT: les activités de promotion et l’intermédiation pour le compte d’une filiale non établie dans la Communauté ou d’une succursale non établie en Autriche (sauf pour la réassurance et la rétrocession) sont interdites.</w:t>
            </w:r>
          </w:p>
          <w:p>
            <w:pPr>
              <w:spacing w:after="0" w:line="360" w:lineRule="auto"/>
              <w:rPr>
                <w:rFonts w:eastAsia="Times New Roman"/>
                <w:b/>
                <w:noProof/>
                <w:szCs w:val="24"/>
              </w:rPr>
            </w:pPr>
            <w:r>
              <w:rPr>
                <w:noProof/>
              </w:rPr>
              <w:t>AT: l’assurance obligatoire du transport aérien</w:t>
            </w:r>
            <w:r>
              <w:rPr>
                <w:b/>
                <w:noProof/>
              </w:rPr>
              <w:t xml:space="preserve"> </w:t>
            </w:r>
            <w:r>
              <w:rPr>
                <w:noProof/>
              </w:rPr>
              <w:t>peut uniquement être souscrite auprès d’une filiale établie dans la Communauté ou d’une succursale établie en Autriche.</w:t>
            </w:r>
          </w:p>
          <w:p>
            <w:pPr>
              <w:spacing w:after="0" w:line="360" w:lineRule="auto"/>
              <w:rPr>
                <w:rFonts w:eastAsia="Times New Roman"/>
                <w:noProof/>
                <w:szCs w:val="24"/>
              </w:rPr>
            </w:pPr>
            <w:r>
              <w:rPr>
                <w:noProof/>
              </w:rPr>
              <w:t>AT: une taxe sur les primes plus élevée est perçue sur les contrats d’assurance (sauf les contrats de réassurance et de rétrocession) conclus par une filiale non établie dans la Communauté ou par une succursale non établie en Autriche. Une dérogation peut être accordée.</w:t>
            </w:r>
          </w:p>
          <w:p>
            <w:pPr>
              <w:spacing w:after="0" w:line="360" w:lineRule="auto"/>
              <w:rPr>
                <w:rFonts w:eastAsia="Times New Roman"/>
                <w:noProof/>
                <w:szCs w:val="24"/>
              </w:rPr>
            </w:pPr>
            <w:r>
              <w:rPr>
                <w:noProof/>
              </w:rPr>
              <w:t xml:space="preserve">BG: </w:t>
            </w:r>
            <w:r>
              <w:rPr>
                <w:i/>
                <w:noProof/>
              </w:rPr>
              <w:t>sous-secteur A.1. (assurance directe)</w:t>
            </w:r>
            <w:r>
              <w:rPr>
                <w:noProof/>
              </w:rPr>
              <w:t>. Non consolidé, à l’exception des services fournis par des prestataires étrangers à des ressortissants étrangers sur le territoire de la République de Bulgarie. L’assurance du transport de marchandises, l’assurance des véhicules proprement dits et l’assurance responsabilité civile contre les risques encourus en République de Bulgarie ne peuvent pas être souscrites directement par des compagnies d’assurance étrangères. Une compagnie d’assurance étrangère ne peut conclure des contrats d’assurance que par l’entremise d’une succursale. Non consolidé pour les systèmes de garantie des dépôts et les systèmes d’indemnisation analogues ainsi que pour les régimes d’assurance obligatoires. Non consolidé pour le traitement national.</w:t>
            </w:r>
          </w:p>
          <w:p>
            <w:pPr>
              <w:spacing w:after="0" w:line="360" w:lineRule="auto"/>
              <w:rPr>
                <w:rFonts w:eastAsia="Times New Roman"/>
                <w:noProof/>
                <w:szCs w:val="24"/>
              </w:rPr>
            </w:pPr>
            <w:r>
              <w:rPr>
                <w:noProof/>
              </w:rPr>
              <w:t xml:space="preserve">BG: </w:t>
            </w:r>
            <w:r>
              <w:rPr>
                <w:i/>
                <w:noProof/>
              </w:rPr>
              <w:t>sous-secteur A.2. (réassurance et rétrocession)</w:t>
            </w:r>
            <w:r>
              <w:rPr>
                <w:noProof/>
              </w:rPr>
              <w:t>. Non consolidé pour les services de rétrocession.</w:t>
            </w:r>
          </w:p>
          <w:p>
            <w:pPr>
              <w:spacing w:after="0" w:line="360" w:lineRule="auto"/>
              <w:rPr>
                <w:rFonts w:eastAsia="Times New Roman"/>
                <w:noProof/>
                <w:szCs w:val="24"/>
              </w:rPr>
            </w:pPr>
            <w:r>
              <w:rPr>
                <w:noProof/>
              </w:rPr>
              <w:t xml:space="preserve">BG: </w:t>
            </w:r>
            <w:r>
              <w:rPr>
                <w:i/>
                <w:noProof/>
              </w:rPr>
              <w:t>sous-secteurs A.3. et A.4. (intermédiation en assurance et services auxiliaires de l’assurance):</w:t>
            </w:r>
            <w:r>
              <w:rPr>
                <w:noProof/>
              </w:rPr>
              <w:t xml:space="preserve"> non consolidé.</w:t>
            </w:r>
          </w:p>
          <w:p>
            <w:pPr>
              <w:spacing w:after="0" w:line="360" w:lineRule="auto"/>
              <w:rPr>
                <w:rFonts w:eastAsia="Times New Roman"/>
                <w:noProof/>
                <w:szCs w:val="24"/>
              </w:rPr>
            </w:pPr>
            <w:r>
              <w:rPr>
                <w:noProof/>
              </w:rPr>
              <w:t>CY: tout réassureur étranger agréé par l’Inspection générale des assurances (sur la base de critères prudentiels) peut proposer des services de réassurance ou de rétrocession à des compagnies d’assurance constituées en sociétés et titulaires d’une licence à Chypre.</w:t>
            </w:r>
          </w:p>
          <w:p>
            <w:pPr>
              <w:spacing w:after="0" w:line="360" w:lineRule="auto"/>
              <w:rPr>
                <w:rFonts w:eastAsia="Times New Roman"/>
                <w:noProof/>
                <w:szCs w:val="24"/>
              </w:rPr>
            </w:pPr>
            <w:r>
              <w:rPr>
                <w:noProof/>
              </w:rPr>
              <w:t xml:space="preserve">CY: </w:t>
            </w:r>
            <w:r>
              <w:rPr>
                <w:i/>
                <w:noProof/>
              </w:rPr>
              <w:t>sous-secteurs A.3. et A.4. (intermédiation en assurance et services auxiliaires de l’assurance):</w:t>
            </w:r>
            <w:r>
              <w:rPr>
                <w:noProof/>
              </w:rPr>
              <w:t xml:space="preserve"> non consolidé.</w:t>
            </w:r>
          </w:p>
          <w:p>
            <w:pPr>
              <w:spacing w:after="0" w:line="360" w:lineRule="auto"/>
              <w:rPr>
                <w:rFonts w:eastAsia="Times New Roman"/>
                <w:noProof/>
                <w:szCs w:val="24"/>
              </w:rPr>
            </w:pPr>
            <w:r>
              <w:rPr>
                <w:noProof/>
              </w:rPr>
              <w:t>CZ: néant, si ce n’est que:</w:t>
            </w:r>
          </w:p>
          <w:p>
            <w:pPr>
              <w:spacing w:after="0" w:line="360" w:lineRule="auto"/>
              <w:rPr>
                <w:rFonts w:eastAsia="Times New Roman"/>
                <w:noProof/>
                <w:szCs w:val="24"/>
              </w:rPr>
            </w:pPr>
            <w:r>
              <w:rPr>
                <w:noProof/>
              </w:rPr>
              <w:t>les prestataires étrangers de services financiers peuvent établir une compagnie d’assurance ayant son siège en République tchèque, sous la forme d’une société anonyme, ou exercer une activité d’assurance par l’entremise de leurs succursales ayant leur siège en République tchèque, conformément aux dispositions de la loi régissant le secteur des assurances.</w:t>
            </w:r>
          </w:p>
          <w:p>
            <w:pPr>
              <w:spacing w:after="0" w:line="360" w:lineRule="auto"/>
              <w:rPr>
                <w:rFonts w:eastAsia="Times New Roman"/>
                <w:noProof/>
                <w:szCs w:val="24"/>
              </w:rPr>
            </w:pPr>
            <w:r>
              <w:rPr>
                <w:noProof/>
              </w:rPr>
              <w:t>Un prestataire de services d’assurance doit établir une présence commerciale et obtenir une autorisation pour:</w:t>
            </w:r>
          </w:p>
          <w:p>
            <w:pPr>
              <w:spacing w:after="0" w:line="360" w:lineRule="auto"/>
              <w:rPr>
                <w:rFonts w:eastAsia="Times New Roman"/>
                <w:noProof/>
                <w:szCs w:val="24"/>
              </w:rPr>
            </w:pPr>
            <w:r>
              <w:rPr>
                <w:noProof/>
              </w:rPr>
              <w:t>fournir des services d’assurance et de réassurance, et</w:t>
            </w:r>
          </w:p>
          <w:p>
            <w:pPr>
              <w:spacing w:after="0" w:line="360" w:lineRule="auto"/>
              <w:rPr>
                <w:rFonts w:eastAsia="Times New Roman"/>
                <w:noProof/>
                <w:szCs w:val="24"/>
              </w:rPr>
            </w:pPr>
            <w:r>
              <w:rPr>
                <w:noProof/>
              </w:rPr>
              <w:t>conclure des contrats d’intermédiation avec un intermédiaire en vue de la conclusion d’un contrat d’assurance entre le prestataire de services d’assurance et un tiers.</w:t>
            </w:r>
          </w:p>
          <w:p>
            <w:pPr>
              <w:spacing w:after="0" w:line="360" w:lineRule="auto"/>
              <w:rPr>
                <w:rFonts w:eastAsia="Times New Roman"/>
                <w:noProof/>
                <w:szCs w:val="24"/>
              </w:rPr>
            </w:pPr>
            <w:r>
              <w:rPr>
                <w:noProof/>
              </w:rPr>
              <w:t>L’intermédiaire doit obtenir une autorisation si l’activité d’intermédiation doit être exercée pour une succursale dont le siège se situe en République tchèque.</w:t>
            </w:r>
          </w:p>
          <w:p>
            <w:pPr>
              <w:spacing w:after="0" w:line="360" w:lineRule="auto"/>
              <w:rPr>
                <w:rFonts w:eastAsia="Times New Roman"/>
                <w:noProof/>
                <w:szCs w:val="24"/>
              </w:rPr>
            </w:pPr>
            <w:r>
              <w:rPr>
                <w:noProof/>
              </w:rPr>
              <w:t>DK: l’assurance obligatoire du transport aérien peut uniquement être souscrite auprès de compagnies établies dans la Communauté.</w:t>
            </w:r>
          </w:p>
          <w:p>
            <w:pPr>
              <w:spacing w:after="0" w:line="360" w:lineRule="auto"/>
              <w:rPr>
                <w:rFonts w:eastAsia="Times New Roman"/>
                <w:noProof/>
                <w:szCs w:val="24"/>
              </w:rPr>
            </w:pPr>
            <w:r>
              <w:rPr>
                <w:noProof/>
              </w:rPr>
              <w:t>DK: aucune personne ou société (y compris les compagnies d’assurance) ne peut, à des fins commerciales au Danemark, exécuter des contrats d’assurance directe de personnes résidant au Danemark, de navires danois ou de biens sis au Danemark, à l’exception des compagnies d'assurance agréées par les autorités compétentes danoises ou en vertu du droit danois.</w:t>
            </w:r>
          </w:p>
          <w:p>
            <w:pPr>
              <w:spacing w:after="0" w:line="360" w:lineRule="auto"/>
              <w:rPr>
                <w:rFonts w:eastAsia="Times New Roman"/>
                <w:noProof/>
                <w:szCs w:val="24"/>
              </w:rPr>
            </w:pPr>
            <w:r>
              <w:rPr>
                <w:noProof/>
              </w:rPr>
              <w:t>DE: les contrats d’assurance obligatoire du transport aérien ne peuvent être souscrits qu’auprès d’une filiale établie dans la Communauté ou d’une succursale établie en Allemagne.</w:t>
            </w:r>
          </w:p>
          <w:p>
            <w:pPr>
              <w:spacing w:after="0" w:line="360" w:lineRule="auto"/>
              <w:rPr>
                <w:rFonts w:eastAsia="Times New Roman"/>
                <w:noProof/>
                <w:szCs w:val="24"/>
              </w:rPr>
            </w:pPr>
            <w:r>
              <w:rPr>
                <w:noProof/>
              </w:rPr>
              <w:t>DE: si une compagnie d’assurance étrangère a établi une succursale en Allemagne, elle ne peut conclure en Allemagne de contrats d’assurance concernant le transport international que par l’entremise de cette succursale.</w:t>
            </w:r>
          </w:p>
          <w:p>
            <w:pPr>
              <w:spacing w:after="0" w:line="360" w:lineRule="auto"/>
              <w:rPr>
                <w:rFonts w:eastAsia="Times New Roman"/>
                <w:b/>
                <w:noProof/>
                <w:szCs w:val="24"/>
              </w:rPr>
            </w:pPr>
            <w:r>
              <w:rPr>
                <w:noProof/>
              </w:rPr>
              <w:t>FI: seules les compagnies d’assurance dont le siège est situé dans l’Espace économique européen ou qui ont une succursale en Finlande peuvent offrir des services d’assurance visés au troisième alinéa, point a), du mémorandum d’accord.</w:t>
            </w:r>
          </w:p>
          <w:p>
            <w:pPr>
              <w:spacing w:after="0" w:line="360" w:lineRule="auto"/>
              <w:rPr>
                <w:rFonts w:eastAsia="Times New Roman"/>
                <w:noProof/>
                <w:szCs w:val="24"/>
              </w:rPr>
            </w:pPr>
            <w:r>
              <w:rPr>
                <w:noProof/>
              </w:rPr>
              <w:t>FI: la prestation de services de courtage en assurance est subordonnée à l’existence d’un établissement permanent dans l’Espace économique européen.</w:t>
            </w:r>
          </w:p>
          <w:p>
            <w:pPr>
              <w:spacing w:after="0" w:line="360" w:lineRule="auto"/>
              <w:rPr>
                <w:rFonts w:eastAsia="Times New Roman"/>
                <w:noProof/>
                <w:szCs w:val="24"/>
              </w:rPr>
            </w:pPr>
            <w:r>
              <w:rPr>
                <w:noProof/>
              </w:rPr>
              <w:t>FR:  seules les compagnies d'assurance établies dans la Communauté peuvent assurer les risques liés au transport terrestre.</w:t>
            </w:r>
          </w:p>
          <w:p>
            <w:pPr>
              <w:spacing w:after="0" w:line="360" w:lineRule="auto"/>
              <w:rPr>
                <w:rFonts w:eastAsia="Times New Roman"/>
                <w:noProof/>
                <w:szCs w:val="24"/>
              </w:rPr>
            </w:pPr>
            <w:r>
              <w:rPr>
                <w:noProof/>
              </w:rPr>
              <w:t xml:space="preserve">HR: sous-secteur A.1 a) </w:t>
            </w:r>
            <w:r>
              <w:rPr>
                <w:i/>
                <w:noProof/>
              </w:rPr>
              <w:t xml:space="preserve">[assurance directe, a) assurance-vie]: </w:t>
            </w:r>
            <w:r>
              <w:rPr>
                <w:noProof/>
              </w:rPr>
              <w:t>non consolidé, à l’exception de la prestation de services d’assurance-vie à des personnes étrangères résidant en Croatie.</w:t>
            </w:r>
          </w:p>
          <w:p>
            <w:pPr>
              <w:spacing w:after="0" w:line="360" w:lineRule="auto"/>
              <w:rPr>
                <w:rFonts w:eastAsia="Times New Roman"/>
                <w:noProof/>
                <w:szCs w:val="24"/>
              </w:rPr>
            </w:pPr>
            <w:r>
              <w:rPr>
                <w:noProof/>
              </w:rPr>
              <w:t xml:space="preserve">HR: sous-secteur A.1 b) </w:t>
            </w:r>
            <w:r>
              <w:rPr>
                <w:i/>
                <w:noProof/>
              </w:rPr>
              <w:t xml:space="preserve">[assurance directe, b) assurance autre que sur la vie]: </w:t>
            </w:r>
            <w:r>
              <w:rPr>
                <w:noProof/>
              </w:rPr>
              <w:t>non consolidé, à l’exception de la prestation de services d'assurance non-vie à des personnes étrangères résidant en Croatie, autres que l'assurance responsabilité automobile; néant pour le transport maritime, le transport aérien et les autres types de transport.</w:t>
            </w:r>
          </w:p>
          <w:p>
            <w:pPr>
              <w:spacing w:after="0" w:line="360" w:lineRule="auto"/>
              <w:rPr>
                <w:rFonts w:eastAsia="Times New Roman"/>
                <w:noProof/>
                <w:szCs w:val="24"/>
              </w:rPr>
            </w:pPr>
            <w:r>
              <w:rPr>
                <w:noProof/>
              </w:rPr>
              <w:t xml:space="preserve">HU: </w:t>
            </w:r>
            <w:r>
              <w:rPr>
                <w:i/>
                <w:noProof/>
              </w:rPr>
              <w:t>sous-secteur A.1. (assurance directe):</w:t>
            </w:r>
            <w:r>
              <w:rPr>
                <w:noProof/>
              </w:rPr>
              <w:t xml:space="preserve"> seuls les chefs d’entreprise exerçant des activités commerciales internationales définies dans les dispositions juridiques relatives au régime des changes sont autorisés à acheter des services. Seuls les risques à l’étranger peuvent être assurés.</w:t>
            </w:r>
          </w:p>
          <w:p>
            <w:pPr>
              <w:spacing w:after="0" w:line="360" w:lineRule="auto"/>
              <w:rPr>
                <w:rFonts w:eastAsia="Times New Roman"/>
                <w:noProof/>
                <w:szCs w:val="24"/>
              </w:rPr>
            </w:pPr>
            <w:r>
              <w:rPr>
                <w:noProof/>
              </w:rPr>
              <w:t>IT: non consolidé pour les actuaires.</w:t>
            </w:r>
          </w:p>
          <w:p>
            <w:pPr>
              <w:spacing w:after="0" w:line="360" w:lineRule="auto"/>
              <w:rPr>
                <w:rFonts w:eastAsia="Times New Roman"/>
                <w:noProof/>
                <w:szCs w:val="24"/>
              </w:rPr>
            </w:pPr>
            <w:r>
              <w:rPr>
                <w:noProof/>
              </w:rPr>
              <w:t>IT: seules les compagnies d’assurance établies dans la Communauté peuvent assurer les risques liés aux exportations caf par les résidents en Italie.</w:t>
            </w:r>
          </w:p>
          <w:p>
            <w:pPr>
              <w:spacing w:after="0" w:line="360" w:lineRule="auto"/>
              <w:rPr>
                <w:rFonts w:eastAsia="Times New Roman"/>
                <w:noProof/>
                <w:szCs w:val="24"/>
              </w:rPr>
            </w:pPr>
            <w:r>
              <w:rPr>
                <w:noProof/>
              </w:rPr>
              <w:t>IT: l’assurance du transport de marchandises, l’assurance des véhicules proprement dits et l’assurance responsabilité civile contre les risques encourus en Italie ne peuvent être souscrites qu’auprès de compagnies d’assurance établies dans la Communauté. Cette réserve ne s’applique pas au transport international des marchandises importées en Italie.</w:t>
            </w:r>
          </w:p>
          <w:p>
            <w:pPr>
              <w:spacing w:after="0" w:line="360" w:lineRule="auto"/>
              <w:rPr>
                <w:rFonts w:eastAsia="Times New Roman"/>
                <w:noProof/>
                <w:szCs w:val="24"/>
              </w:rPr>
            </w:pPr>
            <w:r>
              <w:rPr>
                <w:noProof/>
              </w:rPr>
              <w:t>LV: non consolidé pour l’alinéa B.3. a) du mémorandum.</w:t>
            </w:r>
          </w:p>
          <w:p>
            <w:pPr>
              <w:spacing w:after="0" w:line="360" w:lineRule="auto"/>
              <w:rPr>
                <w:rFonts w:eastAsia="Times New Roman"/>
                <w:noProof/>
                <w:szCs w:val="24"/>
              </w:rPr>
            </w:pPr>
            <w:r>
              <w:rPr>
                <w:noProof/>
              </w:rPr>
              <w:t xml:space="preserve">MT: </w:t>
            </w:r>
            <w:r>
              <w:rPr>
                <w:i/>
                <w:noProof/>
              </w:rPr>
              <w:t>sous-secteurs A.3. et A.4. (intermédiation en assurance et services auxiliaires de l’assurance):</w:t>
            </w:r>
            <w:r>
              <w:rPr>
                <w:noProof/>
              </w:rPr>
              <w:t xml:space="preserve"> non consolidé.</w:t>
            </w:r>
          </w:p>
          <w:p>
            <w:pPr>
              <w:spacing w:after="0" w:line="360" w:lineRule="auto"/>
              <w:rPr>
                <w:rFonts w:eastAsia="Times New Roman"/>
                <w:noProof/>
                <w:szCs w:val="24"/>
              </w:rPr>
            </w:pPr>
            <w:r>
              <w:rPr>
                <w:noProof/>
              </w:rPr>
              <w:t>PL: non consolidé, sauf pour la réassurance, la rétrocession et l’assurance des marchandises faisant l’objet d’échanges commerciaux internationaux.</w:t>
            </w:r>
          </w:p>
          <w:p>
            <w:pPr>
              <w:spacing w:after="0" w:line="360" w:lineRule="auto"/>
              <w:rPr>
                <w:rFonts w:eastAsia="Times New Roman"/>
                <w:noProof/>
                <w:szCs w:val="24"/>
              </w:rPr>
            </w:pPr>
            <w:r>
              <w:rPr>
                <w:noProof/>
              </w:rPr>
              <w:t>RO: non consolidé pour les alinéas B.3. a) et c) du mémorandum. Pour le sous-secteur A.2 (réassurance et rétrocession): la réassurance sur le marché international n'est autorisée que si le risque réassuré ne peut être placé sur le marché national.</w:t>
            </w:r>
          </w:p>
          <w:p>
            <w:pPr>
              <w:spacing w:after="0" w:line="360" w:lineRule="auto"/>
              <w:rPr>
                <w:rFonts w:eastAsia="Times New Roman"/>
                <w:noProof/>
                <w:szCs w:val="24"/>
              </w:rPr>
            </w:pPr>
            <w:r>
              <w:rPr>
                <w:noProof/>
              </w:rPr>
              <w:t>PT: seules les compagnies d’assurances établies dans la Communauté peuvent assurer les risques liés au transport aérien et maritime, concernant les marchandises, les aéronefs et les navires ainsi que la responsabilité civile; seules les personnes ou les sociétés établies dans la Communauté peuvent agir comme intermédiaires pour de telles activités d’assurance au Portugal.</w:t>
            </w:r>
          </w:p>
          <w:p>
            <w:pPr>
              <w:spacing w:after="0" w:line="360" w:lineRule="auto"/>
              <w:rPr>
                <w:rFonts w:eastAsia="Times New Roman"/>
                <w:noProof/>
                <w:szCs w:val="24"/>
              </w:rPr>
            </w:pPr>
            <w:r>
              <w:rPr>
                <w:noProof/>
              </w:rPr>
              <w:t>SK: une présence commerciale est obligatoire pour la prestation des services d’assurance suivants:</w:t>
            </w:r>
          </w:p>
          <w:p>
            <w:pPr>
              <w:spacing w:after="0" w:line="360" w:lineRule="auto"/>
              <w:rPr>
                <w:rFonts w:eastAsia="Times New Roman"/>
                <w:noProof/>
                <w:szCs w:val="24"/>
              </w:rPr>
            </w:pPr>
            <w:r>
              <w:rPr>
                <w:noProof/>
              </w:rPr>
              <w:t>assurance-vie des personnes résidant en permanence en République slovaque;</w:t>
            </w:r>
          </w:p>
          <w:p>
            <w:pPr>
              <w:spacing w:after="0" w:line="360" w:lineRule="auto"/>
              <w:rPr>
                <w:rFonts w:eastAsia="Times New Roman"/>
                <w:noProof/>
                <w:szCs w:val="24"/>
              </w:rPr>
            </w:pPr>
            <w:r>
              <w:rPr>
                <w:noProof/>
              </w:rPr>
              <w:t>assurance de biens situés sur le territoire slovaque;</w:t>
            </w:r>
          </w:p>
          <w:p>
            <w:pPr>
              <w:spacing w:after="0" w:line="360" w:lineRule="auto"/>
              <w:rPr>
                <w:rFonts w:eastAsia="Times New Roman"/>
                <w:noProof/>
                <w:szCs w:val="24"/>
              </w:rPr>
            </w:pPr>
            <w:r>
              <w:rPr>
                <w:noProof/>
              </w:rPr>
              <w:t>assurance responsabilité civile en cas de pertes ou de dommages causés par l’activité de personnes physiques ou morales sur le territoire slovaque;</w:t>
            </w:r>
          </w:p>
          <w:p>
            <w:pPr>
              <w:spacing w:after="0" w:line="360" w:lineRule="auto"/>
              <w:rPr>
                <w:rFonts w:eastAsia="Times New Roman"/>
                <w:noProof/>
                <w:szCs w:val="24"/>
              </w:rPr>
            </w:pPr>
            <w:r>
              <w:rPr>
                <w:noProof/>
              </w:rPr>
              <w:t>assurance couvrant les risques liés au transport aérien et maritime, concernant les marchandises, les aéronefs, les navires et la responsabilité civile.</w:t>
            </w:r>
          </w:p>
          <w:p>
            <w:pPr>
              <w:spacing w:after="0" w:line="360" w:lineRule="auto"/>
              <w:rPr>
                <w:rFonts w:eastAsia="Times New Roman"/>
                <w:noProof/>
                <w:szCs w:val="24"/>
              </w:rPr>
            </w:pPr>
            <w:r>
              <w:rPr>
                <w:noProof/>
              </w:rPr>
              <w:t xml:space="preserve">SI: </w:t>
            </w:r>
            <w:r>
              <w:rPr>
                <w:i/>
                <w:noProof/>
              </w:rPr>
              <w:t>assurance du transport maritime, du transport aérien et des autres types de transport</w:t>
            </w:r>
            <w:r>
              <w:rPr>
                <w:noProof/>
              </w:rPr>
              <w:t>: les services d’assurance de mutuelles sont réservés aux sociétés établies en République de Slovénie.</w:t>
            </w:r>
          </w:p>
          <w:p>
            <w:pPr>
              <w:spacing w:after="0" w:line="360" w:lineRule="auto"/>
              <w:rPr>
                <w:rFonts w:eastAsia="Times New Roman"/>
                <w:noProof/>
                <w:szCs w:val="24"/>
              </w:rPr>
            </w:pPr>
            <w:r>
              <w:rPr>
                <w:noProof/>
              </w:rPr>
              <w:t xml:space="preserve">SI: </w:t>
            </w:r>
            <w:r>
              <w:rPr>
                <w:i/>
                <w:noProof/>
              </w:rPr>
              <w:t>sous-secteurs A.2., A.3. et A.4. (réassurance et rétrocession, intermédiation en assurance et services auxiliaires de l’assurance)</w:t>
            </w:r>
            <w:r>
              <w:rPr>
                <w:noProof/>
              </w:rPr>
              <w:t>: non consolidé.</w:t>
            </w:r>
          </w:p>
          <w:p>
            <w:pPr>
              <w:spacing w:after="0" w:line="360" w:lineRule="auto"/>
              <w:rPr>
                <w:rFonts w:eastAsia="Times New Roman"/>
                <w:noProof/>
                <w:szCs w:val="24"/>
              </w:rPr>
            </w:pPr>
            <w:r>
              <w:rPr>
                <w:noProof/>
              </w:rPr>
              <w:t>SE: la prestation de services d’assurance directe n’est autorisée que par l’intermédiaire d’un prestataire de services d’assurance agréé en Suède, à condition que le prestataire de services étranger et la compagnie d’assurance suédoise appartiennent au même groupe de sociétés ou aient conclu entre eux un accord de coopération.</w:t>
            </w:r>
          </w:p>
        </w:tc>
      </w:tr>
      <w:tr>
        <w:tc>
          <w:tcPr>
            <w:tcW w:w="150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tc>
        <w:tc>
          <w:tcPr>
            <w:tcW w:w="210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p>
            <w:pPr>
              <w:spacing w:after="0" w:line="360" w:lineRule="auto"/>
              <w:rPr>
                <w:rFonts w:eastAsia="Times New Roman"/>
                <w:b/>
                <w:noProof/>
                <w:szCs w:val="24"/>
              </w:rPr>
            </w:pPr>
            <w:r>
              <w:rPr>
                <w:b/>
                <w:noProof/>
              </w:rPr>
              <w:t>2) Consommation à l’étranger</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noProof/>
                <w:szCs w:val="24"/>
              </w:rPr>
            </w:pPr>
          </w:p>
          <w:p>
            <w:pPr>
              <w:spacing w:after="0" w:line="360" w:lineRule="auto"/>
              <w:rPr>
                <w:rFonts w:eastAsia="Times New Roman"/>
                <w:noProof/>
                <w:szCs w:val="24"/>
              </w:rPr>
            </w:pPr>
            <w:r>
              <w:rPr>
                <w:noProof/>
              </w:rPr>
              <w:t>AT: les activités de promotion et l’intermédiation pour le compte d’une filiale non établie dans la Communauté ou d’une succursale non établie en Autriche (sauf pour la réassurance et la rétrocession) sont interdites.</w:t>
            </w:r>
          </w:p>
          <w:p>
            <w:pPr>
              <w:spacing w:after="0" w:line="360" w:lineRule="auto"/>
              <w:rPr>
                <w:rFonts w:eastAsia="Times New Roman"/>
                <w:b/>
                <w:noProof/>
                <w:szCs w:val="24"/>
              </w:rPr>
            </w:pPr>
            <w:r>
              <w:rPr>
                <w:noProof/>
              </w:rPr>
              <w:t>AT: l’assurance obligatoire du transport aérien peut uniquement être souscrite auprès d’une filiale établie dans la Communauté ou d’une succursale établie en Autriche.</w:t>
            </w:r>
          </w:p>
          <w:p>
            <w:pPr>
              <w:spacing w:after="0" w:line="360" w:lineRule="auto"/>
              <w:rPr>
                <w:rFonts w:eastAsia="Times New Roman"/>
                <w:noProof/>
                <w:szCs w:val="24"/>
              </w:rPr>
            </w:pPr>
            <w:r>
              <w:rPr>
                <w:noProof/>
              </w:rPr>
              <w:t>AT: une taxe sur les primes plus élevée est perçue sur les contrats d’assurance (sauf les contrats de réassurance et de rétrocession) conclus par une filiale non établie dans la Communauté ou par une succursale non établie en Autriche. Une dérogation peut être accordée.</w:t>
            </w:r>
          </w:p>
          <w:p>
            <w:pPr>
              <w:spacing w:after="0" w:line="360" w:lineRule="auto"/>
              <w:rPr>
                <w:rFonts w:eastAsia="Times New Roman"/>
                <w:noProof/>
                <w:szCs w:val="24"/>
              </w:rPr>
            </w:pPr>
            <w:r>
              <w:rPr>
                <w:noProof/>
              </w:rPr>
              <w:t>BG:</w:t>
            </w:r>
            <w:r>
              <w:rPr>
                <w:i/>
                <w:noProof/>
              </w:rPr>
              <w:t xml:space="preserve"> sous-secteur A.1. (assurance directe)</w:t>
            </w:r>
            <w:r>
              <w:rPr>
                <w:noProof/>
              </w:rPr>
              <w:t>: les personnes physiques et morales bulgares ainsi que les ressortissants étrangers qui exercent une activité commerciale sur le territoire de la République de Bulgarie ne peuvent conclure de contrats d’assurance que s’ils portent sur leur activité en Bulgarie et uniquement avec des prestataires autorisés à exercer des activités d’assurance en Bulgarie. L’indemnisation par les assurances qui découlent desdits contrats est versée en Bulgarie. Non consolidé pour les systèmes de garantie des dépôts et les systèmes d’indemnisation analogues ainsi que pour les régimes d’assurance obligatoires.</w:t>
            </w:r>
          </w:p>
          <w:p>
            <w:pPr>
              <w:spacing w:after="0" w:line="360" w:lineRule="auto"/>
              <w:rPr>
                <w:rFonts w:eastAsia="Times New Roman"/>
                <w:noProof/>
                <w:szCs w:val="24"/>
              </w:rPr>
            </w:pPr>
            <w:r>
              <w:rPr>
                <w:noProof/>
              </w:rPr>
              <w:t xml:space="preserve">BG: </w:t>
            </w:r>
            <w:r>
              <w:rPr>
                <w:i/>
                <w:noProof/>
              </w:rPr>
              <w:t>sous-secteurs A.2., A.3. et A.4. (réassurance et rétrocession, intermédiation en assurance et services auxiliaires de l’assurance):</w:t>
            </w:r>
            <w:r>
              <w:rPr>
                <w:noProof/>
              </w:rPr>
              <w:t xml:space="preserve"> non consolidé.</w:t>
            </w:r>
          </w:p>
          <w:p>
            <w:pPr>
              <w:spacing w:after="0" w:line="360" w:lineRule="auto"/>
              <w:rPr>
                <w:rFonts w:eastAsia="Times New Roman"/>
                <w:noProof/>
                <w:szCs w:val="24"/>
              </w:rPr>
            </w:pPr>
            <w:r>
              <w:rPr>
                <w:noProof/>
              </w:rPr>
              <w:t xml:space="preserve">CY: </w:t>
            </w:r>
            <w:r>
              <w:rPr>
                <w:i/>
                <w:noProof/>
              </w:rPr>
              <w:t>sous-secteurs A.3. et A.4. (intermédiation en assurance et services auxiliaires de l’assurance):</w:t>
            </w:r>
            <w:r>
              <w:rPr>
                <w:noProof/>
              </w:rPr>
              <w:t xml:space="preserve"> non consolidé.</w:t>
            </w:r>
          </w:p>
          <w:p>
            <w:pPr>
              <w:spacing w:after="0" w:line="360" w:lineRule="auto"/>
              <w:rPr>
                <w:rFonts w:eastAsia="Times New Roman"/>
                <w:noProof/>
                <w:szCs w:val="24"/>
              </w:rPr>
            </w:pPr>
            <w:r>
              <w:rPr>
                <w:noProof/>
              </w:rPr>
              <w:t>CZ: néant, si ce n’est que:</w:t>
            </w:r>
          </w:p>
          <w:p>
            <w:pPr>
              <w:spacing w:after="0" w:line="360" w:lineRule="auto"/>
              <w:rPr>
                <w:rFonts w:eastAsia="Times New Roman"/>
                <w:noProof/>
                <w:szCs w:val="24"/>
              </w:rPr>
            </w:pPr>
            <w:r>
              <w:rPr>
                <w:noProof/>
              </w:rPr>
              <w:t>les services d’assurance ci-après ne peuvent pas être achetés à l’étranger:</w:t>
            </w:r>
          </w:p>
          <w:p>
            <w:pPr>
              <w:spacing w:after="0" w:line="360" w:lineRule="auto"/>
              <w:rPr>
                <w:rFonts w:eastAsia="Times New Roman"/>
                <w:noProof/>
                <w:szCs w:val="24"/>
              </w:rPr>
            </w:pPr>
            <w:r>
              <w:rPr>
                <w:noProof/>
              </w:rPr>
              <w:t>assurance-vie des personnes résidant en permanence en République tchèque,</w:t>
            </w:r>
          </w:p>
          <w:p>
            <w:pPr>
              <w:spacing w:after="0" w:line="360" w:lineRule="auto"/>
              <w:rPr>
                <w:rFonts w:eastAsia="Times New Roman"/>
                <w:noProof/>
                <w:szCs w:val="24"/>
              </w:rPr>
            </w:pPr>
            <w:r>
              <w:rPr>
                <w:noProof/>
              </w:rPr>
              <w:t>assurance de biens situés sur le territoire tchèque,</w:t>
            </w:r>
          </w:p>
          <w:p>
            <w:pPr>
              <w:spacing w:after="0" w:line="360" w:lineRule="auto"/>
              <w:rPr>
                <w:rFonts w:eastAsia="Times New Roman"/>
                <w:noProof/>
                <w:szCs w:val="24"/>
              </w:rPr>
            </w:pPr>
            <w:r>
              <w:rPr>
                <w:noProof/>
              </w:rPr>
              <w:t>assurance responsabilité civile contre les pertes ou dommages causés par l’activité de personnes physiques ou morales sur le territoire tchèque.</w:t>
            </w:r>
          </w:p>
          <w:p>
            <w:pPr>
              <w:spacing w:after="0" w:line="360" w:lineRule="auto"/>
              <w:rPr>
                <w:rFonts w:eastAsia="Times New Roman"/>
                <w:noProof/>
                <w:szCs w:val="24"/>
              </w:rPr>
            </w:pPr>
            <w:r>
              <w:rPr>
                <w:noProof/>
              </w:rPr>
              <w:t>DK: l’assurance obligatoire du transport aérien peut uniquement être souscrite auprès de compagnies établies dans la Communauté.</w:t>
            </w:r>
          </w:p>
          <w:p>
            <w:pPr>
              <w:spacing w:after="0" w:line="360" w:lineRule="auto"/>
              <w:rPr>
                <w:rFonts w:eastAsia="Times New Roman"/>
                <w:noProof/>
                <w:szCs w:val="24"/>
              </w:rPr>
            </w:pPr>
            <w:r>
              <w:rPr>
                <w:noProof/>
              </w:rPr>
              <w:t>DK: aucune personne ou société (y compris les compagnies d’assurance) ne peut, à des fins commerciales au Danemark, participer à l’exécution de contrats d’assurance directe de personnes résidant au Danemark, de navires danois ou de biens sis au Danemark, à l’exception des compagnies d'assurance agréées par les autorités compétentes danoises ou en vertu du droit danois.</w:t>
            </w:r>
          </w:p>
          <w:p>
            <w:pPr>
              <w:spacing w:after="0" w:line="360" w:lineRule="auto"/>
              <w:rPr>
                <w:rFonts w:eastAsia="Times New Roman"/>
                <w:noProof/>
                <w:szCs w:val="24"/>
              </w:rPr>
            </w:pPr>
            <w:r>
              <w:rPr>
                <w:noProof/>
              </w:rPr>
              <w:t>DE: les contrats d’assurance obligatoire du transport aérien ne peuvent être souscrits qu’auprès d’une filiale établie dans la Communauté ou d’une succursale établie en Allemagne.</w:t>
            </w:r>
          </w:p>
          <w:p>
            <w:pPr>
              <w:spacing w:after="0" w:line="360" w:lineRule="auto"/>
              <w:rPr>
                <w:rFonts w:eastAsia="Times New Roman"/>
                <w:noProof/>
                <w:szCs w:val="24"/>
              </w:rPr>
            </w:pPr>
            <w:r>
              <w:rPr>
                <w:noProof/>
              </w:rPr>
              <w:t>DE: si une compagnie d’assurance étrangère a établi une succursale en Allemagne, elle ne peut conclure en Allemagne de contrats d’assurance concernant le transport international que par l’entremise de cette succursale.</w:t>
            </w:r>
          </w:p>
          <w:p>
            <w:pPr>
              <w:spacing w:after="0" w:line="360" w:lineRule="auto"/>
              <w:rPr>
                <w:rFonts w:eastAsia="Times New Roman"/>
                <w:noProof/>
                <w:szCs w:val="24"/>
              </w:rPr>
            </w:pPr>
            <w:r>
              <w:rPr>
                <w:noProof/>
              </w:rPr>
              <w:t>FR: seules les compagnies d'assurance établies dans la Communauté peuvent assurer les risques liés au transport terrestre.</w:t>
            </w:r>
          </w:p>
          <w:p>
            <w:pPr>
              <w:spacing w:after="0" w:line="360" w:lineRule="auto"/>
              <w:rPr>
                <w:rFonts w:eastAsia="Times New Roman"/>
                <w:noProof/>
                <w:szCs w:val="24"/>
              </w:rPr>
            </w:pPr>
            <w:r>
              <w:rPr>
                <w:noProof/>
              </w:rPr>
              <w:t xml:space="preserve">HR: sous-secteur A.1 a) </w:t>
            </w:r>
            <w:r>
              <w:rPr>
                <w:i/>
                <w:noProof/>
              </w:rPr>
              <w:t xml:space="preserve">[assurance directe, a) assurance-vie]: </w:t>
            </w:r>
            <w:r>
              <w:rPr>
                <w:noProof/>
              </w:rPr>
              <w:t>non consolidé, sauf pour la capacité des personnes étrangères résidant en Croatie d'obtenir une assurance-vie;</w:t>
            </w:r>
          </w:p>
          <w:p>
            <w:pPr>
              <w:spacing w:after="0" w:line="360" w:lineRule="auto"/>
              <w:rPr>
                <w:rFonts w:eastAsia="Times New Roman"/>
                <w:i/>
                <w:noProof/>
                <w:szCs w:val="24"/>
              </w:rPr>
            </w:pPr>
            <w:r>
              <w:rPr>
                <w:noProof/>
              </w:rPr>
              <w:t xml:space="preserve">HR: sous-secteur A.1. b) </w:t>
            </w:r>
            <w:r>
              <w:rPr>
                <w:i/>
                <w:noProof/>
              </w:rPr>
              <w:t>[assurance directe, b) assurance autre que sur la vie]:</w:t>
            </w:r>
          </w:p>
          <w:p>
            <w:pPr>
              <w:tabs>
                <w:tab w:val="left" w:pos="3015"/>
              </w:tabs>
              <w:spacing w:after="0" w:line="360" w:lineRule="auto"/>
              <w:rPr>
                <w:rFonts w:eastAsia="Times New Roman"/>
                <w:noProof/>
                <w:szCs w:val="24"/>
              </w:rPr>
            </w:pPr>
            <w:r>
              <w:rPr>
                <w:noProof/>
              </w:rPr>
              <w:t>non consolidé, sauf pour:</w:t>
            </w:r>
            <w:r>
              <w:rPr>
                <w:noProof/>
              </w:rPr>
              <w:tab/>
            </w:r>
          </w:p>
          <w:p>
            <w:pPr>
              <w:spacing w:after="0" w:line="360" w:lineRule="auto"/>
              <w:rPr>
                <w:rFonts w:eastAsia="Times New Roman"/>
                <w:noProof/>
                <w:szCs w:val="24"/>
              </w:rPr>
            </w:pPr>
            <w:r>
              <w:rPr>
                <w:noProof/>
              </w:rPr>
              <w:tab/>
              <w:t>i) la capacité des personnes étrangères résidant en Croatie d’obtenir une assurance dommages autre qu’une assurance responsabilité automobile</w:t>
            </w:r>
            <w:r>
              <w:rPr>
                <w:rFonts w:eastAsia="Times New Roman"/>
                <w:noProof/>
                <w:szCs w:val="24"/>
              </w:rPr>
              <w:br/>
            </w:r>
            <w:r>
              <w:rPr>
                <w:noProof/>
              </w:rPr>
              <w:t>ii)</w:t>
            </w:r>
            <w:r>
              <w:rPr>
                <w:rFonts w:eastAsia="Times New Roman"/>
                <w:noProof/>
                <w:szCs w:val="24"/>
              </w:rPr>
              <w:br/>
            </w:r>
            <w:r>
              <w:rPr>
                <w:noProof/>
              </w:rPr>
              <w:t>- l’assurance des personnes ou des biens qui n'est pas disponible en République de Croatie;</w:t>
            </w:r>
            <w:r>
              <w:rPr>
                <w:rFonts w:eastAsia="Times New Roman"/>
                <w:noProof/>
                <w:szCs w:val="24"/>
              </w:rPr>
              <w:br/>
            </w:r>
            <w:r>
              <w:rPr>
                <w:noProof/>
              </w:rPr>
              <w:t xml:space="preserve">- l’assurance relative aux entreprises qui acquièrent une assurance à l'étranger en liaison avec des travaux d'investissement à l'étranger, comprenant l'équipement pour ces travaux,   </w:t>
            </w:r>
            <w:r>
              <w:rPr>
                <w:rFonts w:eastAsia="Times New Roman"/>
                <w:noProof/>
                <w:szCs w:val="24"/>
              </w:rPr>
              <w:br/>
            </w:r>
            <w:r>
              <w:rPr>
                <w:noProof/>
              </w:rPr>
              <w:t>- la garantie de remboursement de prêts à l'étranger (assurance collatérale);</w:t>
            </w:r>
            <w:r>
              <w:rPr>
                <w:rFonts w:eastAsia="Times New Roman"/>
                <w:noProof/>
                <w:szCs w:val="24"/>
              </w:rPr>
              <w:br/>
            </w:r>
            <w:r>
              <w:rPr>
                <w:noProof/>
              </w:rPr>
              <w:t>- l’assurance des personnes et des biens d'entreprises à part entière et de coentreprises qui exercent une activité économique dans un pays étranger, pour autant que cela soit conforme à la réglementation de ce pays ou requis pour son immatriculation;</w:t>
            </w:r>
            <w:r>
              <w:rPr>
                <w:rFonts w:eastAsia="Times New Roman"/>
                <w:noProof/>
                <w:szCs w:val="24"/>
              </w:rPr>
              <w:br/>
            </w:r>
            <w:r>
              <w:rPr>
                <w:noProof/>
              </w:rPr>
              <w:t>- les navires en construction et révision, si cela est stipulé par le contrat établi avec le client étranger (acheteur).</w:t>
            </w:r>
          </w:p>
          <w:p>
            <w:pPr>
              <w:spacing w:after="0" w:line="360" w:lineRule="auto"/>
              <w:rPr>
                <w:rFonts w:eastAsia="Times New Roman"/>
                <w:b/>
                <w:noProof/>
                <w:szCs w:val="24"/>
              </w:rPr>
            </w:pPr>
            <w:r>
              <w:rPr>
                <w:noProof/>
              </w:rPr>
              <w:t xml:space="preserve">HU: </w:t>
            </w:r>
            <w:r>
              <w:rPr>
                <w:i/>
                <w:noProof/>
              </w:rPr>
              <w:t>sous-secteur A.1. (assurance directe):</w:t>
            </w:r>
            <w:r>
              <w:rPr>
                <w:noProof/>
              </w:rPr>
              <w:t xml:space="preserve"> seuls les chefs d’entreprise exerçant des activités commerciales internationales définies dans les dispositions juridiques relatives au régime des changes sont autorisés à acheter des services. Seuls les risques à l’étranger peuvent être assurés.</w:t>
            </w:r>
          </w:p>
          <w:p>
            <w:pPr>
              <w:spacing w:after="0" w:line="360" w:lineRule="auto"/>
              <w:rPr>
                <w:rFonts w:eastAsia="Times New Roman"/>
                <w:noProof/>
                <w:szCs w:val="24"/>
              </w:rPr>
            </w:pPr>
            <w:r>
              <w:rPr>
                <w:noProof/>
              </w:rPr>
              <w:t>IT: seules les compagnies d’assurance établies dans la Communauté peuvent assurer les risques liés aux exportations caf par les résidents en Italie.</w:t>
            </w:r>
          </w:p>
          <w:p>
            <w:pPr>
              <w:spacing w:after="0" w:line="360" w:lineRule="auto"/>
              <w:rPr>
                <w:rFonts w:eastAsia="Times New Roman"/>
                <w:noProof/>
                <w:szCs w:val="24"/>
              </w:rPr>
            </w:pPr>
            <w:r>
              <w:rPr>
                <w:noProof/>
              </w:rPr>
              <w:t>IT: l’assurance du transport de marchandises, l’assurance des véhicules proprement dits et l’assurance responsabilité civile contre les risques encourus en Italie ne peuvent être souscrites qu’auprès de compagnies d’assurance établies dans la Communauté. Cette réserve ne s’applique pas au transport international des marchandises importées en Italie.</w:t>
            </w:r>
          </w:p>
          <w:p>
            <w:pPr>
              <w:spacing w:after="0" w:line="360" w:lineRule="auto"/>
              <w:rPr>
                <w:rFonts w:eastAsia="Times New Roman"/>
                <w:noProof/>
                <w:szCs w:val="24"/>
              </w:rPr>
            </w:pPr>
            <w:r>
              <w:rPr>
                <w:noProof/>
              </w:rPr>
              <w:t xml:space="preserve">MT: </w:t>
            </w:r>
            <w:r>
              <w:rPr>
                <w:i/>
                <w:noProof/>
              </w:rPr>
              <w:t>sous-secteurs A.3. et A.4. (intermédiation en assurance et services auxiliaires de l’assurance):</w:t>
            </w:r>
            <w:r>
              <w:rPr>
                <w:noProof/>
              </w:rPr>
              <w:t xml:space="preserve"> non consolidé.</w:t>
            </w:r>
          </w:p>
          <w:p>
            <w:pPr>
              <w:spacing w:after="0" w:line="360" w:lineRule="auto"/>
              <w:rPr>
                <w:rFonts w:eastAsia="Times New Roman"/>
                <w:noProof/>
                <w:szCs w:val="24"/>
              </w:rPr>
            </w:pPr>
            <w:r>
              <w:rPr>
                <w:noProof/>
              </w:rPr>
              <w:t>PL: non consolidé, sauf pour la réassurance, la rétrocession et l’assurance des marchandises faisant l’objet d’échanges commerciaux internationaux.</w:t>
            </w:r>
          </w:p>
          <w:p>
            <w:pPr>
              <w:spacing w:after="0" w:line="360" w:lineRule="auto"/>
              <w:rPr>
                <w:rFonts w:eastAsia="Times New Roman"/>
                <w:noProof/>
                <w:szCs w:val="24"/>
              </w:rPr>
            </w:pPr>
            <w:r>
              <w:rPr>
                <w:noProof/>
              </w:rPr>
              <w:t>PT: seules les compagnies d’assurances établies dans la Communauté peuvent assurer les risques liés au transport aérien et maritime, concernant les marchandises, les aéronefs et les navires ainsi que la responsabilité civile; seules les personnes ou les sociétés établies dans la Communauté peuvent agir comme intermédiaires pour de telles activités d’assurance au Portugal.</w:t>
            </w:r>
          </w:p>
          <w:p>
            <w:pPr>
              <w:spacing w:after="0" w:line="360" w:lineRule="auto"/>
              <w:rPr>
                <w:rFonts w:eastAsia="Times New Roman"/>
                <w:noProof/>
                <w:szCs w:val="24"/>
              </w:rPr>
            </w:pPr>
            <w:r>
              <w:rPr>
                <w:noProof/>
              </w:rPr>
              <w:t>RO: non consolidé pour les alinéas B.3 a) et c) du mémorandum. Pour le sous-secteur A.2. (réassurance et rétrocession): la cession en réassurance sur le marché international n’est possible que si le risque réassuré ne peut être placé sur le marché national.</w:t>
            </w:r>
          </w:p>
          <w:p>
            <w:pPr>
              <w:spacing w:after="0" w:line="360" w:lineRule="auto"/>
              <w:rPr>
                <w:rFonts w:eastAsia="Times New Roman"/>
                <w:noProof/>
                <w:szCs w:val="24"/>
              </w:rPr>
            </w:pPr>
            <w:r>
              <w:rPr>
                <w:noProof/>
              </w:rPr>
              <w:t>SK: les services d’assurance fournis suivant le mode 1, à l’exception de l’assurance couvrant les risques liés au transport aérien et maritime, concernant les marchandises, les aéronefs et les navires ainsi que la responsabilité civile, ne peuvent pas être souscrits à l’étranger.</w:t>
            </w:r>
          </w:p>
          <w:p>
            <w:pPr>
              <w:spacing w:after="0" w:line="360" w:lineRule="auto"/>
              <w:rPr>
                <w:rFonts w:eastAsia="Times New Roman"/>
                <w:noProof/>
                <w:szCs w:val="24"/>
              </w:rPr>
            </w:pPr>
            <w:r>
              <w:rPr>
                <w:noProof/>
              </w:rPr>
              <w:t xml:space="preserve">SI: </w:t>
            </w:r>
            <w:r>
              <w:rPr>
                <w:i/>
                <w:noProof/>
              </w:rPr>
              <w:t>assurance du transport maritime, du transport aérien et des autres types de transport</w:t>
            </w:r>
            <w:r>
              <w:rPr>
                <w:noProof/>
              </w:rPr>
              <w:t>: les services d’assurance de mutuelles sont réservés aux sociétés établies en République de Slovénie.</w:t>
            </w:r>
          </w:p>
          <w:p>
            <w:pPr>
              <w:spacing w:after="0" w:line="360" w:lineRule="auto"/>
              <w:rPr>
                <w:rFonts w:eastAsia="Times New Roman"/>
                <w:noProof/>
                <w:szCs w:val="24"/>
              </w:rPr>
            </w:pPr>
            <w:r>
              <w:rPr>
                <w:noProof/>
              </w:rPr>
              <w:t>SI: les compagnies de réassurance établies en Slovénie ont la priorité pour la collecte des primes d’assurance. Si elles ne sont pas en mesure de parvenir à une péréquation de tous les risques, ceux-ci peuvent être réassurés et rétrocédés à l’étranger. (néant après l'adoption de la nouvelle loi sur les compagnies d'assurance).</w:t>
            </w:r>
          </w:p>
        </w:tc>
      </w:tr>
      <w:tr>
        <w:tc>
          <w:tcPr>
            <w:tcW w:w="150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tc>
        <w:tc>
          <w:tcPr>
            <w:tcW w:w="2100" w:type="dxa"/>
            <w:tcBorders>
              <w:top w:val="single" w:sz="2" w:space="0" w:color="auto"/>
              <w:left w:val="single" w:sz="2" w:space="0" w:color="auto"/>
              <w:bottom w:val="single" w:sz="2" w:space="0" w:color="auto"/>
              <w:right w:val="single" w:sz="2" w:space="0" w:color="auto"/>
            </w:tcBorders>
            <w:hideMark/>
          </w:tcPr>
          <w:p>
            <w:pPr>
              <w:spacing w:after="0" w:line="360" w:lineRule="auto"/>
              <w:rPr>
                <w:rFonts w:eastAsia="Times New Roman"/>
                <w:b/>
                <w:noProof/>
                <w:szCs w:val="24"/>
              </w:rPr>
            </w:pPr>
            <w:r>
              <w:rPr>
                <w:b/>
                <w:noProof/>
              </w:rPr>
              <w:t>3) Présence commerciale</w:t>
            </w:r>
          </w:p>
        </w:tc>
        <w:tc>
          <w:tcPr>
            <w:tcW w:w="7020" w:type="dxa"/>
            <w:tcBorders>
              <w:top w:val="single" w:sz="2" w:space="0" w:color="auto"/>
              <w:left w:val="single" w:sz="2" w:space="0" w:color="auto"/>
              <w:bottom w:val="single" w:sz="2" w:space="0" w:color="auto"/>
              <w:right w:val="single" w:sz="2" w:space="0" w:color="auto"/>
            </w:tcBorders>
            <w:hideMark/>
          </w:tcPr>
          <w:p>
            <w:pPr>
              <w:spacing w:after="0" w:line="360" w:lineRule="auto"/>
              <w:rPr>
                <w:rFonts w:eastAsia="Times New Roman"/>
                <w:noProof/>
                <w:szCs w:val="24"/>
              </w:rPr>
            </w:pPr>
            <w:r>
              <w:rPr>
                <w:noProof/>
              </w:rPr>
              <w:t>AT: l’autorisation d’ouvrir des succursales est refusée aux compagnies d’assurance étrangères qui, dans leur pays, n’ont pas une forme juridique correspondante ou comparable à celle de société par actions ou d’association d’assurance mutuelle.</w:t>
            </w:r>
          </w:p>
          <w:p>
            <w:pPr>
              <w:spacing w:after="0" w:line="360" w:lineRule="auto"/>
              <w:rPr>
                <w:rFonts w:eastAsia="Times New Roman"/>
                <w:noProof/>
                <w:szCs w:val="24"/>
              </w:rPr>
            </w:pPr>
            <w:r>
              <w:rPr>
                <w:noProof/>
              </w:rPr>
              <w:t>BE: toute offre publique d’achat en vue d’acquérir des titres belges faite par ou au nom d’une personne, d’une société ou d’un établissement ne relevant pas de la juridiction d’un des États membres de la Communauté européenne est soumise à l’autorisation du ministère des finances.</w:t>
            </w:r>
          </w:p>
          <w:p>
            <w:pPr>
              <w:spacing w:after="0" w:line="360" w:lineRule="auto"/>
              <w:rPr>
                <w:rFonts w:eastAsia="Times New Roman"/>
                <w:noProof/>
                <w:szCs w:val="24"/>
              </w:rPr>
            </w:pPr>
            <w:r>
              <w:rPr>
                <w:noProof/>
              </w:rPr>
              <w:t xml:space="preserve">BG: </w:t>
            </w:r>
            <w:r>
              <w:rPr>
                <w:i/>
                <w:noProof/>
              </w:rPr>
              <w:t>sous-secteur A.1. (assurance directe):</w:t>
            </w:r>
          </w:p>
          <w:p>
            <w:pPr>
              <w:spacing w:after="0" w:line="360" w:lineRule="auto"/>
              <w:rPr>
                <w:rFonts w:eastAsia="Times New Roman"/>
                <w:noProof/>
                <w:szCs w:val="24"/>
              </w:rPr>
            </w:pPr>
            <w:r>
              <w:rPr>
                <w:noProof/>
              </w:rPr>
              <w:t>Non consolidé pour les systèmes de garantie des dépôts et les systèmes d’indemnisation analogues ainsi que pour les régimes d’assurance obligatoires.</w:t>
            </w:r>
          </w:p>
          <w:p>
            <w:pPr>
              <w:spacing w:after="0" w:line="360" w:lineRule="auto"/>
              <w:rPr>
                <w:rFonts w:eastAsia="Times New Roman"/>
                <w:noProof/>
                <w:szCs w:val="24"/>
              </w:rPr>
            </w:pPr>
            <w:r>
              <w:rPr>
                <w:noProof/>
              </w:rPr>
              <w:t>Les prestataires de services d'assurance ne peuvent s’établir pour fournir à la fois des services d’assurance-vie et d’assurance autre que sur la vie. Les ressortissants étrangers ne peuvent fournir des services d’assurance que par le biais d’une participation dans des compagnies d’assurance bulgares, sans limitation de la participation au capital, ou directement par l’entremise d’une succursale dont le siège se situe en République de Bulgarie. Pour que des compagnies d’assurances étrangères puissent ouvrir des succursales, elles doivent recevoir l’autorisation de la Commission de contrôle financier. Un assureur étranger ne peut établir une succursale en Bulgarie pour fournir des services d’assurance dans certaines branches s’il n’a été autorisé à fournir ce type de services dans son pays d’origine pendant au moins cinq ans. Les succursales des compagnies d'assurance étrangères doivent remplir les critères suivants: des prescriptions particulières en matière de garanties et de dépôts, un capital distinct et la domiciliation en République de Bulgarie des actifs représentant les réserves techniques.</w:t>
            </w:r>
          </w:p>
          <w:p>
            <w:pPr>
              <w:spacing w:after="0" w:line="360" w:lineRule="auto"/>
              <w:rPr>
                <w:rFonts w:eastAsia="Times New Roman"/>
                <w:noProof/>
                <w:szCs w:val="24"/>
              </w:rPr>
            </w:pPr>
            <w:r>
              <w:rPr>
                <w:noProof/>
              </w:rPr>
              <w:t>L’assurance du transport de marchandises, l’assurance des véhicules proprement dits et l’assurance responsabilité civile contre les risques encourus en République de Bulgarie ne peuvent pas être souscrites directement par des compagnies d’assurance étrangères. Une compagnie d’assurance étrangère ne peut conclure des contrats d’assurance que par l’entremise d’une succursale.</w:t>
            </w:r>
          </w:p>
          <w:p>
            <w:pPr>
              <w:spacing w:after="0" w:line="360" w:lineRule="auto"/>
              <w:rPr>
                <w:rFonts w:eastAsia="Times New Roman"/>
                <w:noProof/>
                <w:szCs w:val="24"/>
              </w:rPr>
            </w:pPr>
            <w:r>
              <w:rPr>
                <w:noProof/>
              </w:rPr>
              <w:t>Les fonds d’assurance mobilisés par les contrats d’assurance ainsi que le capital propre doivent être investis en République de Bulgarie et ne peuvent être transférés à l’étranger que si la Commission de contrôle financier donne son aval.</w:t>
            </w:r>
          </w:p>
          <w:p>
            <w:pPr>
              <w:spacing w:after="0" w:line="360" w:lineRule="auto"/>
              <w:rPr>
                <w:rFonts w:eastAsia="Times New Roman"/>
                <w:noProof/>
                <w:szCs w:val="24"/>
              </w:rPr>
            </w:pPr>
            <w:r>
              <w:rPr>
                <w:noProof/>
              </w:rPr>
              <w:t>Les prestataires étrangers ne peuvent pas conclure de contrats d’assurance avec des personnes physiques et morales locales par le truchement de courtiers.</w:t>
            </w:r>
          </w:p>
          <w:p>
            <w:pPr>
              <w:spacing w:after="0" w:line="360" w:lineRule="auto"/>
              <w:rPr>
                <w:rFonts w:eastAsia="Times New Roman"/>
                <w:noProof/>
                <w:szCs w:val="24"/>
              </w:rPr>
            </w:pPr>
            <w:r>
              <w:rPr>
                <w:noProof/>
              </w:rPr>
              <w:t xml:space="preserve">BG: </w:t>
            </w:r>
            <w:r>
              <w:rPr>
                <w:i/>
                <w:noProof/>
              </w:rPr>
              <w:t>sous-secteur A.2. (réassurance et rétrocession):</w:t>
            </w:r>
          </w:p>
          <w:p>
            <w:pPr>
              <w:spacing w:after="0" w:line="360" w:lineRule="auto"/>
              <w:rPr>
                <w:rFonts w:eastAsia="Times New Roman"/>
                <w:noProof/>
                <w:szCs w:val="24"/>
              </w:rPr>
            </w:pPr>
            <w:r>
              <w:rPr>
                <w:noProof/>
              </w:rPr>
              <w:t>les prestataires de service en réassurance ne peuvent s’établir pour fournir uniquement des services de réassurance-vie ou uniquement des services de réassurance non-vie.</w:t>
            </w:r>
          </w:p>
          <w:p>
            <w:pPr>
              <w:spacing w:after="0" w:line="360" w:lineRule="auto"/>
              <w:rPr>
                <w:rFonts w:eastAsia="Times New Roman"/>
                <w:noProof/>
                <w:szCs w:val="24"/>
              </w:rPr>
            </w:pPr>
            <w:r>
              <w:rPr>
                <w:noProof/>
              </w:rPr>
              <w:t>Les ressortissants étrangers peuvent fournir des services d’assurance uniquement au moyen d'une participation dans des compagnies d’assurance bulgares, sans limitation de la participation au capital. Les compagnies de réassurance étrangères peuvent fournir directement des services de réassurance par l’intermédiaire d’une succursale dont le siège est situé en République de Bulgarie. Pour que des compagnies d’assurances étrangères puissent ouvrir des succursales, elles doivent recevoir l’autorisation de la Commission de contrôle financier.</w:t>
            </w:r>
          </w:p>
          <w:p>
            <w:pPr>
              <w:spacing w:after="0" w:line="360" w:lineRule="auto"/>
              <w:rPr>
                <w:rFonts w:eastAsia="Times New Roman"/>
                <w:noProof/>
                <w:szCs w:val="24"/>
              </w:rPr>
            </w:pPr>
            <w:r>
              <w:rPr>
                <w:noProof/>
              </w:rPr>
              <w:t>Les fonds de réassurance mobilisés par les contrats de réassurance ainsi que le capital propre doivent être investis en République de Bulgarie et ne peuvent être transférés à l’étranger que si la Commission de contrôle financier donne son aval.</w:t>
            </w:r>
          </w:p>
          <w:p>
            <w:pPr>
              <w:spacing w:after="0" w:line="360" w:lineRule="auto"/>
              <w:rPr>
                <w:rFonts w:eastAsia="Times New Roman"/>
                <w:noProof/>
                <w:szCs w:val="24"/>
              </w:rPr>
            </w:pPr>
            <w:r>
              <w:rPr>
                <w:noProof/>
              </w:rPr>
              <w:t>Les prestataires étrangers ne peuvent pas conclure de contrats de réassurance avec des personnes physiques et morales locales par le truchement de courtiers.</w:t>
            </w:r>
          </w:p>
          <w:p>
            <w:pPr>
              <w:spacing w:after="0" w:line="360" w:lineRule="auto"/>
              <w:rPr>
                <w:rFonts w:eastAsia="Times New Roman"/>
                <w:noProof/>
                <w:szCs w:val="24"/>
              </w:rPr>
            </w:pPr>
            <w:r>
              <w:rPr>
                <w:noProof/>
              </w:rPr>
              <w:t>Non consolidé pour les services de rétrocession.</w:t>
            </w:r>
          </w:p>
          <w:p>
            <w:pPr>
              <w:spacing w:after="0" w:line="360" w:lineRule="auto"/>
              <w:rPr>
                <w:rFonts w:eastAsia="Times New Roman"/>
                <w:i/>
                <w:noProof/>
                <w:szCs w:val="24"/>
              </w:rPr>
            </w:pPr>
            <w:r>
              <w:rPr>
                <w:noProof/>
              </w:rPr>
              <w:t xml:space="preserve">BG: </w:t>
            </w:r>
            <w:r>
              <w:rPr>
                <w:i/>
                <w:noProof/>
              </w:rPr>
              <w:t>sous-secteurs A.3. et A.4. (intermédiation en assurance et services auxiliaires de l’assurance):</w:t>
            </w:r>
          </w:p>
          <w:p>
            <w:pPr>
              <w:spacing w:after="0" w:line="360" w:lineRule="auto"/>
              <w:rPr>
                <w:rFonts w:eastAsia="Times New Roman"/>
                <w:noProof/>
                <w:szCs w:val="24"/>
              </w:rPr>
            </w:pPr>
            <w:r>
              <w:rPr>
                <w:noProof/>
              </w:rPr>
              <w:t>seules les compagnies commerciales enregistrées en République de Bulgarie dans le cadre du droit commercial et disposant d’une autorisation délivrée par la Commission de contrôle financier peuvent exercer des activités d’intermédiation.</w:t>
            </w:r>
          </w:p>
          <w:p>
            <w:pPr>
              <w:spacing w:after="0" w:line="360" w:lineRule="auto"/>
              <w:rPr>
                <w:rFonts w:eastAsia="Times New Roman"/>
                <w:noProof/>
                <w:szCs w:val="24"/>
              </w:rPr>
            </w:pPr>
            <w:r>
              <w:rPr>
                <w:noProof/>
              </w:rPr>
              <w:t xml:space="preserve">Les services auxiliaires de l’assurance doivent relever de l’assurance. </w:t>
            </w:r>
          </w:p>
          <w:p>
            <w:pPr>
              <w:spacing w:after="0" w:line="360" w:lineRule="auto"/>
              <w:rPr>
                <w:rFonts w:eastAsia="Times New Roman"/>
                <w:noProof/>
                <w:szCs w:val="24"/>
              </w:rPr>
            </w:pPr>
            <w:r>
              <w:rPr>
                <w:noProof/>
              </w:rPr>
              <w:t>Non consolidé pour les services de l’actuariat.</w:t>
            </w:r>
          </w:p>
          <w:p>
            <w:pPr>
              <w:spacing w:after="0" w:line="360" w:lineRule="auto"/>
              <w:rPr>
                <w:rFonts w:eastAsia="Times New Roman"/>
                <w:noProof/>
                <w:szCs w:val="24"/>
              </w:rPr>
            </w:pPr>
            <w:r>
              <w:rPr>
                <w:noProof/>
              </w:rPr>
              <w:t xml:space="preserve">CY: </w:t>
            </w:r>
            <w:r>
              <w:rPr>
                <w:i/>
                <w:noProof/>
              </w:rPr>
              <w:t>sous-secteur A.1. (assurance directe):</w:t>
            </w:r>
          </w:p>
          <w:p>
            <w:pPr>
              <w:spacing w:after="0" w:line="360" w:lineRule="auto"/>
              <w:rPr>
                <w:rFonts w:eastAsia="Times New Roman"/>
                <w:noProof/>
                <w:szCs w:val="24"/>
              </w:rPr>
            </w:pPr>
            <w:r>
              <w:rPr>
                <w:noProof/>
              </w:rPr>
              <w:t>aucun assureur ne peut opérer à l’intérieur ou à partir de la République de Chypre sauf autorisation à cet effet de l’Inspection générale des assurances, conformément aux lois sur les compagnies d’assurance.</w:t>
            </w:r>
          </w:p>
          <w:p>
            <w:pPr>
              <w:spacing w:after="0" w:line="360" w:lineRule="auto"/>
              <w:rPr>
                <w:rFonts w:eastAsia="Times New Roman"/>
                <w:noProof/>
                <w:szCs w:val="24"/>
              </w:rPr>
            </w:pPr>
            <w:r>
              <w:rPr>
                <w:noProof/>
              </w:rPr>
              <w:t>Les compagnies d’assurance étrangères peuvent opérer en République de Chypre en établissant dans le pays une succursale ou une agence. Les assureurs étrangers ne peuvent établir une succursale ou une agence à Chypre que s’ils ont été autorisés à exercer leur activité dans leur pays d’origine.</w:t>
            </w:r>
          </w:p>
          <w:p>
            <w:pPr>
              <w:spacing w:after="0" w:line="360" w:lineRule="auto"/>
              <w:rPr>
                <w:rFonts w:eastAsia="Times New Roman"/>
                <w:noProof/>
                <w:szCs w:val="24"/>
              </w:rPr>
            </w:pPr>
            <w:r>
              <w:rPr>
                <w:noProof/>
              </w:rPr>
              <w:t>La participation de non-résidents au capital des compagnies d’assurance constituées en sociétés en République de Chypre est soumise à l’approbation préalable de la Banque centrale. Le pourcentage de la participation étrangère est déterminé au cas par cas, en fonction des besoins économiques.</w:t>
            </w:r>
          </w:p>
          <w:p>
            <w:pPr>
              <w:spacing w:after="0" w:line="360" w:lineRule="auto"/>
              <w:rPr>
                <w:rFonts w:eastAsia="Times New Roman"/>
                <w:i/>
                <w:noProof/>
                <w:szCs w:val="24"/>
                <w:u w:val="single"/>
              </w:rPr>
            </w:pPr>
            <w:r>
              <w:rPr>
                <w:noProof/>
              </w:rPr>
              <w:t xml:space="preserve">CY: </w:t>
            </w:r>
            <w:r>
              <w:rPr>
                <w:i/>
                <w:noProof/>
                <w:u w:val="single"/>
              </w:rPr>
              <w:t>sous-secteur A.2. (réassurance et rétrocession)</w:t>
            </w:r>
            <w:r>
              <w:rPr>
                <w:i/>
                <w:noProof/>
              </w:rPr>
              <w:t>:</w:t>
            </w:r>
          </w:p>
          <w:p>
            <w:pPr>
              <w:spacing w:after="0" w:line="360" w:lineRule="auto"/>
              <w:rPr>
                <w:rFonts w:eastAsia="Times New Roman"/>
                <w:noProof/>
                <w:szCs w:val="24"/>
              </w:rPr>
            </w:pPr>
            <w:r>
              <w:rPr>
                <w:noProof/>
              </w:rPr>
              <w:t>aucune société ne peut pratiquer la réassurance en République de Chypre, sauf autorisation à cet effet de l’Inspection générale des assurances.</w:t>
            </w:r>
          </w:p>
          <w:p>
            <w:pPr>
              <w:spacing w:after="0" w:line="360" w:lineRule="auto"/>
              <w:rPr>
                <w:rFonts w:eastAsia="Times New Roman"/>
                <w:b/>
                <w:noProof/>
                <w:szCs w:val="24"/>
              </w:rPr>
            </w:pPr>
            <w:r>
              <w:rPr>
                <w:noProof/>
              </w:rPr>
              <w:t>L’agrément préalable de la Banque centrale est exigé pour les investissements par des non-résidents dans les compagnies de réassurance. La participation étrangère au capital des compagnies de réassurance locales est déterminée au cas par cas. Il n’y a actuellement aucune compagnie locale de réassurance.</w:t>
            </w:r>
          </w:p>
          <w:p>
            <w:pPr>
              <w:spacing w:after="0" w:line="360" w:lineRule="auto"/>
              <w:rPr>
                <w:rFonts w:eastAsia="Times New Roman"/>
                <w:noProof/>
                <w:szCs w:val="24"/>
              </w:rPr>
            </w:pPr>
            <w:r>
              <w:rPr>
                <w:noProof/>
              </w:rPr>
              <w:t xml:space="preserve">CY: </w:t>
            </w:r>
            <w:r>
              <w:rPr>
                <w:i/>
                <w:noProof/>
              </w:rPr>
              <w:t>sous-secteurs A.3. et A.4. (intermédiation en assurance et services auxiliaires de l’assurance):</w:t>
            </w:r>
            <w:r>
              <w:rPr>
                <w:noProof/>
              </w:rPr>
              <w:t xml:space="preserve"> non consolidé.</w:t>
            </w:r>
          </w:p>
          <w:p>
            <w:pPr>
              <w:spacing w:after="0" w:line="360" w:lineRule="auto"/>
              <w:rPr>
                <w:rFonts w:eastAsia="Times New Roman"/>
                <w:noProof/>
                <w:szCs w:val="24"/>
              </w:rPr>
            </w:pPr>
            <w:r>
              <w:rPr>
                <w:noProof/>
              </w:rPr>
              <w:t>CZ: néant, si ce n’est que:</w:t>
            </w:r>
          </w:p>
          <w:p>
            <w:pPr>
              <w:spacing w:after="0" w:line="360" w:lineRule="auto"/>
              <w:rPr>
                <w:rFonts w:eastAsia="Times New Roman"/>
                <w:noProof/>
                <w:szCs w:val="24"/>
              </w:rPr>
            </w:pPr>
            <w:r>
              <w:rPr>
                <w:noProof/>
              </w:rPr>
              <w:t>les prestataires étrangers de services financiers peuvent établir une compagnie d’assurance ayant son siège en République tchèque, sous la forme d’une société anonyme, ou exercer une activité d’assurance par l’entremise de leurs succursales ayant leur siège en République tchèque, conformément aux dispositions de la loi régissant le secteur des assurances.</w:t>
            </w:r>
          </w:p>
          <w:p>
            <w:pPr>
              <w:spacing w:after="0" w:line="360" w:lineRule="auto"/>
              <w:rPr>
                <w:rFonts w:eastAsia="Times New Roman"/>
                <w:noProof/>
                <w:szCs w:val="24"/>
              </w:rPr>
            </w:pPr>
            <w:r>
              <w:rPr>
                <w:noProof/>
              </w:rPr>
              <w:t>Un prestataire de services d’assurance doit établir une présence commerciale et obtenir une autorisation pour:</w:t>
            </w:r>
          </w:p>
          <w:p>
            <w:pPr>
              <w:spacing w:after="0" w:line="360" w:lineRule="auto"/>
              <w:rPr>
                <w:rFonts w:eastAsia="Times New Roman"/>
                <w:noProof/>
                <w:szCs w:val="24"/>
              </w:rPr>
            </w:pPr>
            <w:r>
              <w:rPr>
                <w:noProof/>
              </w:rPr>
              <w:t>fournir des services d’assurance et de réassurance, et</w:t>
            </w:r>
          </w:p>
          <w:p>
            <w:pPr>
              <w:spacing w:after="0" w:line="360" w:lineRule="auto"/>
              <w:rPr>
                <w:rFonts w:eastAsia="Times New Roman"/>
                <w:noProof/>
                <w:szCs w:val="24"/>
              </w:rPr>
            </w:pPr>
            <w:r>
              <w:rPr>
                <w:noProof/>
              </w:rPr>
              <w:t>conclure des contrats d’intermédiation avec un intermédiaire en vue de la conclusion d’un contrat d’assurance entre le prestataire de services d’assurance et un tiers.</w:t>
            </w:r>
          </w:p>
          <w:p>
            <w:pPr>
              <w:spacing w:after="0" w:line="360" w:lineRule="auto"/>
              <w:rPr>
                <w:rFonts w:eastAsia="Times New Roman"/>
                <w:noProof/>
                <w:szCs w:val="24"/>
              </w:rPr>
            </w:pPr>
            <w:r>
              <w:rPr>
                <w:noProof/>
              </w:rPr>
              <w:t>L’intermédiaire doit obtenir une autorisation si l’activité d’intermédiation doit être exercée pour une succursale dont le siège se situe en République tchèque.</w:t>
            </w:r>
          </w:p>
          <w:p>
            <w:pPr>
              <w:spacing w:after="0" w:line="360" w:lineRule="auto"/>
              <w:rPr>
                <w:rFonts w:eastAsia="Times New Roman"/>
                <w:noProof/>
                <w:szCs w:val="24"/>
              </w:rPr>
            </w:pPr>
            <w:r>
              <w:rPr>
                <w:noProof/>
              </w:rPr>
              <w:t>ES: un assureur étranger ne peut établir une succursale ou une agence en Espagne pour fournir des services d’assurance dans certaines branches s’il n’a été autorisé à les fournir dans son pays d’origine pendant au moins cinq ans.</w:t>
            </w:r>
          </w:p>
          <w:p>
            <w:pPr>
              <w:spacing w:after="0" w:line="360" w:lineRule="auto"/>
              <w:rPr>
                <w:rFonts w:eastAsia="Times New Roman"/>
                <w:noProof/>
                <w:szCs w:val="24"/>
              </w:rPr>
            </w:pPr>
            <w:r>
              <w:rPr>
                <w:noProof/>
              </w:rPr>
              <w:t>ES et EL: le droit d’établissement ne s’applique pas à la création de bureaux de représentation ni à d’autres formes de présence permanente des compagnies d’assurance, sauf s’il s’agit d’agences, de succursales ou de sièges.</w:t>
            </w:r>
          </w:p>
          <w:p>
            <w:pPr>
              <w:spacing w:after="0" w:line="360" w:lineRule="auto"/>
              <w:rPr>
                <w:rFonts w:eastAsia="Times New Roman"/>
                <w:noProof/>
                <w:szCs w:val="24"/>
              </w:rPr>
            </w:pPr>
            <w:r>
              <w:rPr>
                <w:noProof/>
              </w:rPr>
              <w:t xml:space="preserve">EE: </w:t>
            </w:r>
            <w:r>
              <w:rPr>
                <w:i/>
                <w:noProof/>
              </w:rPr>
              <w:t>sous-secteur A.1. (assurance directe):</w:t>
            </w:r>
            <w:r>
              <w:rPr>
                <w:noProof/>
              </w:rPr>
              <w:t xml:space="preserve"> néant, si ce n'est que la direction d'une compagnie d'assurance constituée en société par actions avec participation de capitaux étrangers peut comprendre des ressortissants étrangers en proportion de cette participation étrangère, sans toutefois que ces ressortissants étrangers ne représentent plus de la moitié des dirigeants; le président-directeur général d'une filiale ou d'une entreprise indépendante doit résider à titre permanent en Estonie.</w:t>
            </w:r>
          </w:p>
          <w:p>
            <w:pPr>
              <w:spacing w:after="0" w:line="360" w:lineRule="auto"/>
              <w:rPr>
                <w:rFonts w:eastAsia="Times New Roman"/>
                <w:noProof/>
                <w:szCs w:val="24"/>
              </w:rPr>
            </w:pPr>
            <w:r>
              <w:rPr>
                <w:noProof/>
              </w:rPr>
              <w:t>FI: le directeur général, l’un des vérificateurs aux comptes au moins et la moitié au moins des fondateurs et des membres du conseil d’administration et du conseil de surveillance d’une compagnie d’assurance doivent avoir leur lieu de résidence dans l’Espace économique européen, sauf dérogation accordée par le ministère des affaires sociales et de la santé.</w:t>
            </w:r>
          </w:p>
          <w:p>
            <w:pPr>
              <w:spacing w:after="0" w:line="360" w:lineRule="auto"/>
              <w:rPr>
                <w:rFonts w:eastAsia="Times New Roman"/>
                <w:noProof/>
                <w:szCs w:val="24"/>
              </w:rPr>
            </w:pPr>
            <w:r>
              <w:rPr>
                <w:noProof/>
              </w:rPr>
              <w:t>FI: les compagnies d’assurance étrangères ne peuvent pas obtenir en Finlande la licence permettant d’opérer en tant que succursale dans les branches d’assurances sociales obligatoires (retraite obligatoire, assurance accidents obligatoire).</w:t>
            </w:r>
          </w:p>
          <w:p>
            <w:pPr>
              <w:spacing w:after="0" w:line="360" w:lineRule="auto"/>
              <w:rPr>
                <w:rFonts w:eastAsia="Times New Roman"/>
                <w:noProof/>
                <w:szCs w:val="24"/>
              </w:rPr>
            </w:pPr>
            <w:r>
              <w:rPr>
                <w:noProof/>
              </w:rPr>
              <w:t>FI: l’agent général de la compagnie d’assurances étrangère doit avoir son lieu de résidence en Finlande, à moins que la compagnie n'ait son siège social dans l’Espace économique européen.</w:t>
            </w:r>
          </w:p>
          <w:p>
            <w:pPr>
              <w:spacing w:after="0" w:line="360" w:lineRule="auto"/>
              <w:rPr>
                <w:rFonts w:eastAsia="Times New Roman"/>
                <w:noProof/>
                <w:szCs w:val="24"/>
              </w:rPr>
            </w:pPr>
            <w:r>
              <w:rPr>
                <w:noProof/>
              </w:rPr>
              <w:t>FR: l’établissement de succursales est subordonné à l’octroi d’une autorisation spéciale au représentant de la succursale.</w:t>
            </w:r>
          </w:p>
          <w:p>
            <w:pPr>
              <w:spacing w:after="0" w:line="360" w:lineRule="auto"/>
              <w:rPr>
                <w:rFonts w:eastAsia="Times New Roman"/>
                <w:noProof/>
                <w:szCs w:val="24"/>
              </w:rPr>
            </w:pPr>
            <w:r>
              <w:rPr>
                <w:noProof/>
              </w:rPr>
              <w:t>HU: il est prévu de créer un réseau de succursales directes consolidé dans le cadre de l’AGCS et dans le respect des dispositions de cet accord.</w:t>
            </w:r>
          </w:p>
          <w:p>
            <w:pPr>
              <w:spacing w:after="0" w:line="360" w:lineRule="auto"/>
              <w:rPr>
                <w:rFonts w:eastAsia="Times New Roman"/>
                <w:noProof/>
                <w:szCs w:val="24"/>
              </w:rPr>
            </w:pPr>
            <w:r>
              <w:rPr>
                <w:noProof/>
              </w:rPr>
              <w:t>HU: au moins deux membres du conseil d’administration d’un établissement financier doivent être des ressortissants</w:t>
            </w:r>
            <w:r>
              <w:rPr>
                <w:b/>
                <w:noProof/>
              </w:rPr>
              <w:t xml:space="preserve"> </w:t>
            </w:r>
            <w:r>
              <w:rPr>
                <w:noProof/>
              </w:rPr>
              <w:t>hongrois, au sens de la législation applicable aux opérations de change, et résider en Hongrie à titre permanent depuis un an au moins.</w:t>
            </w:r>
          </w:p>
          <w:p>
            <w:pPr>
              <w:spacing w:after="0" w:line="360" w:lineRule="auto"/>
              <w:rPr>
                <w:rFonts w:eastAsia="Times New Roman"/>
                <w:noProof/>
                <w:szCs w:val="24"/>
              </w:rPr>
            </w:pPr>
            <w:r>
              <w:rPr>
                <w:noProof/>
              </w:rPr>
              <w:t>IE: le droit d’établissement ne s’applique pas à la création de bureaux de représentation.</w:t>
            </w:r>
          </w:p>
          <w:p>
            <w:pPr>
              <w:spacing w:after="0" w:line="360" w:lineRule="auto"/>
              <w:rPr>
                <w:rFonts w:eastAsia="Times New Roman"/>
                <w:noProof/>
                <w:szCs w:val="24"/>
              </w:rPr>
            </w:pPr>
            <w:r>
              <w:rPr>
                <w:noProof/>
              </w:rPr>
              <w:t>IT: seules les personnes physiques peuvent exercer la profession d’actuaire. L’association professionnelle de personnes physiques est autorisée (sauf sous la forme de sociétés).</w:t>
            </w:r>
          </w:p>
          <w:p>
            <w:pPr>
              <w:spacing w:after="0" w:line="360" w:lineRule="auto"/>
              <w:rPr>
                <w:rFonts w:eastAsia="Times New Roman"/>
                <w:noProof/>
                <w:szCs w:val="24"/>
              </w:rPr>
            </w:pPr>
            <w:r>
              <w:rPr>
                <w:noProof/>
              </w:rPr>
              <w:t>IT: l’autorisation d’établir des succursales est soumise en dernier ressort à l’appréciation des autorités de surveillance.</w:t>
            </w:r>
          </w:p>
          <w:p>
            <w:pPr>
              <w:spacing w:after="0" w:line="360" w:lineRule="auto"/>
              <w:rPr>
                <w:rFonts w:eastAsia="Times New Roman"/>
                <w:noProof/>
                <w:szCs w:val="24"/>
              </w:rPr>
            </w:pPr>
            <w:r>
              <w:rPr>
                <w:noProof/>
              </w:rPr>
              <w:t xml:space="preserve">LV: </w:t>
            </w:r>
            <w:r>
              <w:rPr>
                <w:i/>
                <w:noProof/>
              </w:rPr>
              <w:t>sous-secteurs A.1. et A.2. (assurance directe, et réassurance et rétrocession):</w:t>
            </w:r>
            <w:r>
              <w:rPr>
                <w:noProof/>
              </w:rPr>
              <w:t xml:space="preserve"> en règle générale et de manière non discriminatoire, les compagnies d’assurance étrangères doivent avoir une forme juridique déterminée.</w:t>
            </w:r>
          </w:p>
          <w:p>
            <w:pPr>
              <w:spacing w:after="0" w:line="360" w:lineRule="auto"/>
              <w:rPr>
                <w:rFonts w:eastAsia="Times New Roman"/>
                <w:noProof/>
                <w:szCs w:val="24"/>
              </w:rPr>
            </w:pPr>
            <w:r>
              <w:rPr>
                <w:noProof/>
              </w:rPr>
              <w:t xml:space="preserve">LV: </w:t>
            </w:r>
            <w:r>
              <w:rPr>
                <w:i/>
                <w:noProof/>
              </w:rPr>
              <w:t>sous-secteur A.3. (intermédiation en assurance):</w:t>
            </w:r>
            <w:r>
              <w:rPr>
                <w:noProof/>
              </w:rPr>
              <w:t xml:space="preserve"> seule une personne physique (aucun critère à respecter en matière de nationalité) peut agir en tant qu’intermédiaire et fournir des services pour le compte d’une compagnie d’assurance autorisée par l’autorité de surveillance du secteur des assurances de Lettonie.</w:t>
            </w:r>
          </w:p>
          <w:p>
            <w:pPr>
              <w:spacing w:after="0" w:line="360" w:lineRule="auto"/>
              <w:rPr>
                <w:rFonts w:eastAsia="Times New Roman"/>
                <w:noProof/>
                <w:szCs w:val="24"/>
              </w:rPr>
            </w:pPr>
            <w:r>
              <w:rPr>
                <w:noProof/>
              </w:rPr>
              <w:t>LT: les compagnies d’assurance ne sont pas autorisées à exercer à la fois des activités d’assurance-vie et non vie. Des sociétés distinctes doivent être constituées pour ce faire (types a et b).</w:t>
            </w:r>
          </w:p>
          <w:p>
            <w:pPr>
              <w:spacing w:after="0" w:line="360" w:lineRule="auto"/>
              <w:rPr>
                <w:rFonts w:eastAsia="Times New Roman"/>
                <w:noProof/>
                <w:szCs w:val="24"/>
              </w:rPr>
            </w:pPr>
            <w:r>
              <w:rPr>
                <w:noProof/>
              </w:rPr>
              <w:t>MT: peut être subordonné à un examen des besoins économiques.</w:t>
            </w:r>
          </w:p>
          <w:p>
            <w:pPr>
              <w:spacing w:after="0" w:line="360" w:lineRule="auto"/>
              <w:rPr>
                <w:rFonts w:eastAsia="Times New Roman"/>
                <w:noProof/>
                <w:szCs w:val="24"/>
              </w:rPr>
            </w:pPr>
            <w:r>
              <w:rPr>
                <w:noProof/>
              </w:rPr>
              <w:t xml:space="preserve">PL: </w:t>
            </w:r>
            <w:r>
              <w:rPr>
                <w:i/>
                <w:noProof/>
              </w:rPr>
              <w:t>sous-secteurs A.1. à A.3. (assurance directe, réassurance et rétrocession, intermédiation d’assurance):</w:t>
            </w:r>
          </w:p>
          <w:p>
            <w:pPr>
              <w:spacing w:after="0" w:line="360" w:lineRule="auto"/>
              <w:rPr>
                <w:rFonts w:eastAsia="Times New Roman"/>
                <w:noProof/>
                <w:szCs w:val="24"/>
              </w:rPr>
            </w:pPr>
            <w:r>
              <w:rPr>
                <w:noProof/>
              </w:rPr>
              <w:t>établissement uniquement sous forme de société par actions ou de succursale après obtention d’une licence. Le pourcentage de fonds au titre de l’assurance pouvant être investi à l’étranger est limité à 5 %. Les personnes qui exercent des activités d’intermédiation en assurance doivent être titulaires d’une licence. Les entreprises d’intermédiation en assurance doivent être constituées en sociétés locales.</w:t>
            </w:r>
          </w:p>
          <w:p>
            <w:pPr>
              <w:spacing w:after="0" w:line="360" w:lineRule="auto"/>
              <w:rPr>
                <w:rFonts w:eastAsia="Times New Roman"/>
                <w:noProof/>
                <w:szCs w:val="24"/>
              </w:rPr>
            </w:pPr>
            <w:r>
              <w:rPr>
                <w:noProof/>
              </w:rPr>
              <w:t xml:space="preserve">PL: </w:t>
            </w:r>
            <w:r>
              <w:rPr>
                <w:i/>
                <w:noProof/>
              </w:rPr>
              <w:t>sous-secteur A.4. (services auxiliaires de l’assurance):</w:t>
            </w:r>
            <w:r>
              <w:rPr>
                <w:noProof/>
              </w:rPr>
              <w:t xml:space="preserve"> non consolidé.</w:t>
            </w:r>
          </w:p>
          <w:p>
            <w:pPr>
              <w:spacing w:after="0" w:line="360" w:lineRule="auto"/>
              <w:rPr>
                <w:rFonts w:eastAsia="Times New Roman"/>
                <w:noProof/>
                <w:szCs w:val="24"/>
              </w:rPr>
            </w:pPr>
            <w:r>
              <w:rPr>
                <w:noProof/>
              </w:rPr>
              <w:t>PT: les compagnies d’assurance étrangères ne peuvent pratiquer l’intermédiation au Portugal que par le biais d’une société constituée conformément à la législation d’un État membre de la Communauté.</w:t>
            </w:r>
          </w:p>
          <w:p>
            <w:pPr>
              <w:spacing w:after="0" w:line="360" w:lineRule="auto"/>
              <w:rPr>
                <w:rFonts w:eastAsia="Times New Roman"/>
                <w:noProof/>
                <w:szCs w:val="24"/>
              </w:rPr>
            </w:pPr>
            <w:r>
              <w:rPr>
                <w:noProof/>
              </w:rPr>
              <w:t>PT: afin d’établir une succursale au Portugal, les sociétés étrangères doivent démontrer qu’elles ont une expérience concrète d’au moins cinq ans.</w:t>
            </w:r>
          </w:p>
          <w:p>
            <w:pPr>
              <w:spacing w:after="0" w:line="360" w:lineRule="auto"/>
              <w:rPr>
                <w:rFonts w:eastAsia="Times New Roman"/>
                <w:noProof/>
                <w:szCs w:val="24"/>
              </w:rPr>
            </w:pPr>
            <w:r>
              <w:rPr>
                <w:noProof/>
              </w:rPr>
              <w:t>RO: les compagnies et les agences d’intermédiation avec participation étrangère ne peuvent s’établir qu’en partenariat avec des personnes morales ou physiques roumaines. Les représentants des compagnies d’assurance étrangères et des associations d’assureurs étrangers n’ont le droit de conclure que les types de contrats d’assurance suivants: 1) contrats d’assurance et de réassurance avec des personnes morales et physiques étrangères ou portant sur leurs biens; 2) contrats de réassurance avec des compagnies d’assurances, d’assurance-réassurance et de réassurance roumaines. Les agences d’intermédiation n’ont pas le droit de conclure des contrats d’assurance pour des compagnies d’assurance étrangères avec des personnes morales ou physiques roumaines ou pour leurs biens.</w:t>
            </w:r>
          </w:p>
          <w:p>
            <w:pPr>
              <w:spacing w:after="0" w:line="360" w:lineRule="auto"/>
              <w:rPr>
                <w:rFonts w:eastAsia="Times New Roman"/>
                <w:noProof/>
                <w:szCs w:val="24"/>
              </w:rPr>
            </w:pPr>
            <w:r>
              <w:rPr>
                <w:noProof/>
              </w:rPr>
              <w:t>SK: la majorité des membres du conseil d’administration des compagnies d’assurance doivent être domiciliés en République slovaque.</w:t>
            </w:r>
          </w:p>
          <w:p>
            <w:pPr>
              <w:spacing w:after="0" w:line="360" w:lineRule="auto"/>
              <w:rPr>
                <w:rFonts w:eastAsia="Times New Roman"/>
                <w:noProof/>
                <w:szCs w:val="24"/>
              </w:rPr>
            </w:pPr>
            <w:r>
              <w:rPr>
                <w:noProof/>
              </w:rPr>
              <w:t>L’obtention d’une licence est obligatoire pour la prestation de services d’assurance. Les ressortissants étrangers peuvent fonder une compagnie d’assurance ayant son siège en République slovaque, sous la forme d’une société anonyme, ou exercer une activité d’assurance par l’entremise de leurs succursales ayant leur siège en République slovaque, conformément aux conditions générales fixées par la législation applicable au secteur des assurances. Par activité d’assurance, on entend l’assurance proprement dite, le courtage et la réassurance.</w:t>
            </w:r>
          </w:p>
          <w:p>
            <w:pPr>
              <w:spacing w:after="0" w:line="360" w:lineRule="auto"/>
              <w:rPr>
                <w:rFonts w:eastAsia="Times New Roman"/>
                <w:noProof/>
                <w:szCs w:val="24"/>
              </w:rPr>
            </w:pPr>
            <w:r>
              <w:rPr>
                <w:noProof/>
              </w:rPr>
              <w:t>Les activités d’intermédiation visant la conclusion de contrats d’assurance entre un tiers et une compagnie d’assurance peuvent être exercées par des personnes physiques ou morales domiciliées en République slovaque et agissant pour le compte d'une compagnie d’assurance titulaire d’une licence délivrée par l’autorité de surveillance du secteur des assurances.</w:t>
            </w:r>
          </w:p>
          <w:p>
            <w:pPr>
              <w:spacing w:after="0" w:line="360" w:lineRule="auto"/>
              <w:rPr>
                <w:rFonts w:eastAsia="Times New Roman"/>
                <w:noProof/>
                <w:szCs w:val="24"/>
              </w:rPr>
            </w:pPr>
            <w:r>
              <w:rPr>
                <w:noProof/>
              </w:rPr>
              <w:t>Les contrats d’intermédiation visant la conclusion de contrats d’assurance entre un tiers et une compagnie d’assurance ne peuvent être conclus par des compagnies d’assurance slovaques ou étrangères qu’après la délivrance d’une licence par l’autorité de surveillance du secteur des assurances.</w:t>
            </w:r>
          </w:p>
          <w:p>
            <w:pPr>
              <w:spacing w:after="0" w:line="360" w:lineRule="auto"/>
              <w:rPr>
                <w:rFonts w:eastAsia="Times New Roman"/>
                <w:noProof/>
                <w:szCs w:val="24"/>
              </w:rPr>
            </w:pPr>
            <w:r>
              <w:rPr>
                <w:noProof/>
              </w:rPr>
              <w:t>Les ressources financières des fonds d’assurance particuliers créés par des compagnies d’assurance titulaires d’une licence, qui proviennent de l’assurance ou de la réassurance de détenteurs de polices résidant ou ayant leur siège en République slovaque, doivent être déposées dans une banque résidente en République slovaque et ne peuvent pas être transférées à l’étranger.</w:t>
            </w:r>
          </w:p>
          <w:p>
            <w:pPr>
              <w:spacing w:after="0" w:line="360" w:lineRule="auto"/>
              <w:rPr>
                <w:rFonts w:eastAsia="Times New Roman"/>
                <w:noProof/>
                <w:szCs w:val="24"/>
              </w:rPr>
            </w:pPr>
            <w:r>
              <w:rPr>
                <w:noProof/>
              </w:rPr>
              <w:t xml:space="preserve">SI: </w:t>
            </w:r>
            <w:r>
              <w:rPr>
                <w:i/>
                <w:noProof/>
              </w:rPr>
              <w:t>sous-secteur A.1. (assurance directe):</w:t>
            </w:r>
          </w:p>
          <w:p>
            <w:pPr>
              <w:spacing w:after="0" w:line="360" w:lineRule="auto"/>
              <w:rPr>
                <w:rFonts w:eastAsia="Times New Roman"/>
                <w:noProof/>
                <w:szCs w:val="24"/>
              </w:rPr>
            </w:pPr>
            <w:r>
              <w:rPr>
                <w:noProof/>
              </w:rPr>
              <w:t>l’établissement en Slovénie est subordonné à la délivrance d’une licence par le ministère des finances. Les ressortissants étrangers ne peuvent créer des compagnies d’assurances que sous la forme d’une coentreprise avec un partenaire slovène; la participation des investisseurs étrangers est limitée à 99 %.</w:t>
            </w:r>
          </w:p>
          <w:p>
            <w:pPr>
              <w:spacing w:after="0" w:line="360" w:lineRule="auto"/>
              <w:rPr>
                <w:rFonts w:eastAsia="Times New Roman"/>
                <w:noProof/>
                <w:szCs w:val="24"/>
              </w:rPr>
            </w:pPr>
            <w:r>
              <w:rPr>
                <w:noProof/>
              </w:rPr>
              <w:t>L’adoption de la nouvelle loi sur les compagnies d’assurance permettra de supprimer le plafond de participation précité.</w:t>
            </w:r>
          </w:p>
          <w:p>
            <w:pPr>
              <w:spacing w:after="0" w:line="360" w:lineRule="auto"/>
              <w:rPr>
                <w:rFonts w:eastAsia="Times New Roman"/>
                <w:noProof/>
                <w:szCs w:val="24"/>
              </w:rPr>
            </w:pPr>
            <w:r>
              <w:rPr>
                <w:noProof/>
              </w:rPr>
              <w:t>Les ressortissants étrangers peuvent acquérir une participation ou accroître celle qu’ils détiennent dans des compagnies d’assurance slovènes, sous réserve de l’autorisation préalable du ministère des finances.</w:t>
            </w:r>
          </w:p>
          <w:p>
            <w:pPr>
              <w:spacing w:after="0" w:line="360" w:lineRule="auto"/>
              <w:rPr>
                <w:rFonts w:eastAsia="Times New Roman"/>
                <w:noProof/>
                <w:szCs w:val="24"/>
              </w:rPr>
            </w:pPr>
            <w:r>
              <w:rPr>
                <w:noProof/>
              </w:rPr>
              <w:t>Pour délivrer une licence ou approuver la prise de participation dans une compagnie d’assurance slovène, le ministère des finances tient compte des critères suivants:</w:t>
            </w:r>
          </w:p>
          <w:p>
            <w:pPr>
              <w:spacing w:after="0" w:line="360" w:lineRule="auto"/>
              <w:rPr>
                <w:rFonts w:eastAsia="Times New Roman"/>
                <w:noProof/>
                <w:szCs w:val="24"/>
              </w:rPr>
            </w:pPr>
            <w:r>
              <w:rPr>
                <w:noProof/>
              </w:rPr>
              <w:t>dispersion de l’actionnariat et présence d’actionnaires de différents pays;</w:t>
            </w:r>
          </w:p>
          <w:p>
            <w:pPr>
              <w:spacing w:after="0" w:line="360" w:lineRule="auto"/>
              <w:rPr>
                <w:rFonts w:eastAsia="Times New Roman"/>
                <w:noProof/>
                <w:szCs w:val="24"/>
              </w:rPr>
            </w:pPr>
            <w:r>
              <w:rPr>
                <w:noProof/>
              </w:rPr>
              <w:t>fourniture de nouveaux produits d’assurance et transmission du savoir-faire y afférent si l’investisseur étranger est une compagnie d’assurance.</w:t>
            </w:r>
          </w:p>
          <w:p>
            <w:pPr>
              <w:spacing w:after="0" w:line="360" w:lineRule="auto"/>
              <w:rPr>
                <w:rFonts w:eastAsia="Times New Roman"/>
                <w:noProof/>
                <w:szCs w:val="24"/>
              </w:rPr>
            </w:pPr>
            <w:r>
              <w:rPr>
                <w:noProof/>
              </w:rPr>
              <w:t>Non consolidé en ce qui concerne la participation d’investisseurs étrangers dans des compagnies d’assurance en cours de privatisation.</w:t>
            </w:r>
          </w:p>
          <w:p>
            <w:pPr>
              <w:spacing w:after="0" w:line="360" w:lineRule="auto"/>
              <w:rPr>
                <w:rFonts w:eastAsia="Times New Roman"/>
                <w:noProof/>
                <w:szCs w:val="24"/>
              </w:rPr>
            </w:pPr>
            <w:r>
              <w:rPr>
                <w:noProof/>
              </w:rPr>
              <w:t>Seules les sociétés établies en Slovénie et les personnes physiques de nationalité slovène peuvent être membres de mutuelles d’assurance.</w:t>
            </w:r>
          </w:p>
          <w:p>
            <w:pPr>
              <w:spacing w:after="0" w:line="360" w:lineRule="auto"/>
              <w:rPr>
                <w:rFonts w:eastAsia="Times New Roman"/>
                <w:noProof/>
                <w:szCs w:val="24"/>
              </w:rPr>
            </w:pPr>
            <w:r>
              <w:rPr>
                <w:noProof/>
              </w:rPr>
              <w:t xml:space="preserve">SI: </w:t>
            </w:r>
            <w:r>
              <w:rPr>
                <w:i/>
                <w:noProof/>
              </w:rPr>
              <w:t>sous-secteur A.2. (réassurance et rétrocession):</w:t>
            </w:r>
            <w:r>
              <w:rPr>
                <w:noProof/>
              </w:rPr>
              <w:t xml:space="preserve"> la participation d'investisseurs étrangers dans les compagnies de réassurance est limitée à une participation majoritaire dans le capital. (Néant, sauf en ce qui concerne les succursales, après l’adoption de la nouvelle loi sur les compagnies d’assurance).</w:t>
            </w:r>
          </w:p>
          <w:p>
            <w:pPr>
              <w:spacing w:after="0" w:line="360" w:lineRule="auto"/>
              <w:rPr>
                <w:rFonts w:eastAsia="Times New Roman"/>
                <w:noProof/>
                <w:szCs w:val="24"/>
              </w:rPr>
            </w:pPr>
            <w:r>
              <w:rPr>
                <w:noProof/>
              </w:rPr>
              <w:t xml:space="preserve">SI: </w:t>
            </w:r>
            <w:r>
              <w:rPr>
                <w:i/>
                <w:noProof/>
              </w:rPr>
              <w:t>sous-secteurs A.3. et A.4. (intermédiation en assurance et services auxiliaires de l’assurance):</w:t>
            </w:r>
          </w:p>
          <w:p>
            <w:pPr>
              <w:spacing w:after="0" w:line="360" w:lineRule="auto"/>
              <w:rPr>
                <w:rFonts w:eastAsia="Times New Roman"/>
                <w:noProof/>
                <w:szCs w:val="24"/>
              </w:rPr>
            </w:pPr>
            <w:r>
              <w:rPr>
                <w:noProof/>
              </w:rPr>
              <w:t>la prestation de services de conseil et de liquidation des sinistres est subordonnée à la constitution en personne morale et à l’accord de la direction générale des assurances.</w:t>
            </w:r>
          </w:p>
          <w:p>
            <w:pPr>
              <w:spacing w:after="0" w:line="360" w:lineRule="auto"/>
              <w:rPr>
                <w:rFonts w:eastAsia="Times New Roman"/>
                <w:noProof/>
                <w:szCs w:val="24"/>
              </w:rPr>
            </w:pPr>
            <w:r>
              <w:rPr>
                <w:noProof/>
              </w:rPr>
              <w:t>La prestation de services actuariels et de services d’évaluation des risques est réservée aux établissements professionnels.</w:t>
            </w:r>
          </w:p>
          <w:p>
            <w:pPr>
              <w:spacing w:after="0" w:line="360" w:lineRule="auto"/>
              <w:rPr>
                <w:rFonts w:eastAsia="Times New Roman"/>
                <w:noProof/>
                <w:szCs w:val="24"/>
              </w:rPr>
            </w:pPr>
            <w:r>
              <w:rPr>
                <w:noProof/>
              </w:rPr>
              <w:t>Les activités se limitent à l’assurance directe et à la réassurance.</w:t>
            </w:r>
          </w:p>
          <w:p>
            <w:pPr>
              <w:spacing w:after="0" w:line="360" w:lineRule="auto"/>
              <w:rPr>
                <w:rFonts w:eastAsia="Times New Roman"/>
                <w:noProof/>
                <w:szCs w:val="24"/>
              </w:rPr>
            </w:pPr>
            <w:r>
              <w:rPr>
                <w:noProof/>
              </w:rPr>
              <w:t>Les chefs d’entreprises individuelles ont l’obligation de résider en Slovénie.</w:t>
            </w:r>
          </w:p>
          <w:p>
            <w:pPr>
              <w:spacing w:after="0" w:line="360" w:lineRule="auto"/>
              <w:rPr>
                <w:rFonts w:eastAsia="Times New Roman"/>
                <w:noProof/>
                <w:szCs w:val="24"/>
              </w:rPr>
            </w:pPr>
            <w:r>
              <w:rPr>
                <w:noProof/>
              </w:rPr>
              <w:t>SE: les courtiers en assurance non constitués en sociétés en Suède ne sont autorisés à établir une présence commerciale que par l’entremise d’une succursale.</w:t>
            </w:r>
          </w:p>
          <w:p>
            <w:pPr>
              <w:spacing w:after="0" w:line="360" w:lineRule="auto"/>
              <w:rPr>
                <w:rFonts w:eastAsia="Times New Roman"/>
                <w:noProof/>
                <w:szCs w:val="24"/>
              </w:rPr>
            </w:pPr>
            <w:r>
              <w:rPr>
                <w:noProof/>
              </w:rPr>
              <w:t>SE: les compagnies d’assurances autres que sur la vie non constituées en Suède qui y exercent leurs activités sont taxées sur la base des primes encaissées pour les opérations d’assurance directe et non en fonction du résultat net.</w:t>
            </w:r>
          </w:p>
          <w:p>
            <w:pPr>
              <w:spacing w:after="0" w:line="360" w:lineRule="auto"/>
              <w:rPr>
                <w:rFonts w:eastAsia="Times New Roman"/>
                <w:noProof/>
                <w:szCs w:val="24"/>
              </w:rPr>
            </w:pPr>
            <w:r>
              <w:rPr>
                <w:noProof/>
              </w:rPr>
              <w:t>SE: le fondateur d’une compagnie d’assurance doit être une personne physique résidant dans l’Espace économique européen ou une personne morale constituée en société dans l’Espace économique européen.</w:t>
            </w:r>
          </w:p>
        </w:tc>
      </w:tr>
      <w:tr>
        <w:tc>
          <w:tcPr>
            <w:tcW w:w="150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tc>
        <w:tc>
          <w:tcPr>
            <w:tcW w:w="210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noProof/>
                <w:szCs w:val="24"/>
              </w:rPr>
            </w:pPr>
          </w:p>
          <w:p>
            <w:pPr>
              <w:spacing w:after="0" w:line="360" w:lineRule="auto"/>
              <w:rPr>
                <w:rFonts w:eastAsia="Times New Roman"/>
                <w:b/>
                <w:noProof/>
                <w:szCs w:val="24"/>
              </w:rPr>
            </w:pPr>
            <w:r>
              <w:rPr>
                <w:b/>
                <w:noProof/>
              </w:rPr>
              <w:t>4) Présence de personnes physiques</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noProof/>
                <w:szCs w:val="24"/>
              </w:rPr>
            </w:pPr>
          </w:p>
          <w:p>
            <w:pPr>
              <w:spacing w:after="0" w:line="360" w:lineRule="auto"/>
              <w:rPr>
                <w:rFonts w:eastAsia="Times New Roman"/>
                <w:noProof/>
                <w:szCs w:val="24"/>
              </w:rPr>
            </w:pPr>
            <w:r>
              <w:rPr>
                <w:noProof/>
              </w:rPr>
              <w:t>CY: non consolidé.</w:t>
            </w:r>
          </w:p>
          <w:p>
            <w:pPr>
              <w:spacing w:after="0" w:line="360" w:lineRule="auto"/>
              <w:rPr>
                <w:rFonts w:eastAsia="Times New Roman"/>
                <w:noProof/>
                <w:szCs w:val="24"/>
              </w:rPr>
            </w:pPr>
            <w:r>
              <w:rPr>
                <w:noProof/>
              </w:rPr>
              <w:t xml:space="preserve">PL: </w:t>
            </w:r>
          </w:p>
          <w:p>
            <w:pPr>
              <w:spacing w:after="0" w:line="360" w:lineRule="auto"/>
              <w:rPr>
                <w:rFonts w:eastAsia="Times New Roman"/>
                <w:noProof/>
                <w:szCs w:val="24"/>
              </w:rPr>
            </w:pPr>
            <w:r>
              <w:rPr>
                <w:i/>
                <w:noProof/>
              </w:rPr>
              <w:t>sous-secteurs A.1. à A.3. (assurance directe, réassurance et rétrocession, intermédiation d’assurance):</w:t>
            </w:r>
            <w:r>
              <w:rPr>
                <w:noProof/>
              </w:rPr>
              <w:t xml:space="preserve"> non consolidé, à l’exception de ce qui est indiqué dans la section horizontale et sous réserve de la limitation suivante: les intermédiaires en assurance doivent résider en Pologne.</w:t>
            </w:r>
          </w:p>
          <w:p>
            <w:pPr>
              <w:spacing w:after="0" w:line="360" w:lineRule="auto"/>
              <w:rPr>
                <w:rFonts w:eastAsia="Times New Roman"/>
                <w:noProof/>
                <w:szCs w:val="24"/>
              </w:rPr>
            </w:pPr>
            <w:r>
              <w:rPr>
                <w:i/>
                <w:noProof/>
              </w:rPr>
              <w:t>Sous-secteur A.4. (services auxiliaires de l’assurance):</w:t>
            </w:r>
            <w:r>
              <w:rPr>
                <w:noProof/>
              </w:rPr>
              <w:t xml:space="preserve"> non consolidé.</w:t>
            </w:r>
          </w:p>
          <w:p>
            <w:pPr>
              <w:spacing w:after="0" w:line="360" w:lineRule="auto"/>
              <w:rPr>
                <w:rFonts w:eastAsia="Times New Roman"/>
                <w:noProof/>
                <w:szCs w:val="24"/>
              </w:rPr>
            </w:pPr>
            <w:r>
              <w:rPr>
                <w:noProof/>
              </w:rPr>
              <w:t>AT, BE, BG, CZ, DE, DK, ES, EE, FR, FI, EL, HR, HU, IT, IE, LU, LT, LV, MT, NL, PT, RO, SE, SI, SK et UK: non consolidé, à l’exception de ce qui est indiqué dans les sections horizontales respectives et sous réserve des limitations spécifiques suivantes:</w:t>
            </w:r>
          </w:p>
          <w:p>
            <w:pPr>
              <w:spacing w:after="0" w:line="360" w:lineRule="auto"/>
              <w:rPr>
                <w:rFonts w:eastAsia="Times New Roman"/>
                <w:noProof/>
                <w:szCs w:val="24"/>
              </w:rPr>
            </w:pPr>
            <w:r>
              <w:rPr>
                <w:noProof/>
              </w:rPr>
              <w:t>AT: une succursale doit être dirigée par deux personnes physiques résidant en Autriche.</w:t>
            </w:r>
          </w:p>
          <w:p>
            <w:pPr>
              <w:spacing w:after="0" w:line="360" w:lineRule="auto"/>
              <w:rPr>
                <w:rFonts w:eastAsia="Times New Roman"/>
                <w:noProof/>
                <w:szCs w:val="24"/>
              </w:rPr>
            </w:pPr>
            <w:r>
              <w:rPr>
                <w:noProof/>
              </w:rPr>
              <w:t>BG: Non consolidé pour les systèmes de garantie des dépôts et les systèmes d’indemnisation analogues ainsi que pour les régimes d’assurance obligatoires. Non consolidé pour les services de rétrocession. Non consolidé pour les sous-secteurs A.3. et A.4. (intermédiation en assurance et services auxiliaires de l’assurance).</w:t>
            </w:r>
          </w:p>
          <w:p>
            <w:pPr>
              <w:spacing w:after="0" w:line="360" w:lineRule="auto"/>
              <w:rPr>
                <w:rFonts w:eastAsia="Times New Roman"/>
                <w:noProof/>
                <w:szCs w:val="24"/>
              </w:rPr>
            </w:pPr>
            <w:r>
              <w:rPr>
                <w:noProof/>
              </w:rPr>
              <w:t>DK: l’agent général de la succursale d’une compagnie d’assurance doit résider au Danemark depuis deux ans sauf s’il s’agit d’un ressortissant d’un État membre de la Communauté. Le ministre du commerce et de l’industrie peut accorder une dérogation.</w:t>
            </w:r>
          </w:p>
          <w:p>
            <w:pPr>
              <w:spacing w:after="0" w:line="360" w:lineRule="auto"/>
              <w:rPr>
                <w:rFonts w:eastAsia="Times New Roman"/>
                <w:noProof/>
                <w:szCs w:val="24"/>
              </w:rPr>
            </w:pPr>
            <w:r>
              <w:rPr>
                <w:noProof/>
              </w:rPr>
              <w:t>DK: résidence obligatoire pour le personnel d’encadrement et les membres du conseil d’administration de la société. Le ministre du commerce et de l’industrie peut cependant accorder une dérogation. Celle-ci est accordée de façon non discriminatoire.</w:t>
            </w:r>
          </w:p>
          <w:p>
            <w:pPr>
              <w:spacing w:after="0" w:line="360" w:lineRule="auto"/>
              <w:rPr>
                <w:rFonts w:eastAsia="Times New Roman"/>
                <w:noProof/>
                <w:szCs w:val="24"/>
              </w:rPr>
            </w:pPr>
            <w:r>
              <w:rPr>
                <w:noProof/>
              </w:rPr>
              <w:t>ES et IT: condition de résidence pour la profession d'actuaire.</w:t>
            </w:r>
          </w:p>
          <w:p>
            <w:pPr>
              <w:spacing w:after="0" w:line="360" w:lineRule="auto"/>
              <w:rPr>
                <w:rFonts w:eastAsia="Times New Roman"/>
                <w:noProof/>
                <w:szCs w:val="24"/>
              </w:rPr>
            </w:pPr>
            <w:r>
              <w:rPr>
                <w:noProof/>
              </w:rPr>
              <w:t>EL: la majorité des membres du conseil d’administration d’une compagnie établie en Grèce doivent être ressortissants d’un État membre de la Communauté.</w:t>
            </w:r>
          </w:p>
          <w:p>
            <w:pPr>
              <w:spacing w:after="0" w:line="360" w:lineRule="auto"/>
              <w:rPr>
                <w:rFonts w:eastAsia="Times New Roman"/>
                <w:noProof/>
                <w:szCs w:val="24"/>
              </w:rPr>
            </w:pPr>
            <w:r>
              <w:rPr>
                <w:noProof/>
              </w:rPr>
              <w:t>SI: pour les services actuariels et les services d’évaluation des risques, il faut être résident, se soumettre à un examen de qualification, être membre de l’Association des actuaires de Slovénie et avoir une bonne connaissance de la langue slovène.</w:t>
            </w:r>
          </w:p>
        </w:tc>
      </w:tr>
    </w:tbl>
    <w:p>
      <w:pPr>
        <w:spacing w:after="0" w:line="360" w:lineRule="auto"/>
        <w:rPr>
          <w:rFonts w:eastAsia="Times New Roman"/>
          <w:noProof/>
          <w:szCs w:val="24"/>
        </w:rPr>
        <w:sectPr>
          <w:pgSz w:w="11907" w:h="16839"/>
          <w:pgMar w:top="1134" w:right="1417" w:bottom="1134" w:left="1417" w:header="720" w:footer="720" w:gutter="0"/>
          <w:cols w:space="720"/>
          <w:docGrid w:linePitch="326"/>
        </w:sectPr>
      </w:pPr>
    </w:p>
    <w:tbl>
      <w:tblPr>
        <w:tblW w:w="10620" w:type="dxa"/>
        <w:tblInd w:w="-8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440"/>
        <w:gridCol w:w="2160"/>
        <w:gridCol w:w="7020"/>
      </w:tblGrid>
      <w:tr>
        <w:tc>
          <w:tcPr>
            <w:tcW w:w="144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r>
              <w:rPr>
                <w:noProof/>
              </w:rPr>
              <w:br w:type="page"/>
            </w:r>
          </w:p>
          <w:p>
            <w:pPr>
              <w:spacing w:after="0" w:line="360" w:lineRule="auto"/>
              <w:rPr>
                <w:rFonts w:eastAsia="Times New Roman"/>
                <w:b/>
                <w:noProof/>
                <w:szCs w:val="24"/>
              </w:rPr>
            </w:pPr>
            <w:r>
              <w:rPr>
                <w:b/>
                <w:noProof/>
              </w:rPr>
              <w:t>B. Services bancaires et autres services financiers</w:t>
            </w:r>
          </w:p>
          <w:p>
            <w:pPr>
              <w:spacing w:after="0" w:line="360" w:lineRule="auto"/>
              <w:rPr>
                <w:rFonts w:eastAsia="Times New Roman"/>
                <w:noProof/>
                <w:szCs w:val="24"/>
              </w:rPr>
            </w:pPr>
            <w:r>
              <w:rPr>
                <w:b/>
                <w:noProof/>
              </w:rPr>
              <w:t>(à l’exclusion de l’assurance)</w:t>
            </w:r>
          </w:p>
        </w:tc>
        <w:tc>
          <w:tcPr>
            <w:tcW w:w="216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p>
            <w:pPr>
              <w:spacing w:after="0" w:line="360" w:lineRule="auto"/>
              <w:rPr>
                <w:rFonts w:eastAsia="Times New Roman"/>
                <w:b/>
                <w:noProof/>
                <w:szCs w:val="24"/>
              </w:rPr>
            </w:pPr>
            <w:r>
              <w:rPr>
                <w:b/>
                <w:noProof/>
              </w:rPr>
              <w:t>1) Fourniture transfrontières</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p>
            <w:pPr>
              <w:spacing w:after="0" w:line="360" w:lineRule="auto"/>
              <w:rPr>
                <w:rFonts w:eastAsia="Times New Roman"/>
                <w:noProof/>
                <w:szCs w:val="24"/>
              </w:rPr>
            </w:pPr>
            <w:r>
              <w:rPr>
                <w:noProof/>
              </w:rPr>
              <w:t>BE: il faut être établi en Belgique pour pouvoir fournir des services de conseil en investissements.</w:t>
            </w:r>
          </w:p>
          <w:p>
            <w:pPr>
              <w:spacing w:after="0" w:line="360" w:lineRule="auto"/>
              <w:rPr>
                <w:rFonts w:eastAsia="Times New Roman"/>
                <w:noProof/>
                <w:szCs w:val="24"/>
              </w:rPr>
            </w:pPr>
            <w:r>
              <w:rPr>
                <w:noProof/>
              </w:rPr>
              <w:t>BG:</w:t>
            </w:r>
          </w:p>
          <w:p>
            <w:pPr>
              <w:spacing w:after="0" w:line="360" w:lineRule="auto"/>
              <w:rPr>
                <w:rFonts w:eastAsia="Times New Roman"/>
                <w:noProof/>
                <w:szCs w:val="24"/>
              </w:rPr>
            </w:pPr>
            <w:r>
              <w:rPr>
                <w:i/>
                <w:noProof/>
              </w:rPr>
              <w:t>sous-secteurs B.11. et B.12. (fourniture et transfert d’informations financières et services de conseil):</w:t>
            </w:r>
            <w:r>
              <w:rPr>
                <w:noProof/>
              </w:rPr>
              <w:t xml:space="preserve"> obligation d’utiliser le réseau public de télécommunication ou celui d’un opérateur agréé en cas de prestation transfrontières de ces services. Non consolidé pour l’intermédiation et d’autres services financiers auxiliaires.</w:t>
            </w:r>
          </w:p>
          <w:p>
            <w:pPr>
              <w:spacing w:after="0" w:line="360" w:lineRule="auto"/>
              <w:rPr>
                <w:rFonts w:eastAsia="Times New Roman"/>
                <w:noProof/>
                <w:szCs w:val="24"/>
              </w:rPr>
            </w:pPr>
            <w:r>
              <w:rPr>
                <w:noProof/>
              </w:rPr>
              <w:t>CY: non consolidé.</w:t>
            </w:r>
          </w:p>
          <w:p>
            <w:pPr>
              <w:spacing w:after="0" w:line="360" w:lineRule="auto"/>
              <w:rPr>
                <w:rFonts w:eastAsia="Times New Roman"/>
                <w:noProof/>
                <w:szCs w:val="24"/>
              </w:rPr>
            </w:pPr>
            <w:r>
              <w:rPr>
                <w:noProof/>
              </w:rPr>
              <w:t xml:space="preserve">CZ: </w:t>
            </w:r>
            <w:r>
              <w:rPr>
                <w:i/>
                <w:noProof/>
              </w:rPr>
              <w:t>services d’émission monétaire par des établissements autres que la Banque centrale, opérations sur produits dérivés, valeurs mobilières transférables et autres instruments et actifs financiers négociables, participation à des émissions de tout type de valeurs mobilières, courtage monétaire, gestion d’actifs, services de règlement et de compensation afférents à des actifs financiers, services de conseil, d’intermédiation et autres services financiers auxiliaires de ces activités</w:t>
            </w:r>
            <w:r>
              <w:rPr>
                <w:noProof/>
              </w:rPr>
              <w:t>: non consolidé.</w:t>
            </w:r>
          </w:p>
          <w:p>
            <w:pPr>
              <w:spacing w:after="0" w:line="360" w:lineRule="auto"/>
              <w:rPr>
                <w:rFonts w:eastAsia="Times New Roman"/>
                <w:noProof/>
                <w:szCs w:val="24"/>
              </w:rPr>
            </w:pPr>
            <w:r>
              <w:rPr>
                <w:noProof/>
              </w:rPr>
              <w:t>CZ: néant, si ce n’est que:</w:t>
            </w:r>
          </w:p>
          <w:p>
            <w:pPr>
              <w:spacing w:after="0" w:line="360" w:lineRule="auto"/>
              <w:rPr>
                <w:rFonts w:eastAsia="Times New Roman"/>
                <w:noProof/>
                <w:szCs w:val="24"/>
              </w:rPr>
            </w:pPr>
            <w:r>
              <w:rPr>
                <w:noProof/>
              </w:rPr>
              <w:t>seules les banques et les succursales de banques étrangères établies en République tchèque et détentrices d’une licence appropriée peuvent:</w:t>
            </w:r>
          </w:p>
          <w:p>
            <w:pPr>
              <w:spacing w:after="0" w:line="360" w:lineRule="auto"/>
              <w:rPr>
                <w:rFonts w:eastAsia="Times New Roman"/>
                <w:noProof/>
                <w:szCs w:val="24"/>
              </w:rPr>
            </w:pPr>
            <w:r>
              <w:rPr>
                <w:noProof/>
              </w:rPr>
              <w:t>accepter des dépôts;</w:t>
            </w:r>
          </w:p>
          <w:p>
            <w:pPr>
              <w:spacing w:after="0" w:line="360" w:lineRule="auto"/>
              <w:rPr>
                <w:rFonts w:eastAsia="Times New Roman"/>
                <w:noProof/>
                <w:szCs w:val="24"/>
              </w:rPr>
            </w:pPr>
            <w:r>
              <w:rPr>
                <w:noProof/>
              </w:rPr>
              <w:t>négocier des actifs libellés en devises;</w:t>
            </w:r>
          </w:p>
          <w:p>
            <w:pPr>
              <w:spacing w:after="0" w:line="360" w:lineRule="auto"/>
              <w:rPr>
                <w:rFonts w:eastAsia="Times New Roman"/>
                <w:noProof/>
                <w:szCs w:val="24"/>
              </w:rPr>
            </w:pPr>
            <w:r>
              <w:rPr>
                <w:noProof/>
              </w:rPr>
              <w:t>effectuer des règlements transfrontières autres qu’en numéraire.</w:t>
            </w:r>
          </w:p>
          <w:p>
            <w:pPr>
              <w:spacing w:after="0" w:line="360" w:lineRule="auto"/>
              <w:rPr>
                <w:rFonts w:eastAsia="Times New Roman"/>
                <w:noProof/>
                <w:szCs w:val="24"/>
              </w:rPr>
            </w:pPr>
            <w:r>
              <w:rPr>
                <w:noProof/>
              </w:rPr>
              <w:t>Les résidents tchèques autres que les banques doivent obtenir une autorisation d’opérations sur devises délivrée par la Banque nationale tchèque ou le ministère des finances pour:</w:t>
            </w:r>
          </w:p>
          <w:p>
            <w:pPr>
              <w:spacing w:after="0" w:line="360" w:lineRule="auto"/>
              <w:rPr>
                <w:rFonts w:eastAsia="Times New Roman"/>
                <w:noProof/>
                <w:szCs w:val="24"/>
              </w:rPr>
            </w:pPr>
            <w:r>
              <w:rPr>
                <w:noProof/>
              </w:rPr>
              <w:t>a)</w:t>
            </w:r>
            <w:r>
              <w:rPr>
                <w:noProof/>
              </w:rPr>
              <w:tab/>
              <w:t>l'ouverture et le provisionnement d'un compte à l'étranger par des résidents tchèques;</w:t>
            </w:r>
          </w:p>
          <w:p>
            <w:pPr>
              <w:spacing w:after="0" w:line="360" w:lineRule="auto"/>
              <w:rPr>
                <w:rFonts w:eastAsia="Times New Roman"/>
                <w:noProof/>
                <w:szCs w:val="24"/>
              </w:rPr>
            </w:pPr>
            <w:r>
              <w:rPr>
                <w:noProof/>
              </w:rPr>
              <w:t>b)</w:t>
            </w:r>
            <w:r>
              <w:rPr>
                <w:noProof/>
              </w:rPr>
              <w:tab/>
              <w:t>les versements à l'étranger (sauf IDE);</w:t>
            </w:r>
          </w:p>
          <w:p>
            <w:pPr>
              <w:spacing w:after="0" w:line="360" w:lineRule="auto"/>
              <w:rPr>
                <w:rFonts w:eastAsia="Times New Roman"/>
                <w:noProof/>
                <w:szCs w:val="24"/>
              </w:rPr>
            </w:pPr>
            <w:r>
              <w:rPr>
                <w:noProof/>
              </w:rPr>
              <w:t>c)</w:t>
            </w:r>
            <w:r>
              <w:rPr>
                <w:noProof/>
              </w:rPr>
              <w:tab/>
              <w:t>l'octroi de crédits financiers et de garanties;</w:t>
            </w:r>
          </w:p>
          <w:p>
            <w:pPr>
              <w:spacing w:after="0" w:line="360" w:lineRule="auto"/>
              <w:rPr>
                <w:rFonts w:eastAsia="Times New Roman"/>
                <w:noProof/>
                <w:szCs w:val="24"/>
              </w:rPr>
            </w:pPr>
            <w:r>
              <w:rPr>
                <w:noProof/>
              </w:rPr>
              <w:t>d)</w:t>
            </w:r>
            <w:r>
              <w:rPr>
                <w:noProof/>
              </w:rPr>
              <w:tab/>
              <w:t>les opérations sur produits dérivés;</w:t>
            </w:r>
          </w:p>
          <w:p>
            <w:pPr>
              <w:spacing w:after="0" w:line="360" w:lineRule="auto"/>
              <w:rPr>
                <w:rFonts w:eastAsia="Times New Roman"/>
                <w:noProof/>
                <w:szCs w:val="24"/>
              </w:rPr>
            </w:pPr>
            <w:r>
              <w:rPr>
                <w:noProof/>
              </w:rPr>
              <w:t>e)</w:t>
            </w:r>
            <w:r>
              <w:rPr>
                <w:noProof/>
              </w:rPr>
              <w:tab/>
              <w:t>l'achat de valeurs mobilières étrangères, sauf dans les cas mentionnés par la loi sur les changes;</w:t>
            </w:r>
          </w:p>
          <w:p>
            <w:pPr>
              <w:spacing w:after="0" w:line="360" w:lineRule="auto"/>
              <w:rPr>
                <w:rFonts w:eastAsia="Times New Roman"/>
                <w:noProof/>
                <w:szCs w:val="24"/>
              </w:rPr>
            </w:pPr>
            <w:r>
              <w:rPr>
                <w:noProof/>
              </w:rPr>
              <w:t>f)</w:t>
            </w:r>
            <w:r>
              <w:rPr>
                <w:noProof/>
              </w:rPr>
              <w:tab/>
              <w:t>l'émission de valeurs mobilières étrangères destinées ou non au public en République tchèque ou leur introduction sur le marché national.</w:t>
            </w:r>
          </w:p>
          <w:p>
            <w:pPr>
              <w:spacing w:after="0" w:line="360" w:lineRule="auto"/>
              <w:rPr>
                <w:rFonts w:eastAsia="Times New Roman"/>
                <w:noProof/>
                <w:szCs w:val="24"/>
              </w:rPr>
            </w:pPr>
            <w:r>
              <w:rPr>
                <w:noProof/>
              </w:rPr>
              <w:t xml:space="preserve">EE: </w:t>
            </w:r>
            <w:r>
              <w:rPr>
                <w:i/>
                <w:noProof/>
              </w:rPr>
              <w:t>sous-secteur B.1. (acceptation de dépôts):</w:t>
            </w:r>
            <w:r>
              <w:rPr>
                <w:noProof/>
              </w:rPr>
              <w:t xml:space="preserve"> l’obtention de l’autorisation de l’Eesti Pank et la constitution d’une société par actions, d’une filiale ou d’une succursale conformément à la législation estonienne sont obligatoires.</w:t>
            </w:r>
          </w:p>
          <w:p>
            <w:pPr>
              <w:spacing w:after="0" w:line="360" w:lineRule="auto"/>
              <w:rPr>
                <w:rFonts w:eastAsia="Times New Roman"/>
                <w:noProof/>
                <w:szCs w:val="24"/>
              </w:rPr>
            </w:pPr>
            <w:r>
              <w:rPr>
                <w:noProof/>
              </w:rPr>
              <w:t>EE et LT: il est nécessaire de créer une entreprise spécialisée dans la gestion de fonds communs de placement et de sociétés d’investissement. Seules les entreprises ayant leur siège social dans la Communauté peuvent agir en qualité de dépositaires des actifs des sociétés d’investissement.</w:t>
            </w:r>
          </w:p>
          <w:p>
            <w:pPr>
              <w:spacing w:after="0" w:line="360" w:lineRule="auto"/>
              <w:rPr>
                <w:rFonts w:eastAsia="Times New Roman"/>
                <w:i/>
                <w:noProof/>
                <w:szCs w:val="24"/>
              </w:rPr>
            </w:pPr>
            <w:r>
              <w:rPr>
                <w:noProof/>
              </w:rPr>
              <w:t xml:space="preserve">HR: non consolidé pour </w:t>
            </w:r>
            <w:r>
              <w:rPr>
                <w:i/>
                <w:noProof/>
              </w:rPr>
              <w:t xml:space="preserve">les sous-secteurs B.1., B.6., B.7., B.9 et B.10. </w:t>
            </w:r>
          </w:p>
          <w:p>
            <w:pPr>
              <w:spacing w:after="0" w:line="360" w:lineRule="auto"/>
              <w:rPr>
                <w:rFonts w:eastAsia="Times New Roman"/>
                <w:noProof/>
                <w:szCs w:val="24"/>
              </w:rPr>
            </w:pPr>
            <w:r>
              <w:rPr>
                <w:noProof/>
              </w:rPr>
              <w:t>HU: non consolidé.</w:t>
            </w:r>
          </w:p>
          <w:p>
            <w:pPr>
              <w:spacing w:after="0" w:line="360" w:lineRule="auto"/>
              <w:rPr>
                <w:rFonts w:eastAsia="Times New Roman"/>
                <w:noProof/>
                <w:szCs w:val="24"/>
              </w:rPr>
            </w:pPr>
            <w:r>
              <w:rPr>
                <w:noProof/>
              </w:rPr>
              <w:t>IE: la prestation de services d’investissement ou de conseil en investissements nécessite, soit 1) une autorisation en Irlande, pour laquelle il est en général requis que l’entité soit constituée en société, ou soit une société en commandite simple ou un représentant exclusif, le siège central/social devant dans tous les cas se trouver en Irlande (l’autorisation ne sera pas nécessaire dans certains cas, par exemple lorsqu’un prestataire de services d’un pays tiers n’a pas établi de présence commerciale en Irlande et que le service n’est pas fourni à des personnes physiques), soit 2) une autorisation dans un autre État membre conformément à la directive communautaire sur les services d’investissement.</w:t>
            </w:r>
          </w:p>
          <w:p>
            <w:pPr>
              <w:spacing w:after="0" w:line="360" w:lineRule="auto"/>
              <w:rPr>
                <w:rFonts w:eastAsia="Times New Roman"/>
                <w:noProof/>
                <w:szCs w:val="24"/>
              </w:rPr>
            </w:pPr>
            <w:r>
              <w:rPr>
                <w:noProof/>
              </w:rPr>
              <w:t>IT: non consolidé pour les «promotori di servizi finanziari» (agents de vente de services financiers).</w:t>
            </w:r>
          </w:p>
          <w:p>
            <w:pPr>
              <w:spacing w:after="0" w:line="360" w:lineRule="auto"/>
              <w:rPr>
                <w:rFonts w:eastAsia="Times New Roman"/>
                <w:noProof/>
                <w:szCs w:val="24"/>
              </w:rPr>
            </w:pPr>
            <w:r>
              <w:rPr>
                <w:noProof/>
              </w:rPr>
              <w:t xml:space="preserve">LT: </w:t>
            </w:r>
            <w:r>
              <w:rPr>
                <w:i/>
                <w:noProof/>
              </w:rPr>
              <w:t>gestion de fonds de pension:</w:t>
            </w:r>
            <w:r>
              <w:rPr>
                <w:noProof/>
              </w:rPr>
              <w:t xml:space="preserve"> présence commerciale requise.</w:t>
            </w:r>
          </w:p>
          <w:p>
            <w:pPr>
              <w:spacing w:after="0" w:line="360" w:lineRule="auto"/>
              <w:rPr>
                <w:rFonts w:eastAsia="Times New Roman"/>
                <w:noProof/>
                <w:szCs w:val="24"/>
              </w:rPr>
            </w:pPr>
            <w:r>
              <w:rPr>
                <w:noProof/>
              </w:rPr>
              <w:t>MT:</w:t>
            </w:r>
          </w:p>
          <w:p>
            <w:pPr>
              <w:spacing w:after="0" w:line="360" w:lineRule="auto"/>
              <w:rPr>
                <w:rFonts w:eastAsia="Times New Roman"/>
                <w:noProof/>
                <w:szCs w:val="24"/>
              </w:rPr>
            </w:pPr>
            <w:r>
              <w:rPr>
                <w:i/>
                <w:noProof/>
              </w:rPr>
              <w:t>sous-secteurs B.1. et B.2. (acceptation de dépôts et prêts de tous types):</w:t>
            </w:r>
            <w:r>
              <w:rPr>
                <w:noProof/>
              </w:rPr>
              <w:t xml:space="preserve"> néant.</w:t>
            </w:r>
          </w:p>
          <w:p>
            <w:pPr>
              <w:spacing w:after="0" w:line="360" w:lineRule="auto"/>
              <w:rPr>
                <w:rFonts w:eastAsia="Times New Roman"/>
                <w:noProof/>
                <w:szCs w:val="24"/>
              </w:rPr>
            </w:pPr>
            <w:r>
              <w:rPr>
                <w:i/>
                <w:noProof/>
              </w:rPr>
              <w:t>Sous-secteur B.11. (fourniture et transfert d'informations financières):</w:t>
            </w:r>
            <w:r>
              <w:rPr>
                <w:noProof/>
              </w:rPr>
              <w:t xml:space="preserve"> non consolidé, sauf en ce qui concerne la fourniture d’informations financières par des fournisseurs internationaux.</w:t>
            </w:r>
          </w:p>
          <w:p>
            <w:pPr>
              <w:spacing w:after="0" w:line="360" w:lineRule="auto"/>
              <w:rPr>
                <w:rFonts w:eastAsia="Times New Roman"/>
                <w:noProof/>
                <w:szCs w:val="24"/>
              </w:rPr>
            </w:pPr>
            <w:r>
              <w:rPr>
                <w:i/>
                <w:noProof/>
              </w:rPr>
              <w:t>Sous-secteur B.12. (services de conseil et autres services financiers auxiliaires):</w:t>
            </w:r>
            <w:r>
              <w:rPr>
                <w:noProof/>
              </w:rPr>
              <w:t xml:space="preserve"> non consolidé.</w:t>
            </w:r>
          </w:p>
          <w:p>
            <w:pPr>
              <w:spacing w:after="0" w:line="360" w:lineRule="auto"/>
              <w:rPr>
                <w:rFonts w:eastAsia="Times New Roman"/>
                <w:noProof/>
                <w:szCs w:val="24"/>
              </w:rPr>
            </w:pPr>
            <w:r>
              <w:rPr>
                <w:noProof/>
              </w:rPr>
              <w:t>PL:</w:t>
            </w:r>
          </w:p>
          <w:p>
            <w:pPr>
              <w:spacing w:after="0" w:line="360" w:lineRule="auto"/>
              <w:rPr>
                <w:rFonts w:eastAsia="Times New Roman"/>
                <w:noProof/>
                <w:szCs w:val="24"/>
              </w:rPr>
            </w:pPr>
            <w:r>
              <w:rPr>
                <w:i/>
                <w:noProof/>
              </w:rPr>
              <w:t>sous-secteur B.11. (fourniture et transfert d'informations financières):</w:t>
            </w:r>
            <w:r>
              <w:rPr>
                <w:noProof/>
              </w:rPr>
              <w:t xml:space="preserve"> obligation d’utiliser le réseau public de télécommunication ou celui d’un opérateur agréé en cas de prestation transfrontières de ces services.</w:t>
            </w:r>
          </w:p>
          <w:p>
            <w:pPr>
              <w:spacing w:after="0" w:line="360" w:lineRule="auto"/>
              <w:rPr>
                <w:rFonts w:eastAsia="Times New Roman"/>
                <w:noProof/>
                <w:szCs w:val="24"/>
              </w:rPr>
            </w:pPr>
            <w:r>
              <w:rPr>
                <w:i/>
                <w:noProof/>
              </w:rPr>
              <w:t>Sous-secteur B.12. (services de conseil et autres services financiers auxiliaires):</w:t>
            </w:r>
            <w:r>
              <w:rPr>
                <w:noProof/>
              </w:rPr>
              <w:t xml:space="preserve"> non consolidé.</w:t>
            </w:r>
          </w:p>
          <w:p>
            <w:pPr>
              <w:spacing w:after="0" w:line="360" w:lineRule="auto"/>
              <w:rPr>
                <w:rFonts w:eastAsia="Times New Roman"/>
                <w:noProof/>
                <w:szCs w:val="24"/>
              </w:rPr>
            </w:pPr>
            <w:r>
              <w:rPr>
                <w:noProof/>
              </w:rPr>
              <w:t>RO:</w:t>
            </w:r>
            <w:r>
              <w:rPr>
                <w:i/>
                <w:noProof/>
              </w:rPr>
              <w:t xml:space="preserve"> sous-secteur B.4. (tous services de règlement et de transferts monétaires):</w:t>
            </w:r>
            <w:r>
              <w:rPr>
                <w:noProof/>
              </w:rPr>
              <w:t xml:space="preserve"> autorisé uniquement par une banque résidente.</w:t>
            </w:r>
          </w:p>
          <w:p>
            <w:pPr>
              <w:spacing w:after="0" w:line="360" w:lineRule="auto"/>
              <w:rPr>
                <w:rFonts w:eastAsia="Times New Roman"/>
                <w:noProof/>
                <w:szCs w:val="24"/>
              </w:rPr>
            </w:pPr>
            <w:r>
              <w:rPr>
                <w:noProof/>
              </w:rPr>
              <w:t xml:space="preserve">SK: </w:t>
            </w:r>
            <w:r>
              <w:rPr>
                <w:i/>
                <w:noProof/>
              </w:rPr>
              <w:t>opérations sur produits dérivés, valeurs mobilières transférables et autres instruments et actifs financiers négociables, participation à des émissions de tout type de valeurs mobilières, courtage monétaire, gestion d’actifs, services de règlement et de compensation afférents à des actifs financiers</w:t>
            </w:r>
            <w:r>
              <w:rPr>
                <w:noProof/>
              </w:rPr>
              <w:t>: non consolidé.</w:t>
            </w:r>
          </w:p>
          <w:p>
            <w:pPr>
              <w:spacing w:after="0" w:line="360" w:lineRule="auto"/>
              <w:rPr>
                <w:rFonts w:eastAsia="Times New Roman"/>
                <w:noProof/>
                <w:szCs w:val="24"/>
              </w:rPr>
            </w:pPr>
            <w:r>
              <w:rPr>
                <w:noProof/>
              </w:rPr>
              <w:t>SK:</w:t>
            </w:r>
          </w:p>
          <w:p>
            <w:pPr>
              <w:spacing w:after="0" w:line="360" w:lineRule="auto"/>
              <w:rPr>
                <w:rFonts w:eastAsia="Times New Roman"/>
                <w:noProof/>
                <w:szCs w:val="24"/>
              </w:rPr>
            </w:pPr>
            <w:r>
              <w:rPr>
                <w:noProof/>
              </w:rPr>
              <w:t>i)</w:t>
            </w:r>
            <w:r>
              <w:rPr>
                <w:noProof/>
              </w:rPr>
              <w:tab/>
              <w:t>les services de dépôts sont réservés aux banques slovaques et aux succursales de banques étrangères en République slovaque;</w:t>
            </w:r>
          </w:p>
          <w:p>
            <w:pPr>
              <w:spacing w:after="0" w:line="360" w:lineRule="auto"/>
              <w:rPr>
                <w:rFonts w:eastAsia="Times New Roman"/>
                <w:noProof/>
                <w:szCs w:val="24"/>
              </w:rPr>
            </w:pPr>
            <w:r>
              <w:rPr>
                <w:noProof/>
              </w:rPr>
              <w:t>ii)</w:t>
            </w:r>
            <w:r>
              <w:rPr>
                <w:noProof/>
              </w:rPr>
              <w:tab/>
              <w:t>seules les banques slovaques agréées, les succursales de banques étrangères en République slovaque et les personnes titulaires d’une licence pour opérations sur devises peuvent négocier des avoirs libellés en devises. Seuls les membres de la Bourse de Bratislava peuvent y réaliser des opérations. Les résidents peuvent effectuer, sans limitation, des opérations sur le marché hors cote («système RM») et les non-résidents uniquement par l’intermédiaire de courtiers en valeurs mobilières;</w:t>
            </w:r>
          </w:p>
          <w:p>
            <w:pPr>
              <w:spacing w:after="0" w:line="360" w:lineRule="auto"/>
              <w:rPr>
                <w:rFonts w:eastAsia="Times New Roman"/>
                <w:noProof/>
                <w:szCs w:val="24"/>
              </w:rPr>
            </w:pPr>
            <w:r>
              <w:rPr>
                <w:noProof/>
              </w:rPr>
              <w:t>iii)</w:t>
            </w:r>
            <w:r>
              <w:rPr>
                <w:noProof/>
              </w:rPr>
              <w:tab/>
              <w:t>les règlements transfrontières autres qu'en numéraire ne peuvent être effectués que par des banques slovaques agréées ou des succursales de banques étrangères en République slovaque;</w:t>
            </w:r>
          </w:p>
          <w:p>
            <w:pPr>
              <w:spacing w:after="0" w:line="360" w:lineRule="auto"/>
              <w:rPr>
                <w:rFonts w:eastAsia="Times New Roman"/>
                <w:noProof/>
                <w:szCs w:val="24"/>
              </w:rPr>
            </w:pPr>
            <w:r>
              <w:rPr>
                <w:noProof/>
              </w:rPr>
              <w:t>iv)</w:t>
            </w:r>
            <w:r>
              <w:rPr>
                <w:noProof/>
              </w:rPr>
              <w:tab/>
              <w:t>une licence pour opérations sur devises, délivrée par la Banque nationale slovaque, est indispensable pour:</w:t>
            </w:r>
          </w:p>
          <w:p>
            <w:pPr>
              <w:spacing w:after="0" w:line="360" w:lineRule="auto"/>
              <w:rPr>
                <w:rFonts w:eastAsia="Times New Roman"/>
                <w:noProof/>
                <w:szCs w:val="24"/>
              </w:rPr>
            </w:pPr>
            <w:r>
              <w:rPr>
                <w:noProof/>
              </w:rPr>
              <w:tab/>
              <w:t>a)</w:t>
            </w:r>
            <w:r>
              <w:rPr>
                <w:noProof/>
              </w:rPr>
              <w:tab/>
              <w:t>ouvrir un compte à l'étranger, dans le cas de résidents slovaques autres que des banques, excepté pour les personnes physiques durant un séjour à l'étranger;</w:t>
            </w:r>
          </w:p>
          <w:p>
            <w:pPr>
              <w:spacing w:after="0" w:line="360" w:lineRule="auto"/>
              <w:rPr>
                <w:rFonts w:eastAsia="Times New Roman"/>
                <w:noProof/>
                <w:szCs w:val="24"/>
              </w:rPr>
            </w:pPr>
            <w:r>
              <w:rPr>
                <w:noProof/>
              </w:rPr>
              <w:tab/>
              <w:t>b)</w:t>
            </w:r>
            <w:r>
              <w:rPr>
                <w:noProof/>
              </w:rPr>
              <w:tab/>
              <w:t>effectuer des versements à l'étranger;</w:t>
            </w:r>
          </w:p>
          <w:p>
            <w:pPr>
              <w:spacing w:after="0" w:line="360" w:lineRule="auto"/>
              <w:rPr>
                <w:rFonts w:eastAsia="Times New Roman"/>
                <w:b/>
                <w:noProof/>
                <w:szCs w:val="24"/>
              </w:rPr>
            </w:pPr>
            <w:r>
              <w:rPr>
                <w:noProof/>
              </w:rPr>
              <w:tab/>
              <w:t>c)</w:t>
            </w:r>
            <w:r>
              <w:rPr>
                <w:noProof/>
              </w:rPr>
              <w:tab/>
              <w:t>obtenir un crédit financier en devises d’un non-résident, sauf en ce qui concerne les crédits qui sont octroyés depuis l’étranger à des résidents et dont le délai de remboursement est supérieur à trois ans ainsi que les prêts consentis entre personnes physiques pour des activités non commerciales;</w:t>
            </w:r>
          </w:p>
          <w:p>
            <w:pPr>
              <w:spacing w:after="0" w:line="360" w:lineRule="auto"/>
              <w:rPr>
                <w:rFonts w:eastAsia="Times New Roman"/>
                <w:noProof/>
                <w:szCs w:val="24"/>
              </w:rPr>
            </w:pPr>
            <w:r>
              <w:rPr>
                <w:noProof/>
              </w:rPr>
              <w:t>v)</w:t>
            </w:r>
            <w:r>
              <w:rPr>
                <w:noProof/>
              </w:rPr>
              <w:tab/>
              <w:t>les exportations et importations de monnaie slovaque et de devises, sous forme de liquidités, pour un montant de plus de 150 000 SKK, et de métal doivent faire l'objet d'une déclaration;</w:t>
            </w:r>
          </w:p>
          <w:p>
            <w:pPr>
              <w:spacing w:after="0" w:line="360" w:lineRule="auto"/>
              <w:rPr>
                <w:rFonts w:eastAsia="Times New Roman"/>
                <w:noProof/>
                <w:szCs w:val="24"/>
              </w:rPr>
            </w:pPr>
            <w:r>
              <w:rPr>
                <w:noProof/>
              </w:rPr>
              <w:t>vi)</w:t>
            </w:r>
            <w:r>
              <w:rPr>
                <w:noProof/>
              </w:rPr>
              <w:tab/>
              <w:t>une autorisation ou une licence pour opérations sur devises délivrée par les autorités compétentes en la matière est nécessaire pour le dépôt d'actifs financiers à l'étranger par un résident;</w:t>
            </w:r>
          </w:p>
          <w:p>
            <w:pPr>
              <w:spacing w:after="0" w:line="360" w:lineRule="auto"/>
              <w:rPr>
                <w:rFonts w:eastAsia="Times New Roman"/>
                <w:noProof/>
                <w:szCs w:val="24"/>
              </w:rPr>
            </w:pPr>
            <w:r>
              <w:rPr>
                <w:noProof/>
              </w:rPr>
              <w:t>vii)</w:t>
            </w:r>
            <w:r>
              <w:rPr>
                <w:noProof/>
              </w:rPr>
              <w:tab/>
              <w:t>seules les entités établies en République slovaque et effectuant des opérations sur devises peuvent accorder et obtenir des garanties et des engagements compte tenu des limites et des dispositions adoptées par la Banque nationale slovaque.</w:t>
            </w:r>
          </w:p>
          <w:p>
            <w:pPr>
              <w:spacing w:after="0" w:line="360" w:lineRule="auto"/>
              <w:rPr>
                <w:rFonts w:eastAsia="Times New Roman"/>
                <w:noProof/>
                <w:szCs w:val="24"/>
              </w:rPr>
            </w:pPr>
            <w:r>
              <w:rPr>
                <w:noProof/>
              </w:rPr>
              <w:t>SI:</w:t>
            </w:r>
          </w:p>
          <w:p>
            <w:pPr>
              <w:spacing w:after="0" w:line="360" w:lineRule="auto"/>
              <w:rPr>
                <w:rFonts w:eastAsia="Times New Roman"/>
                <w:noProof/>
                <w:szCs w:val="24"/>
              </w:rPr>
            </w:pPr>
            <w:r>
              <w:rPr>
                <w:i/>
                <w:noProof/>
              </w:rPr>
              <w:t>participation à des émissions d’obligations du Trésor, gestion de fonds de pension, services de conseil et autres services financiers auxiliaires</w:t>
            </w:r>
            <w:r>
              <w:rPr>
                <w:noProof/>
              </w:rPr>
              <w:t>: non consolidé.</w:t>
            </w:r>
          </w:p>
          <w:p>
            <w:pPr>
              <w:spacing w:after="0" w:line="360" w:lineRule="auto"/>
              <w:rPr>
                <w:rFonts w:eastAsia="Times New Roman"/>
                <w:noProof/>
                <w:szCs w:val="24"/>
                <w:u w:val="single"/>
              </w:rPr>
            </w:pPr>
            <w:r>
              <w:rPr>
                <w:i/>
                <w:noProof/>
              </w:rPr>
              <w:t>Sous-secteurs B.11. et B.12. (fourniture et transfert d’informations financières, services de conseil et autres services financiers auxiliaires, à l’exception de ceux afférents à la participation à des émissions d’obligations du Trésor et à la gestion de fonds de pension):</w:t>
            </w:r>
            <w:r>
              <w:rPr>
                <w:noProof/>
              </w:rPr>
              <w:t xml:space="preserve"> néant.</w:t>
            </w:r>
          </w:p>
          <w:p>
            <w:pPr>
              <w:spacing w:after="0" w:line="360" w:lineRule="auto"/>
              <w:rPr>
                <w:rFonts w:eastAsia="Times New Roman"/>
                <w:noProof/>
                <w:szCs w:val="24"/>
                <w:u w:val="single"/>
              </w:rPr>
            </w:pPr>
            <w:r>
              <w:rPr>
                <w:noProof/>
                <w:u w:val="single"/>
              </w:rPr>
              <w:t>Tous les autres sous-secteurs</w:t>
            </w:r>
            <w:r>
              <w:rPr>
                <w:noProof/>
              </w:rPr>
              <w:t>:</w:t>
            </w:r>
          </w:p>
          <w:p>
            <w:pPr>
              <w:spacing w:after="0" w:line="360" w:lineRule="auto"/>
              <w:rPr>
                <w:rFonts w:eastAsia="Times New Roman"/>
                <w:noProof/>
                <w:szCs w:val="24"/>
              </w:rPr>
            </w:pPr>
            <w:r>
              <w:rPr>
                <w:noProof/>
              </w:rPr>
              <w:t>non consolidé, sauf en ce qui concerne l'acceptation de crédits (emprunts de tous types) et l'acceptation de garanties et d'engagements auprès d'établissements de crédit étrangers par des personnes morales et des chefs d'entreprises individuelles slovènes. (Remarque: les crédits à la consommation seront libres après l'adoption de la nouvelle loi sur les changes).</w:t>
            </w:r>
          </w:p>
          <w:p>
            <w:pPr>
              <w:spacing w:after="0" w:line="360" w:lineRule="auto"/>
              <w:rPr>
                <w:rFonts w:eastAsia="Times New Roman"/>
                <w:noProof/>
                <w:szCs w:val="24"/>
              </w:rPr>
            </w:pPr>
            <w:r>
              <w:rPr>
                <w:noProof/>
              </w:rPr>
              <w:t>Tous les arrangements de crédit susmentionnés doivent être enregistrés auprès de la Banque de Slovénie (Remarque: cette disposition sera abolie avec l’adoption de la nouvelle législation bancaire).</w:t>
            </w:r>
          </w:p>
          <w:p>
            <w:pPr>
              <w:spacing w:after="0" w:line="360" w:lineRule="auto"/>
              <w:rPr>
                <w:rFonts w:eastAsia="Times New Roman"/>
                <w:noProof/>
                <w:szCs w:val="24"/>
              </w:rPr>
            </w:pPr>
            <w:r>
              <w:rPr>
                <w:noProof/>
              </w:rPr>
              <w:t>Les ressortissants étrangers ne peuvent proposer de valeurs mobilières étrangères que par l’entremise de banques ou de sociétés de courtage slovènes. Les membres de la Bourse slovène doivent être constitués en sociétés en Slovénie.</w:t>
            </w:r>
          </w:p>
        </w:tc>
      </w:tr>
      <w:tr>
        <w:tc>
          <w:tcPr>
            <w:tcW w:w="144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tc>
        <w:tc>
          <w:tcPr>
            <w:tcW w:w="216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p>
            <w:pPr>
              <w:spacing w:after="0" w:line="360" w:lineRule="auto"/>
              <w:rPr>
                <w:rFonts w:eastAsia="Times New Roman"/>
                <w:b/>
                <w:noProof/>
                <w:szCs w:val="24"/>
              </w:rPr>
            </w:pPr>
            <w:r>
              <w:rPr>
                <w:b/>
                <w:noProof/>
              </w:rPr>
              <w:t>2) Consommation à l’étranger</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p>
            <w:pPr>
              <w:spacing w:after="0" w:line="360" w:lineRule="auto"/>
              <w:rPr>
                <w:rFonts w:eastAsia="Times New Roman"/>
                <w:noProof/>
                <w:szCs w:val="24"/>
              </w:rPr>
            </w:pPr>
            <w:r>
              <w:rPr>
                <w:noProof/>
              </w:rPr>
              <w:t>BG:</w:t>
            </w:r>
          </w:p>
          <w:p>
            <w:pPr>
              <w:spacing w:after="0" w:line="360" w:lineRule="auto"/>
              <w:rPr>
                <w:rFonts w:eastAsia="Times New Roman"/>
                <w:noProof/>
                <w:szCs w:val="24"/>
                <w:u w:val="single"/>
              </w:rPr>
            </w:pPr>
            <w:r>
              <w:rPr>
                <w:i/>
                <w:noProof/>
              </w:rPr>
              <w:t>sous-secteurs B.1. à B.10. (acceptation de dépôts, prêts de tous types, crédit-bail, tous services de règlement et de transferts monétaires, garanties et engagements, opérations sur valeurs mobilières, participation à des émissions de tout type de valeurs mobilières, courtage monétaire, gestion d’actifs, services de règlement et de compensation afférents à des actifs financiers):</w:t>
            </w:r>
            <w:r>
              <w:rPr>
                <w:noProof/>
                <w:u w:val="single"/>
              </w:rPr>
              <w:t xml:space="preserve"> </w:t>
            </w:r>
            <w:r>
              <w:rPr>
                <w:noProof/>
              </w:rPr>
              <w:t>non consolidé.</w:t>
            </w:r>
          </w:p>
          <w:p>
            <w:pPr>
              <w:spacing w:after="0" w:line="360" w:lineRule="auto"/>
              <w:rPr>
                <w:rFonts w:eastAsia="Times New Roman"/>
                <w:noProof/>
                <w:szCs w:val="24"/>
              </w:rPr>
            </w:pPr>
            <w:r>
              <w:rPr>
                <w:i/>
                <w:noProof/>
              </w:rPr>
              <w:t>Sous-secteurs B.11. et B.12. (fourniture et transfert d’informations financières et services de conseil):</w:t>
            </w:r>
            <w:r>
              <w:rPr>
                <w:noProof/>
              </w:rPr>
              <w:t xml:space="preserve"> obligation d’utiliser le réseau public de télécommunication ou celui d’un opérateur agréé en cas de consommation à l’étranger de ces services. Non consolidé pour l’intermédiation et d’autres services financiers auxiliaires.</w:t>
            </w:r>
            <w:r>
              <w:rPr>
                <w:noProof/>
                <w:u w:val="single"/>
              </w:rPr>
              <w:t xml:space="preserve"> </w:t>
            </w:r>
          </w:p>
          <w:p>
            <w:pPr>
              <w:spacing w:after="0" w:line="360" w:lineRule="auto"/>
              <w:rPr>
                <w:rFonts w:eastAsia="Times New Roman"/>
                <w:b/>
                <w:noProof/>
                <w:szCs w:val="24"/>
              </w:rPr>
            </w:pPr>
            <w:r>
              <w:rPr>
                <w:noProof/>
              </w:rPr>
              <w:t>CY: non consolidé, sauf pour le sous-secteur B.6. e) (opérations sur valeurs mobilières transférables): néant.</w:t>
            </w:r>
          </w:p>
          <w:p>
            <w:pPr>
              <w:spacing w:after="0" w:line="360" w:lineRule="auto"/>
              <w:rPr>
                <w:rFonts w:eastAsia="Times New Roman"/>
                <w:noProof/>
                <w:szCs w:val="24"/>
              </w:rPr>
            </w:pPr>
            <w:r>
              <w:rPr>
                <w:noProof/>
              </w:rPr>
              <w:t xml:space="preserve">CZ: </w:t>
            </w:r>
            <w:r>
              <w:rPr>
                <w:i/>
                <w:noProof/>
              </w:rPr>
              <w:t>services d’émission monétaire par des établissements autres que la Banque centrale, opérations sur produits dérivés et métal, courtage monétaire, gestion d’actifs, services de règlement et de compensation afférents à des produits dérivés, services de conseil et d’intermédiation et autres services financiers auxiliaires de ces activités</w:t>
            </w:r>
            <w:r>
              <w:rPr>
                <w:noProof/>
              </w:rPr>
              <w:t>: non consolidé.</w:t>
            </w:r>
          </w:p>
          <w:p>
            <w:pPr>
              <w:spacing w:after="0" w:line="360" w:lineRule="auto"/>
              <w:rPr>
                <w:rFonts w:eastAsia="Times New Roman"/>
                <w:noProof/>
                <w:szCs w:val="24"/>
              </w:rPr>
            </w:pPr>
            <w:r>
              <w:rPr>
                <w:noProof/>
              </w:rPr>
              <w:t>CZ: néant, si ce n’est que:</w:t>
            </w:r>
          </w:p>
          <w:p>
            <w:pPr>
              <w:spacing w:after="0" w:line="360" w:lineRule="auto"/>
              <w:rPr>
                <w:rFonts w:eastAsia="Times New Roman"/>
                <w:noProof/>
                <w:szCs w:val="24"/>
              </w:rPr>
            </w:pPr>
            <w:r>
              <w:rPr>
                <w:noProof/>
              </w:rPr>
              <w:t>seules les banques et les succursales de banques étrangères établies en République tchèque et détentrices d’une licence appropriée peuvent:</w:t>
            </w:r>
          </w:p>
          <w:p>
            <w:pPr>
              <w:spacing w:after="0" w:line="360" w:lineRule="auto"/>
              <w:rPr>
                <w:rFonts w:eastAsia="Times New Roman"/>
                <w:noProof/>
                <w:szCs w:val="24"/>
              </w:rPr>
            </w:pPr>
            <w:r>
              <w:rPr>
                <w:noProof/>
              </w:rPr>
              <w:t>accepter des dépôts;</w:t>
            </w:r>
          </w:p>
          <w:p>
            <w:pPr>
              <w:spacing w:after="0" w:line="360" w:lineRule="auto"/>
              <w:rPr>
                <w:rFonts w:eastAsia="Times New Roman"/>
                <w:noProof/>
                <w:szCs w:val="24"/>
              </w:rPr>
            </w:pPr>
            <w:r>
              <w:rPr>
                <w:noProof/>
              </w:rPr>
              <w:t>négocier des actifs libellés en devises;</w:t>
            </w:r>
          </w:p>
          <w:p>
            <w:pPr>
              <w:spacing w:after="0" w:line="360" w:lineRule="auto"/>
              <w:rPr>
                <w:rFonts w:eastAsia="Times New Roman"/>
                <w:noProof/>
                <w:szCs w:val="24"/>
              </w:rPr>
            </w:pPr>
            <w:r>
              <w:rPr>
                <w:noProof/>
              </w:rPr>
              <w:t>effectuer des règlements transfrontières autres qu’en numéraire.</w:t>
            </w:r>
          </w:p>
          <w:p>
            <w:pPr>
              <w:spacing w:after="0" w:line="360" w:lineRule="auto"/>
              <w:rPr>
                <w:rFonts w:eastAsia="Times New Roman"/>
                <w:noProof/>
                <w:szCs w:val="24"/>
              </w:rPr>
            </w:pPr>
            <w:r>
              <w:rPr>
                <w:noProof/>
              </w:rPr>
              <w:t>Les résidents tchèques autres que les banques doivent obtenir une autorisation d’opérations sur devises délivrée par la Banque nationale tchèque ou le ministère des finances pour:</w:t>
            </w:r>
          </w:p>
          <w:p>
            <w:pPr>
              <w:spacing w:after="0" w:line="360" w:lineRule="auto"/>
              <w:rPr>
                <w:rFonts w:eastAsia="Times New Roman"/>
                <w:noProof/>
                <w:szCs w:val="24"/>
              </w:rPr>
            </w:pPr>
            <w:r>
              <w:rPr>
                <w:noProof/>
              </w:rPr>
              <w:t>a)</w:t>
            </w:r>
            <w:r>
              <w:rPr>
                <w:noProof/>
              </w:rPr>
              <w:tab/>
              <w:t>l'ouverture et le provisionnement d'un compte à l'étranger par des résidents tchèques;</w:t>
            </w:r>
          </w:p>
          <w:p>
            <w:pPr>
              <w:spacing w:after="0" w:line="360" w:lineRule="auto"/>
              <w:rPr>
                <w:rFonts w:eastAsia="Times New Roman"/>
                <w:noProof/>
                <w:szCs w:val="24"/>
              </w:rPr>
            </w:pPr>
            <w:r>
              <w:rPr>
                <w:noProof/>
              </w:rPr>
              <w:t>b)</w:t>
            </w:r>
            <w:r>
              <w:rPr>
                <w:noProof/>
              </w:rPr>
              <w:tab/>
              <w:t>les versements à l'étranger (sauf IDE);</w:t>
            </w:r>
          </w:p>
          <w:p>
            <w:pPr>
              <w:spacing w:after="0" w:line="360" w:lineRule="auto"/>
              <w:rPr>
                <w:rFonts w:eastAsia="Times New Roman"/>
                <w:noProof/>
                <w:szCs w:val="24"/>
              </w:rPr>
            </w:pPr>
            <w:r>
              <w:rPr>
                <w:noProof/>
              </w:rPr>
              <w:t>c)</w:t>
            </w:r>
            <w:r>
              <w:rPr>
                <w:noProof/>
              </w:rPr>
              <w:tab/>
              <w:t>l'octroi de crédits financiers et de garanties;</w:t>
            </w:r>
          </w:p>
          <w:p>
            <w:pPr>
              <w:spacing w:after="0" w:line="360" w:lineRule="auto"/>
              <w:rPr>
                <w:rFonts w:eastAsia="Times New Roman"/>
                <w:noProof/>
                <w:szCs w:val="24"/>
              </w:rPr>
            </w:pPr>
            <w:r>
              <w:rPr>
                <w:noProof/>
              </w:rPr>
              <w:t>d)</w:t>
            </w:r>
            <w:r>
              <w:rPr>
                <w:noProof/>
              </w:rPr>
              <w:tab/>
              <w:t>les opérations sur produits dérivés;</w:t>
            </w:r>
          </w:p>
          <w:p>
            <w:pPr>
              <w:spacing w:after="0" w:line="360" w:lineRule="auto"/>
              <w:rPr>
                <w:rFonts w:eastAsia="Times New Roman"/>
                <w:noProof/>
                <w:szCs w:val="24"/>
              </w:rPr>
            </w:pPr>
            <w:r>
              <w:rPr>
                <w:noProof/>
              </w:rPr>
              <w:t>e)</w:t>
            </w:r>
            <w:r>
              <w:rPr>
                <w:noProof/>
              </w:rPr>
              <w:tab/>
              <w:t>l'achat de valeurs mobilières étrangères, sauf dans les cas mentionnés par la loi sur les changes;</w:t>
            </w:r>
          </w:p>
          <w:p>
            <w:pPr>
              <w:spacing w:after="0" w:line="360" w:lineRule="auto"/>
              <w:rPr>
                <w:rFonts w:eastAsia="Times New Roman"/>
                <w:noProof/>
                <w:szCs w:val="24"/>
              </w:rPr>
            </w:pPr>
            <w:r>
              <w:rPr>
                <w:noProof/>
              </w:rPr>
              <w:t>f)</w:t>
            </w:r>
            <w:r>
              <w:rPr>
                <w:noProof/>
              </w:rPr>
              <w:tab/>
              <w:t>l'émission de valeurs mobilières étrangères destinées ou non au public en République tchèque ou leur introduction sur le marché national.</w:t>
            </w:r>
          </w:p>
          <w:p>
            <w:pPr>
              <w:spacing w:after="0" w:line="360" w:lineRule="auto"/>
              <w:rPr>
                <w:rFonts w:eastAsia="Times New Roman"/>
                <w:noProof/>
                <w:szCs w:val="24"/>
              </w:rPr>
            </w:pPr>
            <w:r>
              <w:rPr>
                <w:noProof/>
              </w:rPr>
              <w:t>DE:</w:t>
            </w:r>
            <w:r>
              <w:rPr>
                <w:b/>
                <w:noProof/>
              </w:rPr>
              <w:t xml:space="preserve"> </w:t>
            </w:r>
            <w:r>
              <w:rPr>
                <w:noProof/>
              </w:rPr>
              <w:t>l’émission de valeurs mobilières libellées en deutsche marks ne peut être dirigée que par un établissement de crédit, une filiale ou une succursale, établie en Allemagne.</w:t>
            </w:r>
          </w:p>
          <w:p>
            <w:pPr>
              <w:spacing w:after="0" w:line="360" w:lineRule="auto"/>
              <w:rPr>
                <w:rFonts w:eastAsia="Times New Roman"/>
                <w:noProof/>
                <w:szCs w:val="24"/>
              </w:rPr>
            </w:pPr>
            <w:r>
              <w:rPr>
                <w:noProof/>
              </w:rPr>
              <w:t>FI: les paiements (en règlement des dépenses) des organismes publics sont effectués au moyen du système finlandais des chèques postaux, géré par Postipankki Ltd. Des dérogations peuvent être accordées par le ministère des finances pour des raisons particulières.</w:t>
            </w:r>
          </w:p>
          <w:p>
            <w:pPr>
              <w:spacing w:after="0" w:line="360" w:lineRule="auto"/>
              <w:rPr>
                <w:rFonts w:eastAsia="Times New Roman"/>
                <w:noProof/>
                <w:szCs w:val="24"/>
              </w:rPr>
            </w:pPr>
            <w:r>
              <w:rPr>
                <w:noProof/>
              </w:rPr>
              <w:t>EL: seules les entreprises disposant d’un établissement peuvent fournir des services de garde et de dépôt impliquant la gestion des paiements de l’intérêt et du principal dus sur les titres émis en Grèce.</w:t>
            </w:r>
          </w:p>
          <w:p>
            <w:pPr>
              <w:spacing w:after="0" w:line="360" w:lineRule="auto"/>
              <w:rPr>
                <w:rFonts w:eastAsia="Times New Roman"/>
                <w:noProof/>
                <w:szCs w:val="24"/>
              </w:rPr>
            </w:pPr>
            <w:r>
              <w:rPr>
                <w:noProof/>
              </w:rPr>
              <w:t>HU: non consolidé.</w:t>
            </w:r>
          </w:p>
          <w:p>
            <w:pPr>
              <w:spacing w:after="0" w:line="360" w:lineRule="auto"/>
              <w:rPr>
                <w:rFonts w:eastAsia="Times New Roman"/>
                <w:noProof/>
                <w:szCs w:val="24"/>
              </w:rPr>
            </w:pPr>
            <w:r>
              <w:rPr>
                <w:noProof/>
              </w:rPr>
              <w:t>MT:</w:t>
            </w:r>
          </w:p>
          <w:p>
            <w:pPr>
              <w:spacing w:after="0" w:line="360" w:lineRule="auto"/>
              <w:rPr>
                <w:rFonts w:eastAsia="Times New Roman"/>
                <w:noProof/>
                <w:szCs w:val="24"/>
                <w:u w:val="single"/>
              </w:rPr>
            </w:pPr>
            <w:r>
              <w:rPr>
                <w:i/>
                <w:noProof/>
              </w:rPr>
              <w:t>sous-secteurs B.1. et B.2. (acceptation de dépôts et prêts de tous types):</w:t>
            </w:r>
            <w:r>
              <w:rPr>
                <w:noProof/>
              </w:rPr>
              <w:t xml:space="preserve"> néant.</w:t>
            </w:r>
          </w:p>
          <w:p>
            <w:pPr>
              <w:spacing w:after="0" w:line="360" w:lineRule="auto"/>
              <w:rPr>
                <w:rFonts w:eastAsia="Times New Roman"/>
                <w:noProof/>
                <w:szCs w:val="24"/>
              </w:rPr>
            </w:pPr>
            <w:r>
              <w:rPr>
                <w:i/>
                <w:noProof/>
              </w:rPr>
              <w:t>Sous-secteur B.11. (fourniture et transfert d'informations financières):</w:t>
            </w:r>
            <w:r>
              <w:rPr>
                <w:noProof/>
              </w:rPr>
              <w:t xml:space="preserve"> non consolidé, sauf en ce qui concerne la fourniture d’informations financières par des fournisseurs internationaux.</w:t>
            </w:r>
          </w:p>
          <w:p>
            <w:pPr>
              <w:spacing w:after="0" w:line="360" w:lineRule="auto"/>
              <w:rPr>
                <w:rFonts w:eastAsia="Times New Roman"/>
                <w:noProof/>
                <w:szCs w:val="24"/>
              </w:rPr>
            </w:pPr>
            <w:r>
              <w:rPr>
                <w:i/>
                <w:noProof/>
              </w:rPr>
              <w:t>Sous-secteurs B.3. à B.10. et B.12:</w:t>
            </w:r>
            <w:r>
              <w:rPr>
                <w:noProof/>
              </w:rPr>
              <w:t xml:space="preserve"> non consolidé.</w:t>
            </w:r>
          </w:p>
          <w:p>
            <w:pPr>
              <w:spacing w:after="0" w:line="360" w:lineRule="auto"/>
              <w:rPr>
                <w:rFonts w:eastAsia="Times New Roman"/>
                <w:noProof/>
                <w:szCs w:val="24"/>
              </w:rPr>
            </w:pPr>
            <w:r>
              <w:rPr>
                <w:noProof/>
              </w:rPr>
              <w:t>PL:</w:t>
            </w:r>
          </w:p>
          <w:p>
            <w:pPr>
              <w:spacing w:after="0" w:line="360" w:lineRule="auto"/>
              <w:rPr>
                <w:rFonts w:eastAsia="Times New Roman"/>
                <w:noProof/>
                <w:szCs w:val="24"/>
              </w:rPr>
            </w:pPr>
            <w:r>
              <w:rPr>
                <w:i/>
                <w:noProof/>
              </w:rPr>
              <w:t>sous-secteur B.11. (fourniture et transfert d'informations financières):</w:t>
            </w:r>
            <w:r>
              <w:rPr>
                <w:noProof/>
              </w:rPr>
              <w:t xml:space="preserve"> obligation d’utiliser le réseau public de télécommunication ou celui d’un opérateur agréé en cas de consommation à l’étranger de ces services.</w:t>
            </w:r>
          </w:p>
          <w:p>
            <w:pPr>
              <w:spacing w:after="0" w:line="360" w:lineRule="auto"/>
              <w:rPr>
                <w:rFonts w:eastAsia="Times New Roman"/>
                <w:noProof/>
                <w:szCs w:val="24"/>
              </w:rPr>
            </w:pPr>
            <w:r>
              <w:rPr>
                <w:i/>
                <w:noProof/>
              </w:rPr>
              <w:t>Sous-secteurs B.1. à B.10. et B.12:</w:t>
            </w:r>
            <w:r>
              <w:rPr>
                <w:noProof/>
              </w:rPr>
              <w:t xml:space="preserve"> non consolidé.</w:t>
            </w:r>
          </w:p>
          <w:p>
            <w:pPr>
              <w:spacing w:after="0" w:line="360" w:lineRule="auto"/>
              <w:rPr>
                <w:rFonts w:eastAsia="Times New Roman"/>
                <w:noProof/>
                <w:szCs w:val="24"/>
              </w:rPr>
            </w:pPr>
            <w:r>
              <w:rPr>
                <w:noProof/>
              </w:rPr>
              <w:t xml:space="preserve">RO: les personnes physiques et morales roumaines ne peuvent ouvrir un compte ou utiliser des réserves en devises à l’étranger qu’avec l’autorisation préalable de la Banque nationale de Roumanie. Non consolidé pour les sous-secteurs B.3. (crédit-bail), B.7. (participation à des émissions de tout type de valeurs mobilières), B.9. (gestion d’actifs) et B.10. (services de règlement et de compensation afférents à des actifs financiers). </w:t>
            </w:r>
          </w:p>
          <w:p>
            <w:pPr>
              <w:spacing w:after="0" w:line="360" w:lineRule="auto"/>
              <w:rPr>
                <w:rFonts w:eastAsia="Times New Roman"/>
                <w:noProof/>
                <w:szCs w:val="24"/>
              </w:rPr>
            </w:pPr>
            <w:r>
              <w:rPr>
                <w:noProof/>
              </w:rPr>
              <w:t xml:space="preserve">SK: </w:t>
            </w:r>
            <w:r>
              <w:rPr>
                <w:i/>
                <w:noProof/>
              </w:rPr>
              <w:t>opérations sur produits dérivés et métal, courtage monétaire, gestion d’actifs et intermédiation</w:t>
            </w:r>
            <w:r>
              <w:rPr>
                <w:noProof/>
              </w:rPr>
              <w:t xml:space="preserve">: non consolidé. </w:t>
            </w:r>
          </w:p>
          <w:p>
            <w:pPr>
              <w:spacing w:after="0" w:line="360" w:lineRule="auto"/>
              <w:rPr>
                <w:rFonts w:eastAsia="Times New Roman"/>
                <w:noProof/>
                <w:szCs w:val="24"/>
              </w:rPr>
            </w:pPr>
            <w:r>
              <w:rPr>
                <w:noProof/>
              </w:rPr>
              <w:t>SK:</w:t>
            </w:r>
          </w:p>
          <w:p>
            <w:pPr>
              <w:spacing w:after="0" w:line="360" w:lineRule="auto"/>
              <w:rPr>
                <w:rFonts w:eastAsia="Times New Roman"/>
                <w:noProof/>
                <w:szCs w:val="24"/>
              </w:rPr>
            </w:pPr>
            <w:r>
              <w:rPr>
                <w:noProof/>
              </w:rPr>
              <w:t>i)</w:t>
            </w:r>
            <w:r>
              <w:rPr>
                <w:noProof/>
              </w:rPr>
              <w:tab/>
              <w:t>les services de dépôts sont réservés aux banques slovaques et aux succursales de banques étrangères en République slovaque;</w:t>
            </w:r>
          </w:p>
          <w:p>
            <w:pPr>
              <w:spacing w:after="0" w:line="360" w:lineRule="auto"/>
              <w:rPr>
                <w:rFonts w:eastAsia="Times New Roman"/>
                <w:noProof/>
                <w:szCs w:val="24"/>
              </w:rPr>
            </w:pPr>
            <w:r>
              <w:rPr>
                <w:noProof/>
              </w:rPr>
              <w:t>ii)</w:t>
            </w:r>
            <w:r>
              <w:rPr>
                <w:noProof/>
              </w:rPr>
              <w:tab/>
              <w:t>seules les banques slovaques agréées, les succursales de banques étrangères en République slovaque et les personnes titulaires d’une licence pour opérations sur devises peuvent négocier des avoirs libellés en devises. Seuls les membres de la Bourse de Bratislava peuvent y réaliser des opérations. Les résidents peuvent effectuer, sans limitation, des opérations sur le marché hors cote («système RM») et les non-résidents uniquement par l’intermédiaire de courtiers en valeurs mobilières;</w:t>
            </w:r>
          </w:p>
          <w:p>
            <w:pPr>
              <w:spacing w:after="0" w:line="360" w:lineRule="auto"/>
              <w:rPr>
                <w:rFonts w:eastAsia="Times New Roman"/>
                <w:noProof/>
                <w:szCs w:val="24"/>
              </w:rPr>
            </w:pPr>
            <w:r>
              <w:rPr>
                <w:noProof/>
              </w:rPr>
              <w:t>iii)</w:t>
            </w:r>
            <w:r>
              <w:rPr>
                <w:noProof/>
              </w:rPr>
              <w:tab/>
              <w:t>les règlements transfrontières autres qu'en numéraire ne peuvent être effectués que par des banques slovaques agréées ou des succursales de banques étrangères en République slovaque;</w:t>
            </w:r>
          </w:p>
          <w:p>
            <w:pPr>
              <w:spacing w:after="0" w:line="360" w:lineRule="auto"/>
              <w:rPr>
                <w:rFonts w:eastAsia="Times New Roman"/>
                <w:noProof/>
                <w:szCs w:val="24"/>
              </w:rPr>
            </w:pPr>
            <w:r>
              <w:rPr>
                <w:noProof/>
              </w:rPr>
              <w:t>iv)</w:t>
            </w:r>
            <w:r>
              <w:rPr>
                <w:noProof/>
              </w:rPr>
              <w:tab/>
              <w:t>une licence pour opérations sur devises, délivrée par la Banque nationale slovaque, est indispensable pour:</w:t>
            </w:r>
          </w:p>
          <w:p>
            <w:pPr>
              <w:spacing w:after="0" w:line="360" w:lineRule="auto"/>
              <w:rPr>
                <w:rFonts w:eastAsia="Times New Roman"/>
                <w:noProof/>
                <w:szCs w:val="24"/>
              </w:rPr>
            </w:pPr>
            <w:r>
              <w:rPr>
                <w:noProof/>
              </w:rPr>
              <w:tab/>
              <w:t>a)</w:t>
            </w:r>
            <w:r>
              <w:rPr>
                <w:noProof/>
              </w:rPr>
              <w:tab/>
              <w:t>ouvrir un compte à l'étranger, dans le cas de résidents slovaques autres que des banques, excepté pour les personnes physiques durant un séjour à l'étranger;</w:t>
            </w:r>
          </w:p>
          <w:p>
            <w:pPr>
              <w:spacing w:after="0" w:line="360" w:lineRule="auto"/>
              <w:rPr>
                <w:rFonts w:eastAsia="Times New Roman"/>
                <w:noProof/>
                <w:szCs w:val="24"/>
              </w:rPr>
            </w:pPr>
            <w:r>
              <w:rPr>
                <w:noProof/>
              </w:rPr>
              <w:tab/>
              <w:t>b)</w:t>
            </w:r>
            <w:r>
              <w:rPr>
                <w:noProof/>
              </w:rPr>
              <w:tab/>
              <w:t>effectuer des versements à l'étranger;</w:t>
            </w:r>
          </w:p>
          <w:p>
            <w:pPr>
              <w:spacing w:after="0" w:line="360" w:lineRule="auto"/>
              <w:rPr>
                <w:rFonts w:eastAsia="Times New Roman"/>
                <w:b/>
                <w:noProof/>
                <w:szCs w:val="24"/>
              </w:rPr>
            </w:pPr>
            <w:r>
              <w:rPr>
                <w:noProof/>
              </w:rPr>
              <w:tab/>
              <w:t>c)</w:t>
            </w:r>
            <w:r>
              <w:rPr>
                <w:noProof/>
              </w:rPr>
              <w:tab/>
              <w:t>obtenir un crédit financier en devises d’un non-résident, sauf en ce qui concerne les crédits qui sont octroyés depuis l’étranger à des résidents et dont le délai de remboursement est supérieur à trois ans ainsi que les prêts consentis entre personnes physiques pour des activités non commerciales;</w:t>
            </w:r>
          </w:p>
          <w:p>
            <w:pPr>
              <w:spacing w:after="0" w:line="360" w:lineRule="auto"/>
              <w:rPr>
                <w:rFonts w:eastAsia="Times New Roman"/>
                <w:noProof/>
                <w:szCs w:val="24"/>
              </w:rPr>
            </w:pPr>
            <w:r>
              <w:rPr>
                <w:noProof/>
              </w:rPr>
              <w:t>v)</w:t>
            </w:r>
            <w:r>
              <w:rPr>
                <w:noProof/>
              </w:rPr>
              <w:tab/>
              <w:t>les exportations et importations de monnaie slovaque et de devises, sous forme de liquidités, pour un montant de plus de 150 000 SKK, et de métal doivent faire l'objet d'une déclaration;</w:t>
            </w:r>
          </w:p>
          <w:p>
            <w:pPr>
              <w:spacing w:after="0" w:line="360" w:lineRule="auto"/>
              <w:rPr>
                <w:rFonts w:eastAsia="Times New Roman"/>
                <w:noProof/>
                <w:szCs w:val="24"/>
              </w:rPr>
            </w:pPr>
            <w:r>
              <w:rPr>
                <w:noProof/>
              </w:rPr>
              <w:t>vi)</w:t>
            </w:r>
            <w:r>
              <w:rPr>
                <w:noProof/>
              </w:rPr>
              <w:tab/>
              <w:t>une autorisation ou une licence pour opérations sur devises délivrée par les autorités compétentes en la matière est nécessaire pour le dépôt d'actifs financiers à l'étranger par un résident;</w:t>
            </w:r>
          </w:p>
          <w:p>
            <w:pPr>
              <w:spacing w:after="0" w:line="360" w:lineRule="auto"/>
              <w:rPr>
                <w:rFonts w:eastAsia="Times New Roman"/>
                <w:noProof/>
                <w:szCs w:val="24"/>
              </w:rPr>
            </w:pPr>
            <w:r>
              <w:rPr>
                <w:noProof/>
              </w:rPr>
              <w:t>vii)</w:t>
            </w:r>
            <w:r>
              <w:rPr>
                <w:noProof/>
              </w:rPr>
              <w:tab/>
              <w:t>seules les entités établies en République slovaque et effectuant des opérations sur devises peuvent accorder et obtenir des garanties et des engagements compte tenu des limites et des dispositions adoptées par la Banque nationale slovaque.</w:t>
            </w:r>
          </w:p>
          <w:p>
            <w:pPr>
              <w:spacing w:after="0" w:line="360" w:lineRule="auto"/>
              <w:rPr>
                <w:rFonts w:eastAsia="Times New Roman"/>
                <w:noProof/>
                <w:szCs w:val="24"/>
              </w:rPr>
            </w:pPr>
            <w:r>
              <w:rPr>
                <w:noProof/>
              </w:rPr>
              <w:t>SI:</w:t>
            </w:r>
          </w:p>
          <w:p>
            <w:pPr>
              <w:spacing w:after="0" w:line="360" w:lineRule="auto"/>
              <w:rPr>
                <w:rFonts w:eastAsia="Times New Roman"/>
                <w:noProof/>
                <w:szCs w:val="24"/>
              </w:rPr>
            </w:pPr>
            <w:r>
              <w:rPr>
                <w:i/>
                <w:noProof/>
              </w:rPr>
              <w:t>participation à des émissions d’obligations du Trésor, gestion de fonds de pension, services de conseil et autres services financiers auxiliaires</w:t>
            </w:r>
            <w:r>
              <w:rPr>
                <w:noProof/>
              </w:rPr>
              <w:t>: non consolidé.</w:t>
            </w:r>
          </w:p>
          <w:p>
            <w:pPr>
              <w:spacing w:after="0" w:line="360" w:lineRule="auto"/>
              <w:rPr>
                <w:rFonts w:eastAsia="Times New Roman"/>
                <w:noProof/>
                <w:szCs w:val="24"/>
              </w:rPr>
            </w:pPr>
            <w:r>
              <w:rPr>
                <w:i/>
                <w:noProof/>
              </w:rPr>
              <w:t>Sous-secteurs B.11. et B.12. (fourniture et transfert d’informations financières, services de conseil et autres services financiers auxiliaires, à l’exception de ceux afférents à la participation à des émissions d’obligations du Trésor et à la gestion de fonds de pension):</w:t>
            </w:r>
            <w:r>
              <w:rPr>
                <w:noProof/>
              </w:rPr>
              <w:t xml:space="preserve"> néant.</w:t>
            </w:r>
          </w:p>
          <w:p>
            <w:pPr>
              <w:spacing w:after="0" w:line="360" w:lineRule="auto"/>
              <w:rPr>
                <w:rFonts w:eastAsia="Times New Roman"/>
                <w:i/>
                <w:noProof/>
                <w:szCs w:val="24"/>
              </w:rPr>
            </w:pPr>
            <w:r>
              <w:rPr>
                <w:i/>
                <w:noProof/>
              </w:rPr>
              <w:t>Tous les autres sous-secteurs:</w:t>
            </w:r>
          </w:p>
          <w:p>
            <w:pPr>
              <w:spacing w:after="0" w:line="360" w:lineRule="auto"/>
              <w:rPr>
                <w:rFonts w:eastAsia="Times New Roman"/>
                <w:noProof/>
                <w:szCs w:val="24"/>
              </w:rPr>
            </w:pPr>
            <w:r>
              <w:rPr>
                <w:noProof/>
              </w:rPr>
              <w:t>non consolidé, sauf en ce qui concerne l'acceptation de crédits (emprunts de tous types) et l'acceptation de garanties et d'engagements auprès d'établissements de crédit étrangers par des personnes morales et des chefs d'entreprises individuelles slovènes. (Remarque: les crédits à la consommation seront libres après l'adoption de la nouvelle loi sur les changes).</w:t>
            </w:r>
          </w:p>
          <w:p>
            <w:pPr>
              <w:spacing w:after="0" w:line="360" w:lineRule="auto"/>
              <w:rPr>
                <w:rFonts w:eastAsia="Times New Roman"/>
                <w:noProof/>
                <w:szCs w:val="24"/>
              </w:rPr>
            </w:pPr>
            <w:r>
              <w:rPr>
                <w:noProof/>
              </w:rPr>
              <w:t>Tous les arrangements de crédit susmentionnés doivent être enregistrés auprès de la Banque de Slovénie (Remarque: cette disposition sera abolie avec l’adoption de la nouvelle législation bancaire).</w:t>
            </w:r>
          </w:p>
          <w:p>
            <w:pPr>
              <w:spacing w:after="0" w:line="360" w:lineRule="auto"/>
              <w:rPr>
                <w:rFonts w:eastAsia="Times New Roman"/>
                <w:noProof/>
                <w:szCs w:val="24"/>
              </w:rPr>
            </w:pPr>
            <w:r>
              <w:rPr>
                <w:noProof/>
              </w:rPr>
              <w:t>Les personnes morales établies en République de Slovénie peuvent recevoir en dépôt des actifs de fonds de placement.</w:t>
            </w:r>
          </w:p>
          <w:p>
            <w:pPr>
              <w:spacing w:after="0" w:line="360" w:lineRule="auto"/>
              <w:rPr>
                <w:rFonts w:eastAsia="Times New Roman"/>
                <w:noProof/>
                <w:szCs w:val="24"/>
              </w:rPr>
            </w:pPr>
            <w:r>
              <w:rPr>
                <w:noProof/>
              </w:rPr>
              <w:t>UK: seule une entreprise établie dans l’Espace économique européen peut diriger les émissions en livres sterling, y compris les émissions privées.</w:t>
            </w:r>
          </w:p>
        </w:tc>
      </w:tr>
      <w:tr>
        <w:tc>
          <w:tcPr>
            <w:tcW w:w="144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tc>
        <w:tc>
          <w:tcPr>
            <w:tcW w:w="216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p>
            <w:pPr>
              <w:spacing w:after="0" w:line="360" w:lineRule="auto"/>
              <w:rPr>
                <w:rFonts w:eastAsia="Times New Roman"/>
                <w:b/>
                <w:noProof/>
                <w:szCs w:val="24"/>
              </w:rPr>
            </w:pPr>
            <w:r>
              <w:rPr>
                <w:b/>
                <w:noProof/>
              </w:rPr>
              <w:t>3) Présence commerciale</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noProof/>
                <w:szCs w:val="24"/>
              </w:rPr>
            </w:pPr>
          </w:p>
          <w:p>
            <w:pPr>
              <w:spacing w:after="0" w:line="360" w:lineRule="auto"/>
              <w:rPr>
                <w:rFonts w:eastAsia="Times New Roman"/>
                <w:noProof/>
                <w:szCs w:val="24"/>
              </w:rPr>
            </w:pPr>
            <w:r>
              <w:rPr>
                <w:noProof/>
              </w:rPr>
              <w:t>Tous les États membres:</w:t>
            </w:r>
          </w:p>
          <w:p>
            <w:pPr>
              <w:spacing w:after="0" w:line="360" w:lineRule="auto"/>
              <w:rPr>
                <w:rFonts w:eastAsia="Times New Roman"/>
                <w:noProof/>
                <w:szCs w:val="24"/>
              </w:rPr>
            </w:pPr>
            <w:r>
              <w:rPr>
                <w:noProof/>
              </w:rPr>
              <w:t>une société de gestion spécialisée doit être créée pour gérer les fonds communs et les sociétés d’investissement (articles 6 et 13 de la directive 85/611/CEE sur les OPCVM).</w:t>
            </w:r>
          </w:p>
          <w:p>
            <w:pPr>
              <w:spacing w:after="0" w:line="360" w:lineRule="auto"/>
              <w:rPr>
                <w:rFonts w:eastAsia="Times New Roman"/>
                <w:noProof/>
                <w:szCs w:val="24"/>
              </w:rPr>
            </w:pPr>
            <w:r>
              <w:rPr>
                <w:noProof/>
              </w:rPr>
              <w:t>Seules les entreprises ayant leur siège social dans la Communauté peuvent agir en qualité de dépositaires des actifs des sociétés d’investissement (article 8, paragraphe 1 et article 15, paragraphe 1, de la directive 85/611/CEE sur les OPCVM).</w:t>
            </w:r>
          </w:p>
          <w:p>
            <w:pPr>
              <w:spacing w:after="0" w:line="360" w:lineRule="auto"/>
              <w:rPr>
                <w:rFonts w:eastAsia="Times New Roman"/>
                <w:noProof/>
                <w:szCs w:val="24"/>
              </w:rPr>
            </w:pPr>
            <w:r>
              <w:rPr>
                <w:noProof/>
              </w:rPr>
              <w:t>AT: seuls les membres de la Bourse autrichienne peuvent y négocier des titres.</w:t>
            </w:r>
          </w:p>
          <w:p>
            <w:pPr>
              <w:spacing w:after="0" w:line="360" w:lineRule="auto"/>
              <w:rPr>
                <w:rFonts w:eastAsia="Times New Roman"/>
                <w:noProof/>
                <w:szCs w:val="24"/>
              </w:rPr>
            </w:pPr>
            <w:r>
              <w:rPr>
                <w:noProof/>
              </w:rPr>
              <w:t>AT: les opérations de change et les transactions sur devises sont soumises à l’autorisation de la banque nationale autrichienne.</w:t>
            </w:r>
          </w:p>
          <w:p>
            <w:pPr>
              <w:spacing w:after="0" w:line="360" w:lineRule="auto"/>
              <w:rPr>
                <w:rFonts w:eastAsia="Times New Roman"/>
                <w:noProof/>
                <w:szCs w:val="24"/>
              </w:rPr>
            </w:pPr>
            <w:r>
              <w:rPr>
                <w:noProof/>
              </w:rPr>
              <w:t>AT: seules les banques spécialisées et agréées pour cette activité peuvent émettre des obligations hypothécaires et des obligations municipales.</w:t>
            </w:r>
          </w:p>
          <w:p>
            <w:pPr>
              <w:spacing w:after="0" w:line="360" w:lineRule="auto"/>
              <w:rPr>
                <w:rFonts w:eastAsia="Times New Roman"/>
                <w:noProof/>
                <w:szCs w:val="24"/>
              </w:rPr>
            </w:pPr>
            <w:r>
              <w:rPr>
                <w:noProof/>
              </w:rPr>
              <w:t>AT: seule une société spécialisée agréée pour cette seule activité et constituée sous forme de société par actions en Autriche peut fournir des services de gestion de fonds de pension.</w:t>
            </w:r>
          </w:p>
          <w:p>
            <w:pPr>
              <w:spacing w:after="0" w:line="360" w:lineRule="auto"/>
              <w:rPr>
                <w:rFonts w:eastAsia="Times New Roman"/>
                <w:noProof/>
                <w:szCs w:val="24"/>
              </w:rPr>
            </w:pPr>
            <w:r>
              <w:rPr>
                <w:noProof/>
              </w:rPr>
              <w:t>BE: toute offre publique d’achat en vue d’acquérir des titres belges faite par ou au nom d’une personne, d’une société ou d’un établissement ne relevant pas de la juridiction d’un des États membres de la Communauté européenne est soumise à l’autorisation du ministère des finances.</w:t>
            </w:r>
          </w:p>
          <w:p>
            <w:pPr>
              <w:spacing w:after="0" w:line="360" w:lineRule="auto"/>
              <w:rPr>
                <w:rFonts w:eastAsia="Times New Roman"/>
                <w:noProof/>
                <w:szCs w:val="24"/>
              </w:rPr>
            </w:pPr>
            <w:r>
              <w:rPr>
                <w:noProof/>
              </w:rPr>
              <w:t>BG:</w:t>
            </w:r>
          </w:p>
          <w:p>
            <w:pPr>
              <w:spacing w:after="0" w:line="360" w:lineRule="auto"/>
              <w:rPr>
                <w:rFonts w:eastAsia="Times New Roman"/>
                <w:i/>
                <w:noProof/>
                <w:szCs w:val="24"/>
              </w:rPr>
            </w:pPr>
            <w:r>
              <w:rPr>
                <w:i/>
                <w:noProof/>
              </w:rPr>
              <w:t>sous-secteurs B.1. à B.5. (acceptation de dépôts, prêts de tous types, crédit-bail, tous services de règlement et de transferts monétaires, garanties et engagements):</w:t>
            </w:r>
          </w:p>
          <w:p>
            <w:pPr>
              <w:spacing w:after="0" w:line="360" w:lineRule="auto"/>
              <w:rPr>
                <w:rFonts w:eastAsia="Times New Roman"/>
                <w:noProof/>
                <w:szCs w:val="24"/>
              </w:rPr>
            </w:pPr>
            <w:r>
              <w:rPr>
                <w:noProof/>
              </w:rPr>
              <w:t xml:space="preserve">les banques étrangères qui ont l’intention de s’établir en République de Bulgarie doivent être dûment agréées au titre de leur droit national et ne doivent pas avoir été frappées par une interdiction d’exercer des activités bancaires dans leur pays d’origine ni dans les pays où elles opèrent. Non consolidé pour les </w:t>
            </w:r>
            <w:r>
              <w:rPr>
                <w:i/>
                <w:noProof/>
              </w:rPr>
              <w:t>caisses populaires</w:t>
            </w:r>
            <w:r>
              <w:rPr>
                <w:noProof/>
              </w:rPr>
              <w:t>.</w:t>
            </w:r>
          </w:p>
          <w:p>
            <w:pPr>
              <w:spacing w:after="0" w:line="360" w:lineRule="auto"/>
              <w:rPr>
                <w:rFonts w:eastAsia="Times New Roman"/>
                <w:noProof/>
                <w:szCs w:val="24"/>
              </w:rPr>
            </w:pPr>
            <w:r>
              <w:rPr>
                <w:noProof/>
              </w:rPr>
              <w:t>L’acquisition, directe ou indirecte, de parts représentant 5 % ou plus des droits de vote d’une banque établie est soumise à une autorisation de la Banque nationale bulgare. Les critères d’autorisation sont prudentiels et conformes aux obligations des articles XVI et XVII de l’AGCS.</w:t>
            </w:r>
          </w:p>
          <w:p>
            <w:pPr>
              <w:spacing w:after="0" w:line="360" w:lineRule="auto"/>
              <w:rPr>
                <w:rFonts w:eastAsia="Times New Roman"/>
                <w:noProof/>
                <w:szCs w:val="24"/>
              </w:rPr>
            </w:pPr>
            <w:r>
              <w:rPr>
                <w:noProof/>
              </w:rPr>
              <w:t>L'acquisition, directe ou indirecte, par une banque, d'une participation de plus de 10 % dans le capital d’une société autre qu'une banque est soumise à une autorisation de la Banque nationale bulgare.</w:t>
            </w:r>
          </w:p>
          <w:p>
            <w:pPr>
              <w:spacing w:after="0" w:line="360" w:lineRule="auto"/>
              <w:rPr>
                <w:rFonts w:eastAsia="Times New Roman"/>
                <w:noProof/>
                <w:szCs w:val="24"/>
              </w:rPr>
            </w:pPr>
            <w:r>
              <w:rPr>
                <w:noProof/>
              </w:rPr>
              <w:t>Le statut de prestataire de services exclusif peut être octroyé pour ce qui est des services de dépôt et de transferts monétaires fournis aux institutions publiques financées par le budget de l’État.</w:t>
            </w:r>
          </w:p>
          <w:p>
            <w:pPr>
              <w:spacing w:after="0" w:line="360" w:lineRule="auto"/>
              <w:rPr>
                <w:rFonts w:eastAsia="Times New Roman"/>
                <w:noProof/>
                <w:szCs w:val="24"/>
              </w:rPr>
            </w:pPr>
            <w:r>
              <w:rPr>
                <w:noProof/>
              </w:rPr>
              <w:t>Condition de résidence permanente pour les directeurs exécutifs de l’organe de gestion qui agissent au nom et pour le compte d’une banque.</w:t>
            </w:r>
          </w:p>
          <w:p>
            <w:pPr>
              <w:spacing w:after="0" w:line="360" w:lineRule="auto"/>
              <w:rPr>
                <w:rFonts w:eastAsia="Times New Roman"/>
                <w:noProof/>
                <w:szCs w:val="24"/>
              </w:rPr>
            </w:pPr>
            <w:r>
              <w:rPr>
                <w:noProof/>
              </w:rPr>
              <w:t xml:space="preserve">Non consolidé pour les garanties du Trésor public. </w:t>
            </w:r>
          </w:p>
          <w:p>
            <w:pPr>
              <w:spacing w:after="0" w:line="360" w:lineRule="auto"/>
              <w:rPr>
                <w:rFonts w:eastAsia="Times New Roman"/>
                <w:i/>
                <w:noProof/>
                <w:szCs w:val="24"/>
              </w:rPr>
            </w:pPr>
            <w:r>
              <w:rPr>
                <w:i/>
                <w:noProof/>
              </w:rPr>
              <w:t>Sous-secteurs B.6., B.7. et B.9. (opérations sur valeurs mobilières, participation à des émissions de tout type de valeurs mobilières, gestion d’actifs):</w:t>
            </w:r>
          </w:p>
          <w:p>
            <w:pPr>
              <w:spacing w:after="0" w:line="360" w:lineRule="auto"/>
              <w:rPr>
                <w:rFonts w:eastAsia="Times New Roman"/>
                <w:noProof/>
                <w:szCs w:val="24"/>
              </w:rPr>
            </w:pPr>
            <w:r>
              <w:rPr>
                <w:noProof/>
              </w:rPr>
              <w:t>consolidé pour les intermédiaires d’investissement, les sociétés d’investissement et les bourses constituées sous la forme de sociétés anonymes agréées par la Commission de contrôle financier. L’octroi de l’autorisation en question est lié aux exigences de gestion et techniques ainsi qu’aux exigences relatives à la protection des investisseurs.</w:t>
            </w:r>
          </w:p>
          <w:p>
            <w:pPr>
              <w:spacing w:after="0" w:line="360" w:lineRule="auto"/>
              <w:rPr>
                <w:rFonts w:eastAsia="Times New Roman"/>
                <w:noProof/>
                <w:szCs w:val="24"/>
              </w:rPr>
            </w:pPr>
            <w:r>
              <w:rPr>
                <w:noProof/>
              </w:rPr>
              <w:t>Bourse SA: conditions de capital minimal (100 000 BGN); pas moins des deux tiers du capital alloué aux différentes institutions financières (compagnies d’assurances, établissements financiers, intermédiaires d’investissement); un plafond de 5 % du capital de la bourse pour une participation directe ou indirecte d’un actionnaire.</w:t>
            </w:r>
          </w:p>
          <w:p>
            <w:pPr>
              <w:spacing w:after="0" w:line="360" w:lineRule="auto"/>
              <w:rPr>
                <w:rFonts w:eastAsia="Times New Roman"/>
                <w:noProof/>
                <w:szCs w:val="24"/>
              </w:rPr>
            </w:pPr>
            <w:r>
              <w:rPr>
                <w:noProof/>
              </w:rPr>
              <w:t>Intermédiaires d’investissement:</w:t>
            </w:r>
            <w:r>
              <w:rPr>
                <w:noProof/>
              </w:rPr>
              <w:tab/>
              <w:t>néant pour les activités des intermédiaires d’investissement exercées sur le territoire de la République de Bulgarie sauf autorisation contraire de la Commission de contrôle financier.</w:t>
            </w:r>
          </w:p>
          <w:p>
            <w:pPr>
              <w:spacing w:after="0" w:line="360" w:lineRule="auto"/>
              <w:rPr>
                <w:rFonts w:eastAsia="Times New Roman"/>
                <w:noProof/>
                <w:szCs w:val="24"/>
              </w:rPr>
            </w:pPr>
            <w:r>
              <w:rPr>
                <w:noProof/>
              </w:rPr>
              <w:t>Condition pour être membre de la bourse et réaliser des opérations sur des valeurs mobilières auprès d’une bourse. Un intermédiaire d’investissement ne peut être membre que d’une bourse en Bulgarie.</w:t>
            </w:r>
          </w:p>
          <w:p>
            <w:pPr>
              <w:spacing w:after="0" w:line="360" w:lineRule="auto"/>
              <w:rPr>
                <w:rFonts w:eastAsia="Times New Roman"/>
                <w:noProof/>
                <w:szCs w:val="24"/>
              </w:rPr>
            </w:pPr>
            <w:r>
              <w:rPr>
                <w:noProof/>
              </w:rPr>
              <w:t>Sociétés d’investissement: les activités d’une banque, d’une compagnie d’assurances ou d’un intermédiaire d’investissement ne doivent pas être exercées par une société d’investissement.</w:t>
            </w:r>
          </w:p>
          <w:p>
            <w:pPr>
              <w:spacing w:after="0" w:line="360" w:lineRule="auto"/>
              <w:rPr>
                <w:rFonts w:eastAsia="Times New Roman"/>
                <w:noProof/>
                <w:szCs w:val="24"/>
              </w:rPr>
            </w:pPr>
            <w:r>
              <w:rPr>
                <w:noProof/>
              </w:rPr>
              <w:t>Non consolidé pour les opérations pour son propre compte ou pour le compte de clients sur des instruments négociables et des actifs financiers autres que des valeurs mobilières transférables. Non consolidé pour la participation à l’émission d’obligations du Trésor. Non consolidé pour la gestion de fonds de pension.</w:t>
            </w:r>
          </w:p>
          <w:p>
            <w:pPr>
              <w:spacing w:after="0" w:line="360" w:lineRule="auto"/>
              <w:rPr>
                <w:rFonts w:eastAsia="Times New Roman"/>
                <w:noProof/>
                <w:szCs w:val="24"/>
              </w:rPr>
            </w:pPr>
            <w:r>
              <w:rPr>
                <w:i/>
                <w:noProof/>
              </w:rPr>
              <w:t>Sous-secteurs B.8. et B.10. (courtage monétaire, services de règlement et de compensation afférents à des actifs financiers):</w:t>
            </w:r>
            <w:r>
              <w:rPr>
                <w:noProof/>
              </w:rPr>
              <w:t xml:space="preserve"> non consolidé.</w:t>
            </w:r>
          </w:p>
          <w:p>
            <w:pPr>
              <w:spacing w:after="0" w:line="360" w:lineRule="auto"/>
              <w:rPr>
                <w:rFonts w:eastAsia="Times New Roman"/>
                <w:noProof/>
                <w:szCs w:val="24"/>
              </w:rPr>
            </w:pPr>
            <w:r>
              <w:rPr>
                <w:i/>
                <w:noProof/>
              </w:rPr>
              <w:t>Sous-secteurs B.11. et B.12. (fourniture et transfert d’informations financières et services de conseil):</w:t>
            </w:r>
            <w:r>
              <w:rPr>
                <w:noProof/>
              </w:rPr>
              <w:t xml:space="preserve"> obligation d’utiliser le réseau public de télécommunication ou celui d’un opérateur agréé. Non consolidé pour l’intermédiation et d’autres services financiers auxiliaires. </w:t>
            </w:r>
          </w:p>
          <w:p>
            <w:pPr>
              <w:spacing w:after="0" w:line="360" w:lineRule="auto"/>
              <w:rPr>
                <w:rFonts w:eastAsia="Times New Roman"/>
                <w:noProof/>
                <w:szCs w:val="24"/>
              </w:rPr>
            </w:pPr>
            <w:r>
              <w:rPr>
                <w:noProof/>
              </w:rPr>
              <w:t>CY: conformément à une prescription légale appliquée de façon non discriminatoire, les banques qui proposent des services en République de Chypre doivent être des personnes morales. Celles-ci comprennent les succursales de banques/établissements financiers étrangers immatriculés à Chypre.</w:t>
            </w:r>
          </w:p>
          <w:p>
            <w:pPr>
              <w:spacing w:after="0" w:line="360" w:lineRule="auto"/>
              <w:rPr>
                <w:rFonts w:eastAsia="Times New Roman"/>
                <w:noProof/>
                <w:szCs w:val="24"/>
              </w:rPr>
            </w:pPr>
            <w:r>
              <w:rPr>
                <w:noProof/>
              </w:rPr>
              <w:t>CY: une personne et ses associés ne peuvent détenir, directement ou indirectement, plus de 10 % du capital ou des droits de vote d'une banque sauf approbation préalable écrite de la Banque centrale.</w:t>
            </w:r>
          </w:p>
          <w:p>
            <w:pPr>
              <w:spacing w:after="0" w:line="360" w:lineRule="auto"/>
              <w:rPr>
                <w:rFonts w:eastAsia="Times New Roman"/>
                <w:noProof/>
                <w:szCs w:val="24"/>
              </w:rPr>
            </w:pPr>
            <w:r>
              <w:rPr>
                <w:noProof/>
              </w:rPr>
              <w:t>CY: en outre, la détention ou l'acquisition, directe ou indirecte, par des personnes étrangères, d'actions des trois banques locales existantes et cotées en bourse est limitée à 0,5 % par personne ou organisme et à 6 % collectivement.</w:t>
            </w:r>
          </w:p>
          <w:p>
            <w:pPr>
              <w:spacing w:after="0" w:line="360" w:lineRule="auto"/>
              <w:rPr>
                <w:rFonts w:eastAsia="Times New Roman"/>
                <w:noProof/>
                <w:szCs w:val="24"/>
              </w:rPr>
            </w:pPr>
            <w:r>
              <w:rPr>
                <w:noProof/>
              </w:rPr>
              <w:t>CY:</w:t>
            </w:r>
          </w:p>
          <w:p>
            <w:pPr>
              <w:spacing w:after="0" w:line="360" w:lineRule="auto"/>
              <w:rPr>
                <w:rFonts w:eastAsia="Times New Roman"/>
                <w:noProof/>
                <w:szCs w:val="24"/>
              </w:rPr>
            </w:pPr>
            <w:r>
              <w:rPr>
                <w:i/>
                <w:noProof/>
              </w:rPr>
              <w:t>sous-secteurs B.1. à B.5. et B.6. b) (acceptation de dépôts, prêts de tous types, crédit-bail, tous services de règlement et de transferts monétaires, garanties et engagements, opérations sur devises)</w:t>
            </w:r>
            <w:r>
              <w:rPr>
                <w:noProof/>
              </w:rPr>
              <w:t xml:space="preserve">: </w:t>
            </w:r>
          </w:p>
          <w:p>
            <w:pPr>
              <w:spacing w:after="0" w:line="360" w:lineRule="auto"/>
              <w:rPr>
                <w:rFonts w:eastAsia="Times New Roman"/>
                <w:noProof/>
                <w:szCs w:val="24"/>
              </w:rPr>
            </w:pPr>
            <w:r>
              <w:rPr>
                <w:noProof/>
              </w:rPr>
              <w:t>les dispositions suivantes sont applicables aux nouvelles banques:</w:t>
            </w:r>
          </w:p>
          <w:p>
            <w:pPr>
              <w:spacing w:after="0" w:line="360" w:lineRule="auto"/>
              <w:rPr>
                <w:rFonts w:eastAsia="Times New Roman"/>
                <w:noProof/>
                <w:szCs w:val="24"/>
              </w:rPr>
            </w:pPr>
            <w:r>
              <w:rPr>
                <w:noProof/>
              </w:rPr>
              <w:t>a)</w:t>
            </w:r>
            <w:r>
              <w:rPr>
                <w:noProof/>
              </w:rPr>
              <w:tab/>
              <w:t>une licence délivrée par la Banque centrale est nécessaire pour exercer des activités bancaires. Avant d’octroyer une licence, la Banque centrale peut procéder à un examen des besoins économiques;</w:t>
            </w:r>
          </w:p>
          <w:p>
            <w:pPr>
              <w:spacing w:after="0" w:line="360" w:lineRule="auto"/>
              <w:rPr>
                <w:rFonts w:eastAsia="Times New Roman"/>
                <w:noProof/>
                <w:szCs w:val="24"/>
              </w:rPr>
            </w:pPr>
            <w:r>
              <w:rPr>
                <w:noProof/>
              </w:rPr>
              <w:t>b)</w:t>
            </w:r>
            <w:r>
              <w:rPr>
                <w:noProof/>
              </w:rPr>
              <w:tab/>
              <w:t>les succursales des banques étrangères doivent être immatriculées à Chypre, conformément au droit des sociétés et être titulaires d’une licence conformément à la législation bancaire.</w:t>
            </w:r>
          </w:p>
          <w:p>
            <w:pPr>
              <w:spacing w:after="0" w:line="360" w:lineRule="auto"/>
              <w:rPr>
                <w:rFonts w:eastAsia="Times New Roman"/>
                <w:i/>
                <w:noProof/>
                <w:szCs w:val="24"/>
              </w:rPr>
            </w:pPr>
            <w:r>
              <w:rPr>
                <w:i/>
                <w:noProof/>
              </w:rPr>
              <w:t xml:space="preserve">Sous-secteur B.6. e) (opérations sur valeurs mobilières transférables): </w:t>
            </w:r>
          </w:p>
          <w:p>
            <w:pPr>
              <w:spacing w:after="0" w:line="360" w:lineRule="auto"/>
              <w:rPr>
                <w:rFonts w:eastAsia="Times New Roman"/>
                <w:noProof/>
                <w:szCs w:val="24"/>
              </w:rPr>
            </w:pPr>
            <w:r>
              <w:rPr>
                <w:noProof/>
              </w:rPr>
              <w:t>Seuls les membres (courtiers) de la Bourse chypriote peuvent exercer des activités relatives au courtage en valeurs mobilières à Chypre. Les sociétés pratiquant le courtage doivent employer exclusivement des personnes pouvant exercer des activités de courtiers, à condition qu’elles soient titulaires d’une licence appropriée. Les banques et les compagnies d’assurance ne peuvent pas exercer d’activités de courtage.</w:t>
            </w:r>
          </w:p>
          <w:p>
            <w:pPr>
              <w:spacing w:after="0" w:line="360" w:lineRule="auto"/>
              <w:rPr>
                <w:rFonts w:eastAsia="Times New Roman"/>
                <w:noProof/>
                <w:szCs w:val="24"/>
              </w:rPr>
            </w:pPr>
            <w:r>
              <w:rPr>
                <w:noProof/>
              </w:rPr>
              <w:t>Une société de courtage ne peut être enregistrée en tant que membre de la Bourse chypriote que si elle a été établie et immatriculée conformément au droit chypriote des sociétés.</w:t>
            </w:r>
          </w:p>
          <w:p>
            <w:pPr>
              <w:spacing w:after="0" w:line="360" w:lineRule="auto"/>
              <w:rPr>
                <w:rFonts w:eastAsia="Times New Roman"/>
                <w:noProof/>
                <w:szCs w:val="24"/>
              </w:rPr>
            </w:pPr>
            <w:r>
              <w:rPr>
                <w:i/>
                <w:noProof/>
              </w:rPr>
              <w:t>Sous-secteur B.6. a), c), d) et f), et B.7. à B.12</w:t>
            </w:r>
            <w:r>
              <w:rPr>
                <w:noProof/>
              </w:rPr>
              <w:t>.: non consolidé.</w:t>
            </w:r>
          </w:p>
          <w:p>
            <w:pPr>
              <w:spacing w:after="0" w:line="360" w:lineRule="auto"/>
              <w:rPr>
                <w:rFonts w:eastAsia="Times New Roman"/>
                <w:noProof/>
                <w:szCs w:val="24"/>
              </w:rPr>
            </w:pPr>
            <w:r>
              <w:rPr>
                <w:noProof/>
              </w:rPr>
              <w:t xml:space="preserve">CZ: </w:t>
            </w:r>
            <w:r>
              <w:rPr>
                <w:i/>
                <w:noProof/>
              </w:rPr>
              <w:t>services d’émission monétaires par des établissements autres que la Banque centrale, opérations sur produits dérivés et métal, courtage monétaire, services de règlement et de compensation afférents à des produits dérivés, services de conseil, d’intermédiation et autres services financiers auxiliaires de ces activités</w:t>
            </w:r>
            <w:r>
              <w:rPr>
                <w:noProof/>
              </w:rPr>
              <w:t>: non consolidé.</w:t>
            </w:r>
          </w:p>
          <w:p>
            <w:pPr>
              <w:spacing w:after="0" w:line="360" w:lineRule="auto"/>
              <w:rPr>
                <w:rFonts w:eastAsia="Times New Roman"/>
                <w:noProof/>
                <w:szCs w:val="24"/>
              </w:rPr>
            </w:pPr>
            <w:r>
              <w:rPr>
                <w:noProof/>
              </w:rPr>
              <w:t>CZ: néant, si ce n’est que:</w:t>
            </w:r>
          </w:p>
          <w:p>
            <w:pPr>
              <w:spacing w:after="0" w:line="360" w:lineRule="auto"/>
              <w:rPr>
                <w:rFonts w:eastAsia="Times New Roman"/>
                <w:noProof/>
                <w:szCs w:val="24"/>
              </w:rPr>
            </w:pPr>
            <w:r>
              <w:rPr>
                <w:noProof/>
              </w:rPr>
              <w:t>les services ne peuvent être fournis que par des banques ou des succursales de banques étrangères établies en République tchèque et détentrices d’une licence délivrée par la Banque nationale tchèque en accord avec le ministère des finances.</w:t>
            </w:r>
          </w:p>
          <w:p>
            <w:pPr>
              <w:spacing w:after="0" w:line="360" w:lineRule="auto"/>
              <w:rPr>
                <w:rFonts w:eastAsia="Times New Roman"/>
                <w:noProof/>
                <w:szCs w:val="24"/>
              </w:rPr>
            </w:pPr>
            <w:r>
              <w:rPr>
                <w:noProof/>
              </w:rPr>
              <w:t>La licence est octroyée sur la base de critères appliqués conformément à l’AGCS. Les services de prêts hypothécaires ne peuvent être fournis que par des banques établies en République tchèque.</w:t>
            </w:r>
          </w:p>
          <w:p>
            <w:pPr>
              <w:spacing w:after="0" w:line="360" w:lineRule="auto"/>
              <w:rPr>
                <w:rFonts w:eastAsia="Times New Roman"/>
                <w:noProof/>
                <w:szCs w:val="24"/>
              </w:rPr>
            </w:pPr>
            <w:r>
              <w:rPr>
                <w:noProof/>
              </w:rPr>
              <w:t>Les banques peuvent uniquement être constituées sous la forme de sociétés anonymes. L’achat d’actions d’une banque existante est subordonné à l’approbation préalable de la Banque nationale tchèque.</w:t>
            </w:r>
          </w:p>
          <w:p>
            <w:pPr>
              <w:spacing w:after="0" w:line="360" w:lineRule="auto"/>
              <w:rPr>
                <w:rFonts w:eastAsia="Times New Roman"/>
                <w:noProof/>
                <w:szCs w:val="24"/>
              </w:rPr>
            </w:pPr>
            <w:r>
              <w:rPr>
                <w:noProof/>
              </w:rPr>
              <w:t>Les opérations publiques portant sur des valeurs mobilières ne peuvent être effectuées qu’avec l’autorisation à cet effet et sous réserve de l’approbation du prospectus relatif aux valeurs.</w:t>
            </w:r>
          </w:p>
          <w:p>
            <w:pPr>
              <w:spacing w:after="0" w:line="360" w:lineRule="auto"/>
              <w:rPr>
                <w:rFonts w:eastAsia="Times New Roman"/>
                <w:noProof/>
                <w:szCs w:val="24"/>
              </w:rPr>
            </w:pPr>
            <w:r>
              <w:rPr>
                <w:noProof/>
              </w:rPr>
              <w:t>L’autorisation n’est pas accordée si l'opération est en conflit avec les intérêts des investisseurs, est incompatible avec la politique financière du gouvernement ou n’est pas conforme aux exigences du marché financier</w:t>
            </w:r>
            <w:r>
              <w:rPr>
                <w:rStyle w:val="FootnoteReference"/>
                <w:noProof/>
              </w:rPr>
              <w:footnoteReference w:id="3"/>
            </w:r>
            <w:r>
              <w:rPr>
                <w:noProof/>
              </w:rPr>
              <w:t>.</w:t>
            </w:r>
          </w:p>
          <w:p>
            <w:pPr>
              <w:spacing w:after="0" w:line="360" w:lineRule="auto"/>
              <w:rPr>
                <w:rFonts w:eastAsia="Times New Roman"/>
                <w:noProof/>
                <w:szCs w:val="24"/>
              </w:rPr>
            </w:pPr>
            <w:r>
              <w:rPr>
                <w:noProof/>
              </w:rPr>
              <w:t>L’établissement et les activités des négociants en valeurs mobilières et des courtiers, des organisateurs d’un marché hors cote, des sociétés d’investissement et des fonds de placement sont subordonnés à l’obtention d’une autorisation délivrée compte tenu des qualifications et de l’intégrité personnelle des intéressés ainsi que des prescriptions en matière de gestion et sur le plan matériel.</w:t>
            </w:r>
          </w:p>
          <w:p>
            <w:pPr>
              <w:spacing w:after="0" w:line="360" w:lineRule="auto"/>
              <w:rPr>
                <w:rFonts w:eastAsia="Times New Roman"/>
                <w:noProof/>
                <w:szCs w:val="24"/>
              </w:rPr>
            </w:pPr>
            <w:r>
              <w:rPr>
                <w:noProof/>
              </w:rPr>
              <w:t>Les services de règlement et de compensation afférents à tout type de paiements sont examinés et contrôlés par la Banque nationale tchèque, qui veille à ce qu’ils soient fournis de façon efficace et économique.</w:t>
            </w:r>
          </w:p>
          <w:p>
            <w:pPr>
              <w:spacing w:after="0" w:line="360" w:lineRule="auto"/>
              <w:rPr>
                <w:rFonts w:eastAsia="Times New Roman"/>
                <w:noProof/>
                <w:szCs w:val="24"/>
              </w:rPr>
            </w:pPr>
            <w:r>
              <w:rPr>
                <w:noProof/>
              </w:rPr>
              <w:t>DK: les établissements financiers peuvent négocier des valeurs mobilières à la Bourse de Copenhague uniquement par l’intermédiaire de filiales constituées au Danemark.</w:t>
            </w:r>
          </w:p>
          <w:p>
            <w:pPr>
              <w:spacing w:after="0" w:line="360" w:lineRule="auto"/>
              <w:rPr>
                <w:rFonts w:eastAsia="Times New Roman"/>
                <w:noProof/>
                <w:szCs w:val="24"/>
              </w:rPr>
            </w:pPr>
            <w:r>
              <w:rPr>
                <w:noProof/>
              </w:rPr>
              <w:t>FI: la moitié au moins des fondateurs, des membres du conseil d’administration, du conseil de surveillance et des délégués, ainsi que le directeur général, le fondé de pouvoir, et la personne ayant la signature pour le compte de l’établissement de crédit doivent avoir leur lieu de résidence dans l’Espace économique européen, sauf dérogation du ministère des finances. L’un des vérificateurs aux comptes au moins doit avoir son lieu de résidence dans l’Espace économique européen.</w:t>
            </w:r>
          </w:p>
          <w:p>
            <w:pPr>
              <w:spacing w:after="0" w:line="360" w:lineRule="auto"/>
              <w:rPr>
                <w:rFonts w:eastAsia="Times New Roman"/>
                <w:noProof/>
                <w:szCs w:val="24"/>
              </w:rPr>
            </w:pPr>
            <w:r>
              <w:rPr>
                <w:noProof/>
              </w:rPr>
              <w:t>FI: un courtier (personne physique) intervenant sur le marché des produits dérivés doit avoir son lieu de résidence dans l’Espace économique européen. Des dérogations peuvent être accordées aux conditions arrêtées par le ministère des finances.</w:t>
            </w:r>
          </w:p>
          <w:p>
            <w:pPr>
              <w:spacing w:after="0" w:line="360" w:lineRule="auto"/>
              <w:rPr>
                <w:rFonts w:eastAsia="Times New Roman"/>
                <w:noProof/>
                <w:szCs w:val="24"/>
              </w:rPr>
            </w:pPr>
            <w:r>
              <w:rPr>
                <w:noProof/>
              </w:rPr>
              <w:t>FI: les paiements (en règlement des dépenses) des organismes publics sont effectués au moyen du système finlandais des chèques postaux, géré par Postipankki Ltd. Des dérogations peuvent être accordées par le ministère des finances pour des raisons particulières.</w:t>
            </w:r>
          </w:p>
          <w:p>
            <w:pPr>
              <w:spacing w:after="0" w:line="360" w:lineRule="auto"/>
              <w:rPr>
                <w:rFonts w:eastAsia="Times New Roman"/>
                <w:noProof/>
                <w:szCs w:val="24"/>
              </w:rPr>
            </w:pPr>
            <w:r>
              <w:rPr>
                <w:noProof/>
              </w:rPr>
              <w:t>FR:</w:t>
            </w:r>
            <w:r>
              <w:rPr>
                <w:b/>
                <w:noProof/>
              </w:rPr>
              <w:t xml:space="preserve"> </w:t>
            </w:r>
            <w:r>
              <w:rPr>
                <w:noProof/>
              </w:rPr>
              <w:t>les émissions libellées en francs français ne peuvent être gérées que par les établissements de crédit français, ou par les filiales françaises (de droit français) de banques non françaises qui y sont autorisées, lorsque leurs moyens et leurs engagements sur la place de Paris sont jugés suffisants. Ces conditions s’appliquent aux banques agissant en qualité de chef de file. Une banque non française peut, sans restrictions ni obligation d’établissement, être co-chef de file de l’émission d’obligations en Eurofrancs.</w:t>
            </w:r>
          </w:p>
          <w:p>
            <w:pPr>
              <w:spacing w:after="0" w:line="360" w:lineRule="auto"/>
              <w:rPr>
                <w:rFonts w:eastAsia="Times New Roman"/>
                <w:noProof/>
                <w:szCs w:val="24"/>
              </w:rPr>
            </w:pPr>
            <w:r>
              <w:rPr>
                <w:noProof/>
              </w:rPr>
              <w:t>EL: les établissements financiers ne peuvent s’engager dans le négoce de valeurs mobilières cotées à la Bourse d’Athènes que par l’intermédiaire de sociétés d’investissement constituées en Grèce.</w:t>
            </w:r>
          </w:p>
          <w:p>
            <w:pPr>
              <w:spacing w:after="0" w:line="360" w:lineRule="auto"/>
              <w:rPr>
                <w:rFonts w:eastAsia="Times New Roman"/>
                <w:noProof/>
                <w:szCs w:val="24"/>
              </w:rPr>
            </w:pPr>
            <w:r>
              <w:rPr>
                <w:noProof/>
              </w:rPr>
              <w:t>EL: aux fins de l’établissement et des opérations de succursales, un montant minimum de devises doit être importé, converti en drachmes et conservé en Grèce tant que la banque étrangère poursuivra ses activités en Grèce:</w:t>
            </w:r>
          </w:p>
          <w:p>
            <w:pPr>
              <w:spacing w:after="0" w:line="360" w:lineRule="auto"/>
              <w:rPr>
                <w:rFonts w:eastAsia="Times New Roman"/>
                <w:noProof/>
                <w:szCs w:val="24"/>
              </w:rPr>
            </w:pPr>
            <w:r>
              <w:rPr>
                <w:noProof/>
              </w:rPr>
              <w:t>jusqu’à quatre (4) succursales, ce montant minimal équivaut actuellement à la moitié du capital social minimum requis pour la constitution d’un établissement de crédit en Grèce.</w:t>
            </w:r>
          </w:p>
          <w:p>
            <w:pPr>
              <w:spacing w:after="0" w:line="360" w:lineRule="auto"/>
              <w:rPr>
                <w:rFonts w:eastAsia="Times New Roman"/>
                <w:b/>
                <w:noProof/>
                <w:szCs w:val="24"/>
              </w:rPr>
            </w:pPr>
            <w:r>
              <w:rPr>
                <w:noProof/>
              </w:rPr>
              <w:t>Aux fins des opérations des succursales supplémentaires, le capital minimum requis est égal au capital social minimum nécessaire à la constitution d’un établissement de crédit en Grèce.</w:t>
            </w:r>
          </w:p>
          <w:p>
            <w:pPr>
              <w:spacing w:after="0" w:line="360" w:lineRule="auto"/>
              <w:rPr>
                <w:rFonts w:eastAsia="Times New Roman"/>
                <w:noProof/>
                <w:szCs w:val="24"/>
              </w:rPr>
            </w:pPr>
            <w:r>
              <w:rPr>
                <w:noProof/>
              </w:rPr>
              <w:t>HR: néant, sauf pour les services de règlement et de compensation, dont l’Agence centrale des dépôts est le seul fournisseur en Croatie. L’accès aux services de cette agence sera accordé aux non-résidents sur une base non discriminatoire.</w:t>
            </w:r>
          </w:p>
          <w:p>
            <w:pPr>
              <w:spacing w:after="0" w:line="360" w:lineRule="auto"/>
              <w:rPr>
                <w:rFonts w:eastAsia="Times New Roman"/>
                <w:noProof/>
                <w:szCs w:val="24"/>
              </w:rPr>
            </w:pPr>
            <w:r>
              <w:rPr>
                <w:noProof/>
              </w:rPr>
              <w:t>HU: il est prévu de créer un réseau de succursales directes dans le cadre de l’AGCS et dans le respect des dispositions de cet accord.</w:t>
            </w:r>
          </w:p>
          <w:p>
            <w:pPr>
              <w:spacing w:after="0" w:line="360" w:lineRule="auto"/>
              <w:rPr>
                <w:rFonts w:eastAsia="Times New Roman"/>
                <w:noProof/>
                <w:szCs w:val="24"/>
              </w:rPr>
            </w:pPr>
            <w:r>
              <w:rPr>
                <w:noProof/>
              </w:rPr>
              <w:t>HU: la propriété directe ou indirecte d’actions ou de droits de vote dans un établissement de crédit d’un actionnaire individuel autre qu’un établissement de crédit, une compagnie d’assurance ou une société d’investissement ne peut dépasser 15 %.</w:t>
            </w:r>
          </w:p>
          <w:p>
            <w:pPr>
              <w:spacing w:after="0" w:line="360" w:lineRule="auto"/>
              <w:rPr>
                <w:rFonts w:eastAsia="Times New Roman"/>
                <w:noProof/>
                <w:szCs w:val="24"/>
              </w:rPr>
            </w:pPr>
            <w:r>
              <w:rPr>
                <w:noProof/>
              </w:rPr>
              <w:t>HU: au moins deux membres du conseil d’administration d’un établissement financier doivent être des ressortissants hongrois, au sens de la législation applicable aux opérations de change, et résider en Hongrie à titre permanent depuis un an au moins.</w:t>
            </w:r>
          </w:p>
          <w:p>
            <w:pPr>
              <w:spacing w:after="0" w:line="360" w:lineRule="auto"/>
              <w:rPr>
                <w:rFonts w:eastAsia="Times New Roman"/>
                <w:b/>
                <w:noProof/>
                <w:szCs w:val="24"/>
              </w:rPr>
            </w:pPr>
            <w:r>
              <w:rPr>
                <w:noProof/>
              </w:rPr>
              <w:t>HU: la participation permanente de l’État dans Országos Takarékpénztár és Kereskedelmi Bank Rt sera maintenue à au moins 25 % +1 voix.</w:t>
            </w:r>
          </w:p>
          <w:p>
            <w:pPr>
              <w:spacing w:after="0" w:line="360" w:lineRule="auto"/>
              <w:rPr>
                <w:rFonts w:eastAsia="Times New Roman"/>
                <w:noProof/>
                <w:szCs w:val="24"/>
              </w:rPr>
            </w:pPr>
            <w:r>
              <w:rPr>
                <w:noProof/>
              </w:rPr>
              <w:t>IE: dans le cas des fonds de placement collectifs constitués sous forme de fonds communs de placement ou de sociétés à capital variable (autres que les organismes de placement collectif en valeurs mobilières — OPCVM), la société fiduciaire/dépositaire et de gestion doit être constituée en Irlande ou dans un autre État membre. Dans le cas de sociétés de placement en commandite simple, l’un des commanditaires au moins doit être constitué en société en Irlande.</w:t>
            </w:r>
          </w:p>
          <w:p>
            <w:pPr>
              <w:spacing w:after="0" w:line="360" w:lineRule="auto"/>
              <w:rPr>
                <w:rFonts w:eastAsia="Times New Roman"/>
                <w:b/>
                <w:noProof/>
                <w:szCs w:val="24"/>
              </w:rPr>
            </w:pPr>
            <w:r>
              <w:rPr>
                <w:noProof/>
              </w:rPr>
              <w:t>IE: pour devenir membre d’une bourse en Irlande, une entité doit, soit 1) être agréée en Irlande, ce qui veut dire qu’elle doit être constituée en société ou être une société en commandite simple et qu’elle doit avoir son siège central/social en Irlande, soit 2) être agréée dans un autre État membre conformément à la directive communautaire sur les services d’investissement.</w:t>
            </w:r>
          </w:p>
          <w:p>
            <w:pPr>
              <w:spacing w:after="0" w:line="360" w:lineRule="auto"/>
              <w:rPr>
                <w:rFonts w:eastAsia="Times New Roman"/>
                <w:noProof/>
                <w:szCs w:val="24"/>
              </w:rPr>
            </w:pPr>
            <w:r>
              <w:rPr>
                <w:noProof/>
              </w:rPr>
              <w:t>IE: la prestation de services d’investissement ou de conseil en investissements nécessite, soit 1) une autorisation en Irlande, pour laquelle il est en général requis que l’entité soit constituée en société, ou soit une société en commandite simple ou un représentant exclusif, le siège central/social devant dans tous les cas être établi en Irlande (l’organe de surveillance peut aussi autoriser les succursales d’entités de pays tiers), soit 2) une autorisation dans un autre État membre conformément à la directive communautaire sur les services d’investissement.</w:t>
            </w:r>
          </w:p>
          <w:p>
            <w:pPr>
              <w:spacing w:after="0" w:line="360" w:lineRule="auto"/>
              <w:rPr>
                <w:rFonts w:eastAsia="Times New Roman"/>
                <w:noProof/>
                <w:szCs w:val="24"/>
              </w:rPr>
            </w:pPr>
            <w:r>
              <w:rPr>
                <w:noProof/>
              </w:rPr>
              <w:t>IT: seules les sociétés à responsabilité limitée italiennes, les entreprises étrangères dûment autorisées et les organismes publics ou sociétés appartenant aux autorités locales dont le capital social n’est pas inférieur à 2 000 000 000 ITL peuvent émettre des titres publics (conformément à l’article 18 de la loi 216/74) autres que des actions ou des bons et obligations (y compris les obligations convertibles).</w:t>
            </w:r>
          </w:p>
          <w:p>
            <w:pPr>
              <w:spacing w:after="0" w:line="360" w:lineRule="auto"/>
              <w:rPr>
                <w:rFonts w:eastAsia="Times New Roman"/>
                <w:b/>
                <w:noProof/>
                <w:szCs w:val="24"/>
              </w:rPr>
            </w:pPr>
            <w:r>
              <w:rPr>
                <w:noProof/>
              </w:rPr>
              <w:t xml:space="preserve">IT: seule la Banque d’Italie pour les titres d’État, ou Monte Titoli SpA pour les actions, les titres à caractère participatif et autres obligations négociées sur un marché réglementé peuvent fournir des services centralisés de dépôt, de garde et de gestion. </w:t>
            </w:r>
          </w:p>
          <w:p>
            <w:pPr>
              <w:spacing w:after="0" w:line="360" w:lineRule="auto"/>
              <w:rPr>
                <w:rFonts w:eastAsia="Times New Roman"/>
                <w:noProof/>
                <w:szCs w:val="24"/>
              </w:rPr>
            </w:pPr>
            <w:r>
              <w:rPr>
                <w:noProof/>
              </w:rPr>
              <w:t>IT: dans le cas des fonds de placement collectif autres que les OPCVM harmonisés visés par la directive 85/611/CEE, la société fiduciaire/dépositaire doit être constituée en Italie ou dans un autre État membre de la Communauté européenne et établie par l'entremise d’une succursale en Italie. Seules les banques, les compagnies d’assurance et les sociétés de placement en valeurs mobilières ayant leur siège social dans la</w:t>
            </w:r>
            <w:r>
              <w:rPr>
                <w:b/>
                <w:noProof/>
              </w:rPr>
              <w:t xml:space="preserve"> </w:t>
            </w:r>
            <w:r>
              <w:rPr>
                <w:noProof/>
              </w:rPr>
              <w:t>Communauté européenne peuvent exercer des activités de gestion de fonds de pension. Les sociétés de gestion (fonds à capital fixe et fonds de placement immobilier) doivent aussi être constituées en Italie.</w:t>
            </w:r>
          </w:p>
          <w:p>
            <w:pPr>
              <w:spacing w:after="0" w:line="360" w:lineRule="auto"/>
              <w:rPr>
                <w:rFonts w:eastAsia="Times New Roman"/>
                <w:noProof/>
                <w:szCs w:val="24"/>
              </w:rPr>
            </w:pPr>
            <w:r>
              <w:rPr>
                <w:noProof/>
              </w:rPr>
              <w:t>IT: les intermédiaires doivent faire appel, pour le démarchage, à des agents de vente de services financiers agréés résidant sur le territoire d’un État membre de la Communauté européenne.</w:t>
            </w:r>
          </w:p>
          <w:p>
            <w:pPr>
              <w:spacing w:after="0" w:line="360" w:lineRule="auto"/>
              <w:rPr>
                <w:rFonts w:eastAsia="Times New Roman"/>
                <w:noProof/>
                <w:szCs w:val="24"/>
              </w:rPr>
            </w:pPr>
            <w:r>
              <w:rPr>
                <w:noProof/>
              </w:rPr>
              <w:t>IT: le système officiel de compensation est le seul habilité à procéder à la compensation et au règlement sur titres. Cette activité pourrait être confiée à une société autorisée par la Banque d’Italie en accord avec la Consob.</w:t>
            </w:r>
          </w:p>
          <w:p>
            <w:pPr>
              <w:spacing w:after="0" w:line="360" w:lineRule="auto"/>
              <w:rPr>
                <w:rFonts w:eastAsia="Times New Roman"/>
                <w:noProof/>
                <w:szCs w:val="24"/>
              </w:rPr>
            </w:pPr>
            <w:r>
              <w:rPr>
                <w:noProof/>
              </w:rPr>
              <w:t>IT: les bureaux de représentation d’intermédiaires étrangers ne peuvent pas exercer des activités de promotion pour des services d’investissement.</w:t>
            </w:r>
          </w:p>
          <w:p>
            <w:pPr>
              <w:spacing w:after="0" w:line="360" w:lineRule="auto"/>
              <w:rPr>
                <w:rFonts w:eastAsia="Times New Roman"/>
                <w:noProof/>
                <w:szCs w:val="24"/>
              </w:rPr>
            </w:pPr>
            <w:r>
              <w:rPr>
                <w:noProof/>
              </w:rPr>
              <w:t>LV:</w:t>
            </w:r>
          </w:p>
          <w:p>
            <w:pPr>
              <w:spacing w:after="0" w:line="360" w:lineRule="auto"/>
              <w:rPr>
                <w:rFonts w:eastAsia="Times New Roman"/>
                <w:noProof/>
                <w:szCs w:val="24"/>
              </w:rPr>
            </w:pPr>
            <w:r>
              <w:rPr>
                <w:i/>
                <w:noProof/>
              </w:rPr>
              <w:t>sous-secteur B.7. (participation à des émissions de tout type de valeurs mobilières):</w:t>
            </w:r>
            <w:r>
              <w:rPr>
                <w:noProof/>
              </w:rPr>
              <w:t xml:space="preserve"> la Banque de Lettonie (Banque centrale) est l’agent financier du gouvernement sur le marché des bons du Trésor.</w:t>
            </w:r>
          </w:p>
          <w:p>
            <w:pPr>
              <w:spacing w:after="0" w:line="360" w:lineRule="auto"/>
              <w:rPr>
                <w:rFonts w:eastAsia="Times New Roman"/>
                <w:noProof/>
                <w:szCs w:val="24"/>
              </w:rPr>
            </w:pPr>
            <w:r>
              <w:rPr>
                <w:i/>
                <w:noProof/>
              </w:rPr>
              <w:t>Sous-secteur B.9. (gestion d’actifs):</w:t>
            </w:r>
            <w:r>
              <w:rPr>
                <w:noProof/>
              </w:rPr>
              <w:t xml:space="preserve"> la gestion des fonds de pension est assurée par un monopole d’État.</w:t>
            </w:r>
          </w:p>
          <w:p>
            <w:pPr>
              <w:spacing w:after="0" w:line="360" w:lineRule="auto"/>
              <w:rPr>
                <w:rFonts w:eastAsia="Times New Roman"/>
                <w:noProof/>
                <w:szCs w:val="24"/>
              </w:rPr>
            </w:pPr>
            <w:r>
              <w:rPr>
                <w:noProof/>
              </w:rPr>
              <w:t>LT:</w:t>
            </w:r>
          </w:p>
          <w:p>
            <w:pPr>
              <w:spacing w:after="0" w:line="360" w:lineRule="auto"/>
              <w:rPr>
                <w:rFonts w:eastAsia="Times New Roman"/>
                <w:b/>
                <w:noProof/>
                <w:szCs w:val="24"/>
              </w:rPr>
            </w:pPr>
            <w:r>
              <w:rPr>
                <w:i/>
                <w:noProof/>
              </w:rPr>
              <w:t>sous-secteurs B.1. à B.12:</w:t>
            </w:r>
            <w:r>
              <w:rPr>
                <w:noProof/>
              </w:rPr>
              <w:t xml:space="preserve"> un dirigeant au moins doit être un ressortissant lituanien.</w:t>
            </w:r>
          </w:p>
          <w:p>
            <w:pPr>
              <w:spacing w:after="0" w:line="360" w:lineRule="auto"/>
              <w:rPr>
                <w:rFonts w:eastAsia="Times New Roman"/>
                <w:noProof/>
                <w:szCs w:val="24"/>
              </w:rPr>
            </w:pPr>
            <w:r>
              <w:rPr>
                <w:i/>
                <w:noProof/>
              </w:rPr>
              <w:t>Sous-secteur B.3. (crédit-bail):</w:t>
            </w:r>
            <w:r>
              <w:rPr>
                <w:noProof/>
              </w:rPr>
              <w:t xml:space="preserve"> le crédit-bail est une activité réservée à des établissements financiers spécifiques (banques et compagnies d’assurance, par exemple). Néant à compter du 1</w:t>
            </w:r>
            <w:r>
              <w:rPr>
                <w:noProof/>
                <w:vertAlign w:val="superscript"/>
              </w:rPr>
              <w:t>er</w:t>
            </w:r>
            <w:r>
              <w:rPr>
                <w:noProof/>
              </w:rPr>
              <w:t> janvier 2001, sauf comme indiqué sous «engagements horizontaux», section «services bancaires et autres services financiers».</w:t>
            </w:r>
          </w:p>
          <w:p>
            <w:pPr>
              <w:spacing w:after="0" w:line="360" w:lineRule="auto"/>
              <w:rPr>
                <w:rFonts w:eastAsia="Times New Roman"/>
                <w:noProof/>
                <w:szCs w:val="24"/>
              </w:rPr>
            </w:pPr>
            <w:r>
              <w:rPr>
                <w:i/>
                <w:noProof/>
              </w:rPr>
              <w:t>Sous-secteur B.9. (gestion d’actifs):</w:t>
            </w:r>
            <w:r>
              <w:rPr>
                <w:noProof/>
              </w:rPr>
              <w:t xml:space="preserve"> établissement uniquement sous forme d’entreprises publiques (AB) et de sociétés fermées (UAB) (capital initial détenu par les fondateurs). Une entreprise de gestion spécialisée doit être créée aux fins de la gestion d’actifs. Seules les entreprises ayant leur siège social en Lituanie peuvent agir en qualité de dépositaires des actifs.</w:t>
            </w:r>
          </w:p>
          <w:p>
            <w:pPr>
              <w:spacing w:after="0" w:line="360" w:lineRule="auto"/>
              <w:rPr>
                <w:rFonts w:eastAsia="Times New Roman"/>
                <w:noProof/>
                <w:szCs w:val="24"/>
              </w:rPr>
            </w:pPr>
            <w:r>
              <w:rPr>
                <w:noProof/>
              </w:rPr>
              <w:t>MT:</w:t>
            </w:r>
          </w:p>
          <w:p>
            <w:pPr>
              <w:spacing w:after="0" w:line="360" w:lineRule="auto"/>
              <w:rPr>
                <w:rFonts w:eastAsia="Times New Roman"/>
                <w:noProof/>
                <w:szCs w:val="24"/>
              </w:rPr>
            </w:pPr>
            <w:r>
              <w:rPr>
                <w:i/>
                <w:noProof/>
              </w:rPr>
              <w:t>sous-secteurs B.1. et B.2. (acceptation de dépôts et prêts de tous types):</w:t>
            </w:r>
            <w:r>
              <w:rPr>
                <w:noProof/>
              </w:rPr>
              <w:t xml:space="preserve"> les établissements de crédit et autres établissements financiers à capitaux étrangers peuvent opérer sous la forme d’une succursale ou d’une filiale locale. L’octroi d’une autorisation sera fondé sur un examen des besoins économiques.</w:t>
            </w:r>
          </w:p>
          <w:p>
            <w:pPr>
              <w:spacing w:after="0" w:line="360" w:lineRule="auto"/>
              <w:rPr>
                <w:rFonts w:eastAsia="Times New Roman"/>
                <w:noProof/>
                <w:szCs w:val="24"/>
              </w:rPr>
            </w:pPr>
            <w:r>
              <w:rPr>
                <w:i/>
                <w:noProof/>
              </w:rPr>
              <w:t>Sous-secteurs B.3. à B.12:</w:t>
            </w:r>
            <w:r>
              <w:rPr>
                <w:noProof/>
              </w:rPr>
              <w:t xml:space="preserve"> non consolidé.</w:t>
            </w:r>
          </w:p>
          <w:p>
            <w:pPr>
              <w:spacing w:after="0" w:line="360" w:lineRule="auto"/>
              <w:rPr>
                <w:rFonts w:eastAsia="Times New Roman"/>
                <w:noProof/>
                <w:szCs w:val="24"/>
              </w:rPr>
            </w:pPr>
            <w:r>
              <w:rPr>
                <w:noProof/>
              </w:rPr>
              <w:t>PL:</w:t>
            </w:r>
          </w:p>
          <w:p>
            <w:pPr>
              <w:spacing w:after="0" w:line="360" w:lineRule="auto"/>
              <w:rPr>
                <w:rFonts w:eastAsia="Times New Roman"/>
                <w:noProof/>
                <w:szCs w:val="24"/>
              </w:rPr>
            </w:pPr>
            <w:r>
              <w:rPr>
                <w:i/>
                <w:noProof/>
              </w:rPr>
              <w:t>sous-secteurs B.1., B.2., B.4. et B.5. (à l’exclusion des garanties et engagements du Trésor):</w:t>
            </w:r>
            <w:r>
              <w:rPr>
                <w:noProof/>
              </w:rPr>
              <w:t xml:space="preserve"> les banques ne peuvent s’établir que sous la forme de sociétés par actions ou de succursales titulaires d'une licence. Pour toutes les banques, les autorisations d’établissement sont délivrées en tenant compte de considérations d’ordre prudentiel. Une banque doit compter un certain nombre de Polonais (au moins un) parmi ses dirigeants.</w:t>
            </w:r>
          </w:p>
          <w:p>
            <w:pPr>
              <w:spacing w:after="0" w:line="360" w:lineRule="auto"/>
              <w:rPr>
                <w:rFonts w:eastAsia="Times New Roman"/>
                <w:noProof/>
                <w:szCs w:val="24"/>
              </w:rPr>
            </w:pPr>
            <w:r>
              <w:rPr>
                <w:i/>
                <w:noProof/>
              </w:rPr>
              <w:t>Sous-secteurs B.6. e) et B.7. (à l’exclusion de la participation à des émissions des effets du Trésor), B.9. (services de gestion de portefeuille uniquement) et B.12. (services de conseil et autres services financiers auxiliaires des activités afférentes seulement à la Pologne):</w:t>
            </w:r>
            <w:r>
              <w:rPr>
                <w:noProof/>
              </w:rPr>
              <w:t xml:space="preserve"> établissement après l’obtention d’une licence, uniquement sous forme de société par actions ou de succursale d’une personne morale étrangère fournissant des services liés aux valeurs mobilières.</w:t>
            </w:r>
          </w:p>
          <w:p>
            <w:pPr>
              <w:spacing w:after="0" w:line="360" w:lineRule="auto"/>
              <w:rPr>
                <w:rFonts w:eastAsia="Times New Roman"/>
                <w:noProof/>
                <w:szCs w:val="24"/>
              </w:rPr>
            </w:pPr>
            <w:r>
              <w:rPr>
                <w:i/>
                <w:noProof/>
              </w:rPr>
              <w:t>Sous-secteur B.11.:</w:t>
            </w:r>
            <w:r>
              <w:rPr>
                <w:noProof/>
              </w:rPr>
              <w:t xml:space="preserve"> obligation d’utiliser le réseau public de télécommunication ou celui d’un opérateur agréé en cas de prestation transfrontières et/ou de consommation à l’étranger de ces services.</w:t>
            </w:r>
          </w:p>
          <w:p>
            <w:pPr>
              <w:spacing w:after="0" w:line="360" w:lineRule="auto"/>
              <w:rPr>
                <w:rFonts w:eastAsia="Times New Roman"/>
                <w:noProof/>
                <w:szCs w:val="24"/>
              </w:rPr>
            </w:pPr>
            <w:r>
              <w:rPr>
                <w:i/>
                <w:noProof/>
              </w:rPr>
              <w:t>Tous les autres sous-secteurs</w:t>
            </w:r>
            <w:r>
              <w:rPr>
                <w:noProof/>
              </w:rPr>
              <w:t>: non consolidé.</w:t>
            </w:r>
          </w:p>
          <w:p>
            <w:pPr>
              <w:spacing w:after="0" w:line="360" w:lineRule="auto"/>
              <w:rPr>
                <w:rFonts w:eastAsia="Times New Roman"/>
                <w:noProof/>
                <w:szCs w:val="24"/>
              </w:rPr>
            </w:pPr>
            <w:r>
              <w:rPr>
                <w:noProof/>
              </w:rPr>
              <w:t>PT: l’établissement de banques non communautaires est subordonné à une autorisation délivrée, au cas par cas, par le ministre des finances. L’établissement de ces banques doit contribuer à renforcer l’efficacité du système bancaire national ou doit avoir une incidence notable sur l’internationalisation de l’économie portugaise.</w:t>
            </w:r>
          </w:p>
          <w:p>
            <w:pPr>
              <w:spacing w:after="0" w:line="360" w:lineRule="auto"/>
              <w:rPr>
                <w:rFonts w:eastAsia="Times New Roman"/>
                <w:noProof/>
                <w:szCs w:val="24"/>
              </w:rPr>
            </w:pPr>
            <w:r>
              <w:rPr>
                <w:noProof/>
              </w:rPr>
              <w:t>PT: les services liés au capital-risque ne peuvent pas être fournis par les succursales de sociétés de capital-risque ayant leur siège dans un pays non membre de la Communauté. Seules les entreprises de courtage et de négoce constituées au Portugal ou les succursales des entreprises d’investissement autorisées dans un autre pays de la Communauté européenne et autorisées dans leur pays d’origine à fournir ces services peuvent fournir ces services à la Bourse de Lisbonne. Les succursales des sociétés non communautaires de courtage/négoce ne peuvent pas fournir ces services sur le marché des produits dérivés de Porto ni sur le marché de gré à gré.</w:t>
            </w:r>
          </w:p>
          <w:p>
            <w:pPr>
              <w:spacing w:after="0" w:line="360" w:lineRule="auto"/>
              <w:rPr>
                <w:rFonts w:eastAsia="Times New Roman"/>
                <w:noProof/>
                <w:szCs w:val="24"/>
              </w:rPr>
            </w:pPr>
            <w:r>
              <w:rPr>
                <w:noProof/>
              </w:rPr>
              <w:t>La gestion des fonds de pension est réservée aux sociétés constituées au Portugal et aux compagnies d’assurance établies au Portugal et autorisées à exercer des activités d’assurance-vie.</w:t>
            </w:r>
          </w:p>
          <w:p>
            <w:pPr>
              <w:spacing w:after="0" w:line="360" w:lineRule="auto"/>
              <w:rPr>
                <w:rFonts w:eastAsia="Times New Roman"/>
                <w:noProof/>
                <w:szCs w:val="24"/>
              </w:rPr>
            </w:pPr>
            <w:r>
              <w:rPr>
                <w:noProof/>
              </w:rPr>
              <w:t>RO: les sociétés de valeurs mobilières (courtage) doivent être des entités légales roumaines constituées en sociétés anonymes au titre du droit roumain et n’avoir comme seul objectif commercial que l’intermédiation de valeurs mobilières. Toute offre de valeurs mobilières au public est soumise, avant la publication de son prospectus, à l’autorisation</w:t>
            </w:r>
            <w:r>
              <w:rPr>
                <w:noProof/>
              </w:rPr>
              <w:tab/>
              <w:t>de la Commission nationale des valeurs mobilières de Roumanie. Les sociétés qui exercent une activité de gestion d’actifs doivent être constituées sous forme de sociétés anonymes au titre du droit roumain; les fonds communs de placement ouverts</w:t>
            </w:r>
            <w:r>
              <w:rPr>
                <w:noProof/>
              </w:rPr>
              <w:tab/>
              <w:t>doivent être constitués conformément au droit civil roumain. Non consolidé pour le crédit-bail. Non consolidé pour les opérations pour son propre compte ou pour le compte de clients sur des instruments négociables et des actifs financiers autres que des valeurs mobilières transférables.</w:t>
            </w:r>
          </w:p>
          <w:p>
            <w:pPr>
              <w:spacing w:after="0" w:line="360" w:lineRule="auto"/>
              <w:rPr>
                <w:rFonts w:eastAsia="Times New Roman"/>
                <w:noProof/>
                <w:szCs w:val="24"/>
              </w:rPr>
            </w:pPr>
            <w:r>
              <w:rPr>
                <w:noProof/>
              </w:rPr>
              <w:t xml:space="preserve">SK: </w:t>
            </w:r>
            <w:r>
              <w:rPr>
                <w:i/>
                <w:noProof/>
              </w:rPr>
              <w:t>opérations sur produits dérivés et métal, courtage monétaire et intermédiation</w:t>
            </w:r>
            <w:r>
              <w:rPr>
                <w:noProof/>
              </w:rPr>
              <w:t>: non consolidé.</w:t>
            </w:r>
          </w:p>
          <w:p>
            <w:pPr>
              <w:spacing w:after="0" w:line="360" w:lineRule="auto"/>
              <w:rPr>
                <w:rFonts w:eastAsia="Times New Roman"/>
                <w:noProof/>
                <w:szCs w:val="24"/>
              </w:rPr>
            </w:pPr>
            <w:r>
              <w:rPr>
                <w:noProof/>
              </w:rPr>
              <w:t>SK: les services bancaires ne peuvent être fournis que par des banques slovaques ou par des succursales de banques étrangères agréées par la Banque nationale slovaque, avec l’accord du ministère des finances. L’agrément est accordé sur la base de critères relatifs notamment à la dotation en capital (assise financière), aux qualifications professionnelles, à l’intégrité et à la compétence des responsables des activités envisagées. Les banques sont des personnes morales constituées en République slovaque sous forme de sociétés anonymes ou d’établissements financiers publics (propriété de l’État).</w:t>
            </w:r>
          </w:p>
          <w:p>
            <w:pPr>
              <w:spacing w:after="0" w:line="360" w:lineRule="auto"/>
              <w:rPr>
                <w:rFonts w:eastAsia="Times New Roman"/>
                <w:noProof/>
                <w:szCs w:val="24"/>
              </w:rPr>
            </w:pPr>
            <w:r>
              <w:rPr>
                <w:noProof/>
              </w:rPr>
              <w:t>L’achat de parts du capital social d’une banque commerciale existante à partir de la limite fixée est subordonné à l’approbation préalable de la Banque nationale slovaque. En République slovaque, les services d’investissement peuvent être fournis par les banques, les sociétés d’investissement, les fonds de placement et les courtiers en valeurs mobilières ayant constitué des sociétés anonymes dotées de capitaux propres conformément à la législation. Les sociétés d’investissement et les fonds de placement étrangers doivent obtenir l’agrément du ministère des finances pour vendre des valeurs mobilières ou des certificats d’investissement sur le territoire slovaque conformément à la législation du pays. L’émission de titres de créance, à l’étranger ou dans le pays, est subordonnée à l’autorisation du ministère des finances.</w:t>
            </w:r>
          </w:p>
          <w:p>
            <w:pPr>
              <w:spacing w:after="0" w:line="360" w:lineRule="auto"/>
              <w:rPr>
                <w:rFonts w:eastAsia="Times New Roman"/>
                <w:noProof/>
                <w:szCs w:val="24"/>
              </w:rPr>
            </w:pPr>
            <w:r>
              <w:rPr>
                <w:noProof/>
              </w:rPr>
              <w:t>L’émission et la négociation de titres sont subordonnées à l’autorisation de transactions publiques délivrée par le ministère des finances conformément à la loi sur les valeurs mobilières. L’exercice des professions de courtier en valeurs mobilières, d’agent de change ou d’organisateur d’un marché hors cote est subordonné à l’agrément du ministère des finances. Les services de règlement et de compensation pour les paiements de toutes sortes sont réglementés par la Banque nationale de Slovaquie.</w:t>
            </w:r>
          </w:p>
          <w:p>
            <w:pPr>
              <w:spacing w:after="0" w:line="360" w:lineRule="auto"/>
              <w:rPr>
                <w:rFonts w:eastAsia="Times New Roman"/>
                <w:noProof/>
                <w:szCs w:val="24"/>
              </w:rPr>
            </w:pPr>
            <w:r>
              <w:rPr>
                <w:noProof/>
              </w:rPr>
              <w:t>Les services de règlement et de compensation afférents au changement de propriété des valeurs mobilières sont enregistrés au Centre des titres (spécialisé dans les opérations de règlement et de compensation). Ce Centre peut uniquement effectuer des transferts sur les comptes privés des détenteurs de titres. Les opérations de règlement et de compensation passent par la Banque de règlement et de compensation (dont la Banque nationale slovaque est actionnaire majoritaire) pour les transactions à la Bourse de Bratislava, société anonyme, ou par le compte Jumbo pour les transactions sur le marché hors cote (système RM).</w:t>
            </w:r>
          </w:p>
          <w:p>
            <w:pPr>
              <w:spacing w:after="0" w:line="360" w:lineRule="auto"/>
              <w:rPr>
                <w:rFonts w:eastAsia="Times New Roman"/>
                <w:noProof/>
                <w:szCs w:val="24"/>
              </w:rPr>
            </w:pPr>
            <w:r>
              <w:rPr>
                <w:noProof/>
              </w:rPr>
              <w:t>SI:</w:t>
            </w:r>
          </w:p>
          <w:p>
            <w:pPr>
              <w:spacing w:after="0" w:line="360" w:lineRule="auto"/>
              <w:rPr>
                <w:rFonts w:eastAsia="Times New Roman"/>
                <w:noProof/>
                <w:szCs w:val="24"/>
              </w:rPr>
            </w:pPr>
            <w:r>
              <w:rPr>
                <w:i/>
                <w:noProof/>
              </w:rPr>
              <w:t>participation à des émissions d’obligations du Trésor, gestion de fonds de pension, services de conseil et autres services financiers auxiliaires</w:t>
            </w:r>
            <w:r>
              <w:rPr>
                <w:noProof/>
              </w:rPr>
              <w:t>: non consolidé.</w:t>
            </w:r>
          </w:p>
          <w:p>
            <w:pPr>
              <w:spacing w:after="0" w:line="360" w:lineRule="auto"/>
              <w:rPr>
                <w:rFonts w:eastAsia="Times New Roman"/>
                <w:noProof/>
                <w:szCs w:val="24"/>
              </w:rPr>
            </w:pPr>
            <w:r>
              <w:rPr>
                <w:i/>
                <w:noProof/>
              </w:rPr>
              <w:t>Sous-secteurs B.11. et B.12. (fourniture et transfert d’informations financières, services de conseil et autres services financiers auxiliaires, à l’exception de ceux afférents à la participation à des émissions d’obligations du Trésor et à la gestion de fonds de pension):</w:t>
            </w:r>
            <w:r>
              <w:rPr>
                <w:noProof/>
              </w:rPr>
              <w:t xml:space="preserve"> néant.</w:t>
            </w:r>
          </w:p>
          <w:p>
            <w:pPr>
              <w:spacing w:after="0" w:line="360" w:lineRule="auto"/>
              <w:rPr>
                <w:rFonts w:eastAsia="Times New Roman"/>
                <w:i/>
                <w:noProof/>
                <w:szCs w:val="24"/>
              </w:rPr>
            </w:pPr>
            <w:r>
              <w:rPr>
                <w:i/>
                <w:noProof/>
              </w:rPr>
              <w:t>Tous les autres sous-secteurs:</w:t>
            </w:r>
          </w:p>
          <w:p>
            <w:pPr>
              <w:spacing w:after="0" w:line="360" w:lineRule="auto"/>
              <w:rPr>
                <w:rFonts w:eastAsia="Times New Roman"/>
                <w:noProof/>
                <w:szCs w:val="24"/>
              </w:rPr>
            </w:pPr>
            <w:r>
              <w:rPr>
                <w:noProof/>
              </w:rPr>
              <w:t>l’établissement des banques de tous types est subordonné à l’obtention d’une licence délivrée par la Banque de Slovénie.</w:t>
            </w:r>
          </w:p>
          <w:p>
            <w:pPr>
              <w:spacing w:after="0" w:line="360" w:lineRule="auto"/>
              <w:rPr>
                <w:rFonts w:eastAsia="Times New Roman"/>
                <w:noProof/>
                <w:szCs w:val="24"/>
              </w:rPr>
            </w:pPr>
            <w:r>
              <w:rPr>
                <w:noProof/>
              </w:rPr>
              <w:t>Les ressortissants étrangers ne peuvent devenir actionnaires ou acquérir des actions supplémentaires de banques qu’avec l’approbation préalable de la Banque de Slovénie. (Remarque: cette disposition sera abolie avec l’adoption de la nouvelle législation bancaire).</w:t>
            </w:r>
          </w:p>
          <w:p>
            <w:pPr>
              <w:spacing w:after="0" w:line="360" w:lineRule="auto"/>
              <w:rPr>
                <w:rFonts w:eastAsia="Times New Roman"/>
                <w:noProof/>
                <w:szCs w:val="24"/>
              </w:rPr>
            </w:pPr>
            <w:r>
              <w:rPr>
                <w:noProof/>
              </w:rPr>
              <w:t>La Banque de Slovénie peut autoriser des banques, des filiales et des succursales de banques étrangères à fournir la totalité ou une partie seulement des services bancaires, en fonction du montant du capital.</w:t>
            </w:r>
          </w:p>
          <w:p>
            <w:pPr>
              <w:spacing w:after="0" w:line="360" w:lineRule="auto"/>
              <w:rPr>
                <w:rFonts w:eastAsia="Times New Roman"/>
                <w:noProof/>
                <w:szCs w:val="24"/>
              </w:rPr>
            </w:pPr>
            <w:r>
              <w:rPr>
                <w:noProof/>
              </w:rPr>
              <w:t>Quand elle étudie la possibilité de délivrer une licence pour la création d’une banque à capitaux entièrement ou majoritairement étrangers ou d’autoriser l’acquisition d’actions supplémentaires de banques, la Banque de Slovénie tient compte des éléments suivants</w:t>
            </w:r>
            <w:r>
              <w:rPr>
                <w:rStyle w:val="FootnoteReference"/>
                <w:noProof/>
              </w:rPr>
              <w:footnoteReference w:id="4"/>
            </w:r>
            <w:r>
              <w:rPr>
                <w:noProof/>
              </w:rPr>
              <w:t>:</w:t>
            </w:r>
          </w:p>
          <w:p>
            <w:pPr>
              <w:spacing w:after="0" w:line="360" w:lineRule="auto"/>
              <w:rPr>
                <w:rFonts w:eastAsia="Times New Roman"/>
                <w:noProof/>
                <w:szCs w:val="24"/>
              </w:rPr>
            </w:pPr>
            <w:r>
              <w:rPr>
                <w:noProof/>
              </w:rPr>
              <w:t>la présence d’investisseurs de différents pays, et</w:t>
            </w:r>
          </w:p>
          <w:p>
            <w:pPr>
              <w:spacing w:after="0" w:line="360" w:lineRule="auto"/>
              <w:rPr>
                <w:rFonts w:eastAsia="Times New Roman"/>
                <w:noProof/>
                <w:szCs w:val="24"/>
              </w:rPr>
            </w:pPr>
            <w:r>
              <w:rPr>
                <w:noProof/>
              </w:rPr>
              <w:t>l'avis de l’institution étrangère chargée du contrôle bancaire.</w:t>
            </w:r>
          </w:p>
          <w:p>
            <w:pPr>
              <w:spacing w:after="0" w:line="360" w:lineRule="auto"/>
              <w:rPr>
                <w:rFonts w:eastAsia="Times New Roman"/>
                <w:noProof/>
                <w:szCs w:val="24"/>
              </w:rPr>
            </w:pPr>
            <w:r>
              <w:rPr>
                <w:noProof/>
              </w:rPr>
              <w:t>(Remarque: cette disposition sera abolie avec l’adoption de la nouvelle législation bancaire).</w:t>
            </w:r>
          </w:p>
          <w:p>
            <w:pPr>
              <w:spacing w:after="0" w:line="360" w:lineRule="auto"/>
              <w:rPr>
                <w:rFonts w:eastAsia="Times New Roman"/>
                <w:noProof/>
                <w:szCs w:val="24"/>
              </w:rPr>
            </w:pPr>
            <w:r>
              <w:rPr>
                <w:noProof/>
              </w:rPr>
              <w:t>Non consolidé en ce qui concerne la participation étrangère dans des banques en cours de privatisation.</w:t>
            </w:r>
          </w:p>
          <w:p>
            <w:pPr>
              <w:spacing w:after="0" w:line="360" w:lineRule="auto"/>
              <w:rPr>
                <w:rFonts w:eastAsia="Times New Roman"/>
                <w:noProof/>
                <w:szCs w:val="24"/>
              </w:rPr>
            </w:pPr>
            <w:r>
              <w:rPr>
                <w:noProof/>
              </w:rPr>
              <w:t>Les succursales de banques étrangères doivent être constituées en sociétés en République de Slovénie.</w:t>
            </w:r>
          </w:p>
          <w:p>
            <w:pPr>
              <w:spacing w:after="0" w:line="360" w:lineRule="auto"/>
              <w:rPr>
                <w:rFonts w:eastAsia="Times New Roman"/>
                <w:noProof/>
                <w:szCs w:val="24"/>
              </w:rPr>
            </w:pPr>
            <w:r>
              <w:rPr>
                <w:noProof/>
              </w:rPr>
              <w:t>(Remarque: cette disposition sera abolie avec l’adoption de la nouvelle législation bancaire). Non consolidé en ce qui concerne les banques de crédit hypothécaire, les caisses d’épargne et les établissements de prêt de tous types.</w:t>
            </w:r>
          </w:p>
          <w:p>
            <w:pPr>
              <w:spacing w:after="0" w:line="360" w:lineRule="auto"/>
              <w:rPr>
                <w:rFonts w:eastAsia="Times New Roman"/>
                <w:noProof/>
                <w:szCs w:val="24"/>
              </w:rPr>
            </w:pPr>
            <w:r>
              <w:rPr>
                <w:noProof/>
              </w:rPr>
              <w:t>Non consolidé en ce qui concerne la création de fonds de pension privés (autres que statutaires).</w:t>
            </w:r>
          </w:p>
          <w:p>
            <w:pPr>
              <w:spacing w:after="0" w:line="360" w:lineRule="auto"/>
              <w:rPr>
                <w:rFonts w:eastAsia="Times New Roman"/>
                <w:noProof/>
                <w:szCs w:val="24"/>
              </w:rPr>
            </w:pPr>
            <w:r>
              <w:rPr>
                <w:noProof/>
              </w:rPr>
              <w:t>Les sociétés de gestion sont des entreprises commerciales constituées exclusivement aux fins de la gestion de fonds de placement.</w:t>
            </w:r>
          </w:p>
          <w:p>
            <w:pPr>
              <w:spacing w:after="0" w:line="360" w:lineRule="auto"/>
              <w:rPr>
                <w:rFonts w:eastAsia="Times New Roman"/>
                <w:noProof/>
                <w:szCs w:val="24"/>
              </w:rPr>
            </w:pPr>
            <w:r>
              <w:rPr>
                <w:noProof/>
              </w:rPr>
              <w:t>Les ressortissants étrangers peuvent acquérir, directement ou indirectement, 20 % au maximum des actions ou droits de vote de ces sociétés de gestion; l’acquisition d’un pourcentage plus élevé requiert l’approbation de l’Office du marché des valeurs mobilières.</w:t>
            </w:r>
          </w:p>
          <w:p>
            <w:pPr>
              <w:spacing w:after="0" w:line="360" w:lineRule="auto"/>
              <w:rPr>
                <w:rFonts w:eastAsia="Times New Roman"/>
                <w:noProof/>
                <w:szCs w:val="24"/>
              </w:rPr>
            </w:pPr>
            <w:r>
              <w:rPr>
                <w:noProof/>
              </w:rPr>
              <w:t>Les sociétés d’investissement agréées (aux fins de la privatisation) sont des sociétés constituées aux seules fins de rassembler les certificats de propriété (bons) et d’acheter les actions émises conformément à la réglementation applicable à la transformation du régime de propriété. Les sociétés de gestion agréées sont constituées à la seule fin de gérer les sociétés d’investissement agréées.</w:t>
            </w:r>
          </w:p>
          <w:p>
            <w:pPr>
              <w:spacing w:after="0" w:line="360" w:lineRule="auto"/>
              <w:rPr>
                <w:rFonts w:eastAsia="Times New Roman"/>
                <w:noProof/>
                <w:szCs w:val="24"/>
              </w:rPr>
            </w:pPr>
            <w:r>
              <w:rPr>
                <w:noProof/>
              </w:rPr>
              <w:t>Les ressortissants étrangers peuvent acquérir, directement ou indirectement, 10 % au maximum des actions ou droits de vote des sociétés de gestion agréées (aux fins de la privatisation); l’acquisition d’un pourcentage plus élevé requiert l’approbation de l’Office du marché des valeurs mobilières, avec l’accord du ministère des relations économiques et du développement.</w:t>
            </w:r>
          </w:p>
          <w:p>
            <w:pPr>
              <w:spacing w:after="0" w:line="360" w:lineRule="auto"/>
              <w:rPr>
                <w:rFonts w:eastAsia="Times New Roman"/>
                <w:noProof/>
                <w:szCs w:val="24"/>
              </w:rPr>
            </w:pPr>
            <w:r>
              <w:rPr>
                <w:noProof/>
              </w:rPr>
              <w:t>Les investissements des fonds de placements en valeurs mobilières émises à l’étranger sont limités à 10 % de leurs investissements. Ces valeurs mobilières doivent être cotées dans des bourses préalablement désignées par l’Office du marché des valeurs mobilières.</w:t>
            </w:r>
          </w:p>
          <w:p>
            <w:pPr>
              <w:spacing w:after="0" w:line="360" w:lineRule="auto"/>
              <w:rPr>
                <w:rFonts w:eastAsia="Times New Roman"/>
                <w:noProof/>
                <w:szCs w:val="24"/>
              </w:rPr>
            </w:pPr>
            <w:r>
              <w:rPr>
                <w:noProof/>
              </w:rPr>
              <w:t>Les ressortissants étrangers peuvent devenir actionnaires ou associés d'une société de courtage à concurrence de 24 % de son capital, sous réserve de l'approbation préalable de l'Office du marché des valeurs mobilières (Remarque: cette disposition sera abolie avec l’adoption de la nouvelle loi sur le marché des valeurs mobilières).</w:t>
            </w:r>
          </w:p>
          <w:p>
            <w:pPr>
              <w:spacing w:after="0" w:line="360" w:lineRule="auto"/>
              <w:rPr>
                <w:rFonts w:eastAsia="Times New Roman"/>
                <w:noProof/>
                <w:szCs w:val="24"/>
              </w:rPr>
            </w:pPr>
            <w:r>
              <w:rPr>
                <w:noProof/>
              </w:rPr>
              <w:t>Les valeurs mobilières émises à l’étranger et qui n’ont pas encore été offertes sur le territoire slovène ne peuvent l’être que par une société de courtage ou une banque autorisée à effectuer ces transactions. Avant de faire son offre, la société de courtage ou la banque doit obtenir l’autorisation de l’Office du marché des valeurs mobilières.</w:t>
            </w:r>
          </w:p>
          <w:p>
            <w:pPr>
              <w:spacing w:after="0" w:line="360" w:lineRule="auto"/>
              <w:rPr>
                <w:rFonts w:eastAsia="Times New Roman"/>
                <w:noProof/>
                <w:szCs w:val="24"/>
              </w:rPr>
            </w:pPr>
            <w:r>
              <w:rPr>
                <w:noProof/>
              </w:rPr>
              <w:t>La demande d’autorisation doit être accompagnée du projet de prospectus et de documents attestant que le garant de l’émission est une banque ou une société de courtage, sauf dans le cas de l’émission d’actions par des sociétés étrangères.</w:t>
            </w:r>
          </w:p>
          <w:p>
            <w:pPr>
              <w:spacing w:after="0" w:line="360" w:lineRule="auto"/>
              <w:rPr>
                <w:rFonts w:eastAsia="Times New Roman"/>
                <w:noProof/>
                <w:szCs w:val="24"/>
              </w:rPr>
            </w:pPr>
            <w:r>
              <w:rPr>
                <w:noProof/>
              </w:rPr>
              <w:t>SE: les sociétés non constituées en Suède ne sont autorisées à établir une présence commerciale que par l'entremise d’une succursale et, s’il s’agit d’une banque, également d’un bureau de représentation.</w:t>
            </w:r>
          </w:p>
          <w:p>
            <w:pPr>
              <w:spacing w:after="0" w:line="360" w:lineRule="auto"/>
              <w:rPr>
                <w:rFonts w:eastAsia="Times New Roman"/>
                <w:noProof/>
                <w:szCs w:val="24"/>
              </w:rPr>
            </w:pPr>
            <w:r>
              <w:rPr>
                <w:noProof/>
              </w:rPr>
              <w:t>SE:</w:t>
            </w:r>
            <w:r>
              <w:rPr>
                <w:b/>
                <w:noProof/>
              </w:rPr>
              <w:t xml:space="preserve"> </w:t>
            </w:r>
            <w:r>
              <w:rPr>
                <w:noProof/>
              </w:rPr>
              <w:t>le fondateur d’un établissement bancaire doit être une personne physique résidant dans l’Espace économique européen ou une banque étrangère. Le fondateur d’une caisse d’épargne doit être une personne physique résidant dans l’Espace économique européen.</w:t>
            </w:r>
          </w:p>
          <w:p>
            <w:pPr>
              <w:spacing w:after="0" w:line="360" w:lineRule="auto"/>
              <w:rPr>
                <w:rFonts w:eastAsia="Times New Roman"/>
                <w:noProof/>
                <w:szCs w:val="24"/>
              </w:rPr>
            </w:pPr>
            <w:r>
              <w:rPr>
                <w:noProof/>
              </w:rPr>
              <w:t>UK: les courtiers intermédiaires, catégorie d’établissements financiers spécialisés dans la dette publique, sont assujettis à l’obligation d’établissement dans l’Espace économique européen et de capitalisation distincte.</w:t>
            </w:r>
          </w:p>
        </w:tc>
      </w:tr>
      <w:tr>
        <w:tc>
          <w:tcPr>
            <w:tcW w:w="144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b/>
                <w:noProof/>
                <w:szCs w:val="24"/>
              </w:rPr>
            </w:pPr>
          </w:p>
        </w:tc>
        <w:tc>
          <w:tcPr>
            <w:tcW w:w="216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noProof/>
                <w:szCs w:val="24"/>
              </w:rPr>
            </w:pPr>
          </w:p>
          <w:p>
            <w:pPr>
              <w:spacing w:after="0" w:line="360" w:lineRule="auto"/>
              <w:rPr>
                <w:rFonts w:eastAsia="Times New Roman"/>
                <w:b/>
                <w:noProof/>
                <w:szCs w:val="24"/>
              </w:rPr>
            </w:pPr>
            <w:r>
              <w:rPr>
                <w:b/>
                <w:noProof/>
              </w:rPr>
              <w:t>4) Présence de personnes physiques</w:t>
            </w:r>
          </w:p>
        </w:tc>
        <w:tc>
          <w:tcPr>
            <w:tcW w:w="7020" w:type="dxa"/>
            <w:tcBorders>
              <w:top w:val="single" w:sz="2" w:space="0" w:color="auto"/>
              <w:left w:val="single" w:sz="2" w:space="0" w:color="auto"/>
              <w:bottom w:val="single" w:sz="2" w:space="0" w:color="auto"/>
              <w:right w:val="single" w:sz="2" w:space="0" w:color="auto"/>
            </w:tcBorders>
          </w:tcPr>
          <w:p>
            <w:pPr>
              <w:spacing w:after="0" w:line="360" w:lineRule="auto"/>
              <w:rPr>
                <w:rFonts w:eastAsia="Times New Roman"/>
                <w:noProof/>
                <w:szCs w:val="24"/>
              </w:rPr>
            </w:pPr>
          </w:p>
          <w:p>
            <w:pPr>
              <w:spacing w:after="0" w:line="360" w:lineRule="auto"/>
              <w:rPr>
                <w:rFonts w:eastAsia="Times New Roman"/>
                <w:noProof/>
                <w:szCs w:val="24"/>
              </w:rPr>
            </w:pPr>
            <w:r>
              <w:rPr>
                <w:noProof/>
              </w:rPr>
              <w:t xml:space="preserve">CY: </w:t>
            </w:r>
          </w:p>
          <w:p>
            <w:pPr>
              <w:spacing w:after="0" w:line="360" w:lineRule="auto"/>
              <w:rPr>
                <w:rFonts w:eastAsia="Times New Roman"/>
                <w:noProof/>
                <w:szCs w:val="24"/>
              </w:rPr>
            </w:pPr>
            <w:r>
              <w:rPr>
                <w:i/>
                <w:noProof/>
              </w:rPr>
              <w:t>sous-secteur B.6. e) (opérations sur valeurs mobilières transférables)</w:t>
            </w:r>
            <w:r>
              <w:rPr>
                <w:noProof/>
              </w:rPr>
              <w:t>: les personnes physiques qui exercent des activités de courtiers, individuellement ou en tant qu’employés d’une société de courtage, doivent répondre aux critères établis à cet égard en matière de licences.</w:t>
            </w:r>
          </w:p>
          <w:p>
            <w:pPr>
              <w:spacing w:after="0" w:line="360" w:lineRule="auto"/>
              <w:rPr>
                <w:rFonts w:eastAsia="Times New Roman"/>
                <w:noProof/>
                <w:szCs w:val="24"/>
              </w:rPr>
            </w:pPr>
            <w:r>
              <w:rPr>
                <w:i/>
                <w:noProof/>
              </w:rPr>
              <w:t>Sous-secteurs B.1. à B.12., sauf B.6. e):</w:t>
            </w:r>
            <w:r>
              <w:rPr>
                <w:noProof/>
              </w:rPr>
              <w:t xml:space="preserve"> non consolidé.</w:t>
            </w:r>
          </w:p>
          <w:p>
            <w:pPr>
              <w:spacing w:after="0" w:line="360" w:lineRule="auto"/>
              <w:rPr>
                <w:rFonts w:eastAsia="Times New Roman"/>
                <w:noProof/>
                <w:szCs w:val="24"/>
              </w:rPr>
            </w:pPr>
            <w:r>
              <w:rPr>
                <w:noProof/>
              </w:rPr>
              <w:t>CZ:</w:t>
            </w:r>
          </w:p>
          <w:p>
            <w:pPr>
              <w:spacing w:after="0" w:line="360" w:lineRule="auto"/>
              <w:rPr>
                <w:rFonts w:eastAsia="Times New Roman"/>
                <w:noProof/>
                <w:szCs w:val="24"/>
              </w:rPr>
            </w:pPr>
            <w:r>
              <w:rPr>
                <w:i/>
                <w:noProof/>
              </w:rPr>
              <w:t>services d’émission monétaires par des établissements autres que la Banque centrale, opérations sur produits dérivés et métal, courtage monétaire, services de règlement et de compensation afférents à des produits dérivés, services de conseil, d’intermédiation et autres services financiers auxiliaires de ces activités</w:t>
            </w:r>
            <w:r>
              <w:rPr>
                <w:noProof/>
              </w:rPr>
              <w:t>: non consolidé.</w:t>
            </w:r>
          </w:p>
          <w:p>
            <w:pPr>
              <w:spacing w:after="0" w:line="360" w:lineRule="auto"/>
              <w:rPr>
                <w:rFonts w:eastAsia="Times New Roman"/>
                <w:noProof/>
                <w:szCs w:val="24"/>
              </w:rPr>
            </w:pPr>
            <w:r>
              <w:rPr>
                <w:i/>
                <w:noProof/>
              </w:rPr>
              <w:t>Tous les autres sous-secteurs</w:t>
            </w:r>
            <w:r>
              <w:rPr>
                <w:noProof/>
              </w:rPr>
              <w:t>: non consolidé, à l’exception des dispositions figurant sous «Engagements horizontaux».</w:t>
            </w:r>
          </w:p>
          <w:p>
            <w:pPr>
              <w:spacing w:after="0" w:line="360" w:lineRule="auto"/>
              <w:rPr>
                <w:rFonts w:eastAsia="Times New Roman"/>
                <w:noProof/>
                <w:szCs w:val="24"/>
              </w:rPr>
            </w:pPr>
            <w:r>
              <w:rPr>
                <w:noProof/>
              </w:rPr>
              <w:t xml:space="preserve">MT: </w:t>
            </w:r>
          </w:p>
          <w:p>
            <w:pPr>
              <w:spacing w:after="0" w:line="360" w:lineRule="auto"/>
              <w:rPr>
                <w:rFonts w:eastAsia="Times New Roman"/>
                <w:noProof/>
                <w:szCs w:val="24"/>
              </w:rPr>
            </w:pPr>
            <w:r>
              <w:rPr>
                <w:i/>
                <w:noProof/>
              </w:rPr>
              <w:t>sous-secteurs B.1., B.2. et B.11. (acceptation de dépôts, prêts de tous types, fourniture et transfert d’informations financières):</w:t>
            </w:r>
            <w:r>
              <w:rPr>
                <w:noProof/>
              </w:rPr>
              <w:t xml:space="preserve"> non consolidé, à l’exception des dispositions figurant sous «Engagements horizontaux».</w:t>
            </w:r>
          </w:p>
          <w:p>
            <w:pPr>
              <w:spacing w:after="0" w:line="360" w:lineRule="auto"/>
              <w:rPr>
                <w:rFonts w:eastAsia="Times New Roman"/>
                <w:noProof/>
                <w:szCs w:val="24"/>
              </w:rPr>
            </w:pPr>
            <w:r>
              <w:rPr>
                <w:i/>
                <w:noProof/>
              </w:rPr>
              <w:t>Sous-secteurs B.3. à B.10. et B.12</w:t>
            </w:r>
            <w:r>
              <w:rPr>
                <w:noProof/>
                <w:u w:val="single"/>
              </w:rPr>
              <w:t>.</w:t>
            </w:r>
            <w:r>
              <w:rPr>
                <w:noProof/>
              </w:rPr>
              <w:t>: non consolidé.</w:t>
            </w:r>
          </w:p>
          <w:p>
            <w:pPr>
              <w:spacing w:after="0" w:line="360" w:lineRule="auto"/>
              <w:rPr>
                <w:rFonts w:eastAsia="Times New Roman"/>
                <w:noProof/>
                <w:szCs w:val="24"/>
              </w:rPr>
            </w:pPr>
            <w:r>
              <w:rPr>
                <w:noProof/>
              </w:rPr>
              <w:t>PL:</w:t>
            </w:r>
          </w:p>
          <w:p>
            <w:pPr>
              <w:spacing w:after="0" w:line="360" w:lineRule="auto"/>
              <w:rPr>
                <w:rFonts w:eastAsia="Times New Roman"/>
                <w:noProof/>
                <w:szCs w:val="24"/>
              </w:rPr>
            </w:pPr>
            <w:r>
              <w:rPr>
                <w:i/>
                <w:noProof/>
              </w:rPr>
              <w:t>sous-secteurs B.1., B.2., B.4. et B.5. (à l’exclusion des garanties et engagements du Trésor):</w:t>
            </w:r>
            <w:r>
              <w:rPr>
                <w:noProof/>
              </w:rPr>
              <w:t xml:space="preserve"> non consolidé, à l’exception de ce qui est indiqué dans la section horizontale et sous réserve de la limitation suivante: une banque doit compter un certain nombre de Polonais (au moins un) parmi ses dirigeants. </w:t>
            </w:r>
          </w:p>
          <w:p>
            <w:pPr>
              <w:spacing w:after="0" w:line="360" w:lineRule="auto"/>
              <w:rPr>
                <w:rFonts w:eastAsia="Times New Roman"/>
                <w:noProof/>
                <w:szCs w:val="24"/>
                <w:u w:val="single"/>
              </w:rPr>
            </w:pPr>
            <w:r>
              <w:rPr>
                <w:i/>
                <w:noProof/>
              </w:rPr>
              <w:t>Sous-secteurs B.6. e) et B.7. (à l’exclusion de la participation à des émissions des effets du Trésor), B.9. (services de gestion de portefeuille uniquement), B.11. et B.12. (services de conseil et autres services financiers auxiliaires des activités afférentes seulement à la Pologne):</w:t>
            </w:r>
            <w:r>
              <w:rPr>
                <w:noProof/>
              </w:rPr>
              <w:t xml:space="preserve"> non consolidé, à l’exception des dispositions figurant sous «Engagements horizontaux».</w:t>
            </w:r>
            <w:r>
              <w:rPr>
                <w:noProof/>
                <w:u w:val="single"/>
              </w:rPr>
              <w:t xml:space="preserve"> </w:t>
            </w:r>
          </w:p>
          <w:p>
            <w:pPr>
              <w:spacing w:after="0" w:line="360" w:lineRule="auto"/>
              <w:rPr>
                <w:rFonts w:eastAsia="Times New Roman"/>
                <w:noProof/>
                <w:szCs w:val="24"/>
              </w:rPr>
            </w:pPr>
            <w:r>
              <w:rPr>
                <w:i/>
                <w:noProof/>
              </w:rPr>
              <w:t>Tous les autres sous-secteurs</w:t>
            </w:r>
            <w:r>
              <w:rPr>
                <w:noProof/>
              </w:rPr>
              <w:t>: non consolidé.</w:t>
            </w:r>
          </w:p>
          <w:p>
            <w:pPr>
              <w:spacing w:after="0" w:line="360" w:lineRule="auto"/>
              <w:rPr>
                <w:rFonts w:eastAsia="Times New Roman"/>
                <w:noProof/>
                <w:szCs w:val="24"/>
              </w:rPr>
            </w:pPr>
            <w:r>
              <w:rPr>
                <w:noProof/>
              </w:rPr>
              <w:t>SK:</w:t>
            </w:r>
          </w:p>
          <w:p>
            <w:pPr>
              <w:spacing w:after="0" w:line="360" w:lineRule="auto"/>
              <w:rPr>
                <w:rFonts w:eastAsia="Times New Roman"/>
                <w:noProof/>
                <w:szCs w:val="24"/>
              </w:rPr>
            </w:pPr>
            <w:r>
              <w:rPr>
                <w:i/>
                <w:noProof/>
              </w:rPr>
              <w:t>opérations sur produits dérivés et métal, courtage monétaire et intermédiation</w:t>
            </w:r>
            <w:r>
              <w:rPr>
                <w:noProof/>
              </w:rPr>
              <w:t>: non consolidé.</w:t>
            </w:r>
          </w:p>
          <w:p>
            <w:pPr>
              <w:spacing w:after="0" w:line="360" w:lineRule="auto"/>
              <w:rPr>
                <w:rFonts w:eastAsia="Times New Roman"/>
                <w:noProof/>
                <w:szCs w:val="24"/>
              </w:rPr>
            </w:pPr>
            <w:r>
              <w:rPr>
                <w:i/>
                <w:noProof/>
              </w:rPr>
              <w:t>Tous les autres sous-secteurs:</w:t>
            </w:r>
            <w:r>
              <w:rPr>
                <w:noProof/>
              </w:rPr>
              <w:t xml:space="preserve"> non consolidé, à l’exception des dispositions figurant sous «Engagements horizontaux».</w:t>
            </w:r>
          </w:p>
          <w:p>
            <w:pPr>
              <w:spacing w:after="0" w:line="360" w:lineRule="auto"/>
              <w:rPr>
                <w:rFonts w:eastAsia="Times New Roman"/>
                <w:noProof/>
                <w:szCs w:val="24"/>
              </w:rPr>
            </w:pPr>
            <w:r>
              <w:rPr>
                <w:noProof/>
              </w:rPr>
              <w:t>SI:</w:t>
            </w:r>
          </w:p>
          <w:p>
            <w:pPr>
              <w:spacing w:after="0" w:line="360" w:lineRule="auto"/>
              <w:rPr>
                <w:rFonts w:eastAsia="Times New Roman"/>
                <w:noProof/>
                <w:szCs w:val="24"/>
              </w:rPr>
            </w:pPr>
            <w:r>
              <w:rPr>
                <w:i/>
                <w:noProof/>
              </w:rPr>
              <w:t>participation à des émissions d’obligations du Trésor, gestion de fonds de pension, services de conseil et autres services financiers auxiliaires</w:t>
            </w:r>
            <w:r>
              <w:rPr>
                <w:noProof/>
              </w:rPr>
              <w:t>: non consolidé.</w:t>
            </w:r>
          </w:p>
          <w:p>
            <w:pPr>
              <w:spacing w:after="0" w:line="360" w:lineRule="auto"/>
              <w:rPr>
                <w:rFonts w:eastAsia="Times New Roman"/>
                <w:noProof/>
                <w:szCs w:val="24"/>
              </w:rPr>
            </w:pPr>
            <w:r>
              <w:rPr>
                <w:i/>
                <w:noProof/>
              </w:rPr>
              <w:t>Tous les autres sous-secteurs</w:t>
            </w:r>
            <w:r>
              <w:rPr>
                <w:noProof/>
              </w:rPr>
              <w:t>: non consolidé, à l’exception des dispositions figurant sous «Engagements horizontaux».</w:t>
            </w:r>
          </w:p>
          <w:p>
            <w:pPr>
              <w:spacing w:after="0" w:line="360" w:lineRule="auto"/>
              <w:rPr>
                <w:rFonts w:eastAsia="Times New Roman"/>
                <w:noProof/>
                <w:szCs w:val="24"/>
              </w:rPr>
            </w:pPr>
            <w:r>
              <w:rPr>
                <w:noProof/>
              </w:rPr>
              <w:t>AT, BE, BG, DE, DK, ES, EE, FR, FI, EL, HR, HU, IT, IE, LU, LT, LV, NL, PT, RO, SE et UK:</w:t>
            </w:r>
          </w:p>
          <w:p>
            <w:pPr>
              <w:spacing w:after="0" w:line="360" w:lineRule="auto"/>
              <w:rPr>
                <w:rFonts w:eastAsia="Times New Roman"/>
                <w:noProof/>
                <w:szCs w:val="24"/>
              </w:rPr>
            </w:pPr>
            <w:r>
              <w:rPr>
                <w:noProof/>
              </w:rPr>
              <w:t>non consolidé, à l’exception de ce qui est indiqué dans les sections horizontales respectives et sous réserve des limitations spécifiques suivantes:</w:t>
            </w:r>
          </w:p>
          <w:p>
            <w:pPr>
              <w:spacing w:after="0" w:line="360" w:lineRule="auto"/>
              <w:rPr>
                <w:rFonts w:eastAsia="Times New Roman"/>
                <w:noProof/>
                <w:szCs w:val="24"/>
              </w:rPr>
            </w:pPr>
            <w:r>
              <w:rPr>
                <w:noProof/>
              </w:rPr>
              <w:t>BG: non consolidé pour les garanties du Trésor public. Non consolidé pour les opérations pour son propre compte ou pour le compte de clients sur des instruments négociables et des actifs financiers autres que des valeurs mobilières transférables. Non consolidé pour la participation à l’émission d’obligations du Trésor. Non consolidé pour le courtage monétaire. Non consolidé pour la gestion de fonds de pension. Non consolidé pour les services de règlement et de compensation afférents à des actifs financiers. Non consolidé pour l’intermédiation et d’autres services financiers auxiliaires.</w:t>
            </w:r>
          </w:p>
          <w:p>
            <w:pPr>
              <w:spacing w:after="0" w:line="360" w:lineRule="auto"/>
              <w:rPr>
                <w:rFonts w:eastAsia="Times New Roman"/>
                <w:noProof/>
                <w:szCs w:val="24"/>
              </w:rPr>
            </w:pPr>
            <w:r>
              <w:rPr>
                <w:noProof/>
              </w:rPr>
              <w:t>HR: le conseil d’administration doit diriger les activités d'un établissement de crédit depuis le territoire de la République de Croatie.  Au moins un membre du conseil d’administration doit pouvoir s’exprimer couramment en langue croate. Les opérations de l’établissement de monnaie électronique doivent s’effectuer depuis le territoire de la République de Croatie.  Les bureaux de change autorisés sont dirigés par tout résident disposant de la personnalité juridique et par toute entreprise individuelle utilisant pour son activité des logiciels protégés d'opérations de change, qui ont un accord avec une banque et sont autorisés à réaliser des opérations de change.</w:t>
            </w:r>
          </w:p>
          <w:p>
            <w:pPr>
              <w:spacing w:after="0" w:line="360" w:lineRule="auto"/>
              <w:rPr>
                <w:rFonts w:eastAsia="Times New Roman"/>
                <w:noProof/>
                <w:szCs w:val="24"/>
              </w:rPr>
            </w:pPr>
            <w:r>
              <w:rPr>
                <w:noProof/>
              </w:rPr>
              <w:t xml:space="preserve">FR: </w:t>
            </w:r>
            <w:r>
              <w:rPr>
                <w:i/>
                <w:noProof/>
              </w:rPr>
              <w:t>sociétés d'investissement à capital fixe</w:t>
            </w:r>
            <w:r>
              <w:rPr>
                <w:noProof/>
              </w:rPr>
              <w:t>: condition de nationalité pour le président du conseil d'administration, les directeurs généraux et au moins les deux tiers des administrateurs; si la société est dotée d'un conseil de surveillance, les membres de ce conseil ou son directeur général et au moins les deux tiers de ses membres doivent eux aussi satisfaire à la condition de nationalité.</w:t>
            </w:r>
          </w:p>
          <w:p>
            <w:pPr>
              <w:spacing w:after="0" w:line="360" w:lineRule="auto"/>
              <w:rPr>
                <w:rFonts w:eastAsia="Times New Roman"/>
                <w:noProof/>
                <w:szCs w:val="24"/>
              </w:rPr>
            </w:pPr>
            <w:r>
              <w:rPr>
                <w:noProof/>
              </w:rPr>
              <w:t>EL: les établissements de crédit doivent désigner au moins deux personnes responsables de leurs activités. Ces personnes doivent résider en Grèce.</w:t>
            </w:r>
          </w:p>
          <w:p>
            <w:pPr>
              <w:spacing w:after="0" w:line="360" w:lineRule="auto"/>
              <w:rPr>
                <w:rFonts w:eastAsia="Times New Roman"/>
                <w:noProof/>
                <w:szCs w:val="24"/>
              </w:rPr>
            </w:pPr>
            <w:r>
              <w:rPr>
                <w:noProof/>
              </w:rPr>
              <w:t>IT: les «promotori di servizi finanziari» (agents de vente de services financiers) doivent résider sur le territoire d’un État membre de la Communauté européenne.</w:t>
            </w:r>
          </w:p>
          <w:p>
            <w:pPr>
              <w:spacing w:after="0" w:line="360" w:lineRule="auto"/>
              <w:rPr>
                <w:rFonts w:eastAsia="Times New Roman"/>
                <w:noProof/>
                <w:szCs w:val="24"/>
              </w:rPr>
            </w:pPr>
            <w:r>
              <w:rPr>
                <w:noProof/>
              </w:rPr>
              <w:t>LV:</w:t>
            </w:r>
            <w:r>
              <w:rPr>
                <w:b/>
                <w:noProof/>
              </w:rPr>
              <w:t xml:space="preserve"> </w:t>
            </w:r>
            <w:r>
              <w:rPr>
                <w:noProof/>
              </w:rPr>
              <w:t>le directeur d’une succursale ou d’une filiale d’une banque étrangère doit être imposable en Lettonie (résident).</w:t>
            </w:r>
          </w:p>
          <w:p>
            <w:pPr>
              <w:spacing w:after="0" w:line="360" w:lineRule="auto"/>
              <w:rPr>
                <w:rFonts w:eastAsia="Times New Roman"/>
                <w:noProof/>
                <w:szCs w:val="24"/>
              </w:rPr>
            </w:pPr>
            <w:r>
              <w:rPr>
                <w:noProof/>
              </w:rPr>
              <w:t>RO: non consolidé pour le crédit-bail. Non consolidé pour les opérations pour son propre compte ou pour le compte de clients sur des instruments négociables et des actifs financiers autres que des valeurs mobilières transférables.</w:t>
            </w:r>
          </w:p>
        </w:tc>
      </w:tr>
    </w:tbl>
    <w:p>
      <w:pPr>
        <w:spacing w:after="0" w:line="360" w:lineRule="auto"/>
        <w:jc w:val="center"/>
        <w:rPr>
          <w:rFonts w:eastAsia="Times New Roman"/>
          <w:noProof/>
          <w:szCs w:val="24"/>
        </w:rPr>
      </w:pPr>
      <w:r>
        <w:rPr>
          <w:noProof/>
        </w:rPr>
        <w:br w:type="page"/>
        <w:t>«ANNEXE II</w:t>
      </w:r>
    </w:p>
    <w:p>
      <w:pPr>
        <w:spacing w:after="0" w:line="360" w:lineRule="auto"/>
        <w:jc w:val="center"/>
        <w:rPr>
          <w:rFonts w:eastAsia="Times New Roman"/>
          <w:noProof/>
          <w:szCs w:val="24"/>
        </w:rPr>
      </w:pPr>
    </w:p>
    <w:p>
      <w:pPr>
        <w:spacing w:after="0" w:line="360" w:lineRule="auto"/>
        <w:jc w:val="center"/>
        <w:rPr>
          <w:rFonts w:eastAsia="Times New Roman"/>
          <w:noProof/>
          <w:szCs w:val="24"/>
        </w:rPr>
      </w:pPr>
    </w:p>
    <w:p>
      <w:pPr>
        <w:spacing w:after="0" w:line="360" w:lineRule="auto"/>
        <w:jc w:val="center"/>
        <w:rPr>
          <w:rFonts w:eastAsia="Times New Roman"/>
          <w:noProof/>
          <w:szCs w:val="24"/>
        </w:rPr>
      </w:pPr>
    </w:p>
    <w:p>
      <w:pPr>
        <w:spacing w:after="0"/>
        <w:jc w:val="center"/>
        <w:rPr>
          <w:rFonts w:eastAsia="Times New Roman"/>
          <w:b/>
          <w:noProof/>
          <w:szCs w:val="20"/>
        </w:rPr>
      </w:pPr>
      <w:r>
        <w:rPr>
          <w:b/>
          <w:noProof/>
        </w:rPr>
        <w:t>AUTORITÉS CHARGÉES DES SERVICES FINANCIERS</w:t>
      </w:r>
    </w:p>
    <w:p>
      <w:pPr>
        <w:spacing w:after="0"/>
        <w:jc w:val="center"/>
        <w:rPr>
          <w:rFonts w:eastAsia="Times New Roman"/>
          <w:noProof/>
          <w:szCs w:val="20"/>
        </w:rPr>
      </w:pPr>
    </w:p>
    <w:p>
      <w:pPr>
        <w:spacing w:after="0"/>
        <w:jc w:val="center"/>
        <w:rPr>
          <w:rFonts w:eastAsia="Times New Roman"/>
          <w:noProof/>
          <w:szCs w:val="20"/>
        </w:rPr>
      </w:pPr>
      <w:r>
        <w:rPr>
          <w:noProof/>
        </w:rPr>
        <w:t>PARTIE A</w:t>
      </w:r>
    </w:p>
    <w:p>
      <w:pPr>
        <w:spacing w:after="0"/>
        <w:jc w:val="center"/>
        <w:rPr>
          <w:rFonts w:eastAsia="Times New Roman"/>
          <w:noProof/>
          <w:szCs w:val="20"/>
        </w:rPr>
      </w:pPr>
    </w:p>
    <w:p>
      <w:pPr>
        <w:spacing w:after="0"/>
        <w:jc w:val="center"/>
        <w:rPr>
          <w:rFonts w:eastAsia="Times New Roman"/>
          <w:b/>
          <w:noProof/>
          <w:szCs w:val="20"/>
        </w:rPr>
      </w:pPr>
      <w:r>
        <w:rPr>
          <w:b/>
          <w:noProof/>
        </w:rPr>
        <w:t>Pour la Communauté et ses États membres</w:t>
      </w:r>
    </w:p>
    <w:p>
      <w:pPr>
        <w:spacing w:after="0"/>
        <w:jc w:val="center"/>
        <w:rPr>
          <w:rFonts w:eastAsia="Times New Roman"/>
          <w:b/>
          <w:noProof/>
          <w:szCs w:val="20"/>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880"/>
        <w:gridCol w:w="5400"/>
      </w:tblGrid>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Commission européenne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DG Commerce</w:t>
            </w:r>
          </w:p>
          <w:p>
            <w:pPr>
              <w:rPr>
                <w:rFonts w:eastAsia="Times New Roman"/>
                <w:noProof/>
                <w:sz w:val="20"/>
                <w:szCs w:val="20"/>
              </w:rPr>
            </w:pPr>
            <w:r>
              <w:rPr>
                <w:noProof/>
                <w:sz w:val="20"/>
              </w:rPr>
              <w:t>DG Marché intérieur</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B-1049 Bruxelles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Autriche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Direction de la politique économique et des marchés financiers</w:t>
            </w:r>
          </w:p>
          <w:p>
            <w:pPr>
              <w:rPr>
                <w:rFonts w:eastAsia="Times New Roman"/>
                <w:noProof/>
                <w:sz w:val="20"/>
                <w:szCs w:val="20"/>
              </w:rPr>
            </w:pPr>
            <w:r>
              <w:rPr>
                <w:noProof/>
                <w:sz w:val="20"/>
              </w:rPr>
              <w:t>Himmelpfortgasse 4-8</w:t>
            </w:r>
          </w:p>
          <w:p>
            <w:pPr>
              <w:rPr>
                <w:rFonts w:eastAsia="Times New Roman"/>
                <w:noProof/>
                <w:sz w:val="20"/>
                <w:szCs w:val="20"/>
              </w:rPr>
            </w:pPr>
            <w:r>
              <w:rPr>
                <w:noProof/>
                <w:sz w:val="20"/>
              </w:rPr>
              <w:t>Postfach 2</w:t>
            </w:r>
          </w:p>
          <w:p>
            <w:pPr>
              <w:rPr>
                <w:rFonts w:eastAsia="Times New Roman"/>
                <w:noProof/>
                <w:sz w:val="20"/>
                <w:szCs w:val="20"/>
              </w:rPr>
            </w:pPr>
            <w:r>
              <w:rPr>
                <w:noProof/>
                <w:sz w:val="20"/>
              </w:rPr>
              <w:t>A-1015 Vienne</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Belgique</w:t>
            </w:r>
          </w:p>
        </w:tc>
        <w:tc>
          <w:tcPr>
            <w:tcW w:w="2880" w:type="dxa"/>
            <w:tcBorders>
              <w:top w:val="single" w:sz="4" w:space="0" w:color="auto"/>
              <w:left w:val="single" w:sz="4" w:space="0" w:color="auto"/>
              <w:bottom w:val="single" w:sz="4" w:space="0" w:color="auto"/>
              <w:right w:val="single" w:sz="4" w:space="0" w:color="auto"/>
            </w:tcBorders>
          </w:tcPr>
          <w:p>
            <w:pPr>
              <w:rPr>
                <w:rFonts w:eastAsia="Times New Roman"/>
                <w:noProof/>
                <w:sz w:val="20"/>
                <w:szCs w:val="20"/>
              </w:rPr>
            </w:pPr>
            <w:r>
              <w:rPr>
                <w:noProof/>
                <w:sz w:val="20"/>
              </w:rPr>
              <w:t>Ministère de l’économie</w:t>
            </w:r>
          </w:p>
          <w:p>
            <w:pPr>
              <w:rPr>
                <w:rFonts w:eastAsia="Times New Roman"/>
                <w:noProof/>
                <w:sz w:val="20"/>
                <w:szCs w:val="20"/>
              </w:rPr>
            </w:pPr>
          </w:p>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tcPr>
          <w:p>
            <w:pPr>
              <w:rPr>
                <w:rFonts w:eastAsia="Times New Roman"/>
                <w:noProof/>
                <w:sz w:val="20"/>
                <w:szCs w:val="20"/>
              </w:rPr>
            </w:pPr>
            <w:r>
              <w:rPr>
                <w:noProof/>
                <w:sz w:val="20"/>
              </w:rPr>
              <w:t>Rue de Bréderode 7</w:t>
            </w:r>
          </w:p>
          <w:p>
            <w:pPr>
              <w:rPr>
                <w:rFonts w:eastAsia="Times New Roman"/>
                <w:noProof/>
                <w:sz w:val="20"/>
                <w:szCs w:val="20"/>
              </w:rPr>
            </w:pPr>
            <w:r>
              <w:rPr>
                <w:noProof/>
                <w:sz w:val="20"/>
              </w:rPr>
              <w:t>B-1000 Bruxelles</w:t>
            </w:r>
          </w:p>
          <w:p>
            <w:pPr>
              <w:rPr>
                <w:rFonts w:eastAsia="Times New Roman"/>
                <w:noProof/>
                <w:sz w:val="20"/>
                <w:szCs w:val="20"/>
              </w:rPr>
            </w:pPr>
          </w:p>
          <w:p>
            <w:pPr>
              <w:rPr>
                <w:rFonts w:eastAsia="Times New Roman"/>
                <w:noProof/>
                <w:sz w:val="20"/>
                <w:szCs w:val="20"/>
              </w:rPr>
            </w:pPr>
            <w:r>
              <w:rPr>
                <w:noProof/>
                <w:sz w:val="20"/>
              </w:rPr>
              <w:t>Rue de la Loi 12</w:t>
            </w:r>
          </w:p>
          <w:p>
            <w:pPr>
              <w:rPr>
                <w:rFonts w:eastAsia="Times New Roman"/>
                <w:noProof/>
                <w:sz w:val="20"/>
                <w:szCs w:val="20"/>
              </w:rPr>
            </w:pPr>
            <w:r>
              <w:rPr>
                <w:noProof/>
                <w:sz w:val="20"/>
              </w:rPr>
              <w:t>B-1000 Bruxelles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Bulgarie</w:t>
            </w:r>
          </w:p>
        </w:tc>
        <w:tc>
          <w:tcPr>
            <w:tcW w:w="2880" w:type="dxa"/>
            <w:tcBorders>
              <w:top w:val="single" w:sz="4" w:space="0" w:color="auto"/>
              <w:left w:val="single" w:sz="4" w:space="0" w:color="auto"/>
              <w:bottom w:val="single" w:sz="4" w:space="0" w:color="auto"/>
              <w:right w:val="single" w:sz="4" w:space="0" w:color="auto"/>
            </w:tcBorders>
          </w:tcPr>
          <w:p>
            <w:pPr>
              <w:spacing w:after="0"/>
              <w:rPr>
                <w:rFonts w:eastAsia="Times New Roman"/>
                <w:noProof/>
                <w:sz w:val="20"/>
                <w:szCs w:val="20"/>
              </w:rPr>
            </w:pPr>
            <w:r>
              <w:rPr>
                <w:noProof/>
                <w:sz w:val="20"/>
              </w:rPr>
              <w:t>Ministère de l’économie et de l’énergie</w:t>
            </w:r>
          </w:p>
          <w:p>
            <w:pPr>
              <w:spacing w:after="0"/>
              <w:rPr>
                <w:rFonts w:eastAsia="Times New Roman"/>
                <w:noProof/>
                <w:sz w:val="20"/>
                <w:szCs w:val="20"/>
              </w:rPr>
            </w:pPr>
          </w:p>
          <w:p>
            <w:pPr>
              <w:spacing w:after="0"/>
              <w:rPr>
                <w:rFonts w:eastAsia="Times New Roman"/>
                <w:noProof/>
                <w:sz w:val="20"/>
                <w:szCs w:val="20"/>
              </w:rPr>
            </w:pPr>
            <w:r>
              <w:rPr>
                <w:noProof/>
                <w:sz w:val="20"/>
              </w:rPr>
              <w:t>Ministère des finances</w:t>
            </w:r>
          </w:p>
          <w:p>
            <w:pPr>
              <w:spacing w:after="0"/>
              <w:rPr>
                <w:rFonts w:eastAsia="Times New Roman"/>
                <w:noProof/>
                <w:sz w:val="20"/>
                <w:szCs w:val="20"/>
              </w:rPr>
            </w:pPr>
          </w:p>
          <w:p>
            <w:pPr>
              <w:spacing w:after="0"/>
              <w:rPr>
                <w:rFonts w:eastAsia="Times New Roman"/>
                <w:noProof/>
                <w:sz w:val="20"/>
                <w:szCs w:val="20"/>
              </w:rPr>
            </w:pPr>
          </w:p>
          <w:p>
            <w:pPr>
              <w:spacing w:after="0"/>
              <w:rPr>
                <w:rFonts w:eastAsia="Times New Roman"/>
                <w:noProof/>
                <w:sz w:val="20"/>
                <w:szCs w:val="20"/>
              </w:rPr>
            </w:pPr>
            <w:r>
              <w:rPr>
                <w:noProof/>
                <w:sz w:val="20"/>
              </w:rPr>
              <w:t>Banque nationale bulgare</w:t>
            </w:r>
          </w:p>
          <w:p>
            <w:pPr>
              <w:spacing w:after="0"/>
              <w:rPr>
                <w:rFonts w:eastAsia="Times New Roman"/>
                <w:noProof/>
                <w:sz w:val="20"/>
                <w:szCs w:val="20"/>
              </w:rPr>
            </w:pPr>
          </w:p>
          <w:p>
            <w:pPr>
              <w:spacing w:after="0"/>
              <w:rPr>
                <w:rFonts w:eastAsia="Times New Roman"/>
                <w:noProof/>
                <w:sz w:val="20"/>
                <w:szCs w:val="20"/>
              </w:rPr>
            </w:pPr>
          </w:p>
          <w:p>
            <w:pPr>
              <w:spacing w:after="0"/>
              <w:rPr>
                <w:rFonts w:eastAsia="Times New Roman"/>
                <w:noProof/>
                <w:sz w:val="20"/>
                <w:szCs w:val="20"/>
              </w:rPr>
            </w:pPr>
            <w:r>
              <w:rPr>
                <w:noProof/>
                <w:sz w:val="20"/>
              </w:rPr>
              <w:t>Commission de contrôle financier</w:t>
            </w:r>
          </w:p>
        </w:tc>
        <w:tc>
          <w:tcPr>
            <w:tcW w:w="5400" w:type="dxa"/>
            <w:tcBorders>
              <w:top w:val="single" w:sz="4" w:space="0" w:color="auto"/>
              <w:left w:val="single" w:sz="4" w:space="0" w:color="auto"/>
              <w:bottom w:val="single" w:sz="4" w:space="0" w:color="auto"/>
              <w:right w:val="nil"/>
            </w:tcBorders>
          </w:tcPr>
          <w:p>
            <w:pPr>
              <w:spacing w:after="0"/>
              <w:rPr>
                <w:rFonts w:eastAsia="Times New Roman"/>
                <w:noProof/>
                <w:sz w:val="20"/>
                <w:szCs w:val="20"/>
              </w:rPr>
            </w:pPr>
            <w:r>
              <w:rPr>
                <w:noProof/>
                <w:sz w:val="20"/>
              </w:rPr>
              <w:t>Slavyanska str. 8</w:t>
            </w:r>
          </w:p>
          <w:p>
            <w:pPr>
              <w:spacing w:after="0"/>
              <w:rPr>
                <w:rFonts w:eastAsia="Times New Roman"/>
                <w:noProof/>
                <w:sz w:val="20"/>
                <w:szCs w:val="20"/>
              </w:rPr>
            </w:pPr>
            <w:r>
              <w:rPr>
                <w:noProof/>
                <w:sz w:val="20"/>
              </w:rPr>
              <w:t>Sofia 1052</w:t>
            </w:r>
          </w:p>
          <w:p>
            <w:pPr>
              <w:spacing w:after="0"/>
              <w:rPr>
                <w:rFonts w:eastAsia="Times New Roman"/>
                <w:noProof/>
                <w:sz w:val="20"/>
                <w:szCs w:val="20"/>
              </w:rPr>
            </w:pPr>
          </w:p>
          <w:p>
            <w:pPr>
              <w:spacing w:after="0"/>
              <w:rPr>
                <w:rFonts w:eastAsia="Times New Roman"/>
                <w:noProof/>
                <w:sz w:val="20"/>
                <w:szCs w:val="20"/>
              </w:rPr>
            </w:pPr>
            <w:r>
              <w:rPr>
                <w:noProof/>
                <w:sz w:val="20"/>
              </w:rPr>
              <w:t>G.S.Rakovski str.102</w:t>
            </w:r>
          </w:p>
          <w:p>
            <w:pPr>
              <w:spacing w:after="0"/>
              <w:rPr>
                <w:rFonts w:eastAsia="Times New Roman"/>
                <w:noProof/>
                <w:sz w:val="20"/>
                <w:szCs w:val="20"/>
                <w:lang w:val="it-IT"/>
              </w:rPr>
            </w:pPr>
            <w:r>
              <w:rPr>
                <w:noProof/>
                <w:sz w:val="20"/>
                <w:lang w:val="it-IT"/>
              </w:rPr>
              <w:t>Sofia 1000</w:t>
            </w:r>
          </w:p>
          <w:p>
            <w:pPr>
              <w:spacing w:after="0"/>
              <w:rPr>
                <w:rFonts w:eastAsia="Times New Roman"/>
                <w:noProof/>
                <w:sz w:val="20"/>
                <w:szCs w:val="20"/>
                <w:lang w:val="it-IT"/>
              </w:rPr>
            </w:pPr>
          </w:p>
          <w:p>
            <w:pPr>
              <w:spacing w:after="0"/>
              <w:rPr>
                <w:rFonts w:eastAsia="Times New Roman"/>
                <w:noProof/>
                <w:sz w:val="20"/>
                <w:szCs w:val="20"/>
                <w:lang w:val="it-IT"/>
              </w:rPr>
            </w:pPr>
            <w:r>
              <w:rPr>
                <w:noProof/>
                <w:sz w:val="20"/>
                <w:lang w:val="it-IT"/>
              </w:rPr>
              <w:t>Al. Batenberg sq.1</w:t>
            </w:r>
          </w:p>
          <w:p>
            <w:pPr>
              <w:spacing w:after="0"/>
              <w:rPr>
                <w:rFonts w:eastAsia="Times New Roman"/>
                <w:noProof/>
                <w:sz w:val="20"/>
                <w:szCs w:val="20"/>
                <w:lang w:val="it-IT"/>
              </w:rPr>
            </w:pPr>
            <w:r>
              <w:rPr>
                <w:noProof/>
                <w:sz w:val="20"/>
                <w:lang w:val="it-IT"/>
              </w:rPr>
              <w:t>Sofia 1000</w:t>
            </w:r>
          </w:p>
          <w:p>
            <w:pPr>
              <w:spacing w:after="0"/>
              <w:rPr>
                <w:rFonts w:eastAsia="Times New Roman"/>
                <w:noProof/>
                <w:sz w:val="20"/>
                <w:szCs w:val="20"/>
                <w:lang w:val="it-IT"/>
              </w:rPr>
            </w:pPr>
          </w:p>
          <w:p>
            <w:pPr>
              <w:spacing w:after="0"/>
              <w:rPr>
                <w:rFonts w:eastAsia="Times New Roman"/>
                <w:noProof/>
                <w:sz w:val="20"/>
                <w:szCs w:val="20"/>
              </w:rPr>
            </w:pPr>
            <w:r>
              <w:rPr>
                <w:noProof/>
                <w:sz w:val="20"/>
              </w:rPr>
              <w:t>33, rue Shar Planina</w:t>
            </w:r>
          </w:p>
          <w:p>
            <w:pPr>
              <w:spacing w:after="0"/>
              <w:rPr>
                <w:rFonts w:eastAsia="Times New Roman"/>
                <w:noProof/>
                <w:sz w:val="20"/>
                <w:szCs w:val="20"/>
              </w:rPr>
            </w:pPr>
            <w:r>
              <w:rPr>
                <w:noProof/>
                <w:color w:val="000000"/>
                <w:sz w:val="20"/>
              </w:rPr>
              <w:t>Sofia 1303</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Croatie</w:t>
            </w:r>
          </w:p>
        </w:tc>
        <w:tc>
          <w:tcPr>
            <w:tcW w:w="2880" w:type="dxa"/>
            <w:tcBorders>
              <w:top w:val="single" w:sz="4" w:space="0" w:color="auto"/>
              <w:left w:val="single" w:sz="4" w:space="0" w:color="auto"/>
              <w:bottom w:val="single" w:sz="4" w:space="0" w:color="auto"/>
              <w:right w:val="single" w:sz="4" w:space="0" w:color="auto"/>
            </w:tcBorders>
            <w:hideMark/>
          </w:tcPr>
          <w:p>
            <w:pPr>
              <w:spacing w:after="0"/>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spacing w:after="0"/>
              <w:rPr>
                <w:rFonts w:eastAsia="Times New Roman"/>
                <w:noProof/>
                <w:sz w:val="20"/>
                <w:szCs w:val="20"/>
              </w:rPr>
            </w:pPr>
            <w:r>
              <w:rPr>
                <w:noProof/>
                <w:sz w:val="20"/>
              </w:rPr>
              <w:t>Katanciceva 5</w:t>
            </w:r>
            <w:r>
              <w:rPr>
                <w:rFonts w:eastAsia="Times New Roman"/>
                <w:noProof/>
                <w:sz w:val="20"/>
                <w:szCs w:val="20"/>
              </w:rPr>
              <w:br/>
            </w:r>
            <w:r>
              <w:rPr>
                <w:noProof/>
                <w:sz w:val="20"/>
              </w:rPr>
              <w:t>10000 Zagreb</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Chypre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CY-1439 Nicosie</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République tchèque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Letenská 15</w:t>
            </w:r>
          </w:p>
          <w:p>
            <w:pPr>
              <w:rPr>
                <w:rFonts w:eastAsia="Times New Roman"/>
                <w:noProof/>
                <w:sz w:val="20"/>
                <w:szCs w:val="20"/>
              </w:rPr>
            </w:pPr>
            <w:r>
              <w:rPr>
                <w:noProof/>
                <w:sz w:val="20"/>
              </w:rPr>
              <w:t>CZ-118 10 Prague</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Danemark</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affaires économiques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 xml:space="preserve">Ved Stranden 8 </w:t>
            </w:r>
          </w:p>
          <w:p>
            <w:pPr>
              <w:rPr>
                <w:rFonts w:eastAsia="Times New Roman"/>
                <w:noProof/>
                <w:sz w:val="20"/>
                <w:szCs w:val="20"/>
              </w:rPr>
            </w:pPr>
            <w:r>
              <w:rPr>
                <w:noProof/>
                <w:sz w:val="20"/>
              </w:rPr>
              <w:t>DK-1061 Copenhague K</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Estonie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Suur-Ameerika 1</w:t>
            </w:r>
          </w:p>
          <w:p>
            <w:pPr>
              <w:rPr>
                <w:rFonts w:eastAsia="Times New Roman"/>
                <w:noProof/>
                <w:sz w:val="20"/>
                <w:szCs w:val="20"/>
              </w:rPr>
            </w:pPr>
            <w:r>
              <w:rPr>
                <w:noProof/>
                <w:sz w:val="20"/>
              </w:rPr>
              <w:t>EE-15006 Tallinn</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Finlande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PO Box 28</w:t>
            </w:r>
          </w:p>
          <w:p>
            <w:pPr>
              <w:rPr>
                <w:rFonts w:eastAsia="Times New Roman"/>
                <w:noProof/>
                <w:sz w:val="20"/>
                <w:szCs w:val="20"/>
              </w:rPr>
            </w:pPr>
            <w:r>
              <w:rPr>
                <w:noProof/>
                <w:sz w:val="20"/>
              </w:rPr>
              <w:t>FIN-00023 Helsinki</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France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 l’économie, des finances et de l’industrie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Ministère de l’économie, des finances et de l’industrie</w:t>
            </w:r>
          </w:p>
          <w:p>
            <w:pPr>
              <w:rPr>
                <w:rFonts w:eastAsia="Times New Roman"/>
                <w:noProof/>
                <w:sz w:val="20"/>
                <w:szCs w:val="20"/>
              </w:rPr>
            </w:pPr>
            <w:r>
              <w:rPr>
                <w:noProof/>
                <w:sz w:val="20"/>
              </w:rPr>
              <w:t>139, rue de Bercy</w:t>
            </w:r>
          </w:p>
          <w:p>
            <w:pPr>
              <w:rPr>
                <w:rFonts w:eastAsia="Times New Roman"/>
                <w:noProof/>
                <w:sz w:val="20"/>
                <w:szCs w:val="20"/>
              </w:rPr>
            </w:pPr>
            <w:r>
              <w:rPr>
                <w:noProof/>
                <w:sz w:val="20"/>
              </w:rPr>
              <w:t>F-75572 Paris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Allemagne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de-DE"/>
              </w:rPr>
            </w:pPr>
            <w:r>
              <w:rPr>
                <w:noProof/>
                <w:sz w:val="20"/>
                <w:lang w:val="de-DE"/>
              </w:rPr>
              <w:t>Bundesanstalt für Finanzdienstleistungsaufsicht</w:t>
            </w:r>
          </w:p>
          <w:p>
            <w:pPr>
              <w:rPr>
                <w:rFonts w:eastAsia="Times New Roman"/>
                <w:noProof/>
                <w:sz w:val="20"/>
                <w:szCs w:val="20"/>
                <w:lang w:val="de-DE"/>
              </w:rPr>
            </w:pPr>
            <w:r>
              <w:rPr>
                <w:noProof/>
                <w:sz w:val="20"/>
                <w:lang w:val="de-DE"/>
              </w:rPr>
              <w:t>Graurheindorfer Str. 108</w:t>
            </w:r>
          </w:p>
          <w:p>
            <w:pPr>
              <w:rPr>
                <w:rFonts w:eastAsia="Times New Roman"/>
                <w:noProof/>
                <w:sz w:val="20"/>
                <w:szCs w:val="20"/>
              </w:rPr>
            </w:pPr>
            <w:r>
              <w:rPr>
                <w:noProof/>
                <w:sz w:val="20"/>
              </w:rPr>
              <w:t>D-53117 Bonn</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Grèce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Banque de Grèce</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Rue Panepistimiou, 21</w:t>
            </w:r>
          </w:p>
          <w:p>
            <w:pPr>
              <w:rPr>
                <w:rFonts w:eastAsia="Times New Roman"/>
                <w:noProof/>
                <w:sz w:val="20"/>
                <w:szCs w:val="20"/>
              </w:rPr>
            </w:pPr>
            <w:r>
              <w:rPr>
                <w:noProof/>
                <w:sz w:val="20"/>
              </w:rPr>
              <w:t>GR-10563 Athènes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Hongrie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Pénzügyminisztérium</w:t>
            </w:r>
          </w:p>
          <w:p>
            <w:pPr>
              <w:rPr>
                <w:rFonts w:eastAsia="Times New Roman"/>
                <w:noProof/>
                <w:sz w:val="20"/>
                <w:szCs w:val="20"/>
              </w:rPr>
            </w:pPr>
            <w:r>
              <w:rPr>
                <w:noProof/>
                <w:sz w:val="20"/>
              </w:rPr>
              <w:t>Postafiók 481</w:t>
            </w:r>
          </w:p>
          <w:p>
            <w:pPr>
              <w:rPr>
                <w:rFonts w:eastAsia="Times New Roman"/>
                <w:noProof/>
                <w:sz w:val="20"/>
                <w:szCs w:val="20"/>
              </w:rPr>
            </w:pPr>
            <w:r>
              <w:rPr>
                <w:noProof/>
                <w:sz w:val="20"/>
              </w:rPr>
              <w:t>HU-1369 Budapest</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Irlande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Autorité irlandaise de réglementation des services financiers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nl-NL"/>
              </w:rPr>
            </w:pPr>
            <w:r>
              <w:rPr>
                <w:noProof/>
                <w:sz w:val="20"/>
                <w:lang w:val="nl-NL"/>
              </w:rPr>
              <w:t>PO Box 9138</w:t>
            </w:r>
          </w:p>
          <w:p>
            <w:pPr>
              <w:rPr>
                <w:rFonts w:eastAsia="Times New Roman"/>
                <w:noProof/>
                <w:sz w:val="20"/>
                <w:szCs w:val="20"/>
                <w:lang w:val="nl-NL"/>
              </w:rPr>
            </w:pPr>
            <w:r>
              <w:rPr>
                <w:noProof/>
                <w:sz w:val="20"/>
                <w:lang w:val="nl-NL"/>
              </w:rPr>
              <w:t>College Green</w:t>
            </w:r>
          </w:p>
          <w:p>
            <w:pPr>
              <w:rPr>
                <w:rFonts w:eastAsia="Times New Roman"/>
                <w:noProof/>
                <w:sz w:val="20"/>
                <w:szCs w:val="20"/>
                <w:lang w:val="nl-NL"/>
              </w:rPr>
            </w:pPr>
            <w:r>
              <w:rPr>
                <w:noProof/>
                <w:sz w:val="20"/>
                <w:lang w:val="nl-NL"/>
              </w:rPr>
              <w:t>IRL-Dublin 2</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Italie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it-IT"/>
              </w:rPr>
            </w:pPr>
            <w:r>
              <w:rPr>
                <w:noProof/>
                <w:sz w:val="20"/>
                <w:lang w:val="it-IT"/>
              </w:rPr>
              <w:t>Ministero del Tesoro</w:t>
            </w:r>
          </w:p>
          <w:p>
            <w:pPr>
              <w:rPr>
                <w:rFonts w:eastAsia="Times New Roman"/>
                <w:noProof/>
                <w:sz w:val="20"/>
                <w:szCs w:val="20"/>
                <w:lang w:val="it-IT"/>
              </w:rPr>
            </w:pPr>
            <w:r>
              <w:rPr>
                <w:noProof/>
                <w:sz w:val="20"/>
                <w:lang w:val="it-IT"/>
              </w:rPr>
              <w:t xml:space="preserve">Via XX Settembre 97 </w:t>
            </w:r>
          </w:p>
          <w:p>
            <w:pPr>
              <w:rPr>
                <w:rFonts w:eastAsia="Times New Roman"/>
                <w:noProof/>
                <w:sz w:val="20"/>
                <w:szCs w:val="20"/>
              </w:rPr>
            </w:pPr>
            <w:r>
              <w:rPr>
                <w:noProof/>
                <w:sz w:val="20"/>
              </w:rPr>
              <w:t>I-00187 Rome</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Lettonie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Commission des marchés financiers et de capitaux</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Rue Panepistimiou, 1</w:t>
            </w:r>
          </w:p>
          <w:p>
            <w:pPr>
              <w:rPr>
                <w:rFonts w:eastAsia="Times New Roman"/>
                <w:noProof/>
                <w:sz w:val="20"/>
                <w:szCs w:val="20"/>
              </w:rPr>
            </w:pPr>
            <w:r>
              <w:rPr>
                <w:noProof/>
                <w:sz w:val="20"/>
              </w:rPr>
              <w:t>LV-1050 Riga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Lituanie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Vaižganto 8a/2,</w:t>
            </w:r>
          </w:p>
          <w:p>
            <w:pPr>
              <w:rPr>
                <w:rFonts w:eastAsia="Times New Roman"/>
                <w:noProof/>
                <w:sz w:val="20"/>
                <w:szCs w:val="20"/>
              </w:rPr>
            </w:pPr>
            <w:r>
              <w:rPr>
                <w:noProof/>
                <w:sz w:val="20"/>
              </w:rPr>
              <w:t>LT-01512 Vilnius</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Luxembourg</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Ministère des finances</w:t>
            </w:r>
          </w:p>
          <w:p>
            <w:pPr>
              <w:rPr>
                <w:rFonts w:eastAsia="Times New Roman"/>
                <w:noProof/>
                <w:sz w:val="20"/>
                <w:szCs w:val="20"/>
              </w:rPr>
            </w:pPr>
            <w:r>
              <w:rPr>
                <w:noProof/>
                <w:sz w:val="20"/>
              </w:rPr>
              <w:t xml:space="preserve">3, rue de la Congrégation </w:t>
            </w:r>
          </w:p>
          <w:p>
            <w:pPr>
              <w:rPr>
                <w:rFonts w:eastAsia="Times New Roman"/>
                <w:noProof/>
                <w:sz w:val="20"/>
                <w:szCs w:val="20"/>
              </w:rPr>
            </w:pPr>
            <w:r>
              <w:rPr>
                <w:noProof/>
                <w:sz w:val="20"/>
              </w:rPr>
              <w:t>L-2931 Luxembourg</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Malte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Autorité chargée des services financiers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Notabile Road</w:t>
            </w:r>
          </w:p>
          <w:p>
            <w:pPr>
              <w:rPr>
                <w:rFonts w:eastAsia="Times New Roman"/>
                <w:noProof/>
                <w:sz w:val="20"/>
                <w:szCs w:val="20"/>
              </w:rPr>
            </w:pPr>
            <w:r>
              <w:rPr>
                <w:noProof/>
                <w:sz w:val="20"/>
              </w:rPr>
              <w:t>MT-Attard</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Pays-Bas</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Direction de la politique des marchés financiers</w:t>
            </w:r>
          </w:p>
          <w:p>
            <w:pPr>
              <w:rPr>
                <w:rFonts w:eastAsia="Times New Roman"/>
                <w:noProof/>
                <w:sz w:val="20"/>
                <w:szCs w:val="20"/>
                <w:lang w:val="es-ES"/>
              </w:rPr>
            </w:pPr>
            <w:r>
              <w:rPr>
                <w:noProof/>
                <w:sz w:val="20"/>
                <w:lang w:val="es-ES"/>
              </w:rPr>
              <w:t>Postbus 20201</w:t>
            </w:r>
          </w:p>
          <w:p>
            <w:pPr>
              <w:rPr>
                <w:rFonts w:eastAsia="Times New Roman"/>
                <w:noProof/>
                <w:sz w:val="20"/>
                <w:szCs w:val="20"/>
                <w:lang w:val="es-ES"/>
              </w:rPr>
            </w:pPr>
            <w:r>
              <w:rPr>
                <w:noProof/>
                <w:sz w:val="20"/>
                <w:lang w:val="es-ES"/>
              </w:rPr>
              <w:t>NL-2500 EE La Haye</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Pologne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12 rue Świętokrzyska</w:t>
            </w:r>
          </w:p>
          <w:p>
            <w:pPr>
              <w:rPr>
                <w:rFonts w:eastAsia="Times New Roman"/>
                <w:noProof/>
                <w:sz w:val="20"/>
                <w:szCs w:val="20"/>
              </w:rPr>
            </w:pPr>
            <w:r>
              <w:rPr>
                <w:noProof/>
                <w:sz w:val="20"/>
              </w:rPr>
              <w:t>PL-00-916 Varsovie</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Portugal</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Ministère des finances</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pt-PT"/>
              </w:rPr>
            </w:pPr>
            <w:r>
              <w:rPr>
                <w:noProof/>
                <w:sz w:val="20"/>
                <w:lang w:val="pt-PT"/>
              </w:rPr>
              <w:t>Direcção Geral dos Assuntos Europeus e Relações Internacionais</w:t>
            </w:r>
          </w:p>
          <w:p>
            <w:pPr>
              <w:rPr>
                <w:rFonts w:eastAsia="Times New Roman"/>
                <w:noProof/>
                <w:sz w:val="20"/>
                <w:szCs w:val="20"/>
                <w:lang w:val="pt-PT"/>
              </w:rPr>
            </w:pPr>
            <w:r>
              <w:rPr>
                <w:noProof/>
                <w:sz w:val="20"/>
                <w:lang w:val="pt-PT"/>
              </w:rPr>
              <w:t>Av. Infante D. Henrique, 1C-1º</w:t>
            </w:r>
          </w:p>
          <w:p>
            <w:pPr>
              <w:rPr>
                <w:rFonts w:eastAsia="Times New Roman"/>
                <w:noProof/>
                <w:sz w:val="20"/>
                <w:szCs w:val="20"/>
              </w:rPr>
            </w:pPr>
            <w:r>
              <w:rPr>
                <w:noProof/>
                <w:sz w:val="20"/>
              </w:rPr>
              <w:t>P-1100-278 Lisbonne</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Roumanie</w:t>
            </w:r>
          </w:p>
        </w:tc>
        <w:tc>
          <w:tcPr>
            <w:tcW w:w="288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line="240" w:lineRule="atLeast"/>
              <w:rPr>
                <w:rFonts w:eastAsia="MS Mincho"/>
                <w:noProof/>
                <w:color w:val="000000"/>
                <w:sz w:val="20"/>
                <w:szCs w:val="20"/>
              </w:rPr>
            </w:pPr>
            <w:r>
              <w:rPr>
                <w:noProof/>
                <w:color w:val="000000"/>
                <w:sz w:val="20"/>
              </w:rPr>
              <w:t>Banque nationale de Roumanie</w:t>
            </w:r>
          </w:p>
          <w:p>
            <w:pPr>
              <w:rPr>
                <w:rFonts w:eastAsia="MS Mincho"/>
                <w:noProof/>
                <w:color w:val="000000"/>
                <w:sz w:val="20"/>
                <w:szCs w:val="20"/>
              </w:rPr>
            </w:pPr>
            <w:r>
              <w:rPr>
                <w:noProof/>
                <w:color w:val="000000"/>
                <w:sz w:val="20"/>
              </w:rPr>
              <w:t>Commission nationale roumaine des valeurs mobilières</w:t>
            </w:r>
          </w:p>
          <w:p>
            <w:pPr>
              <w:rPr>
                <w:rFonts w:eastAsia="Times New Roman"/>
                <w:noProof/>
                <w:spacing w:val="-3"/>
                <w:sz w:val="20"/>
                <w:szCs w:val="20"/>
              </w:rPr>
            </w:pPr>
            <w:r>
              <w:rPr>
                <w:noProof/>
                <w:spacing w:val="-3"/>
                <w:sz w:val="20"/>
              </w:rPr>
              <w:t>Commission de contrôle des assurances</w:t>
            </w:r>
          </w:p>
          <w:p>
            <w:pPr>
              <w:rPr>
                <w:rFonts w:eastAsia="Times New Roman"/>
                <w:noProof/>
                <w:spacing w:val="-3"/>
                <w:sz w:val="20"/>
                <w:szCs w:val="20"/>
              </w:rPr>
            </w:pPr>
          </w:p>
          <w:p>
            <w:pPr>
              <w:rPr>
                <w:rFonts w:eastAsia="Times New Roman"/>
                <w:noProof/>
                <w:spacing w:val="-3"/>
                <w:sz w:val="20"/>
                <w:szCs w:val="20"/>
              </w:rPr>
            </w:pPr>
            <w:r>
              <w:rPr>
                <w:noProof/>
                <w:spacing w:val="-3"/>
                <w:sz w:val="20"/>
              </w:rPr>
              <w:t>Commission de contrôle des systèmes privés de pensions</w:t>
            </w:r>
          </w:p>
          <w:p>
            <w:pPr>
              <w:rPr>
                <w:rFonts w:eastAsia="Times New Roman"/>
                <w:noProof/>
                <w:spacing w:val="-3"/>
                <w:sz w:val="20"/>
                <w:szCs w:val="20"/>
              </w:rPr>
            </w:pPr>
          </w:p>
          <w:p>
            <w:pPr>
              <w:rPr>
                <w:rFonts w:eastAsia="Times New Roman"/>
                <w:noProof/>
                <w:spacing w:val="-3"/>
                <w:sz w:val="20"/>
                <w:szCs w:val="20"/>
              </w:rPr>
            </w:pPr>
          </w:p>
        </w:tc>
        <w:tc>
          <w:tcPr>
            <w:tcW w:w="5400" w:type="dxa"/>
            <w:tcBorders>
              <w:top w:val="single" w:sz="4" w:space="0" w:color="auto"/>
              <w:left w:val="single" w:sz="4" w:space="0" w:color="auto"/>
              <w:bottom w:val="single" w:sz="4" w:space="0" w:color="auto"/>
              <w:right w:val="nil"/>
            </w:tcBorders>
          </w:tcPr>
          <w:p>
            <w:pPr>
              <w:autoSpaceDE w:val="0"/>
              <w:autoSpaceDN w:val="0"/>
              <w:adjustRightInd w:val="0"/>
              <w:spacing w:after="0" w:line="240" w:lineRule="atLeast"/>
              <w:rPr>
                <w:rFonts w:eastAsia="MS Mincho"/>
                <w:noProof/>
                <w:color w:val="000000"/>
                <w:sz w:val="20"/>
                <w:szCs w:val="20"/>
              </w:rPr>
            </w:pPr>
            <w:r>
              <w:rPr>
                <w:noProof/>
                <w:color w:val="000000"/>
                <w:sz w:val="20"/>
              </w:rPr>
              <w:t>25 rue Lipscani, secteur 3 Bucarest, code 030031</w:t>
            </w:r>
          </w:p>
          <w:p>
            <w:pPr>
              <w:autoSpaceDE w:val="0"/>
              <w:autoSpaceDN w:val="0"/>
              <w:adjustRightInd w:val="0"/>
              <w:spacing w:after="0" w:line="240" w:lineRule="atLeast"/>
              <w:rPr>
                <w:rFonts w:eastAsia="MS Mincho"/>
                <w:noProof/>
                <w:color w:val="000000"/>
                <w:sz w:val="20"/>
                <w:szCs w:val="20"/>
              </w:rPr>
            </w:pPr>
          </w:p>
          <w:p>
            <w:pPr>
              <w:autoSpaceDE w:val="0"/>
              <w:autoSpaceDN w:val="0"/>
              <w:adjustRightInd w:val="0"/>
              <w:spacing w:after="0" w:line="240" w:lineRule="atLeast"/>
              <w:rPr>
                <w:rFonts w:eastAsia="MS Mincho"/>
                <w:noProof/>
                <w:color w:val="000000"/>
                <w:sz w:val="20"/>
                <w:szCs w:val="20"/>
              </w:rPr>
            </w:pPr>
            <w:r>
              <w:rPr>
                <w:noProof/>
                <w:color w:val="000000"/>
                <w:sz w:val="20"/>
              </w:rPr>
              <w:t>2 rue Foisorului, Bucarest, secteur 3</w:t>
            </w:r>
          </w:p>
          <w:p>
            <w:pPr>
              <w:rPr>
                <w:rFonts w:eastAsia="Times New Roman"/>
                <w:noProof/>
                <w:spacing w:val="-3"/>
                <w:sz w:val="20"/>
                <w:szCs w:val="20"/>
              </w:rPr>
            </w:pPr>
          </w:p>
          <w:p>
            <w:pPr>
              <w:rPr>
                <w:rFonts w:eastAsia="Times New Roman"/>
                <w:noProof/>
                <w:spacing w:val="-3"/>
                <w:sz w:val="20"/>
                <w:szCs w:val="20"/>
              </w:rPr>
            </w:pPr>
            <w:r>
              <w:rPr>
                <w:noProof/>
                <w:spacing w:val="-3"/>
                <w:sz w:val="20"/>
              </w:rPr>
              <w:t xml:space="preserve">18 rue Amiral Constantin Balescu, Secteur 1, Bucarest </w:t>
            </w:r>
          </w:p>
          <w:p>
            <w:pPr>
              <w:rPr>
                <w:rFonts w:eastAsia="Times New Roman"/>
                <w:noProof/>
                <w:spacing w:val="-3"/>
                <w:sz w:val="20"/>
                <w:szCs w:val="20"/>
              </w:rPr>
            </w:pPr>
            <w:r>
              <w:rPr>
                <w:noProof/>
                <w:spacing w:val="-3"/>
                <w:sz w:val="20"/>
              </w:rPr>
              <w:t xml:space="preserve">Code 011954 </w:t>
            </w:r>
          </w:p>
          <w:p>
            <w:pPr>
              <w:rPr>
                <w:rFonts w:eastAsia="Times New Roman"/>
                <w:noProof/>
                <w:spacing w:val="-3"/>
                <w:sz w:val="20"/>
                <w:szCs w:val="20"/>
              </w:rPr>
            </w:pPr>
            <w:r>
              <w:rPr>
                <w:noProof/>
                <w:spacing w:val="-3"/>
                <w:sz w:val="20"/>
              </w:rPr>
              <w:t>74 Splaiul Unirii, secteur 4, Bucarest, code 030128</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République slovaque</w:t>
            </w:r>
          </w:p>
        </w:tc>
        <w:tc>
          <w:tcPr>
            <w:tcW w:w="2880" w:type="dxa"/>
            <w:tcBorders>
              <w:top w:val="single" w:sz="4" w:space="0" w:color="auto"/>
              <w:left w:val="single" w:sz="4" w:space="0" w:color="auto"/>
              <w:bottom w:val="single" w:sz="4" w:space="0" w:color="auto"/>
              <w:right w:val="single" w:sz="4" w:space="0" w:color="auto"/>
            </w:tcBorders>
          </w:tcPr>
          <w:p>
            <w:pPr>
              <w:rPr>
                <w:rFonts w:eastAsia="Times New Roman"/>
                <w:noProof/>
                <w:spacing w:val="-3"/>
                <w:sz w:val="20"/>
                <w:szCs w:val="20"/>
              </w:rPr>
            </w:pPr>
            <w:r>
              <w:rPr>
                <w:noProof/>
                <w:spacing w:val="-3"/>
                <w:sz w:val="20"/>
              </w:rPr>
              <w:t>Ministère des finances</w:t>
            </w:r>
          </w:p>
          <w:p>
            <w:pPr>
              <w:rPr>
                <w:rFonts w:eastAsia="Times New Roman"/>
                <w:noProof/>
                <w:sz w:val="20"/>
                <w:szCs w:val="20"/>
              </w:rPr>
            </w:pPr>
          </w:p>
        </w:tc>
        <w:tc>
          <w:tcPr>
            <w:tcW w:w="5400" w:type="dxa"/>
            <w:tcBorders>
              <w:top w:val="single" w:sz="4" w:space="0" w:color="auto"/>
              <w:left w:val="single" w:sz="4" w:space="0" w:color="auto"/>
              <w:bottom w:val="single" w:sz="4" w:space="0" w:color="auto"/>
              <w:right w:val="nil"/>
            </w:tcBorders>
            <w:hideMark/>
          </w:tcPr>
          <w:p>
            <w:pPr>
              <w:rPr>
                <w:rFonts w:eastAsia="Times New Roman"/>
                <w:noProof/>
                <w:spacing w:val="-3"/>
                <w:sz w:val="20"/>
                <w:szCs w:val="20"/>
              </w:rPr>
            </w:pPr>
            <w:r>
              <w:rPr>
                <w:noProof/>
                <w:spacing w:val="-3"/>
                <w:sz w:val="20"/>
              </w:rPr>
              <w:t>Stefanovicova 5</w:t>
            </w:r>
          </w:p>
          <w:p>
            <w:pPr>
              <w:rPr>
                <w:rFonts w:eastAsia="Times New Roman"/>
                <w:noProof/>
                <w:spacing w:val="-3"/>
                <w:sz w:val="20"/>
                <w:szCs w:val="20"/>
              </w:rPr>
            </w:pPr>
            <w:r>
              <w:rPr>
                <w:noProof/>
                <w:spacing w:val="-3"/>
                <w:sz w:val="20"/>
              </w:rPr>
              <w:t>SK-817 82 Bratislava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Slovénie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pacing w:val="-3"/>
                <w:sz w:val="20"/>
                <w:szCs w:val="20"/>
              </w:rPr>
            </w:pPr>
            <w:r>
              <w:rPr>
                <w:noProof/>
                <w:spacing w:val="-3"/>
                <w:sz w:val="20"/>
              </w:rPr>
              <w:t>Ministère de l’économie</w:t>
            </w:r>
          </w:p>
        </w:tc>
        <w:tc>
          <w:tcPr>
            <w:tcW w:w="5400" w:type="dxa"/>
            <w:tcBorders>
              <w:top w:val="single" w:sz="4" w:space="0" w:color="auto"/>
              <w:left w:val="single" w:sz="4" w:space="0" w:color="auto"/>
              <w:bottom w:val="single" w:sz="4" w:space="0" w:color="auto"/>
              <w:right w:val="nil"/>
            </w:tcBorders>
            <w:hideMark/>
          </w:tcPr>
          <w:p>
            <w:pPr>
              <w:rPr>
                <w:rFonts w:eastAsia="Times New Roman"/>
                <w:noProof/>
                <w:spacing w:val="-3"/>
                <w:sz w:val="20"/>
                <w:szCs w:val="20"/>
              </w:rPr>
            </w:pPr>
            <w:r>
              <w:rPr>
                <w:noProof/>
                <w:spacing w:val="-3"/>
                <w:sz w:val="20"/>
              </w:rPr>
              <w:t>Kotnikova 5</w:t>
            </w:r>
          </w:p>
          <w:p>
            <w:pPr>
              <w:rPr>
                <w:rFonts w:eastAsia="Times New Roman"/>
                <w:noProof/>
                <w:sz w:val="20"/>
                <w:szCs w:val="20"/>
              </w:rPr>
            </w:pPr>
            <w:r>
              <w:rPr>
                <w:noProof/>
                <w:spacing w:val="-3"/>
                <w:sz w:val="20"/>
              </w:rPr>
              <w:t>SI-1000 Ljubljana</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Espagne</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Trésor</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lang w:val="es-ES"/>
              </w:rPr>
            </w:pPr>
            <w:r>
              <w:rPr>
                <w:noProof/>
                <w:sz w:val="20"/>
                <w:lang w:val="es-ES"/>
              </w:rPr>
              <w:t>Directora General del Tesoro y Politica Financiera</w:t>
            </w:r>
          </w:p>
          <w:p>
            <w:pPr>
              <w:rPr>
                <w:rFonts w:eastAsia="Times New Roman"/>
                <w:noProof/>
                <w:sz w:val="20"/>
                <w:szCs w:val="20"/>
              </w:rPr>
            </w:pPr>
            <w:r>
              <w:rPr>
                <w:noProof/>
                <w:sz w:val="20"/>
              </w:rPr>
              <w:t>Paseo del Prado 6-6a Planta</w:t>
            </w:r>
          </w:p>
          <w:p>
            <w:pPr>
              <w:rPr>
                <w:rFonts w:eastAsia="Times New Roman"/>
                <w:noProof/>
                <w:sz w:val="20"/>
                <w:szCs w:val="20"/>
              </w:rPr>
            </w:pPr>
            <w:r>
              <w:rPr>
                <w:noProof/>
                <w:sz w:val="20"/>
              </w:rPr>
              <w:t>E-28071 Madrid</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Suède</w:t>
            </w:r>
          </w:p>
        </w:tc>
        <w:tc>
          <w:tcPr>
            <w:tcW w:w="2880" w:type="dxa"/>
            <w:tcBorders>
              <w:top w:val="single" w:sz="4" w:space="0" w:color="auto"/>
              <w:left w:val="single" w:sz="4" w:space="0" w:color="auto"/>
              <w:bottom w:val="single" w:sz="4" w:space="0" w:color="auto"/>
              <w:right w:val="single" w:sz="4" w:space="0" w:color="auto"/>
            </w:tcBorders>
          </w:tcPr>
          <w:p>
            <w:pPr>
              <w:rPr>
                <w:rFonts w:eastAsia="Times New Roman"/>
                <w:noProof/>
                <w:sz w:val="20"/>
                <w:szCs w:val="20"/>
              </w:rPr>
            </w:pPr>
            <w:r>
              <w:rPr>
                <w:noProof/>
                <w:sz w:val="20"/>
              </w:rPr>
              <w:t>Autorité de surveillance financière</w:t>
            </w:r>
          </w:p>
          <w:p>
            <w:pPr>
              <w:rPr>
                <w:rFonts w:eastAsia="Times New Roman"/>
                <w:noProof/>
                <w:sz w:val="20"/>
                <w:szCs w:val="20"/>
              </w:rPr>
            </w:pPr>
          </w:p>
          <w:p>
            <w:pPr>
              <w:rPr>
                <w:rFonts w:eastAsia="Times New Roman"/>
                <w:noProof/>
                <w:sz w:val="20"/>
                <w:szCs w:val="20"/>
              </w:rPr>
            </w:pPr>
          </w:p>
          <w:p>
            <w:pPr>
              <w:rPr>
                <w:rFonts w:eastAsia="Times New Roman"/>
                <w:noProof/>
                <w:sz w:val="20"/>
                <w:szCs w:val="20"/>
              </w:rPr>
            </w:pPr>
            <w:r>
              <w:rPr>
                <w:noProof/>
                <w:sz w:val="20"/>
              </w:rPr>
              <w:t>Banque centrale de Suède</w:t>
            </w:r>
          </w:p>
          <w:p>
            <w:pPr>
              <w:rPr>
                <w:rFonts w:eastAsia="Times New Roman"/>
                <w:noProof/>
                <w:sz w:val="20"/>
                <w:szCs w:val="20"/>
              </w:rPr>
            </w:pPr>
          </w:p>
          <w:p>
            <w:pPr>
              <w:rPr>
                <w:rFonts w:eastAsia="Times New Roman"/>
                <w:noProof/>
                <w:sz w:val="20"/>
                <w:szCs w:val="20"/>
              </w:rPr>
            </w:pPr>
          </w:p>
          <w:p>
            <w:pPr>
              <w:rPr>
                <w:rFonts w:eastAsia="Times New Roman"/>
                <w:noProof/>
                <w:sz w:val="20"/>
                <w:szCs w:val="20"/>
              </w:rPr>
            </w:pPr>
            <w:r>
              <w:rPr>
                <w:noProof/>
                <w:sz w:val="20"/>
              </w:rPr>
              <w:t>Agence suédoise de la consommation</w:t>
            </w:r>
          </w:p>
        </w:tc>
        <w:tc>
          <w:tcPr>
            <w:tcW w:w="5400" w:type="dxa"/>
            <w:tcBorders>
              <w:top w:val="single" w:sz="4" w:space="0" w:color="auto"/>
              <w:left w:val="single" w:sz="4" w:space="0" w:color="auto"/>
              <w:bottom w:val="single" w:sz="4" w:space="0" w:color="auto"/>
              <w:right w:val="nil"/>
            </w:tcBorders>
          </w:tcPr>
          <w:p>
            <w:pPr>
              <w:rPr>
                <w:rFonts w:eastAsia="Times New Roman"/>
                <w:noProof/>
                <w:sz w:val="20"/>
                <w:szCs w:val="20"/>
              </w:rPr>
            </w:pPr>
            <w:r>
              <w:rPr>
                <w:noProof/>
                <w:sz w:val="20"/>
              </w:rPr>
              <w:t>Box 6750</w:t>
            </w:r>
          </w:p>
          <w:p>
            <w:pPr>
              <w:rPr>
                <w:rFonts w:eastAsia="Times New Roman"/>
                <w:noProof/>
                <w:sz w:val="20"/>
                <w:szCs w:val="20"/>
              </w:rPr>
            </w:pPr>
            <w:r>
              <w:rPr>
                <w:noProof/>
                <w:sz w:val="20"/>
              </w:rPr>
              <w:t>S-113 85 Stockholm</w:t>
            </w:r>
          </w:p>
          <w:p>
            <w:pPr>
              <w:rPr>
                <w:rFonts w:eastAsia="Times New Roman"/>
                <w:noProof/>
                <w:sz w:val="20"/>
                <w:szCs w:val="20"/>
              </w:rPr>
            </w:pPr>
          </w:p>
          <w:p>
            <w:pPr>
              <w:rPr>
                <w:rFonts w:eastAsia="Times New Roman"/>
                <w:noProof/>
                <w:sz w:val="20"/>
                <w:szCs w:val="20"/>
              </w:rPr>
            </w:pPr>
            <w:r>
              <w:rPr>
                <w:noProof/>
                <w:sz w:val="20"/>
              </w:rPr>
              <w:t>Malmskillnadsgatan 7</w:t>
            </w:r>
          </w:p>
          <w:p>
            <w:pPr>
              <w:rPr>
                <w:rFonts w:eastAsia="Times New Roman"/>
                <w:noProof/>
                <w:sz w:val="20"/>
                <w:szCs w:val="20"/>
              </w:rPr>
            </w:pPr>
            <w:r>
              <w:rPr>
                <w:noProof/>
                <w:sz w:val="20"/>
              </w:rPr>
              <w:t>S-103 37 Stockholm</w:t>
            </w:r>
          </w:p>
          <w:p>
            <w:pPr>
              <w:rPr>
                <w:rFonts w:eastAsia="Times New Roman"/>
                <w:noProof/>
                <w:sz w:val="20"/>
                <w:szCs w:val="20"/>
              </w:rPr>
            </w:pPr>
          </w:p>
          <w:p>
            <w:pPr>
              <w:rPr>
                <w:rFonts w:eastAsia="Times New Roman"/>
                <w:noProof/>
                <w:sz w:val="20"/>
                <w:szCs w:val="20"/>
              </w:rPr>
            </w:pPr>
            <w:r>
              <w:rPr>
                <w:noProof/>
                <w:sz w:val="20"/>
              </w:rPr>
              <w:t>Rosenlundsgatan 9</w:t>
            </w:r>
          </w:p>
          <w:p>
            <w:pPr>
              <w:rPr>
                <w:rFonts w:eastAsia="Times New Roman"/>
                <w:noProof/>
                <w:sz w:val="20"/>
                <w:szCs w:val="20"/>
              </w:rPr>
            </w:pPr>
            <w:r>
              <w:rPr>
                <w:noProof/>
                <w:sz w:val="20"/>
              </w:rPr>
              <w:t>S-118 87 Stockholm</w:t>
            </w:r>
          </w:p>
        </w:tc>
      </w:tr>
      <w:tr>
        <w:tc>
          <w:tcPr>
            <w:tcW w:w="2340" w:type="dxa"/>
            <w:tcBorders>
              <w:top w:val="single" w:sz="4" w:space="0" w:color="auto"/>
              <w:left w:val="nil"/>
              <w:bottom w:val="single" w:sz="4" w:space="0" w:color="auto"/>
              <w:right w:val="single" w:sz="4" w:space="0" w:color="auto"/>
            </w:tcBorders>
            <w:hideMark/>
          </w:tcPr>
          <w:p>
            <w:pPr>
              <w:rPr>
                <w:rFonts w:eastAsia="Times New Roman"/>
                <w:b/>
                <w:noProof/>
                <w:sz w:val="20"/>
                <w:szCs w:val="20"/>
              </w:rPr>
            </w:pPr>
            <w:r>
              <w:rPr>
                <w:b/>
                <w:noProof/>
                <w:sz w:val="20"/>
              </w:rPr>
              <w:t>Royaume-Uni</w:t>
            </w: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rPr>
            </w:pPr>
            <w:r>
              <w:rPr>
                <w:noProof/>
                <w:sz w:val="20"/>
              </w:rPr>
              <w:t>H. M. Treasury</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1 Horse Guards Road</w:t>
            </w:r>
          </w:p>
          <w:p>
            <w:pPr>
              <w:rPr>
                <w:rFonts w:eastAsia="Times New Roman"/>
                <w:noProof/>
                <w:sz w:val="20"/>
                <w:szCs w:val="20"/>
              </w:rPr>
            </w:pPr>
            <w:r>
              <w:rPr>
                <w:noProof/>
                <w:sz w:val="20"/>
              </w:rPr>
              <w:t>UK-Londres SW1A 2HQ</w:t>
            </w:r>
          </w:p>
        </w:tc>
      </w:tr>
    </w:tbl>
    <w:p>
      <w:pPr>
        <w:spacing w:after="0"/>
        <w:jc w:val="center"/>
        <w:rPr>
          <w:rFonts w:eastAsia="Times New Roman"/>
          <w:noProof/>
          <w:szCs w:val="20"/>
        </w:rPr>
      </w:pPr>
    </w:p>
    <w:p>
      <w:pPr>
        <w:spacing w:after="0"/>
        <w:jc w:val="center"/>
        <w:rPr>
          <w:rFonts w:eastAsia="Times New Roman"/>
          <w:noProof/>
          <w:szCs w:val="20"/>
        </w:rPr>
      </w:pPr>
    </w:p>
    <w:p>
      <w:pPr>
        <w:spacing w:after="0"/>
        <w:jc w:val="center"/>
        <w:rPr>
          <w:rFonts w:eastAsia="Times New Roman"/>
          <w:noProof/>
          <w:szCs w:val="20"/>
          <w:lang w:val="es-ES"/>
        </w:rPr>
      </w:pPr>
      <w:r>
        <w:rPr>
          <w:noProof/>
          <w:lang w:val="es-ES"/>
        </w:rPr>
        <w:t>PARTIE B</w:t>
      </w:r>
    </w:p>
    <w:p>
      <w:pPr>
        <w:spacing w:after="0"/>
        <w:jc w:val="center"/>
        <w:rPr>
          <w:rFonts w:eastAsia="Times New Roman"/>
          <w:noProof/>
          <w:szCs w:val="20"/>
          <w:lang w:val="es-ES"/>
        </w:rPr>
      </w:pPr>
    </w:p>
    <w:p>
      <w:pPr>
        <w:spacing w:after="0"/>
        <w:jc w:val="center"/>
        <w:rPr>
          <w:rFonts w:eastAsia="Times New Roman"/>
          <w:b/>
          <w:noProof/>
          <w:szCs w:val="20"/>
          <w:lang w:val="es-ES"/>
        </w:rPr>
      </w:pPr>
      <w:r>
        <w:rPr>
          <w:b/>
          <w:noProof/>
          <w:lang w:val="es-ES"/>
        </w:rPr>
        <w:t>Pour le Mexique: Secretaría de Hacienda y Crédito Público</w:t>
      </w:r>
    </w:p>
    <w:p>
      <w:pPr>
        <w:spacing w:after="0"/>
        <w:jc w:val="center"/>
        <w:rPr>
          <w:rFonts w:eastAsia="Times New Roman"/>
          <w:b/>
          <w:noProof/>
          <w:szCs w:val="20"/>
          <w:lang w:val="es-ES"/>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2880"/>
        <w:gridCol w:w="5400"/>
      </w:tblGrid>
      <w:tr>
        <w:tc>
          <w:tcPr>
            <w:tcW w:w="2340" w:type="dxa"/>
            <w:vMerge w:val="restart"/>
            <w:tcBorders>
              <w:top w:val="single" w:sz="4" w:space="0" w:color="auto"/>
              <w:left w:val="nil"/>
              <w:right w:val="single" w:sz="4" w:space="0" w:color="auto"/>
            </w:tcBorders>
            <w:hideMark/>
          </w:tcPr>
          <w:p>
            <w:pPr>
              <w:rPr>
                <w:rFonts w:eastAsia="Times New Roman"/>
                <w:noProof/>
                <w:sz w:val="20"/>
                <w:szCs w:val="20"/>
              </w:rPr>
            </w:pPr>
            <w:r>
              <w:rPr>
                <w:noProof/>
                <w:sz w:val="20"/>
              </w:rPr>
              <w:t>Mexique</w:t>
            </w:r>
          </w:p>
        </w:tc>
        <w:tc>
          <w:tcPr>
            <w:tcW w:w="2880" w:type="dxa"/>
            <w:tcBorders>
              <w:top w:val="single" w:sz="4" w:space="0" w:color="auto"/>
              <w:left w:val="single" w:sz="4" w:space="0" w:color="auto"/>
              <w:bottom w:val="single" w:sz="4" w:space="0" w:color="auto"/>
              <w:right w:val="single" w:sz="4" w:space="0" w:color="auto"/>
            </w:tcBorders>
          </w:tcPr>
          <w:p>
            <w:pPr>
              <w:rPr>
                <w:rFonts w:eastAsia="Times New Roman"/>
                <w:noProof/>
                <w:sz w:val="20"/>
                <w:szCs w:val="20"/>
                <w:lang w:val="es-ES"/>
              </w:rPr>
            </w:pPr>
            <w:r>
              <w:rPr>
                <w:noProof/>
                <w:sz w:val="20"/>
                <w:lang w:val="es-ES"/>
              </w:rPr>
              <w:t>Unidad de Banca, Valores y Ahorro</w:t>
            </w:r>
          </w:p>
        </w:tc>
        <w:tc>
          <w:tcPr>
            <w:tcW w:w="5400" w:type="dxa"/>
            <w:tcBorders>
              <w:top w:val="single" w:sz="4" w:space="0" w:color="auto"/>
              <w:left w:val="single" w:sz="4" w:space="0" w:color="auto"/>
              <w:bottom w:val="single" w:sz="4" w:space="0" w:color="auto"/>
              <w:right w:val="nil"/>
            </w:tcBorders>
          </w:tcPr>
          <w:p>
            <w:pPr>
              <w:rPr>
                <w:rFonts w:eastAsia="Times New Roman"/>
                <w:noProof/>
                <w:sz w:val="20"/>
                <w:szCs w:val="20"/>
              </w:rPr>
            </w:pPr>
            <w:r>
              <w:rPr>
                <w:noProof/>
                <w:sz w:val="20"/>
              </w:rPr>
              <w:t>Insurgentes Sur 1971, Colonia Guadalupe Inn, Deleg. Álvaro Obregón, C.P, 01020México, D.F.</w:t>
            </w:r>
          </w:p>
        </w:tc>
      </w:tr>
      <w:tr>
        <w:tc>
          <w:tcPr>
            <w:tcW w:w="2340" w:type="dxa"/>
            <w:vMerge/>
            <w:tcBorders>
              <w:left w:val="nil"/>
              <w:bottom w:val="single" w:sz="4" w:space="0" w:color="auto"/>
              <w:right w:val="single" w:sz="4" w:space="0" w:color="auto"/>
            </w:tcBorders>
            <w:hideMark/>
          </w:tcPr>
          <w:p>
            <w:pPr>
              <w:rPr>
                <w:rFonts w:eastAsia="Times New Roman"/>
                <w:b/>
                <w:noProof/>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pPr>
              <w:rPr>
                <w:rFonts w:eastAsia="Times New Roman"/>
                <w:noProof/>
                <w:sz w:val="20"/>
                <w:szCs w:val="20"/>
                <w:lang w:val="es-ES"/>
              </w:rPr>
            </w:pPr>
            <w:r>
              <w:rPr>
                <w:noProof/>
                <w:sz w:val="20"/>
                <w:lang w:val="es-ES"/>
              </w:rPr>
              <w:t>Unidad de Seguros, Pensiones y</w:t>
            </w:r>
          </w:p>
          <w:p>
            <w:pPr>
              <w:rPr>
                <w:rFonts w:eastAsia="Times New Roman"/>
                <w:noProof/>
                <w:sz w:val="20"/>
                <w:szCs w:val="20"/>
                <w:lang w:val="es-ES"/>
              </w:rPr>
            </w:pPr>
            <w:r>
              <w:rPr>
                <w:noProof/>
                <w:sz w:val="20"/>
                <w:lang w:val="es-ES"/>
              </w:rPr>
              <w:t>Seguridad Social</w:t>
            </w:r>
          </w:p>
        </w:tc>
        <w:tc>
          <w:tcPr>
            <w:tcW w:w="5400" w:type="dxa"/>
            <w:tcBorders>
              <w:top w:val="single" w:sz="4" w:space="0" w:color="auto"/>
              <w:left w:val="single" w:sz="4" w:space="0" w:color="auto"/>
              <w:bottom w:val="single" w:sz="4" w:space="0" w:color="auto"/>
              <w:right w:val="nil"/>
            </w:tcBorders>
            <w:hideMark/>
          </w:tcPr>
          <w:p>
            <w:pPr>
              <w:rPr>
                <w:rFonts w:eastAsia="Times New Roman"/>
                <w:noProof/>
                <w:sz w:val="20"/>
                <w:szCs w:val="20"/>
              </w:rPr>
            </w:pPr>
            <w:r>
              <w:rPr>
                <w:noProof/>
                <w:sz w:val="20"/>
              </w:rPr>
              <w:t>Insurgentes Sur 1971, Colonia Guadalupe Inn, Deleg. Álvaro Obregón, C.P, 01020México, D.F.</w:t>
            </w:r>
          </w:p>
        </w:tc>
      </w:tr>
    </w:tbl>
    <w:p>
      <w:pPr>
        <w:spacing w:after="0" w:line="360" w:lineRule="auto"/>
        <w:rPr>
          <w:rFonts w:eastAsia="Times New Roman"/>
          <w:noProof/>
          <w:szCs w:val="24"/>
        </w:rPr>
      </w:pP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le premier protocole additionnel à l’accord tient compte de l’adhésion de la République tchèque, de la République d’Estonie, de la République de Chypre, de la République de Lettonie, de la République de Lituanie, de la République de Hongrie, de la République de Malte, de la République de Pologne, de la République de Slovénie et de la République slovaque à l’Union;</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le texte de l’accord en langues tchèque, estonienne, hongroise, lettone, lituanienne, maltaise, polonaise, slovaque et slovène fait foi dans les mêmes conditions que les versions rédigées dans les langues initiales de l’accord;</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le deuxième protocole additionnel à l'accord tient compte de l’adhésion de la République de Bulgarie et de la Roumanie à l'Union;</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le texte de l’accord en langues bulgare et roumaine fait foi dans les mêmes conditions que les versions rédigées dans les langues initiales de l’accord;</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CONSIDÉRANT que l’article 5, paragraphe 3, du présent protocole prévoit l’application provisoire du protocole par l’Union et ses États membres avant l’achèvement des procédures internes requises pour son entrée en vigueur,</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SONT CONVENUS DE CE QUI SUIT:</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br w:type="page"/>
      </w:r>
    </w:p>
    <w:p>
      <w:pPr>
        <w:widowControl w:val="0"/>
        <w:spacing w:after="0" w:line="360" w:lineRule="auto"/>
        <w:jc w:val="center"/>
        <w:rPr>
          <w:rFonts w:eastAsia="Times New Roman"/>
          <w:noProof/>
          <w:szCs w:val="20"/>
        </w:rPr>
      </w:pPr>
      <w:r>
        <w:rPr>
          <w:noProof/>
        </w:rPr>
        <w:t>ARTICLE PREMIER</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La République de Croatie devient partie à l’accord de partenariat économique, de coordination politique et de coopération entre la Communauté européenne et ses États membres, d’une part, et les États-Unis mexicains, d’autre part.</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widowControl w:val="0"/>
        <w:spacing w:after="0" w:line="360" w:lineRule="auto"/>
        <w:jc w:val="center"/>
        <w:rPr>
          <w:rFonts w:eastAsia="Times New Roman"/>
          <w:noProof/>
          <w:szCs w:val="20"/>
        </w:rPr>
      </w:pPr>
      <w:r>
        <w:rPr>
          <w:noProof/>
        </w:rPr>
        <w:t>ARTICLE 2</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1.</w:t>
      </w:r>
      <w:r>
        <w:rPr>
          <w:noProof/>
        </w:rPr>
        <w:tab/>
        <w:t>Après la signature du présent protocole, l’Union transmet la version croate de l’accord à ses États membres et au Mexique.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2.</w:t>
      </w:r>
      <w:r>
        <w:rPr>
          <w:noProof/>
        </w:rPr>
        <w:tab/>
        <w:t>Sous réserve de l’entrée en vigueur du présent protocole, la version croate fait foi dans les mêmes conditions que les versions en langues allemande, anglaise, bulgare, danoise, espagnole, estonienne, finnoise, française, grecque, hongroise, italienne, lettone, lituanienne, maltaise, néerlandaise, polonaise, portugaise, roumaine, slovaque, slovène, suédoise et tchèque de l'accord.</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widowControl w:val="0"/>
        <w:spacing w:after="0" w:line="360" w:lineRule="auto"/>
        <w:jc w:val="center"/>
        <w:rPr>
          <w:rFonts w:eastAsia="Times New Roman"/>
          <w:noProof/>
          <w:szCs w:val="20"/>
        </w:rPr>
      </w:pPr>
      <w:r>
        <w:rPr>
          <w:noProof/>
        </w:rPr>
        <w:t>ARTICLE 3</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Le présent protocole fait partie intégrante de l’accord.</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br w:type="page"/>
      </w:r>
    </w:p>
    <w:p>
      <w:pPr>
        <w:widowControl w:val="0"/>
        <w:spacing w:after="0" w:line="360" w:lineRule="auto"/>
        <w:jc w:val="center"/>
        <w:rPr>
          <w:rFonts w:eastAsia="Times New Roman"/>
          <w:noProof/>
          <w:szCs w:val="20"/>
        </w:rPr>
      </w:pPr>
      <w:r>
        <w:rPr>
          <w:noProof/>
        </w:rPr>
        <w:t>ARTICLE 4</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Le présent protocole est établi en double exemplaire en langues allemande, anglaise, bulgare, croate, danoise, espagnole, estonienne, finnoise, française, grecque, hongroise, italienne, lettone, lituanienne, maltaise, néerlandaise, polonaise, portugaise, roumaine, slovaque, slovène, suédoise et tchèque, chacun de ces textes faisant également foi.</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p>
    <w:p>
      <w:pPr>
        <w:widowControl w:val="0"/>
        <w:spacing w:after="0" w:line="360" w:lineRule="auto"/>
        <w:jc w:val="center"/>
        <w:rPr>
          <w:rFonts w:eastAsia="Times New Roman"/>
          <w:noProof/>
          <w:szCs w:val="20"/>
        </w:rPr>
      </w:pPr>
      <w:r>
        <w:rPr>
          <w:noProof/>
        </w:rPr>
        <w:t>ARTICLE 5</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1.</w:t>
      </w:r>
      <w:r>
        <w:rPr>
          <w:noProof/>
        </w:rPr>
        <w:tab/>
        <w:t>Le présent protocole est signé et approuvé par les parties conformément à leurs procédures internes respectives.</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2.</w:t>
      </w:r>
      <w:r>
        <w:rPr>
          <w:noProof/>
        </w:rPr>
        <w:tab/>
        <w:t>Le présent protocole entre en vigueur le premier jour du mois suivant la date à laquelle les parties se sont notifié l'accomplissement des procédures internes nécessaires à cet effet.</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3.</w:t>
      </w:r>
      <w:r>
        <w:rPr>
          <w:noProof/>
        </w:rPr>
        <w:tab/>
        <w:t>Nonobstant les dispositions du paragraphe 2, les parties conviennent qu’en attendant l’achèvement des procédures internes de l’Union et de ses États membres nécessaires à l’entrée en vigueur du présent protocole, elles appliquent les dispositions de celui-ci à partir du premier jour du mois suivant la date à laquelle l’Union et ses États membres ont notifié l’accomplissement de leurs procédures internes nécessaires à cet effet et à laquelle le Mexique a notifié l’accomplissement de ses procédures internes nécessaires à l’entrée en vigueur du présent protocole.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br w:type="page"/>
      </w:r>
    </w:p>
    <w:p>
      <w:pPr>
        <w:widowControl w:val="0"/>
        <w:spacing w:after="0" w:line="360" w:lineRule="auto"/>
        <w:rPr>
          <w:rFonts w:eastAsia="Times New Roman"/>
          <w:noProof/>
          <w:szCs w:val="20"/>
        </w:rPr>
      </w:pPr>
      <w:r>
        <w:rPr>
          <w:noProof/>
        </w:rPr>
        <w:t>4.</w:t>
      </w:r>
      <w:r>
        <w:rPr>
          <w:noProof/>
        </w:rPr>
        <w:tab/>
        <w:t>Les notifications sont adressées au secrétariat général du Conseil de l'Union européenne, dépositaire du présent protocole.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EN FOI DE QUOI, les plénipotentiaires soussignés, dûment habilités à cet effet, ont signé le présent protocole.</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 xml:space="preserve">Fait à …………., le ……… </w:t>
      </w:r>
    </w:p>
    <w:p>
      <w:pPr>
        <w:widowControl w:val="0"/>
        <w:spacing w:after="0" w:line="360" w:lineRule="auto"/>
        <w:rPr>
          <w:rFonts w:eastAsia="Times New Roman"/>
          <w:noProof/>
          <w:szCs w:val="20"/>
        </w:rPr>
      </w:pPr>
    </w:p>
    <w:p>
      <w:pPr>
        <w:widowControl w:val="0"/>
        <w:spacing w:after="0" w:line="360" w:lineRule="auto"/>
        <w:rPr>
          <w:rFonts w:eastAsia="Times New Roman"/>
          <w:noProof/>
          <w:szCs w:val="20"/>
        </w:rPr>
      </w:pPr>
      <w:r>
        <w:rPr>
          <w:noProof/>
        </w:rPr>
        <w:t>POUR L’UNION EUROPÉENNE ET SES ÉTATS MEMBRES</w:t>
      </w:r>
    </w:p>
    <w:p>
      <w:pPr>
        <w:widowControl w:val="0"/>
        <w:spacing w:after="0" w:line="360" w:lineRule="auto"/>
        <w:rPr>
          <w:rFonts w:eastAsia="Times New Roman"/>
          <w:noProof/>
          <w:szCs w:val="20"/>
        </w:rPr>
      </w:pPr>
    </w:p>
    <w:p>
      <w:pPr>
        <w:rPr>
          <w:noProof/>
          <w:szCs w:val="24"/>
        </w:rPr>
      </w:pPr>
      <w:r>
        <w:rPr>
          <w:noProof/>
        </w:rPr>
        <w:t>POUR LES ÉTATS-UNIS MEXICAINS,</w:t>
      </w:r>
    </w:p>
    <w:sectPr>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Si la déclaration sur facture est établie par un exportateur agréé au sens de l’article 21 de la présente annexe, le numéro d’autorisation de l’exportateur agréé doit être mentionné ici. Si la déclaration sur facture n’est pas établie par un exportateur agréé, la mention figurant entre parenthèses est omise ou l’espace prévu est laissé en blanc.</w:t>
      </w:r>
    </w:p>
  </w:footnote>
  <w:footnote w:id="2">
    <w:p>
      <w:pPr>
        <w:pStyle w:val="FootnoteText"/>
      </w:pPr>
      <w:r>
        <w:rPr>
          <w:rStyle w:val="FootnoteReference"/>
        </w:rPr>
        <w:footnoteRef/>
      </w:r>
      <w:r>
        <w:tab/>
        <w:t>L’origine des produits doit être indiquée. Si la déclaration sur facture se rapporte, en totalité ou en partie, à des produits originaires de Ceuta et Melilla au sens de l'article 37 de la présente annexe, l'exportateur est tenu de les identifier clairement, au moyen du sigle «CM», dans le document sur lequel la déclaration est établie.</w:t>
      </w:r>
    </w:p>
  </w:footnote>
  <w:footnote w:id="3">
    <w:p>
      <w:pPr>
        <w:pStyle w:val="FootnoteText"/>
        <w:rPr>
          <w:sz w:val="18"/>
          <w:szCs w:val="18"/>
          <w:lang w:eastAsia="zh-CN"/>
        </w:rPr>
      </w:pPr>
      <w:r>
        <w:rPr>
          <w:rStyle w:val="FootnoteReference"/>
        </w:rPr>
        <w:footnoteRef/>
      </w:r>
      <w:r>
        <w:tab/>
      </w:r>
      <w:r>
        <w:rPr>
          <w:sz w:val="18"/>
        </w:rPr>
        <w:t>CZ: le Parlement discute actuellement d'une législation prévoyant l'abolition du critère relatif aux besoins du marché financier.</w:t>
      </w:r>
    </w:p>
  </w:footnote>
  <w:footnote w:id="4">
    <w:p>
      <w:pPr>
        <w:pStyle w:val="FootnoteText"/>
      </w:pPr>
      <w:r>
        <w:rPr>
          <w:rStyle w:val="FootnoteReference"/>
        </w:rPr>
        <w:footnoteRef/>
      </w:r>
      <w:r>
        <w:tab/>
      </w:r>
      <w:r>
        <w:rPr>
          <w:sz w:val="18"/>
        </w:rPr>
        <w:t>En dehors du montant du capital, la Banque de Slovénie tient compte des éléments ci-après lorsqu'elle étudie la possibilité de délivrer une licence pour l’exercice de la totalité ou d’une partie des activités bancaires (à la fois dans le cas de demandeurs slovènes et étrangers):</w:t>
      </w:r>
      <w:r>
        <w:tab/>
      </w:r>
      <w:r>
        <w:rPr>
          <w:sz w:val="18"/>
          <w:szCs w:val="18"/>
        </w:rPr>
        <w:br/>
      </w:r>
      <w:r>
        <w:rPr>
          <w:sz w:val="18"/>
        </w:rPr>
        <w:t>-</w:t>
      </w:r>
      <w:r>
        <w:tab/>
      </w:r>
      <w:r>
        <w:rPr>
          <w:sz w:val="18"/>
        </w:rPr>
        <w:t>les préférences économiques nationales pour certaines activités bancaires</w:t>
      </w:r>
      <w:r>
        <w:tab/>
      </w:r>
      <w:r>
        <w:rPr>
          <w:sz w:val="18"/>
          <w:szCs w:val="18"/>
        </w:rPr>
        <w:br/>
      </w:r>
      <w:r>
        <w:rPr>
          <w:sz w:val="18"/>
        </w:rPr>
        <w:t>-</w:t>
      </w:r>
      <w:r>
        <w:tab/>
      </w:r>
      <w:r>
        <w:rPr>
          <w:sz w:val="18"/>
        </w:rPr>
        <w:t>la couverture bancaire régionale existante de la République de Slovénie;</w:t>
      </w:r>
      <w:r>
        <w:tab/>
      </w:r>
      <w:r>
        <w:rPr>
          <w:sz w:val="18"/>
          <w:szCs w:val="18"/>
        </w:rPr>
        <w:br/>
      </w:r>
      <w:r>
        <w:rPr>
          <w:sz w:val="18"/>
        </w:rPr>
        <w:t>-</w:t>
      </w:r>
      <w:r>
        <w:tab/>
      </w:r>
      <w:r>
        <w:rPr>
          <w:sz w:val="18"/>
        </w:rPr>
        <w:t>les activités bancaires effectivement exercées par la banque, par rapport à celles qui sont mentionnées dans la licence existante.</w:t>
      </w:r>
      <w:r>
        <w:tab/>
      </w:r>
      <w:r>
        <w:rPr>
          <w:sz w:val="18"/>
          <w:szCs w:val="18"/>
        </w:rPr>
        <w:br/>
      </w:r>
      <w:r>
        <w:rPr>
          <w:sz w:val="18"/>
        </w:rPr>
        <w:t>(Remarque: cette disposition sera abolie avec l’adoption de la nouvelle législation bancaire).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761C18"/>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C15449B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31863C00"/>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33524C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8961F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A14E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5AED96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BBA8CE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9"/>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4:07: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19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EAE4416F-C54B-4821-B865-F44D79CB9CB1"/>
    <w:docVar w:name="LW_COVERPAGE_TYPE" w:val="1"/>
    <w:docVar w:name="LW_CROSSREFERENCE" w:val="&lt;UNUSED&gt;"/>
    <w:docVar w:name="LW_DocType" w:val="ANNEX"/>
    <w:docVar w:name="LW_EMISSION" w:val="1.12.2017"/>
    <w:docVar w:name="LW_EMISSION_ISODATE" w:val="2017-12-01"/>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nseil conjoint institué par l\u8217?accord de partenariat économique, de coordination politique et de coopération entre la Communauté européenne et ses États membres, d\u8217?une part, et les États-Unis mexicains, d\u8217?autre part, pour tenir compte de l\u8217?adhésion de la République de Croatie à l\u8217?Union européenne_x000b__x000b_"/>
    <w:docVar w:name="LW_OBJETACTEPRINCIPAL.CP" w:val="relative à la position à prendre, au nom de l\u8217?Union européenne, au sein du Conseil conjoint institué par l\u8217?accord de partenariat économique, de coordination politique et de coopération entre la Communauté européenne et ses États membres, d\u8217?une part, et les États-Unis mexicains, d\u8217?autre part, pour tenir compte de l\u8217?adhésion de la République de Croatie à l\u8217?Union européenne_x000b__x000b_"/>
    <w:docVar w:name="LW_PART_NBR" w:val="&lt;UNUSED&gt;"/>
    <w:docVar w:name="LW_PART_NBR_TOTAL" w:val="&lt;UNUSED&gt;"/>
    <w:docVar w:name="LW_REF.INST.NEW" w:val="COM"/>
    <w:docVar w:name="LW_REF.INST.NEW_ADOPTED" w:val="final"/>
    <w:docVar w:name="LW_REF.INST.NEW_TEXT" w:val="(2017) 7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pj">
    <w:name w:val="p.j."/>
    <w:basedOn w:val="Normal"/>
    <w:next w:val="Normal"/>
    <w:pPr>
      <w:spacing w:before="1200"/>
      <w:ind w:left="1440" w:hanging="1440"/>
      <w:jc w:val="left"/>
    </w:pPr>
    <w:rPr>
      <w:rFonts w:eastAsia="Times New Roman"/>
      <w:szCs w:val="20"/>
    </w:rPr>
  </w:style>
  <w:style w:type="paragraph" w:styleId="DocumentMap">
    <w:name w:val="Document Map"/>
    <w:basedOn w:val="Normal"/>
    <w:link w:val="DocumentMapChar"/>
    <w:uiPriority w:val="99"/>
    <w:semiHidden/>
    <w:pPr>
      <w:shd w:val="clear" w:color="auto" w:fill="000080"/>
      <w:spacing w:line="360" w:lineRule="auto"/>
      <w:jc w:val="left"/>
    </w:pPr>
    <w:rPr>
      <w:rFonts w:ascii="Tahoma" w:eastAsia="Times New Roman" w:hAnsi="Tahoma" w:cs="Tahoma"/>
      <w:szCs w:val="24"/>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4"/>
      <w:shd w:val="clear" w:color="auto" w:fill="000080"/>
      <w:lang w:val="en-GB"/>
    </w:rPr>
  </w:style>
  <w:style w:type="character" w:styleId="PageNumber">
    <w:name w:val="page number"/>
    <w:uiPriority w:val="99"/>
    <w:rPr>
      <w:rFonts w:cs="Times New Roman"/>
      <w:shd w:val="clear" w:color="auto" w:fill="auto"/>
    </w:rPr>
  </w:style>
  <w:style w:type="paragraph" w:styleId="ListBullet">
    <w:name w:val="List Bullet"/>
    <w:basedOn w:val="Normal"/>
    <w:uiPriority w:val="99"/>
    <w:pPr>
      <w:numPr>
        <w:numId w:val="1"/>
      </w:numPr>
      <w:spacing w:line="360" w:lineRule="auto"/>
      <w:jc w:val="left"/>
    </w:pPr>
    <w:rPr>
      <w:rFonts w:eastAsia="Times New Roman"/>
      <w:szCs w:val="24"/>
    </w:rPr>
  </w:style>
  <w:style w:type="paragraph" w:styleId="ListBullet2">
    <w:name w:val="List Bullet 2"/>
    <w:basedOn w:val="Normal"/>
    <w:pPr>
      <w:numPr>
        <w:numId w:val="2"/>
      </w:numPr>
      <w:spacing w:line="360" w:lineRule="auto"/>
      <w:jc w:val="left"/>
    </w:pPr>
    <w:rPr>
      <w:rFonts w:eastAsia="Times New Roman"/>
      <w:szCs w:val="24"/>
    </w:rPr>
  </w:style>
  <w:style w:type="paragraph" w:styleId="ListBullet3">
    <w:name w:val="List Bullet 3"/>
    <w:basedOn w:val="Normal"/>
    <w:uiPriority w:val="99"/>
    <w:pPr>
      <w:numPr>
        <w:numId w:val="3"/>
      </w:numPr>
      <w:spacing w:line="360" w:lineRule="auto"/>
      <w:jc w:val="left"/>
    </w:pPr>
    <w:rPr>
      <w:rFonts w:eastAsia="Times New Roman"/>
      <w:szCs w:val="24"/>
    </w:rPr>
  </w:style>
  <w:style w:type="paragraph" w:styleId="ListBullet4">
    <w:name w:val="List Bullet 4"/>
    <w:basedOn w:val="Normal"/>
    <w:uiPriority w:val="99"/>
    <w:pPr>
      <w:numPr>
        <w:numId w:val="4"/>
      </w:numPr>
      <w:spacing w:line="360" w:lineRule="auto"/>
      <w:jc w:val="left"/>
    </w:pPr>
    <w:rPr>
      <w:rFonts w:eastAsia="Times New Roman"/>
      <w:szCs w:val="24"/>
    </w:rPr>
  </w:style>
  <w:style w:type="paragraph" w:styleId="ListNumber">
    <w:name w:val="List Number"/>
    <w:basedOn w:val="Normal"/>
    <w:uiPriority w:val="99"/>
    <w:pPr>
      <w:numPr>
        <w:numId w:val="5"/>
      </w:numPr>
      <w:spacing w:line="360" w:lineRule="auto"/>
      <w:jc w:val="left"/>
    </w:pPr>
    <w:rPr>
      <w:rFonts w:eastAsia="Times New Roman"/>
      <w:szCs w:val="24"/>
    </w:rPr>
  </w:style>
  <w:style w:type="paragraph" w:styleId="ListNumber2">
    <w:name w:val="List Number 2"/>
    <w:basedOn w:val="Normal"/>
    <w:uiPriority w:val="99"/>
    <w:pPr>
      <w:numPr>
        <w:numId w:val="6"/>
      </w:numPr>
      <w:spacing w:line="360" w:lineRule="auto"/>
      <w:jc w:val="left"/>
    </w:pPr>
    <w:rPr>
      <w:rFonts w:eastAsia="Times New Roman"/>
      <w:szCs w:val="24"/>
    </w:rPr>
  </w:style>
  <w:style w:type="paragraph" w:styleId="ListNumber3">
    <w:name w:val="List Number 3"/>
    <w:basedOn w:val="Normal"/>
    <w:uiPriority w:val="99"/>
    <w:pPr>
      <w:numPr>
        <w:numId w:val="7"/>
      </w:numPr>
      <w:spacing w:line="360" w:lineRule="auto"/>
      <w:jc w:val="left"/>
    </w:pPr>
    <w:rPr>
      <w:rFonts w:eastAsia="Times New Roman"/>
      <w:szCs w:val="24"/>
    </w:rPr>
  </w:style>
  <w:style w:type="paragraph" w:styleId="ListNumber4">
    <w:name w:val="List Number 4"/>
    <w:basedOn w:val="Normal"/>
    <w:uiPriority w:val="99"/>
    <w:pPr>
      <w:numPr>
        <w:numId w:val="8"/>
      </w:numPr>
      <w:spacing w:line="360" w:lineRule="auto"/>
      <w:jc w:val="left"/>
    </w:pPr>
    <w:rPr>
      <w:rFonts w:eastAsia="Times New Roman"/>
      <w:szCs w:val="24"/>
    </w:rPr>
  </w:style>
  <w:style w:type="paragraph" w:styleId="BalloonText">
    <w:name w:val="Balloon Text"/>
    <w:basedOn w:val="Normal"/>
    <w:link w:val="BalloonTextChar"/>
    <w:uiPriority w:val="99"/>
    <w:semiHidden/>
    <w:pPr>
      <w:spacing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table" w:styleId="TableGrid">
    <w:name w:val="Table Grid"/>
    <w:basedOn w:val="TableNormal"/>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cs="Times New Roman"/>
      <w:b/>
      <w:bCs/>
      <w:sz w:val="20"/>
      <w:szCs w:val="20"/>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styleId="Hyperlink">
    <w:name w:val="Hyperlink"/>
    <w:uiPriority w:val="99"/>
    <w:unhideWhenUsed/>
    <w:rPr>
      <w:strike w:val="0"/>
      <w:dstrike w:val="0"/>
      <w:color w:val="3366CC"/>
      <w:u w:val="none"/>
      <w:effect w:val="non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style>
  <w:style w:type="paragraph" w:customStyle="1" w:styleId="titrearticle">
    <w:name w:val="titrearticle"/>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customStyle="1" w:styleId="Titrearticle0">
    <w:name w:val="Titre article"/>
    <w:basedOn w:val="Normal"/>
    <w:next w:val="Normal"/>
    <w:pPr>
      <w:keepNext/>
      <w:spacing w:before="360"/>
      <w:jc w:val="center"/>
    </w:pPr>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customStyle="1" w:styleId="Titrearticle6">
    <w:name w:val="Titre article"/>
    <w:basedOn w:val="Normal"/>
    <w:next w:val="Normal"/>
    <w:pPr>
      <w:keepNext/>
      <w:spacing w:before="360"/>
      <w:jc w:val="center"/>
    </w:pPr>
    <w:rPr>
      <w:i/>
    </w:rPr>
  </w:style>
  <w:style w:type="paragraph" w:customStyle="1" w:styleId="Titrearticle7">
    <w:name w:val="Titre article"/>
    <w:basedOn w:val="Normal"/>
    <w:next w:val="Normal"/>
    <w:pPr>
      <w:keepNext/>
      <w:spacing w:before="360"/>
      <w:jc w:val="center"/>
    </w:pPr>
    <w:rPr>
      <w:i/>
    </w:rPr>
  </w:style>
  <w:style w:type="paragraph" w:customStyle="1" w:styleId="Titrearticle8">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9"/>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9">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9"/>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sz w:val="24"/>
      <w:lang w:val="en-GB"/>
    </w:rPr>
  </w:style>
  <w:style w:type="character" w:customStyle="1" w:styleId="FooterSensitivityChar">
    <w:name w:val="Footer Sensitivity Char"/>
    <w:basedOn w:val="DefaultParagraphFont"/>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hAnsi="Times New Roman" w:cs="Times New Roman"/>
      <w:sz w:val="24"/>
      <w:lang w:val="en-GB"/>
    </w:rPr>
  </w:style>
  <w:style w:type="character" w:customStyle="1" w:styleId="HeaderSensitivityChar">
    <w:name w:val="Header Sensitivity Char"/>
    <w:basedOn w:val="DefaultParagraphFont"/>
    <w:rPr>
      <w:rFonts w:ascii="Times New Roman" w:hAnsi="Times New Roman" w:cs="Times New Roman"/>
      <w:b/>
      <w:sz w:val="32"/>
      <w:lang w:val="en-GB"/>
    </w:rPr>
  </w:style>
  <w:style w:type="numbering" w:customStyle="1" w:styleId="NoList1">
    <w:name w:val="No List1"/>
    <w:next w:val="NoList"/>
    <w:uiPriority w:val="99"/>
    <w:semiHidden/>
    <w:unhideWhenUsed/>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720" w:after="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pj">
    <w:name w:val="p.j."/>
    <w:basedOn w:val="Normal"/>
    <w:next w:val="Normal"/>
    <w:pPr>
      <w:spacing w:before="1200"/>
      <w:ind w:left="1440" w:hanging="1440"/>
      <w:jc w:val="left"/>
    </w:pPr>
    <w:rPr>
      <w:rFonts w:eastAsia="Times New Roman"/>
      <w:szCs w:val="20"/>
    </w:rPr>
  </w:style>
  <w:style w:type="paragraph" w:styleId="DocumentMap">
    <w:name w:val="Document Map"/>
    <w:basedOn w:val="Normal"/>
    <w:link w:val="DocumentMapChar"/>
    <w:uiPriority w:val="99"/>
    <w:semiHidden/>
    <w:pPr>
      <w:shd w:val="clear" w:color="auto" w:fill="000080"/>
      <w:spacing w:line="360" w:lineRule="auto"/>
      <w:jc w:val="left"/>
    </w:pPr>
    <w:rPr>
      <w:rFonts w:ascii="Tahoma" w:eastAsia="Times New Roman" w:hAnsi="Tahoma" w:cs="Tahoma"/>
      <w:szCs w:val="24"/>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4"/>
      <w:shd w:val="clear" w:color="auto" w:fill="000080"/>
      <w:lang w:val="en-GB"/>
    </w:rPr>
  </w:style>
  <w:style w:type="character" w:styleId="PageNumber">
    <w:name w:val="page number"/>
    <w:uiPriority w:val="99"/>
    <w:rPr>
      <w:rFonts w:cs="Times New Roman"/>
      <w:shd w:val="clear" w:color="auto" w:fill="auto"/>
    </w:rPr>
  </w:style>
  <w:style w:type="paragraph" w:styleId="ListBullet">
    <w:name w:val="List Bullet"/>
    <w:basedOn w:val="Normal"/>
    <w:uiPriority w:val="99"/>
    <w:pPr>
      <w:numPr>
        <w:numId w:val="1"/>
      </w:numPr>
      <w:spacing w:line="360" w:lineRule="auto"/>
      <w:jc w:val="left"/>
    </w:pPr>
    <w:rPr>
      <w:rFonts w:eastAsia="Times New Roman"/>
      <w:szCs w:val="24"/>
    </w:rPr>
  </w:style>
  <w:style w:type="paragraph" w:styleId="ListBullet2">
    <w:name w:val="List Bullet 2"/>
    <w:basedOn w:val="Normal"/>
    <w:pPr>
      <w:numPr>
        <w:numId w:val="2"/>
      </w:numPr>
      <w:spacing w:line="360" w:lineRule="auto"/>
      <w:jc w:val="left"/>
    </w:pPr>
    <w:rPr>
      <w:rFonts w:eastAsia="Times New Roman"/>
      <w:szCs w:val="24"/>
    </w:rPr>
  </w:style>
  <w:style w:type="paragraph" w:styleId="ListBullet3">
    <w:name w:val="List Bullet 3"/>
    <w:basedOn w:val="Normal"/>
    <w:uiPriority w:val="99"/>
    <w:pPr>
      <w:numPr>
        <w:numId w:val="3"/>
      </w:numPr>
      <w:spacing w:line="360" w:lineRule="auto"/>
      <w:jc w:val="left"/>
    </w:pPr>
    <w:rPr>
      <w:rFonts w:eastAsia="Times New Roman"/>
      <w:szCs w:val="24"/>
    </w:rPr>
  </w:style>
  <w:style w:type="paragraph" w:styleId="ListBullet4">
    <w:name w:val="List Bullet 4"/>
    <w:basedOn w:val="Normal"/>
    <w:uiPriority w:val="99"/>
    <w:pPr>
      <w:numPr>
        <w:numId w:val="4"/>
      </w:numPr>
      <w:spacing w:line="360" w:lineRule="auto"/>
      <w:jc w:val="left"/>
    </w:pPr>
    <w:rPr>
      <w:rFonts w:eastAsia="Times New Roman"/>
      <w:szCs w:val="24"/>
    </w:rPr>
  </w:style>
  <w:style w:type="paragraph" w:styleId="ListNumber">
    <w:name w:val="List Number"/>
    <w:basedOn w:val="Normal"/>
    <w:uiPriority w:val="99"/>
    <w:pPr>
      <w:numPr>
        <w:numId w:val="5"/>
      </w:numPr>
      <w:spacing w:line="360" w:lineRule="auto"/>
      <w:jc w:val="left"/>
    </w:pPr>
    <w:rPr>
      <w:rFonts w:eastAsia="Times New Roman"/>
      <w:szCs w:val="24"/>
    </w:rPr>
  </w:style>
  <w:style w:type="paragraph" w:styleId="ListNumber2">
    <w:name w:val="List Number 2"/>
    <w:basedOn w:val="Normal"/>
    <w:uiPriority w:val="99"/>
    <w:pPr>
      <w:numPr>
        <w:numId w:val="6"/>
      </w:numPr>
      <w:spacing w:line="360" w:lineRule="auto"/>
      <w:jc w:val="left"/>
    </w:pPr>
    <w:rPr>
      <w:rFonts w:eastAsia="Times New Roman"/>
      <w:szCs w:val="24"/>
    </w:rPr>
  </w:style>
  <w:style w:type="paragraph" w:styleId="ListNumber3">
    <w:name w:val="List Number 3"/>
    <w:basedOn w:val="Normal"/>
    <w:uiPriority w:val="99"/>
    <w:pPr>
      <w:numPr>
        <w:numId w:val="7"/>
      </w:numPr>
      <w:spacing w:line="360" w:lineRule="auto"/>
      <w:jc w:val="left"/>
    </w:pPr>
    <w:rPr>
      <w:rFonts w:eastAsia="Times New Roman"/>
      <w:szCs w:val="24"/>
    </w:rPr>
  </w:style>
  <w:style w:type="paragraph" w:styleId="ListNumber4">
    <w:name w:val="List Number 4"/>
    <w:basedOn w:val="Normal"/>
    <w:uiPriority w:val="99"/>
    <w:pPr>
      <w:numPr>
        <w:numId w:val="8"/>
      </w:numPr>
      <w:spacing w:line="360" w:lineRule="auto"/>
      <w:jc w:val="left"/>
    </w:pPr>
    <w:rPr>
      <w:rFonts w:eastAsia="Times New Roman"/>
      <w:szCs w:val="24"/>
    </w:rPr>
  </w:style>
  <w:style w:type="paragraph" w:styleId="BalloonText">
    <w:name w:val="Balloon Text"/>
    <w:basedOn w:val="Normal"/>
    <w:link w:val="BalloonTextChar"/>
    <w:uiPriority w:val="99"/>
    <w:semiHidden/>
    <w:pPr>
      <w:spacing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table" w:styleId="TableGrid">
    <w:name w:val="Table Grid"/>
    <w:basedOn w:val="TableNormal"/>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before="0" w:after="200"/>
      <w:jc w:val="left"/>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cs="Times New Roman"/>
      <w:b/>
      <w:bCs/>
      <w:sz w:val="20"/>
      <w:szCs w:val="20"/>
      <w:lang w:val="en-GB"/>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character" w:styleId="Hyperlink">
    <w:name w:val="Hyperlink"/>
    <w:uiPriority w:val="99"/>
    <w:unhideWhenUsed/>
    <w:rPr>
      <w:strike w:val="0"/>
      <w:dstrike w:val="0"/>
      <w:color w:val="3366CC"/>
      <w:u w:val="none"/>
      <w:effect w:val="none"/>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li">
    <w:name w:val="li"/>
    <w:basedOn w:val="Normal"/>
    <w:pPr>
      <w:spacing w:before="100" w:beforeAutospacing="1" w:after="100" w:afterAutospacing="1"/>
      <w:jc w:val="left"/>
    </w:pPr>
    <w:rPr>
      <w:rFonts w:eastAsia="Times New Roman"/>
      <w:szCs w:val="24"/>
      <w:lang w:eastAsia="en-GB"/>
    </w:rPr>
  </w:style>
  <w:style w:type="character" w:customStyle="1" w:styleId="num">
    <w:name w:val="num"/>
  </w:style>
  <w:style w:type="paragraph" w:customStyle="1" w:styleId="titrearticle">
    <w:name w:val="titrearticle"/>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val="en-GB"/>
    </w:rPr>
  </w:style>
  <w:style w:type="paragraph" w:customStyle="1" w:styleId="Titrearticle0">
    <w:name w:val="Titre article"/>
    <w:basedOn w:val="Normal"/>
    <w:next w:val="Normal"/>
    <w:pPr>
      <w:keepNext/>
      <w:spacing w:before="360"/>
      <w:jc w:val="center"/>
    </w:pPr>
    <w:rPr>
      <w: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customStyle="1" w:styleId="Titrearticle6">
    <w:name w:val="Titre article"/>
    <w:basedOn w:val="Normal"/>
    <w:next w:val="Normal"/>
    <w:pPr>
      <w:keepNext/>
      <w:spacing w:before="360"/>
      <w:jc w:val="center"/>
    </w:pPr>
    <w:rPr>
      <w:i/>
    </w:rPr>
  </w:style>
  <w:style w:type="paragraph" w:customStyle="1" w:styleId="Titrearticle7">
    <w:name w:val="Titre article"/>
    <w:basedOn w:val="Normal"/>
    <w:next w:val="Normal"/>
    <w:pPr>
      <w:keepNext/>
      <w:spacing w:before="360"/>
      <w:jc w:val="center"/>
    </w:pPr>
    <w:rPr>
      <w:i/>
    </w:rPr>
  </w:style>
  <w:style w:type="paragraph" w:customStyle="1" w:styleId="Titrearticle8">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9"/>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9">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9"/>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ojn.nn.hr/Oglasnik/clanak/electronic-public-procurement-of-the-republic-of-croatia/0/81/" TargetMode="Externa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29</Pages>
  <Words>17661</Words>
  <Characters>103499</Characters>
  <Application>Microsoft Office Word</Application>
  <DocSecurity>0</DocSecurity>
  <Lines>2524</Lines>
  <Paragraphs>1101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JANTUNEN Johanna (EEAS)</dc:creator>
  <cp:lastModifiedBy>DIGIT/A3</cp:lastModifiedBy>
  <cp:revision>8</cp:revision>
  <dcterms:created xsi:type="dcterms:W3CDTF">2017-11-21T14:36:00Z</dcterms:created>
  <dcterms:modified xsi:type="dcterms:W3CDTF">2017-11-24T13:07:00Z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