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DAAA489-0870-4DA1-BD2E-107BDE34BB3C" style="width:450.45pt;height:348.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p>
    <w:p>
      <w:pPr>
        <w:pStyle w:val="TOCHeading"/>
        <w:rPr>
          <w:noProof/>
        </w:rPr>
      </w:pPr>
      <w:r>
        <w:rPr>
          <w:noProof/>
        </w:rPr>
        <w:t>Table of Contents</w:t>
      </w:r>
    </w:p>
    <w:p>
      <w:pPr>
        <w:pStyle w:val="TOC1"/>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495658606" w:history="1">
        <w:r>
          <w:rPr>
            <w:rStyle w:val="Hyperlink"/>
            <w:noProof/>
          </w:rPr>
          <w:t>1.</w:t>
        </w:r>
        <w:r>
          <w:rPr>
            <w:rFonts w:asciiTheme="minorHAnsi" w:eastAsiaTheme="minorEastAsia" w:hAnsiTheme="minorHAnsi" w:cstheme="minorBidi"/>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_Toc495658606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95658607" w:history="1">
        <w:r>
          <w:rPr>
            <w:rStyle w:val="Hyperlink"/>
            <w:noProof/>
          </w:rPr>
          <w:t>2.</w:t>
        </w:r>
        <w:r>
          <w:rPr>
            <w:rFonts w:asciiTheme="minorHAnsi" w:eastAsiaTheme="minorEastAsia" w:hAnsiTheme="minorHAnsi" w:cstheme="minorBidi"/>
            <w:noProof/>
            <w:sz w:val="22"/>
            <w:szCs w:val="22"/>
            <w:lang w:eastAsia="en-GB"/>
          </w:rPr>
          <w:tab/>
        </w:r>
        <w:r>
          <w:rPr>
            <w:rStyle w:val="Hyperlink"/>
            <w:noProof/>
          </w:rPr>
          <w:t>Operations guaranteed by the EU budget and other crisis management mechanisms</w:t>
        </w:r>
        <w:r>
          <w:rPr>
            <w:noProof/>
            <w:webHidden/>
          </w:rPr>
          <w:tab/>
        </w:r>
        <w:r>
          <w:rPr>
            <w:noProof/>
            <w:webHidden/>
          </w:rPr>
          <w:fldChar w:fldCharType="begin"/>
        </w:r>
        <w:r>
          <w:rPr>
            <w:noProof/>
            <w:webHidden/>
          </w:rPr>
          <w:instrText xml:space="preserve"> PAGEREF _Toc495658607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95658608" w:history="1">
        <w:r>
          <w:rPr>
            <w:rStyle w:val="Hyperlink"/>
            <w:noProof/>
          </w:rPr>
          <w:t>3.</w:t>
        </w:r>
        <w:r>
          <w:rPr>
            <w:rFonts w:asciiTheme="minorHAnsi" w:eastAsiaTheme="minorEastAsia" w:hAnsiTheme="minorHAnsi" w:cstheme="minorBidi"/>
            <w:noProof/>
            <w:sz w:val="22"/>
            <w:szCs w:val="22"/>
            <w:lang w:eastAsia="en-GB"/>
          </w:rPr>
          <w:tab/>
        </w:r>
        <w:r>
          <w:rPr>
            <w:rStyle w:val="Hyperlink"/>
            <w:noProof/>
          </w:rPr>
          <w:t>Evolutions of guaranteed operations</w:t>
        </w:r>
        <w:r>
          <w:rPr>
            <w:noProof/>
            <w:webHidden/>
          </w:rPr>
          <w:tab/>
        </w:r>
        <w:r>
          <w:rPr>
            <w:noProof/>
            <w:webHidden/>
          </w:rPr>
          <w:fldChar w:fldCharType="begin"/>
        </w:r>
        <w:r>
          <w:rPr>
            <w:noProof/>
            <w:webHidden/>
          </w:rPr>
          <w:instrText xml:space="preserve"> PAGEREF _Toc495658608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95658609"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Operations managed directly by the Commission</w:t>
        </w:r>
        <w:r>
          <w:rPr>
            <w:noProof/>
            <w:webHidden/>
          </w:rPr>
          <w:tab/>
        </w:r>
        <w:r>
          <w:rPr>
            <w:noProof/>
            <w:webHidden/>
          </w:rPr>
          <w:fldChar w:fldCharType="begin"/>
        </w:r>
        <w:r>
          <w:rPr>
            <w:noProof/>
            <w:webHidden/>
          </w:rPr>
          <w:instrText xml:space="preserve"> PAGEREF _Toc495658609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5658610" w:history="1">
        <w:r>
          <w:rPr>
            <w:rStyle w:val="Hyperlink"/>
            <w:noProof/>
          </w:rPr>
          <w:t>3.1.1.</w:t>
        </w:r>
        <w:r>
          <w:rPr>
            <w:rFonts w:asciiTheme="minorHAnsi" w:eastAsiaTheme="minorEastAsia" w:hAnsiTheme="minorHAnsi" w:cstheme="minorBidi"/>
            <w:noProof/>
            <w:sz w:val="22"/>
            <w:szCs w:val="22"/>
            <w:lang w:eastAsia="en-GB"/>
          </w:rPr>
          <w:tab/>
        </w:r>
        <w:r>
          <w:rPr>
            <w:rStyle w:val="Hyperlink"/>
            <w:noProof/>
          </w:rPr>
          <w:t>European Financial Stabilisation Mechanism (EFSM)</w:t>
        </w:r>
        <w:r>
          <w:rPr>
            <w:noProof/>
            <w:webHidden/>
          </w:rPr>
          <w:tab/>
        </w:r>
        <w:r>
          <w:rPr>
            <w:noProof/>
            <w:webHidden/>
          </w:rPr>
          <w:fldChar w:fldCharType="begin"/>
        </w:r>
        <w:r>
          <w:rPr>
            <w:noProof/>
            <w:webHidden/>
          </w:rPr>
          <w:instrText xml:space="preserve"> PAGEREF _Toc495658610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5658611" w:history="1">
        <w:r>
          <w:rPr>
            <w:rStyle w:val="Hyperlink"/>
            <w:noProof/>
          </w:rPr>
          <w:t>3.1.2.</w:t>
        </w:r>
        <w:r>
          <w:rPr>
            <w:rFonts w:asciiTheme="minorHAnsi" w:eastAsiaTheme="minorEastAsia" w:hAnsiTheme="minorHAnsi" w:cstheme="minorBidi"/>
            <w:noProof/>
            <w:sz w:val="22"/>
            <w:szCs w:val="22"/>
            <w:lang w:eastAsia="en-GB"/>
          </w:rPr>
          <w:tab/>
        </w:r>
        <w:r>
          <w:rPr>
            <w:rStyle w:val="Hyperlink"/>
            <w:noProof/>
          </w:rPr>
          <w:t>Balance of Payments facility (BOP)</w:t>
        </w:r>
        <w:r>
          <w:rPr>
            <w:noProof/>
            <w:webHidden/>
          </w:rPr>
          <w:tab/>
        </w:r>
        <w:r>
          <w:rPr>
            <w:noProof/>
            <w:webHidden/>
          </w:rPr>
          <w:fldChar w:fldCharType="begin"/>
        </w:r>
        <w:r>
          <w:rPr>
            <w:noProof/>
            <w:webHidden/>
          </w:rPr>
          <w:instrText xml:space="preserve"> PAGEREF _Toc495658611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5658612" w:history="1">
        <w:r>
          <w:rPr>
            <w:rStyle w:val="Hyperlink"/>
            <w:noProof/>
          </w:rPr>
          <w:t>3.1.3.</w:t>
        </w:r>
        <w:r>
          <w:rPr>
            <w:rFonts w:asciiTheme="minorHAnsi" w:eastAsiaTheme="minorEastAsia" w:hAnsiTheme="minorHAnsi" w:cstheme="minorBidi"/>
            <w:noProof/>
            <w:sz w:val="22"/>
            <w:szCs w:val="22"/>
            <w:lang w:eastAsia="en-GB"/>
          </w:rPr>
          <w:tab/>
        </w:r>
        <w:r>
          <w:rPr>
            <w:rStyle w:val="Hyperlink"/>
            <w:noProof/>
          </w:rPr>
          <w:t>Macro-Financial Assistance loans (MFA)</w:t>
        </w:r>
        <w:r>
          <w:rPr>
            <w:noProof/>
            <w:webHidden/>
          </w:rPr>
          <w:tab/>
        </w:r>
        <w:r>
          <w:rPr>
            <w:noProof/>
            <w:webHidden/>
          </w:rPr>
          <w:fldChar w:fldCharType="begin"/>
        </w:r>
        <w:r>
          <w:rPr>
            <w:noProof/>
            <w:webHidden/>
          </w:rPr>
          <w:instrText xml:space="preserve"> PAGEREF _Toc495658612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5658613" w:history="1">
        <w:r>
          <w:rPr>
            <w:rStyle w:val="Hyperlink"/>
            <w:noProof/>
          </w:rPr>
          <w:t>3.1.4.</w:t>
        </w:r>
        <w:r>
          <w:rPr>
            <w:rFonts w:asciiTheme="minorHAnsi" w:eastAsiaTheme="minorEastAsia" w:hAnsiTheme="minorHAnsi" w:cstheme="minorBidi"/>
            <w:noProof/>
            <w:sz w:val="22"/>
            <w:szCs w:val="22"/>
            <w:lang w:eastAsia="en-GB"/>
          </w:rPr>
          <w:tab/>
        </w:r>
        <w:r>
          <w:rPr>
            <w:rStyle w:val="Hyperlink"/>
            <w:noProof/>
          </w:rPr>
          <w:t>Euratom loans</w:t>
        </w:r>
        <w:r>
          <w:rPr>
            <w:noProof/>
            <w:webHidden/>
          </w:rPr>
          <w:tab/>
        </w:r>
        <w:r>
          <w:rPr>
            <w:noProof/>
            <w:webHidden/>
          </w:rPr>
          <w:fldChar w:fldCharType="begin"/>
        </w:r>
        <w:r>
          <w:rPr>
            <w:noProof/>
            <w:webHidden/>
          </w:rPr>
          <w:instrText xml:space="preserve"> PAGEREF _Toc495658613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95658614"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Evolution of the EIB external financing operations</w:t>
        </w:r>
        <w:r>
          <w:rPr>
            <w:noProof/>
            <w:webHidden/>
          </w:rPr>
          <w:tab/>
        </w:r>
        <w:r>
          <w:rPr>
            <w:noProof/>
            <w:webHidden/>
          </w:rPr>
          <w:fldChar w:fldCharType="begin"/>
        </w:r>
        <w:r>
          <w:rPr>
            <w:noProof/>
            <w:webHidden/>
          </w:rPr>
          <w:instrText xml:space="preserve"> PAGEREF _Toc495658614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95658615" w:history="1">
        <w:r>
          <w:rPr>
            <w:rStyle w:val="Hyperlink"/>
            <w:noProof/>
          </w:rPr>
          <w:t>4.</w:t>
        </w:r>
        <w:r>
          <w:rPr>
            <w:rFonts w:asciiTheme="minorHAnsi" w:eastAsiaTheme="minorEastAsia" w:hAnsiTheme="minorHAnsi" w:cstheme="minorBidi"/>
            <w:noProof/>
            <w:sz w:val="22"/>
            <w:szCs w:val="22"/>
            <w:lang w:eastAsia="en-GB"/>
          </w:rPr>
          <w:tab/>
        </w:r>
        <w:r>
          <w:rPr>
            <w:rStyle w:val="Hyperlink"/>
            <w:noProof/>
          </w:rPr>
          <w:t>Risks covered by the EU budget</w:t>
        </w:r>
        <w:r>
          <w:rPr>
            <w:noProof/>
            <w:webHidden/>
          </w:rPr>
          <w:tab/>
        </w:r>
        <w:r>
          <w:rPr>
            <w:noProof/>
            <w:webHidden/>
          </w:rPr>
          <w:fldChar w:fldCharType="begin"/>
        </w:r>
        <w:r>
          <w:rPr>
            <w:noProof/>
            <w:webHidden/>
          </w:rPr>
          <w:instrText xml:space="preserve"> PAGEREF _Toc495658615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95658616" w:history="1">
        <w:r>
          <w:rPr>
            <w:rStyle w:val="Hyperlink"/>
            <w:noProof/>
          </w:rPr>
          <w:t>4.1.</w:t>
        </w:r>
        <w:r>
          <w:rPr>
            <w:rFonts w:asciiTheme="minorHAnsi" w:eastAsiaTheme="minorEastAsia" w:hAnsiTheme="minorHAnsi" w:cstheme="minorBidi"/>
            <w:noProof/>
            <w:sz w:val="22"/>
            <w:szCs w:val="22"/>
            <w:lang w:eastAsia="en-GB"/>
          </w:rPr>
          <w:tab/>
        </w:r>
        <w:r>
          <w:rPr>
            <w:rStyle w:val="Hyperlink"/>
            <w:noProof/>
          </w:rPr>
          <w:t>Definition of risk</w:t>
        </w:r>
        <w:r>
          <w:rPr>
            <w:noProof/>
            <w:webHidden/>
          </w:rPr>
          <w:tab/>
        </w:r>
        <w:r>
          <w:rPr>
            <w:noProof/>
            <w:webHidden/>
          </w:rPr>
          <w:fldChar w:fldCharType="begin"/>
        </w:r>
        <w:r>
          <w:rPr>
            <w:noProof/>
            <w:webHidden/>
          </w:rPr>
          <w:instrText xml:space="preserve"> PAGEREF _Toc495658616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95658617" w:history="1">
        <w:r>
          <w:rPr>
            <w:rStyle w:val="Hyperlink"/>
            <w:noProof/>
          </w:rPr>
          <w:t>4.2.</w:t>
        </w:r>
        <w:r>
          <w:rPr>
            <w:rFonts w:asciiTheme="minorHAnsi" w:eastAsiaTheme="minorEastAsia" w:hAnsiTheme="minorHAnsi" w:cstheme="minorBidi"/>
            <w:noProof/>
            <w:sz w:val="22"/>
            <w:szCs w:val="22"/>
            <w:lang w:eastAsia="en-GB"/>
          </w:rPr>
          <w:tab/>
        </w:r>
        <w:r>
          <w:rPr>
            <w:rStyle w:val="Hyperlink"/>
            <w:noProof/>
          </w:rPr>
          <w:t>Total risk composition</w:t>
        </w:r>
        <w:r>
          <w:rPr>
            <w:noProof/>
            <w:webHidden/>
          </w:rPr>
          <w:tab/>
        </w:r>
        <w:r>
          <w:rPr>
            <w:noProof/>
            <w:webHidden/>
          </w:rPr>
          <w:fldChar w:fldCharType="begin"/>
        </w:r>
        <w:r>
          <w:rPr>
            <w:noProof/>
            <w:webHidden/>
          </w:rPr>
          <w:instrText xml:space="preserve"> PAGEREF _Toc495658617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95658618" w:history="1">
        <w:r>
          <w:rPr>
            <w:rStyle w:val="Hyperlink"/>
            <w:noProof/>
          </w:rPr>
          <w:t>4.3.</w:t>
        </w:r>
        <w:r>
          <w:rPr>
            <w:rFonts w:asciiTheme="minorHAnsi" w:eastAsiaTheme="minorEastAsia" w:hAnsiTheme="minorHAnsi" w:cstheme="minorBidi"/>
            <w:noProof/>
            <w:sz w:val="22"/>
            <w:szCs w:val="22"/>
            <w:lang w:eastAsia="en-GB"/>
          </w:rPr>
          <w:tab/>
        </w:r>
        <w:r>
          <w:rPr>
            <w:rStyle w:val="Hyperlink"/>
            <w:noProof/>
          </w:rPr>
          <w:t>Annual risk covered by the EU budget</w:t>
        </w:r>
        <w:r>
          <w:rPr>
            <w:noProof/>
            <w:webHidden/>
          </w:rPr>
          <w:tab/>
        </w:r>
        <w:r>
          <w:rPr>
            <w:noProof/>
            <w:webHidden/>
          </w:rPr>
          <w:fldChar w:fldCharType="begin"/>
        </w:r>
        <w:r>
          <w:rPr>
            <w:noProof/>
            <w:webHidden/>
          </w:rPr>
          <w:instrText xml:space="preserve"> PAGEREF _Toc495658618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5658619" w:history="1">
        <w:r>
          <w:rPr>
            <w:rStyle w:val="Hyperlink"/>
            <w:noProof/>
          </w:rPr>
          <w:t>4.3.1.</w:t>
        </w:r>
        <w:r>
          <w:rPr>
            <w:rFonts w:asciiTheme="minorHAnsi" w:eastAsiaTheme="minorEastAsia" w:hAnsiTheme="minorHAnsi" w:cstheme="minorBidi"/>
            <w:noProof/>
            <w:sz w:val="22"/>
            <w:szCs w:val="22"/>
            <w:lang w:eastAsia="en-GB"/>
          </w:rPr>
          <w:tab/>
        </w:r>
        <w:r>
          <w:rPr>
            <w:rStyle w:val="Hyperlink"/>
            <w:noProof/>
          </w:rPr>
          <w:t>Member State exposure</w:t>
        </w:r>
        <w:r>
          <w:rPr>
            <w:noProof/>
            <w:webHidden/>
          </w:rPr>
          <w:tab/>
        </w:r>
        <w:r>
          <w:rPr>
            <w:noProof/>
            <w:webHidden/>
          </w:rPr>
          <w:fldChar w:fldCharType="begin"/>
        </w:r>
        <w:r>
          <w:rPr>
            <w:noProof/>
            <w:webHidden/>
          </w:rPr>
          <w:instrText xml:space="preserve"> PAGEREF _Toc495658619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5658620" w:history="1">
        <w:r>
          <w:rPr>
            <w:rStyle w:val="Hyperlink"/>
            <w:noProof/>
          </w:rPr>
          <w:t>4.3.2.</w:t>
        </w:r>
        <w:r>
          <w:rPr>
            <w:rFonts w:asciiTheme="minorHAnsi" w:eastAsiaTheme="minorEastAsia" w:hAnsiTheme="minorHAnsi" w:cstheme="minorBidi"/>
            <w:noProof/>
            <w:sz w:val="22"/>
            <w:szCs w:val="22"/>
            <w:lang w:eastAsia="en-GB"/>
          </w:rPr>
          <w:tab/>
        </w:r>
        <w:r>
          <w:rPr>
            <w:rStyle w:val="Hyperlink"/>
            <w:noProof/>
          </w:rPr>
          <w:t>Third country exposure</w:t>
        </w:r>
        <w:r>
          <w:rPr>
            <w:noProof/>
            <w:webHidden/>
          </w:rPr>
          <w:tab/>
        </w:r>
        <w:r>
          <w:rPr>
            <w:noProof/>
            <w:webHidden/>
          </w:rPr>
          <w:fldChar w:fldCharType="begin"/>
        </w:r>
        <w:r>
          <w:rPr>
            <w:noProof/>
            <w:webHidden/>
          </w:rPr>
          <w:instrText xml:space="preserve"> PAGEREF _Toc495658620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95658621" w:history="1">
        <w:r>
          <w:rPr>
            <w:rStyle w:val="Hyperlink"/>
            <w:noProof/>
          </w:rPr>
          <w:t>5.</w:t>
        </w:r>
        <w:r>
          <w:rPr>
            <w:rFonts w:asciiTheme="minorHAnsi" w:eastAsiaTheme="minorEastAsia" w:hAnsiTheme="minorHAnsi" w:cstheme="minorBidi"/>
            <w:noProof/>
            <w:sz w:val="22"/>
            <w:szCs w:val="22"/>
            <w:lang w:eastAsia="en-GB"/>
          </w:rPr>
          <w:tab/>
        </w:r>
        <w:r>
          <w:rPr>
            <w:rStyle w:val="Hyperlink"/>
            <w:noProof/>
          </w:rPr>
          <w:t>The Guarantee Fund for external Actions</w:t>
        </w:r>
        <w:r>
          <w:rPr>
            <w:noProof/>
            <w:webHidden/>
          </w:rPr>
          <w:tab/>
        </w:r>
        <w:r>
          <w:rPr>
            <w:noProof/>
            <w:webHidden/>
          </w:rPr>
          <w:fldChar w:fldCharType="begin"/>
        </w:r>
        <w:r>
          <w:rPr>
            <w:noProof/>
            <w:webHidden/>
          </w:rPr>
          <w:instrText xml:space="preserve"> PAGEREF _Toc495658621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95658622" w:history="1">
        <w:r>
          <w:rPr>
            <w:rStyle w:val="Hyperlink"/>
            <w:noProof/>
          </w:rPr>
          <w:t>5.1.</w:t>
        </w:r>
        <w:r>
          <w:rPr>
            <w:rFonts w:asciiTheme="minorHAnsi" w:eastAsiaTheme="minorEastAsia" w:hAnsiTheme="minorHAnsi" w:cstheme="minorBidi"/>
            <w:noProof/>
            <w:sz w:val="22"/>
            <w:szCs w:val="22"/>
            <w:lang w:eastAsia="en-GB"/>
          </w:rPr>
          <w:tab/>
        </w:r>
        <w:r>
          <w:rPr>
            <w:rStyle w:val="Hyperlink"/>
            <w:noProof/>
          </w:rPr>
          <w:t>Activation of guarantees</w:t>
        </w:r>
        <w:r>
          <w:rPr>
            <w:noProof/>
            <w:webHidden/>
          </w:rPr>
          <w:tab/>
        </w:r>
        <w:r>
          <w:rPr>
            <w:noProof/>
            <w:webHidden/>
          </w:rPr>
          <w:fldChar w:fldCharType="begin"/>
        </w:r>
        <w:r>
          <w:rPr>
            <w:noProof/>
            <w:webHidden/>
          </w:rPr>
          <w:instrText xml:space="preserve"> PAGEREF _Toc495658622 \h </w:instrText>
        </w:r>
        <w:r>
          <w:rPr>
            <w:noProof/>
            <w:webHidden/>
          </w:rPr>
        </w:r>
        <w:r>
          <w:rPr>
            <w:noProof/>
            <w:webHidden/>
          </w:rPr>
          <w:fldChar w:fldCharType="separate"/>
        </w:r>
        <w:r>
          <w:rPr>
            <w:noProof/>
            <w:webHidden/>
          </w:rPr>
          <w:t>12</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5658623" w:history="1">
        <w:r>
          <w:rPr>
            <w:rStyle w:val="Hyperlink"/>
            <w:noProof/>
          </w:rPr>
          <w:t>5.1.1.</w:t>
        </w:r>
        <w:r>
          <w:rPr>
            <w:rFonts w:asciiTheme="minorHAnsi" w:eastAsiaTheme="minorEastAsia" w:hAnsiTheme="minorHAnsi" w:cstheme="minorBidi"/>
            <w:noProof/>
            <w:sz w:val="22"/>
            <w:szCs w:val="22"/>
            <w:lang w:eastAsia="en-GB"/>
          </w:rPr>
          <w:tab/>
        </w:r>
        <w:r>
          <w:rPr>
            <w:rStyle w:val="Hyperlink"/>
            <w:noProof/>
          </w:rPr>
          <w:t>Payments from cash resources</w:t>
        </w:r>
        <w:r>
          <w:rPr>
            <w:noProof/>
            <w:webHidden/>
          </w:rPr>
          <w:tab/>
        </w:r>
        <w:r>
          <w:rPr>
            <w:noProof/>
            <w:webHidden/>
          </w:rPr>
          <w:fldChar w:fldCharType="begin"/>
        </w:r>
        <w:r>
          <w:rPr>
            <w:noProof/>
            <w:webHidden/>
          </w:rPr>
          <w:instrText xml:space="preserve"> PAGEREF _Toc495658623 \h </w:instrText>
        </w:r>
        <w:r>
          <w:rPr>
            <w:noProof/>
            <w:webHidden/>
          </w:rPr>
        </w:r>
        <w:r>
          <w:rPr>
            <w:noProof/>
            <w:webHidden/>
          </w:rPr>
          <w:fldChar w:fldCharType="separate"/>
        </w:r>
        <w:r>
          <w:rPr>
            <w:noProof/>
            <w:webHidden/>
          </w:rPr>
          <w:t>12</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5658624" w:history="1">
        <w:r>
          <w:rPr>
            <w:rStyle w:val="Hyperlink"/>
            <w:noProof/>
          </w:rPr>
          <w:t>5.1.2.</w:t>
        </w:r>
        <w:r>
          <w:rPr>
            <w:rFonts w:asciiTheme="minorHAnsi" w:eastAsiaTheme="minorEastAsia" w:hAnsiTheme="minorHAnsi" w:cstheme="minorBidi"/>
            <w:noProof/>
            <w:sz w:val="22"/>
            <w:szCs w:val="22"/>
            <w:lang w:eastAsia="en-GB"/>
          </w:rPr>
          <w:tab/>
        </w:r>
        <w:r>
          <w:rPr>
            <w:rStyle w:val="Hyperlink"/>
            <w:noProof/>
          </w:rPr>
          <w:t>Payments from the EU budget</w:t>
        </w:r>
        <w:r>
          <w:rPr>
            <w:noProof/>
            <w:webHidden/>
          </w:rPr>
          <w:tab/>
        </w:r>
        <w:r>
          <w:rPr>
            <w:noProof/>
            <w:webHidden/>
          </w:rPr>
          <w:fldChar w:fldCharType="begin"/>
        </w:r>
        <w:r>
          <w:rPr>
            <w:noProof/>
            <w:webHidden/>
          </w:rPr>
          <w:instrText xml:space="preserve"> PAGEREF _Toc495658624 \h </w:instrText>
        </w:r>
        <w:r>
          <w:rPr>
            <w:noProof/>
            <w:webHidden/>
          </w:rPr>
        </w:r>
        <w:r>
          <w:rPr>
            <w:noProof/>
            <w:webHidden/>
          </w:rPr>
          <w:fldChar w:fldCharType="separate"/>
        </w:r>
        <w:r>
          <w:rPr>
            <w:noProof/>
            <w:webHidden/>
          </w:rPr>
          <w:t>12</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95658625" w:history="1">
        <w:r>
          <w:rPr>
            <w:rStyle w:val="Hyperlink"/>
            <w:noProof/>
          </w:rPr>
          <w:t>5.1.3.</w:t>
        </w:r>
        <w:r>
          <w:rPr>
            <w:rFonts w:asciiTheme="minorHAnsi" w:eastAsiaTheme="minorEastAsia" w:hAnsiTheme="minorHAnsi" w:cstheme="minorBidi"/>
            <w:noProof/>
            <w:sz w:val="22"/>
            <w:szCs w:val="22"/>
            <w:lang w:eastAsia="en-GB"/>
          </w:rPr>
          <w:tab/>
        </w:r>
        <w:r>
          <w:rPr>
            <w:rStyle w:val="Hyperlink"/>
            <w:noProof/>
          </w:rPr>
          <w:t>Calls on the Guarantee Fund and recoveries</w:t>
        </w:r>
        <w:r>
          <w:rPr>
            <w:noProof/>
            <w:webHidden/>
          </w:rPr>
          <w:tab/>
        </w:r>
        <w:r>
          <w:rPr>
            <w:noProof/>
            <w:webHidden/>
          </w:rPr>
          <w:fldChar w:fldCharType="begin"/>
        </w:r>
        <w:r>
          <w:rPr>
            <w:noProof/>
            <w:webHidden/>
          </w:rPr>
          <w:instrText xml:space="preserve"> PAGEREF _Toc495658625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95658626" w:history="1">
        <w:r>
          <w:rPr>
            <w:rStyle w:val="Hyperlink"/>
            <w:noProof/>
          </w:rPr>
          <w:t>5.2.</w:t>
        </w:r>
        <w:r>
          <w:rPr>
            <w:rFonts w:asciiTheme="minorHAnsi" w:eastAsiaTheme="minorEastAsia" w:hAnsiTheme="minorHAnsi" w:cstheme="minorBidi"/>
            <w:noProof/>
            <w:sz w:val="22"/>
            <w:szCs w:val="22"/>
            <w:lang w:eastAsia="en-GB"/>
          </w:rPr>
          <w:tab/>
        </w:r>
        <w:r>
          <w:rPr>
            <w:rStyle w:val="Hyperlink"/>
            <w:noProof/>
          </w:rPr>
          <w:t>Evolution of the Fund</w:t>
        </w:r>
        <w:r>
          <w:rPr>
            <w:noProof/>
            <w:webHidden/>
          </w:rPr>
          <w:tab/>
        </w:r>
        <w:r>
          <w:rPr>
            <w:noProof/>
            <w:webHidden/>
          </w:rPr>
          <w:fldChar w:fldCharType="begin"/>
        </w:r>
        <w:r>
          <w:rPr>
            <w:noProof/>
            <w:webHidden/>
          </w:rPr>
          <w:instrText xml:space="preserve"> PAGEREF _Toc495658626 \h </w:instrText>
        </w:r>
        <w:r>
          <w:rPr>
            <w:noProof/>
            <w:webHidden/>
          </w:rPr>
        </w:r>
        <w:r>
          <w:rPr>
            <w:noProof/>
            <w:webHidden/>
          </w:rPr>
          <w:fldChar w:fldCharType="separate"/>
        </w:r>
        <w:r>
          <w:rPr>
            <w:noProof/>
            <w:webHidden/>
          </w:rPr>
          <w:t>14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95658627" w:history="1">
        <w:r>
          <w:rPr>
            <w:rStyle w:val="Hyperlink"/>
            <w:noProof/>
          </w:rPr>
          <w:t>6.</w:t>
        </w:r>
        <w:r>
          <w:rPr>
            <w:rFonts w:asciiTheme="minorHAnsi" w:eastAsiaTheme="minorEastAsia" w:hAnsiTheme="minorHAnsi" w:cstheme="minorBidi"/>
            <w:noProof/>
            <w:sz w:val="22"/>
            <w:szCs w:val="22"/>
            <w:lang w:eastAsia="en-GB"/>
          </w:rPr>
          <w:tab/>
        </w:r>
        <w:r>
          <w:rPr>
            <w:rStyle w:val="Hyperlink"/>
            <w:noProof/>
          </w:rPr>
          <w:t>The European Fund for Strategic Investments (EFSI)</w:t>
        </w:r>
        <w:r>
          <w:rPr>
            <w:noProof/>
            <w:webHidden/>
          </w:rPr>
          <w:tab/>
        </w:r>
        <w:r>
          <w:rPr>
            <w:noProof/>
            <w:webHidden/>
          </w:rPr>
          <w:fldChar w:fldCharType="begin"/>
        </w:r>
        <w:r>
          <w:rPr>
            <w:noProof/>
            <w:webHidden/>
          </w:rPr>
          <w:instrText xml:space="preserve"> PAGEREF _Toc495658627 \h </w:instrText>
        </w:r>
        <w:r>
          <w:rPr>
            <w:noProof/>
            <w:webHidden/>
          </w:rPr>
        </w:r>
        <w:r>
          <w:rPr>
            <w:noProof/>
            <w:webHidden/>
          </w:rPr>
          <w:fldChar w:fldCharType="separate"/>
        </w:r>
        <w:r>
          <w:rPr>
            <w:noProof/>
            <w:webHidden/>
          </w:rPr>
          <w:t>15</w:t>
        </w:r>
        <w:r>
          <w:rPr>
            <w:noProof/>
            <w:webHidden/>
          </w:rPr>
          <w:fldChar w:fldCharType="end"/>
        </w:r>
      </w:hyperlink>
    </w:p>
    <w:p>
      <w:pPr>
        <w:rPr>
          <w:noProof/>
        </w:rPr>
      </w:pPr>
      <w:r>
        <w:rPr>
          <w:b/>
          <w:noProof/>
          <w:color w:val="00B050"/>
        </w:rPr>
        <w:fldChar w:fldCharType="end"/>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08"/>
          <w:docGrid w:linePitch="360"/>
        </w:sectPr>
      </w:pPr>
    </w:p>
    <w:p>
      <w:pPr>
        <w:pStyle w:val="ManualHeading1"/>
        <w:ind w:left="851" w:hanging="851"/>
        <w:rPr>
          <w:noProof/>
        </w:rPr>
      </w:pPr>
      <w:bookmarkStart w:id="2" w:name="_Toc309831354"/>
      <w:bookmarkStart w:id="3" w:name="_Toc329261054"/>
      <w:bookmarkStart w:id="4" w:name="_Toc329855616"/>
      <w:bookmarkStart w:id="5" w:name="_Toc330551221"/>
      <w:bookmarkStart w:id="6" w:name="_Toc342470144"/>
      <w:bookmarkStart w:id="7" w:name="_Toc345073694"/>
      <w:bookmarkStart w:id="8" w:name="_Toc365986211"/>
      <w:bookmarkStart w:id="9" w:name="_Toc367869464"/>
      <w:bookmarkStart w:id="10" w:name="_Toc367869991"/>
      <w:bookmarkStart w:id="11" w:name="_Toc388973009"/>
      <w:bookmarkStart w:id="12" w:name="_Toc389474742"/>
      <w:bookmarkStart w:id="13" w:name="_Toc390944385"/>
      <w:bookmarkStart w:id="14" w:name="_Toc393969956"/>
      <w:bookmarkStart w:id="15" w:name="_Toc417461963"/>
      <w:bookmarkStart w:id="16" w:name="_Toc417998597"/>
      <w:bookmarkStart w:id="17" w:name="_Toc418157623"/>
      <w:bookmarkStart w:id="18" w:name="_Toc418160304"/>
      <w:bookmarkStart w:id="19" w:name="_Toc446577171"/>
      <w:bookmarkStart w:id="20" w:name="_Toc452646717"/>
      <w:bookmarkStart w:id="21" w:name="_Toc453161356"/>
      <w:bookmarkStart w:id="22" w:name="_Toc486601259"/>
      <w:bookmarkStart w:id="23" w:name="_Toc495658606"/>
      <w:r>
        <w:rPr>
          <w:noProof/>
        </w:rPr>
        <w:t>1.</w:t>
      </w:r>
      <w:r>
        <w:rPr>
          <w:noProof/>
        </w:rPr>
        <w:tab/>
        <w:t>Introduction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rPr>
          <w:noProof/>
        </w:rPr>
      </w:pPr>
      <w:r>
        <w:rPr>
          <w:noProof/>
        </w:rPr>
        <w:t>The objective of this report is to monitor the credit risks borne by the EU budget resulting from the guarantees given and the lending operations implemented directly by the European Union or indirectly through the guarantee granted for EIB financing projects outside the Union.</w:t>
      </w:r>
    </w:p>
    <w:p>
      <w:pPr>
        <w:rPr>
          <w:noProof/>
        </w:rPr>
      </w:pPr>
      <w:r>
        <w:rPr>
          <w:noProof/>
        </w:rPr>
        <w:t>This report is submitted pursuant to Article 149 of the Financial Regulation</w:t>
      </w:r>
      <w:r>
        <w:rPr>
          <w:rStyle w:val="FootnoteReference"/>
          <w:noProof/>
        </w:rPr>
        <w:footnoteReference w:id="2"/>
      </w:r>
      <w:r>
        <w:rPr>
          <w:noProof/>
        </w:rPr>
        <w:t xml:space="preserve"> which requires the Commission to report annually to the European Parliament and to the Council on EU budget guarantees and the corresponding risks.</w:t>
      </w:r>
    </w:p>
    <w:p>
      <w:pPr>
        <w:rPr>
          <w:noProof/>
        </w:rPr>
      </w:pPr>
      <w:r>
        <w:rPr>
          <w:noProof/>
        </w:rPr>
        <w:t>The report is structured as follows: Section 2 recalls the key features of the operations guaranteed by the EU budget; several other additional crisis management mechanisms, which do not imply any risk for the EU budget, are also presented. Section 3 lays out the evolution of the guaranteed operations. Section 4 highlights the main risks covered by the EU budget. Section 5 outlines the activation of the guarantees and the evolution of the Guarantee Fund for external actions ("the Fund")</w:t>
      </w:r>
      <w:r>
        <w:rPr>
          <w:noProof/>
          <w:vertAlign w:val="superscript"/>
        </w:rPr>
        <w:footnoteReference w:id="3"/>
      </w:r>
      <w:r>
        <w:rPr>
          <w:noProof/>
        </w:rPr>
        <w:t xml:space="preserve"> while section 6 outlines the evolution of the European Fund for Strategic Investments (EFSI)</w:t>
      </w:r>
      <w:r>
        <w:rPr>
          <w:rStyle w:val="FootnoteReference"/>
          <w:noProof/>
        </w:rPr>
        <w:footnoteReference w:id="4"/>
      </w:r>
      <w:r>
        <w:rPr>
          <w:noProof/>
        </w:rPr>
        <w:t>.</w:t>
      </w:r>
    </w:p>
    <w:p>
      <w:pPr>
        <w:rPr>
          <w:noProof/>
        </w:rPr>
      </w:pPr>
      <w:r>
        <w:rPr>
          <w:noProof/>
        </w:rPr>
        <w:t>A Commission Staff Working Document (SWD) complements this report with a set of detailed tables and explanatory notes. It also provides a macroeconomic analysis of the countries benefitting from EU loans and/or guarantees, representing the bulk of the exposure of the Fund.</w:t>
      </w:r>
    </w:p>
    <w:p>
      <w:pPr>
        <w:pStyle w:val="ManualHeading1"/>
        <w:ind w:left="851" w:hanging="851"/>
        <w:rPr>
          <w:noProof/>
        </w:rPr>
      </w:pPr>
      <w:bookmarkStart w:id="24" w:name="_Toc309831355"/>
      <w:bookmarkStart w:id="25" w:name="_Toc329261055"/>
      <w:bookmarkStart w:id="26" w:name="_Toc329855617"/>
      <w:bookmarkStart w:id="27" w:name="_Toc330551222"/>
      <w:bookmarkStart w:id="28" w:name="_Toc342470145"/>
      <w:bookmarkStart w:id="29" w:name="_Toc345073695"/>
      <w:bookmarkStart w:id="30" w:name="_Toc365986212"/>
      <w:bookmarkStart w:id="31" w:name="_Toc367869465"/>
      <w:bookmarkStart w:id="32" w:name="_Toc367869992"/>
      <w:bookmarkStart w:id="33" w:name="_Toc388973010"/>
      <w:bookmarkStart w:id="34" w:name="_Toc389474743"/>
      <w:bookmarkStart w:id="35" w:name="_Toc390944386"/>
      <w:bookmarkStart w:id="36" w:name="_Toc393969957"/>
      <w:bookmarkStart w:id="37" w:name="_Toc417461964"/>
      <w:bookmarkStart w:id="38" w:name="_Toc417998598"/>
      <w:bookmarkStart w:id="39" w:name="_Toc418157624"/>
      <w:bookmarkStart w:id="40" w:name="_Toc418160305"/>
      <w:bookmarkStart w:id="41" w:name="_Toc446577172"/>
      <w:bookmarkStart w:id="42" w:name="_Toc452646718"/>
      <w:bookmarkStart w:id="43" w:name="_Toc453161357"/>
      <w:bookmarkStart w:id="44" w:name="_Toc486601260"/>
      <w:bookmarkStart w:id="45" w:name="_Toc495658607"/>
      <w:r>
        <w:rPr>
          <w:noProof/>
        </w:rPr>
        <w:t>2.</w:t>
      </w:r>
      <w:r>
        <w:rPr>
          <w:noProof/>
        </w:rPr>
        <w:tab/>
        <w:t xml:space="preserve">Operations guaranteed by the </w:t>
      </w:r>
      <w:bookmarkEnd w:id="24"/>
      <w:bookmarkEnd w:id="25"/>
      <w:bookmarkEnd w:id="26"/>
      <w:bookmarkEnd w:id="27"/>
      <w:bookmarkEnd w:id="28"/>
      <w:bookmarkEnd w:id="29"/>
      <w:bookmarkEnd w:id="30"/>
      <w:bookmarkEnd w:id="31"/>
      <w:bookmarkEnd w:id="32"/>
      <w:bookmarkEnd w:id="33"/>
      <w:bookmarkEnd w:id="34"/>
      <w:r>
        <w:rPr>
          <w:noProof/>
        </w:rPr>
        <w:t>EU budget</w:t>
      </w:r>
      <w:bookmarkEnd w:id="35"/>
      <w:bookmarkEnd w:id="36"/>
      <w:bookmarkEnd w:id="37"/>
      <w:bookmarkEnd w:id="38"/>
      <w:bookmarkEnd w:id="39"/>
      <w:bookmarkEnd w:id="40"/>
      <w:bookmarkEnd w:id="41"/>
      <w:bookmarkEnd w:id="42"/>
      <w:bookmarkEnd w:id="43"/>
      <w:bookmarkEnd w:id="44"/>
      <w:r>
        <w:rPr>
          <w:noProof/>
        </w:rPr>
        <w:t xml:space="preserve"> and other crisis management mechanisms</w:t>
      </w:r>
      <w:bookmarkEnd w:id="45"/>
    </w:p>
    <w:p>
      <w:pPr>
        <w:autoSpaceDE w:val="0"/>
        <w:rPr>
          <w:noProof/>
        </w:rPr>
      </w:pPr>
      <w:r>
        <w:rPr>
          <w:noProof/>
        </w:rPr>
        <w:t xml:space="preserve">The risks covered by the EU budget derive from a variety of lending and guarantee operations which can be divided into four categories: </w:t>
      </w:r>
    </w:p>
    <w:p>
      <w:pPr>
        <w:autoSpaceDE w:val="0"/>
        <w:rPr>
          <w:b/>
          <w:noProof/>
        </w:rPr>
      </w:pPr>
      <w:r>
        <w:rPr>
          <w:b/>
          <w:noProof/>
        </w:rPr>
        <w:t xml:space="preserve">2.1 Loans granted by the European Union with macroeconomic objectives </w:t>
      </w:r>
    </w:p>
    <w:p>
      <w:pPr>
        <w:autoSpaceDE w:val="0"/>
        <w:rPr>
          <w:noProof/>
        </w:rPr>
      </w:pPr>
      <w:r>
        <w:rPr>
          <w:noProof/>
        </w:rPr>
        <w:t>Such loans comprise (1) Macro-Financial Assistance</w:t>
      </w:r>
      <w:r>
        <w:rPr>
          <w:rStyle w:val="Funotenzeichen"/>
          <w:noProof/>
        </w:rPr>
        <w:footnoteReference w:id="5"/>
      </w:r>
      <w:r>
        <w:rPr>
          <w:noProof/>
        </w:rPr>
        <w:t xml:space="preserve"> ("MFA") loans to third countries, (2) Balance-of-Payments</w:t>
      </w:r>
      <w:r>
        <w:rPr>
          <w:rStyle w:val="FootnoteReference"/>
          <w:noProof/>
        </w:rPr>
        <w:footnoteReference w:id="6"/>
      </w:r>
      <w:r>
        <w:rPr>
          <w:noProof/>
        </w:rPr>
        <w:t xml:space="preserve"> ("BOP") loans granting support to non-euro Member States experiencing balance-of-payments difficulties and (3) loans under the European Financial Stabilisation Mechanism ("EFSM")</w:t>
      </w:r>
      <w:r>
        <w:rPr>
          <w:rStyle w:val="Funotenzeichen"/>
          <w:noProof/>
        </w:rPr>
        <w:footnoteReference w:id="7"/>
      </w:r>
      <w:r>
        <w:rPr>
          <w:noProof/>
        </w:rPr>
        <w:t xml:space="preserve"> granting support to all Member States experiencing or seriously threatened with a severe economic financial disturbance caused by exceptional occurrences beyond their control. They are activated in conjunction with financial support by the International Monetary Fund (IMF);</w:t>
      </w:r>
    </w:p>
    <w:p>
      <w:pPr>
        <w:autoSpaceDE w:val="0"/>
        <w:rPr>
          <w:b/>
          <w:noProof/>
        </w:rPr>
      </w:pPr>
      <w:r>
        <w:rPr>
          <w:b/>
          <w:noProof/>
        </w:rPr>
        <w:t xml:space="preserve">2.2 Loans with microeconomic objectives </w:t>
      </w:r>
    </w:p>
    <w:p>
      <w:pPr>
        <w:autoSpaceDE w:val="0"/>
        <w:rPr>
          <w:noProof/>
          <w:lang w:eastAsia="de-DE"/>
        </w:rPr>
      </w:pPr>
      <w:r>
        <w:rPr>
          <w:noProof/>
        </w:rPr>
        <w:t>This heading refers to Euratom loans.</w:t>
      </w:r>
    </w:p>
    <w:p>
      <w:pPr>
        <w:autoSpaceDE w:val="0"/>
        <w:rPr>
          <w:noProof/>
        </w:rPr>
      </w:pPr>
      <w:r>
        <w:rPr>
          <w:b/>
          <w:noProof/>
        </w:rPr>
        <w:t>2.3</w:t>
      </w:r>
      <w:r>
        <w:rPr>
          <w:noProof/>
        </w:rPr>
        <w:t xml:space="preserve"> </w:t>
      </w:r>
      <w:r>
        <w:rPr>
          <w:b/>
          <w:noProof/>
        </w:rPr>
        <w:t>European Investment Bank ("EIB") financing of operations in non-Member States ("EIB external financing") covered by EU guarantees</w:t>
      </w:r>
      <w:r>
        <w:rPr>
          <w:rStyle w:val="Funotenzeichen"/>
          <w:noProof/>
        </w:rPr>
        <w:footnoteReference w:id="8"/>
      </w:r>
    </w:p>
    <w:p>
      <w:pPr>
        <w:rPr>
          <w:noProof/>
        </w:rPr>
      </w:pPr>
      <w:r>
        <w:rPr>
          <w:noProof/>
        </w:rPr>
        <w:t>The guaranteed EIB external financing, MFA and Euratom loans to third countries have since 1994 been covered by the Guarantee Fund for external Actions ("the Fund"), while BOP, EFSM and Euratom loans to Member States are directly covered by the EU budget.</w:t>
      </w:r>
    </w:p>
    <w:p>
      <w:pPr>
        <w:rPr>
          <w:noProof/>
        </w:rPr>
      </w:pPr>
      <w:r>
        <w:rPr>
          <w:noProof/>
        </w:rPr>
        <w:t>The Fund covers defaults on loans and loan guarantees granted to non-Member States or for projects in non-Member States. It was established:</w:t>
      </w:r>
    </w:p>
    <w:p>
      <w:pPr>
        <w:pStyle w:val="ListDash"/>
        <w:numPr>
          <w:ilvl w:val="0"/>
          <w:numId w:val="36"/>
        </w:numPr>
        <w:ind w:left="851"/>
        <w:rPr>
          <w:noProof/>
        </w:rPr>
      </w:pPr>
      <w:r>
        <w:rPr>
          <w:noProof/>
        </w:rPr>
        <w:t>to provide a 'liquidity cushion' in order to avoid calling on the EU budget every time a default or late payment on a guaranteed loan arises; and</w:t>
      </w:r>
    </w:p>
    <w:p>
      <w:pPr>
        <w:pStyle w:val="ListDash"/>
        <w:numPr>
          <w:ilvl w:val="0"/>
          <w:numId w:val="36"/>
        </w:numPr>
        <w:ind w:left="851"/>
        <w:rPr>
          <w:noProof/>
        </w:rPr>
      </w:pPr>
      <w:r>
        <w:rPr>
          <w:noProof/>
        </w:rPr>
        <w:t>to create an instrument of budgetary discipline by laying down a financial framework for the development of the EU policy on guarantees for EU and EIB loans to third countries</w:t>
      </w:r>
      <w:r>
        <w:rPr>
          <w:rStyle w:val="Funotenzeichen"/>
          <w:noProof/>
        </w:rPr>
        <w:footnoteReference w:id="9"/>
      </w:r>
      <w:r>
        <w:rPr>
          <w:noProof/>
        </w:rPr>
        <w:t>.</w:t>
      </w:r>
    </w:p>
    <w:p>
      <w:pPr>
        <w:rPr>
          <w:noProof/>
        </w:rPr>
      </w:pPr>
      <w:r>
        <w:rPr>
          <w:noProof/>
        </w:rPr>
        <w:t>If third countries become Member States, loans relating to such countries are no longer covered by the Fund and the risk has to be directly borne by the EU budget. The Fund is provisioned from the EU budget and has to be maintained at a certain percentage of the outstanding amount of the loans and loan guarantees covered by the Fund. This percentage, known as the target rate, is currently 9%</w:t>
      </w:r>
      <w:r>
        <w:rPr>
          <w:rStyle w:val="FootnoteReference"/>
          <w:noProof/>
        </w:rPr>
        <w:footnoteReference w:id="10"/>
      </w:r>
      <w:r>
        <w:rPr>
          <w:noProof/>
        </w:rPr>
        <w:t>. If resources of the Fund are not sufficient, the EU budget will provide the necessary funds.</w:t>
      </w:r>
    </w:p>
    <w:p>
      <w:pPr>
        <w:rPr>
          <w:b/>
          <w:noProof/>
        </w:rPr>
      </w:pPr>
      <w:r>
        <w:rPr>
          <w:b/>
          <w:noProof/>
        </w:rPr>
        <w:t>2.4 European Investment Bank ("EIB") and European Investment Fund ("EIF")</w:t>
      </w:r>
      <w:r>
        <w:rPr>
          <w:noProof/>
        </w:rPr>
        <w:t xml:space="preserve"> </w:t>
      </w:r>
      <w:r>
        <w:rPr>
          <w:b/>
          <w:noProof/>
        </w:rPr>
        <w:t>financing of operations in Member States covered by EU guarantees - The European Fund for Strategic Investments (EFSI)</w:t>
      </w:r>
    </w:p>
    <w:p>
      <w:pPr>
        <w:rPr>
          <w:noProof/>
        </w:rPr>
      </w:pPr>
      <w:r>
        <w:rPr>
          <w:noProof/>
        </w:rPr>
        <w:t>The European Fund for Strategic Investments (EFSI) is the core of the investment plan for Europe, aimed at boosting long-term economic growth and competitiveness in the European Union.</w:t>
      </w:r>
    </w:p>
    <w:p>
      <w:pPr>
        <w:rPr>
          <w:noProof/>
        </w:rPr>
      </w:pPr>
      <w:r>
        <w:rPr>
          <w:noProof/>
        </w:rPr>
        <w:t>The EU Guarantee covers part of the financing and investment operations signed by the EIB under the Infrastructure and Innovation Window ("IIW") and by the EIF under the SME Window ("SMEW") while the  other part is carried out at the own risk of the EIB Group.</w:t>
      </w:r>
    </w:p>
    <w:p>
      <w:pPr>
        <w:rPr>
          <w:noProof/>
        </w:rPr>
      </w:pPr>
      <w:r>
        <w:rPr>
          <w:noProof/>
        </w:rPr>
        <w:t>The EIB and the EIF are responsible for assessing and monitoring the risk of the individual operations and report back to the Commission and the European Court of Auditors.</w:t>
      </w:r>
    </w:p>
    <w:p>
      <w:pPr>
        <w:rPr>
          <w:noProof/>
        </w:rPr>
      </w:pPr>
      <w:r>
        <w:rPr>
          <w:noProof/>
          <w:u w:val="single"/>
        </w:rPr>
        <w:t>Guarantee Fund of the European Fund for Strategic Investments (EFSI GF)</w:t>
      </w:r>
      <w:r>
        <w:rPr>
          <w:rStyle w:val="FootnoteReference"/>
          <w:noProof/>
        </w:rPr>
        <w:footnoteReference w:id="11"/>
      </w:r>
    </w:p>
    <w:p>
      <w:pPr>
        <w:rPr>
          <w:noProof/>
        </w:rPr>
      </w:pPr>
      <w:r>
        <w:rPr>
          <w:noProof/>
        </w:rPr>
        <w:t>According to Article 12 of the EFSI Regulation</w:t>
      </w:r>
      <w:r>
        <w:rPr>
          <w:rStyle w:val="FootnoteReference"/>
          <w:noProof/>
        </w:rPr>
        <w:footnoteReference w:id="12"/>
      </w:r>
      <w:r>
        <w:rPr>
          <w:noProof/>
        </w:rPr>
        <w:t xml:space="preserve">, the EFSI GF shall constitute a liquidity cushion from which the EIB shall be paid in the event of a call on the EU guarantee. In accordance with the EFSI Agreement between the EU and the EIB, calls are paid by the EFSI GF if their amount is in excess of the funds at the disposal of the EIB on the EFSI Account. The EFSI Account, managed by the EIB, has been established for the purposes of collecting the EU revenues resulting from EFSI operations under the EU guarantee and recovered amounts and to the extent of the available balance, for the payment of calls under the EU guarantee. </w:t>
      </w:r>
    </w:p>
    <w:p>
      <w:pPr>
        <w:rPr>
          <w:noProof/>
        </w:rPr>
      </w:pPr>
      <w:r>
        <w:rPr>
          <w:noProof/>
        </w:rPr>
        <w:t>The EFSI GF is provisioned progressively taking into account the increase in exposure borne by the EU Guarantee.</w:t>
      </w:r>
    </w:p>
    <w:p>
      <w:pPr>
        <w:rPr>
          <w:noProof/>
        </w:rPr>
      </w:pPr>
      <w:r>
        <w:rPr>
          <w:noProof/>
        </w:rPr>
        <w:t>According to Article 12(4), the resources of the EFSI GF are directly managed by the Commission and invested in accordance with the principle of sound financial management following appropriate prudential rules.</w:t>
      </w:r>
    </w:p>
    <w:p>
      <w:pPr>
        <w:rPr>
          <w:b/>
          <w:noProof/>
        </w:rPr>
      </w:pPr>
      <w:r>
        <w:rPr>
          <w:b/>
          <w:noProof/>
        </w:rPr>
        <w:t>2.5 Crisis management mechanisms which are not covered by the EU budget</w:t>
      </w:r>
    </w:p>
    <w:p>
      <w:pPr>
        <w:rPr>
          <w:noProof/>
          <w:lang w:eastAsia="en-GB"/>
        </w:rPr>
      </w:pPr>
      <w:r>
        <w:rPr>
          <w:noProof/>
          <w:lang w:eastAsia="en-GB"/>
        </w:rPr>
        <w:t xml:space="preserve">As part of the response to the crisis, several other mechanisms have been established which, however, do </w:t>
      </w:r>
      <w:r>
        <w:rPr>
          <w:i/>
          <w:noProof/>
          <w:lang w:eastAsia="en-GB"/>
        </w:rPr>
        <w:t>not</w:t>
      </w:r>
      <w:r>
        <w:rPr>
          <w:noProof/>
          <w:lang w:eastAsia="en-GB"/>
        </w:rPr>
        <w:t xml:space="preserve"> imply any risk to the EU budget:</w:t>
      </w:r>
    </w:p>
    <w:p>
      <w:pPr>
        <w:pStyle w:val="NormalWeb"/>
        <w:jc w:val="both"/>
        <w:rPr>
          <w:noProof/>
        </w:rPr>
      </w:pPr>
      <w:r>
        <w:rPr>
          <w:noProof/>
        </w:rPr>
        <w:t xml:space="preserve">- </w:t>
      </w:r>
      <w:r>
        <w:rPr>
          <w:i/>
          <w:noProof/>
        </w:rPr>
        <w:t>the Greek Loan Facility (GLF)</w:t>
      </w:r>
      <w:r>
        <w:rPr>
          <w:rStyle w:val="FootnoteReference"/>
          <w:i/>
          <w:noProof/>
        </w:rPr>
        <w:footnoteReference w:id="13"/>
      </w:r>
      <w:r>
        <w:rPr>
          <w:noProof/>
        </w:rPr>
        <w:t xml:space="preserve"> which is financed via bilateral loans from other euro area Member States to Greece, centrally administered by the Commission.</w:t>
      </w:r>
    </w:p>
    <w:p>
      <w:pPr>
        <w:pStyle w:val="NormalWeb"/>
        <w:jc w:val="both"/>
        <w:rPr>
          <w:noProof/>
          <w:lang w:val="en"/>
        </w:rPr>
      </w:pPr>
      <w:r>
        <w:rPr>
          <w:i/>
          <w:noProof/>
        </w:rPr>
        <w:t>- European Financial Stability Facility (EFSF)</w:t>
      </w:r>
      <w:r>
        <w:rPr>
          <w:rStyle w:val="FootnoteReference"/>
          <w:i/>
          <w:noProof/>
        </w:rPr>
        <w:footnoteReference w:id="14"/>
      </w:r>
      <w:r>
        <w:rPr>
          <w:noProof/>
        </w:rPr>
        <w:t xml:space="preserve">: </w:t>
      </w:r>
      <w:r>
        <w:rPr>
          <w:noProof/>
          <w:lang w:val="en"/>
        </w:rPr>
        <w:t>The EFSF was created by the euro area Member States as a temporary rescue mechanism in June 2010 to provide financial assistance to euro area Member States within the framework of a macroeconomic adjustment programme. The Treaty establishing a permanent rescue mechanism, the European Stability Mechanism</w:t>
      </w:r>
      <w:r>
        <w:rPr>
          <w:noProof/>
          <w:color w:val="333333"/>
          <w:lang w:val="en"/>
        </w:rPr>
        <w:t xml:space="preserve"> (ESM), </w:t>
      </w:r>
      <w:r>
        <w:rPr>
          <w:noProof/>
          <w:lang w:val="en"/>
        </w:rPr>
        <w:t xml:space="preserve">entered into force on 27 September 2012. Since </w:t>
      </w:r>
      <w:r>
        <w:rPr>
          <w:rStyle w:val="Strong"/>
          <w:b w:val="0"/>
          <w:noProof/>
          <w:lang w:val="en"/>
        </w:rPr>
        <w:t>1 July 2013</w:t>
      </w:r>
      <w:r>
        <w:rPr>
          <w:noProof/>
          <w:lang w:val="en"/>
        </w:rPr>
        <w:t>, the EFSF continues with its ongoing programmes to Greece (together with the IMF and some Member States) as well as to Ireland and Portugal (together with the IMF, some Member States and EU/EFSM)</w:t>
      </w:r>
      <w:r>
        <w:rPr>
          <w:rStyle w:val="FootnoteReference"/>
          <w:noProof/>
          <w:lang w:val="en"/>
        </w:rPr>
        <w:footnoteReference w:id="15"/>
      </w:r>
      <w:r>
        <w:rPr>
          <w:noProof/>
          <w:lang w:val="en"/>
        </w:rPr>
        <w:t xml:space="preserve"> but is no longer engaged in new financing programmes or loan facility agreements. </w:t>
      </w:r>
    </w:p>
    <w:p>
      <w:pPr>
        <w:pStyle w:val="NormalWeb"/>
        <w:jc w:val="both"/>
        <w:rPr>
          <w:noProof/>
          <w:lang w:val="en"/>
        </w:rPr>
      </w:pPr>
      <w:r>
        <w:rPr>
          <w:i/>
          <w:noProof/>
        </w:rPr>
        <w:t>- European Stability Mechanism (ESM)</w:t>
      </w:r>
      <w:r>
        <w:rPr>
          <w:rStyle w:val="FootnoteReference"/>
          <w:i/>
          <w:noProof/>
        </w:rPr>
        <w:footnoteReference w:id="16"/>
      </w:r>
      <w:r>
        <w:rPr>
          <w:noProof/>
        </w:rPr>
        <w:t xml:space="preserve">: </w:t>
      </w:r>
      <w:r>
        <w:rPr>
          <w:noProof/>
          <w:lang w:val="en"/>
        </w:rPr>
        <w:t>The ESM is an important component of the comprehensive EU strategy designed to safeguard financial stability within the euro area by</w:t>
      </w:r>
      <w:r>
        <w:rPr>
          <w:rStyle w:val="Strong"/>
          <w:noProof/>
          <w:lang w:val="en"/>
        </w:rPr>
        <w:t xml:space="preserve"> </w:t>
      </w:r>
      <w:r>
        <w:rPr>
          <w:rStyle w:val="Strong"/>
          <w:b w:val="0"/>
          <w:noProof/>
          <w:lang w:val="en"/>
        </w:rPr>
        <w:t xml:space="preserve">providing financial assistance to euro area Member States experiencing or threatened by financing difficulties. </w:t>
      </w:r>
      <w:r>
        <w:rPr>
          <w:noProof/>
          <w:lang w:val="en"/>
        </w:rPr>
        <w:t>It is an intergovernmental organization under public international law, based in Luxembourg, with an effective lending capacity of EUR 500 000 million.</w:t>
      </w:r>
    </w:p>
    <w:p>
      <w:pPr>
        <w:pStyle w:val="ManualHeading1"/>
        <w:rPr>
          <w:noProof/>
        </w:rPr>
      </w:pPr>
      <w:bookmarkStart w:id="46" w:name="_Toc390944387"/>
      <w:bookmarkStart w:id="47" w:name="_Toc393969958"/>
      <w:bookmarkStart w:id="48" w:name="_Toc417461965"/>
      <w:bookmarkStart w:id="49" w:name="_Toc417998599"/>
      <w:bookmarkStart w:id="50" w:name="_Toc418157625"/>
      <w:bookmarkStart w:id="51" w:name="_Toc418160306"/>
      <w:bookmarkStart w:id="52" w:name="_Toc446577173"/>
      <w:bookmarkStart w:id="53" w:name="_Toc452646719"/>
      <w:bookmarkStart w:id="54" w:name="_Toc453161358"/>
      <w:bookmarkStart w:id="55" w:name="_Toc486601261"/>
      <w:bookmarkStart w:id="56" w:name="_Toc495658608"/>
      <w:bookmarkStart w:id="57" w:name="_Toc309831356"/>
      <w:bookmarkStart w:id="58" w:name="_Toc329261056"/>
      <w:bookmarkStart w:id="59" w:name="_Toc329855618"/>
      <w:bookmarkStart w:id="60" w:name="_Toc330551223"/>
      <w:bookmarkStart w:id="61" w:name="_Toc342470146"/>
      <w:bookmarkStart w:id="62" w:name="_Toc345073696"/>
      <w:bookmarkStart w:id="63" w:name="_Toc365986213"/>
      <w:bookmarkStart w:id="64" w:name="_Toc367869466"/>
      <w:bookmarkStart w:id="65" w:name="_Toc367869993"/>
      <w:bookmarkStart w:id="66" w:name="_Toc388973011"/>
      <w:bookmarkStart w:id="67" w:name="_Toc389474744"/>
      <w:r>
        <w:rPr>
          <w:noProof/>
        </w:rPr>
        <w:t>3.</w:t>
      </w:r>
      <w:r>
        <w:rPr>
          <w:noProof/>
        </w:rPr>
        <w:tab/>
        <w:t>Evolutions of guaranteed operations</w:t>
      </w:r>
      <w:bookmarkEnd w:id="46"/>
      <w:bookmarkEnd w:id="47"/>
      <w:bookmarkEnd w:id="48"/>
      <w:bookmarkEnd w:id="49"/>
      <w:bookmarkEnd w:id="50"/>
      <w:bookmarkEnd w:id="51"/>
      <w:bookmarkEnd w:id="52"/>
      <w:bookmarkEnd w:id="53"/>
      <w:bookmarkEnd w:id="54"/>
      <w:bookmarkEnd w:id="55"/>
      <w:bookmarkEnd w:id="56"/>
      <w:r>
        <w:rPr>
          <w:noProof/>
        </w:rPr>
        <w:t xml:space="preserve"> </w:t>
      </w:r>
      <w:bookmarkEnd w:id="57"/>
      <w:bookmarkEnd w:id="58"/>
      <w:bookmarkEnd w:id="59"/>
      <w:bookmarkEnd w:id="60"/>
      <w:bookmarkEnd w:id="61"/>
      <w:bookmarkEnd w:id="62"/>
      <w:bookmarkEnd w:id="63"/>
      <w:bookmarkEnd w:id="64"/>
      <w:bookmarkEnd w:id="65"/>
      <w:bookmarkEnd w:id="66"/>
      <w:bookmarkEnd w:id="67"/>
    </w:p>
    <w:p>
      <w:pPr>
        <w:rPr>
          <w:noProof/>
        </w:rPr>
      </w:pPr>
      <w:r>
        <w:rPr>
          <w:noProof/>
        </w:rPr>
        <w:t xml:space="preserve">This section sets out the evolution of the guaranteed operations; firstly of those managed directly by the Commission and secondly those managed by the EIB. </w:t>
      </w:r>
    </w:p>
    <w:tbl>
      <w:tblPr>
        <w:tblW w:w="8902" w:type="dxa"/>
        <w:tblInd w:w="-5" w:type="dxa"/>
        <w:tblLayout w:type="fixed"/>
        <w:tblLook w:val="0000" w:firstRow="0" w:lastRow="0" w:firstColumn="0" w:lastColumn="0" w:noHBand="0" w:noVBand="0"/>
      </w:tblPr>
      <w:tblGrid>
        <w:gridCol w:w="2770"/>
        <w:gridCol w:w="1665"/>
        <w:gridCol w:w="1891"/>
        <w:gridCol w:w="1446"/>
        <w:gridCol w:w="1130"/>
      </w:tblGrid>
      <w:tr>
        <w:trPr>
          <w:trHeight w:val="165"/>
        </w:trPr>
        <w:tc>
          <w:tcPr>
            <w:tcW w:w="8902" w:type="dxa"/>
            <w:gridSpan w:val="5"/>
            <w:tcBorders>
              <w:bottom w:val="single" w:sz="4" w:space="0" w:color="000000"/>
            </w:tcBorders>
          </w:tcPr>
          <w:p>
            <w:pPr>
              <w:snapToGrid w:val="0"/>
              <w:spacing w:after="0"/>
              <w:rPr>
                <w:noProof/>
                <w:sz w:val="18"/>
              </w:rPr>
            </w:pPr>
            <w:r>
              <w:rPr>
                <w:noProof/>
              </w:rPr>
              <w:br w:type="page"/>
            </w:r>
            <w:r>
              <w:rPr>
                <w:noProof/>
                <w:sz w:val="18"/>
              </w:rPr>
              <w:t>Table 1: Total outstanding amounts covered by the EU budget at 31 December 2016 (in EUR million)</w:t>
            </w:r>
          </w:p>
        </w:tc>
      </w:tr>
      <w:tr>
        <w:trPr>
          <w:trHeight w:val="165"/>
        </w:trPr>
        <w:tc>
          <w:tcPr>
            <w:tcW w:w="2770" w:type="dxa"/>
            <w:tcBorders>
              <w:top w:val="single" w:sz="4" w:space="0" w:color="000000"/>
              <w:left w:val="single" w:sz="4" w:space="0" w:color="000000"/>
              <w:bottom w:val="single" w:sz="4" w:space="0" w:color="000000"/>
            </w:tcBorders>
          </w:tcPr>
          <w:p>
            <w:pPr>
              <w:snapToGrid w:val="0"/>
              <w:rPr>
                <w:b/>
                <w:noProof/>
              </w:rPr>
            </w:pPr>
          </w:p>
        </w:tc>
        <w:tc>
          <w:tcPr>
            <w:tcW w:w="1665" w:type="dxa"/>
            <w:tcBorders>
              <w:top w:val="single" w:sz="4" w:space="0" w:color="000000"/>
              <w:left w:val="single" w:sz="4" w:space="0" w:color="000000"/>
              <w:bottom w:val="single" w:sz="4" w:space="0" w:color="000000"/>
            </w:tcBorders>
          </w:tcPr>
          <w:p>
            <w:pPr>
              <w:snapToGrid w:val="0"/>
              <w:jc w:val="center"/>
              <w:rPr>
                <w:b/>
                <w:noProof/>
              </w:rPr>
            </w:pPr>
            <w:r>
              <w:rPr>
                <w:b/>
                <w:noProof/>
              </w:rPr>
              <w:t>Outstanding Capital</w:t>
            </w:r>
          </w:p>
        </w:tc>
        <w:tc>
          <w:tcPr>
            <w:tcW w:w="1891" w:type="dxa"/>
            <w:tcBorders>
              <w:top w:val="single" w:sz="4" w:space="0" w:color="000000"/>
              <w:left w:val="single" w:sz="4" w:space="0" w:color="000000"/>
              <w:bottom w:val="single" w:sz="4" w:space="0" w:color="000000"/>
            </w:tcBorders>
          </w:tcPr>
          <w:p>
            <w:pPr>
              <w:snapToGrid w:val="0"/>
              <w:jc w:val="center"/>
              <w:rPr>
                <w:b/>
                <w:noProof/>
              </w:rPr>
            </w:pPr>
            <w:r>
              <w:rPr>
                <w:b/>
                <w:noProof/>
              </w:rPr>
              <w:t>Accrued Interest</w:t>
            </w:r>
          </w:p>
        </w:tc>
        <w:tc>
          <w:tcPr>
            <w:tcW w:w="1446" w:type="dxa"/>
            <w:tcBorders>
              <w:top w:val="single" w:sz="4" w:space="0" w:color="000000"/>
              <w:left w:val="single" w:sz="4" w:space="0" w:color="000000"/>
              <w:bottom w:val="single" w:sz="4" w:space="0" w:color="000000"/>
            </w:tcBorders>
          </w:tcPr>
          <w:p>
            <w:pPr>
              <w:snapToGrid w:val="0"/>
              <w:jc w:val="center"/>
              <w:rPr>
                <w:b/>
                <w:noProof/>
              </w:rPr>
            </w:pPr>
            <w:r>
              <w:rPr>
                <w:b/>
                <w:noProof/>
              </w:rPr>
              <w:t>Total</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center"/>
              <w:rPr>
                <w:b/>
                <w:noProof/>
              </w:rPr>
            </w:pPr>
            <w:r>
              <w:rPr>
                <w:b/>
                <w:noProof/>
              </w:rPr>
              <w:t>%</w:t>
            </w:r>
          </w:p>
        </w:tc>
      </w:tr>
      <w:tr>
        <w:trPr>
          <w:trHeight w:val="165"/>
        </w:trPr>
        <w:tc>
          <w:tcPr>
            <w:tcW w:w="2770" w:type="dxa"/>
            <w:tcBorders>
              <w:top w:val="single" w:sz="4" w:space="0" w:color="000000"/>
              <w:left w:val="single" w:sz="4" w:space="0" w:color="000000"/>
              <w:bottom w:val="single" w:sz="4" w:space="0" w:color="000000"/>
            </w:tcBorders>
          </w:tcPr>
          <w:p>
            <w:pPr>
              <w:snapToGrid w:val="0"/>
              <w:rPr>
                <w:rStyle w:val="Added"/>
                <w:noProof/>
                <w:u w:val="none"/>
              </w:rPr>
            </w:pPr>
            <w:r>
              <w:rPr>
                <w:rStyle w:val="Added"/>
                <w:noProof/>
                <w:u w:val="none"/>
              </w:rPr>
              <w:t>Member States*</w:t>
            </w:r>
          </w:p>
        </w:tc>
        <w:tc>
          <w:tcPr>
            <w:tcW w:w="1665" w:type="dxa"/>
            <w:tcBorders>
              <w:top w:val="single" w:sz="4" w:space="0" w:color="000000"/>
              <w:left w:val="single" w:sz="4" w:space="0" w:color="000000"/>
              <w:bottom w:val="single" w:sz="4" w:space="0" w:color="000000"/>
            </w:tcBorders>
          </w:tcPr>
          <w:p>
            <w:pPr>
              <w:snapToGrid w:val="0"/>
              <w:rPr>
                <w:noProof/>
              </w:rPr>
            </w:pPr>
          </w:p>
        </w:tc>
        <w:tc>
          <w:tcPr>
            <w:tcW w:w="1891" w:type="dxa"/>
            <w:tcBorders>
              <w:top w:val="single" w:sz="4" w:space="0" w:color="000000"/>
              <w:left w:val="single" w:sz="4" w:space="0" w:color="000000"/>
              <w:bottom w:val="single" w:sz="4" w:space="0" w:color="000000"/>
            </w:tcBorders>
          </w:tcPr>
          <w:p>
            <w:pPr>
              <w:snapToGrid w:val="0"/>
              <w:rPr>
                <w:noProof/>
              </w:rPr>
            </w:pPr>
          </w:p>
        </w:tc>
        <w:tc>
          <w:tcPr>
            <w:tcW w:w="1446" w:type="dxa"/>
            <w:tcBorders>
              <w:top w:val="single" w:sz="4" w:space="0" w:color="000000"/>
              <w:left w:val="single" w:sz="4" w:space="0" w:color="000000"/>
              <w:bottom w:val="single" w:sz="4" w:space="0" w:color="000000"/>
            </w:tcBorders>
          </w:tcPr>
          <w:p>
            <w:pPr>
              <w:snapToGrid w:val="0"/>
              <w:rPr>
                <w:b/>
                <w:noProof/>
              </w:rPr>
            </w:pPr>
          </w:p>
        </w:tc>
        <w:tc>
          <w:tcPr>
            <w:tcW w:w="1130" w:type="dxa"/>
            <w:tcBorders>
              <w:top w:val="single" w:sz="4" w:space="0" w:color="000000"/>
              <w:left w:val="single" w:sz="4" w:space="0" w:color="000000"/>
              <w:bottom w:val="single" w:sz="4" w:space="0" w:color="000000"/>
              <w:right w:val="single" w:sz="4" w:space="0" w:color="000000"/>
            </w:tcBorders>
          </w:tcPr>
          <w:p>
            <w:pPr>
              <w:snapToGrid w:val="0"/>
              <w:rPr>
                <w:b/>
                <w:noProof/>
              </w:rPr>
            </w:pP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Euratom</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241.06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0.80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241.86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0.29%</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BOP</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4 200.00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71.60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4 271.60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5.13%</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EIB</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1 651.32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13.15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1 664.47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2.00%</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rStyle w:val="Added"/>
                <w:noProof/>
              </w:rPr>
            </w:pPr>
            <w:r>
              <w:rPr>
                <w:b/>
                <w:noProof/>
              </w:rPr>
              <w:t>EFSM</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46 800.00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655.79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47 455.79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57.01%</w:t>
            </w:r>
          </w:p>
        </w:tc>
      </w:tr>
      <w:tr>
        <w:trPr>
          <w:trHeight w:val="165"/>
        </w:trPr>
        <w:tc>
          <w:tcPr>
            <w:tcW w:w="2770" w:type="dxa"/>
            <w:tcBorders>
              <w:top w:val="single" w:sz="4" w:space="0" w:color="000000"/>
              <w:left w:val="single" w:sz="4" w:space="0" w:color="000000"/>
              <w:bottom w:val="single" w:sz="4" w:space="0" w:color="000000"/>
            </w:tcBorders>
          </w:tcPr>
          <w:p>
            <w:pPr>
              <w:snapToGrid w:val="0"/>
              <w:jc w:val="left"/>
              <w:rPr>
                <w:rStyle w:val="Added"/>
                <w:noProof/>
                <w:u w:val="none"/>
              </w:rPr>
            </w:pPr>
            <w:r>
              <w:rPr>
                <w:rStyle w:val="Added"/>
                <w:noProof/>
                <w:u w:val="none"/>
              </w:rPr>
              <w:t>Sub-total Member States</w:t>
            </w:r>
            <w:r>
              <w:rPr>
                <w:b/>
                <w:noProof/>
              </w:rPr>
              <w:t>**</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52 892.38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741.34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53 633.72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64.43%</w:t>
            </w:r>
          </w:p>
        </w:tc>
      </w:tr>
      <w:tr>
        <w:trPr>
          <w:trHeight w:val="165"/>
        </w:trPr>
        <w:tc>
          <w:tcPr>
            <w:tcW w:w="2770" w:type="dxa"/>
            <w:tcBorders>
              <w:top w:val="single" w:sz="4" w:space="0" w:color="000000"/>
              <w:left w:val="single" w:sz="4" w:space="0" w:color="000000"/>
              <w:bottom w:val="single" w:sz="4" w:space="0" w:color="000000"/>
            </w:tcBorders>
          </w:tcPr>
          <w:p>
            <w:pPr>
              <w:snapToGrid w:val="0"/>
              <w:rPr>
                <w:noProof/>
                <w:sz w:val="20"/>
              </w:rPr>
            </w:pPr>
            <w:r>
              <w:rPr>
                <w:rStyle w:val="Added"/>
                <w:noProof/>
                <w:u w:val="none"/>
              </w:rPr>
              <w:t>Third Countries</w:t>
            </w:r>
            <w:r>
              <w:rPr>
                <w:noProof/>
                <w:sz w:val="20"/>
              </w:rPr>
              <w:t>***</w:t>
            </w:r>
          </w:p>
        </w:tc>
        <w:tc>
          <w:tcPr>
            <w:tcW w:w="1665" w:type="dxa"/>
            <w:tcBorders>
              <w:top w:val="single" w:sz="4" w:space="0" w:color="000000"/>
              <w:left w:val="single" w:sz="4" w:space="0" w:color="000000"/>
              <w:bottom w:val="single" w:sz="4" w:space="0" w:color="000000"/>
            </w:tcBorders>
          </w:tcPr>
          <w:p>
            <w:pPr>
              <w:snapToGrid w:val="0"/>
              <w:jc w:val="right"/>
              <w:rPr>
                <w:noProof/>
              </w:rPr>
            </w:pPr>
          </w:p>
        </w:tc>
        <w:tc>
          <w:tcPr>
            <w:tcW w:w="1891" w:type="dxa"/>
            <w:tcBorders>
              <w:top w:val="single" w:sz="4" w:space="0" w:color="000000"/>
              <w:left w:val="single" w:sz="4" w:space="0" w:color="000000"/>
              <w:bottom w:val="single" w:sz="4" w:space="0" w:color="000000"/>
            </w:tcBorders>
          </w:tcPr>
          <w:p>
            <w:pPr>
              <w:snapToGrid w:val="0"/>
              <w:jc w:val="right"/>
              <w:rPr>
                <w:noProof/>
              </w:rPr>
            </w:pPr>
          </w:p>
        </w:tc>
        <w:tc>
          <w:tcPr>
            <w:tcW w:w="1446" w:type="dxa"/>
            <w:tcBorders>
              <w:top w:val="single" w:sz="4" w:space="0" w:color="000000"/>
              <w:left w:val="single" w:sz="4" w:space="0" w:color="000000"/>
              <w:bottom w:val="single" w:sz="4" w:space="0" w:color="000000"/>
            </w:tcBorders>
          </w:tcPr>
          <w:p>
            <w:pPr>
              <w:snapToGrid w:val="0"/>
              <w:jc w:val="right"/>
              <w:rPr>
                <w:noProof/>
              </w:rPr>
            </w:pP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MFA</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2 946.60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17.30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2 963.90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3.56%</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Euratom</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10.37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0.02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10.39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0.01%</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EIB****</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26 482.04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156.89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26 638.94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32.00%</w:t>
            </w:r>
          </w:p>
        </w:tc>
      </w:tr>
      <w:tr>
        <w:trPr>
          <w:trHeight w:val="165"/>
        </w:trPr>
        <w:tc>
          <w:tcPr>
            <w:tcW w:w="2770" w:type="dxa"/>
            <w:tcBorders>
              <w:top w:val="single" w:sz="4" w:space="0" w:color="000000"/>
              <w:left w:val="single" w:sz="4" w:space="0" w:color="000000"/>
              <w:bottom w:val="single" w:sz="4" w:space="0" w:color="000000"/>
            </w:tcBorders>
          </w:tcPr>
          <w:p>
            <w:pPr>
              <w:snapToGrid w:val="0"/>
              <w:rPr>
                <w:b/>
                <w:noProof/>
              </w:rPr>
            </w:pPr>
            <w:r>
              <w:rPr>
                <w:b/>
                <w:noProof/>
              </w:rPr>
              <w:t>Sub-total third countries</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29 439.01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174.21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29 613.23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35.57%</w:t>
            </w:r>
          </w:p>
        </w:tc>
      </w:tr>
      <w:tr>
        <w:trPr>
          <w:trHeight w:val="165"/>
        </w:trPr>
        <w:tc>
          <w:tcPr>
            <w:tcW w:w="2770" w:type="dxa"/>
            <w:tcBorders>
              <w:top w:val="single" w:sz="4" w:space="0" w:color="000000"/>
              <w:left w:val="single" w:sz="4" w:space="0" w:color="000000"/>
              <w:bottom w:val="single" w:sz="4" w:space="0" w:color="000000"/>
            </w:tcBorders>
          </w:tcPr>
          <w:p>
            <w:pPr>
              <w:snapToGrid w:val="0"/>
              <w:rPr>
                <w:b/>
                <w:noProof/>
              </w:rPr>
            </w:pPr>
            <w:r>
              <w:rPr>
                <w:b/>
                <w:noProof/>
              </w:rPr>
              <w:t>Total</w:t>
            </w:r>
          </w:p>
        </w:tc>
        <w:tc>
          <w:tcPr>
            <w:tcW w:w="1665" w:type="dxa"/>
            <w:tcBorders>
              <w:top w:val="single" w:sz="4" w:space="0" w:color="000000"/>
              <w:left w:val="single" w:sz="4" w:space="0" w:color="000000"/>
              <w:bottom w:val="single" w:sz="4" w:space="0" w:color="000000"/>
            </w:tcBorders>
          </w:tcPr>
          <w:p>
            <w:pPr>
              <w:snapToGrid w:val="0"/>
              <w:jc w:val="right"/>
              <w:rPr>
                <w:b/>
                <w:noProof/>
              </w:rPr>
            </w:pPr>
            <w:r>
              <w:rPr>
                <w:noProof/>
              </w:rPr>
              <w:t xml:space="preserve"> 82 331.40 </w:t>
            </w:r>
          </w:p>
        </w:tc>
        <w:tc>
          <w:tcPr>
            <w:tcW w:w="1891" w:type="dxa"/>
            <w:tcBorders>
              <w:top w:val="single" w:sz="4" w:space="0" w:color="000000"/>
              <w:left w:val="single" w:sz="4" w:space="0" w:color="000000"/>
              <w:bottom w:val="single" w:sz="4" w:space="0" w:color="000000"/>
            </w:tcBorders>
          </w:tcPr>
          <w:p>
            <w:pPr>
              <w:snapToGrid w:val="0"/>
              <w:jc w:val="right"/>
              <w:rPr>
                <w:b/>
                <w:noProof/>
              </w:rPr>
            </w:pPr>
            <w:r>
              <w:rPr>
                <w:noProof/>
              </w:rPr>
              <w:t xml:space="preserve"> 915.55 </w:t>
            </w:r>
          </w:p>
        </w:tc>
        <w:tc>
          <w:tcPr>
            <w:tcW w:w="1446" w:type="dxa"/>
            <w:tcBorders>
              <w:top w:val="single" w:sz="4" w:space="0" w:color="000000"/>
              <w:left w:val="single" w:sz="4" w:space="0" w:color="000000"/>
              <w:bottom w:val="single" w:sz="4" w:space="0" w:color="000000"/>
            </w:tcBorders>
          </w:tcPr>
          <w:p>
            <w:pPr>
              <w:snapToGrid w:val="0"/>
              <w:jc w:val="right"/>
              <w:rPr>
                <w:b/>
                <w:noProof/>
              </w:rPr>
            </w:pPr>
            <w:r>
              <w:rPr>
                <w:noProof/>
              </w:rPr>
              <w:t xml:space="preserve"> 83 246.95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b/>
                <w:noProof/>
              </w:rPr>
            </w:pPr>
            <w:r>
              <w:rPr>
                <w:noProof/>
              </w:rPr>
              <w:t>100.00%</w:t>
            </w:r>
          </w:p>
        </w:tc>
      </w:tr>
      <w:tr>
        <w:trPr>
          <w:trHeight w:val="284"/>
        </w:trPr>
        <w:tc>
          <w:tcPr>
            <w:tcW w:w="8902" w:type="dxa"/>
            <w:gridSpan w:val="5"/>
            <w:tcBorders>
              <w:top w:val="single" w:sz="4" w:space="0" w:color="000000"/>
              <w:left w:val="single" w:sz="4" w:space="0" w:color="000000"/>
              <w:bottom w:val="single" w:sz="4" w:space="0" w:color="000000"/>
              <w:right w:val="single" w:sz="4" w:space="0" w:color="000000"/>
            </w:tcBorders>
          </w:tcPr>
          <w:p>
            <w:pPr>
              <w:tabs>
                <w:tab w:val="left" w:pos="431"/>
              </w:tabs>
              <w:snapToGrid w:val="0"/>
              <w:spacing w:after="0"/>
              <w:ind w:left="431" w:hanging="426"/>
              <w:rPr>
                <w:noProof/>
                <w:sz w:val="20"/>
              </w:rPr>
            </w:pPr>
            <w:r>
              <w:rPr>
                <w:noProof/>
                <w:sz w:val="20"/>
              </w:rPr>
              <w:t>*</w:t>
            </w:r>
            <w:r>
              <w:rPr>
                <w:noProof/>
                <w:sz w:val="20"/>
              </w:rPr>
              <w:tab/>
              <w:t>This risk is directly covered by the EU budget. This also includes Euratom and EIB loans granted to</w:t>
            </w:r>
            <w:r>
              <w:rPr>
                <w:noProof/>
                <w:sz w:val="20"/>
              </w:rPr>
              <w:br/>
              <w:t>Member State countries prior to their accession to the EU.</w:t>
            </w:r>
          </w:p>
          <w:p>
            <w:pPr>
              <w:tabs>
                <w:tab w:val="left" w:pos="431"/>
              </w:tabs>
              <w:snapToGrid w:val="0"/>
              <w:spacing w:after="0"/>
              <w:ind w:left="431" w:hanging="426"/>
              <w:rPr>
                <w:noProof/>
                <w:sz w:val="20"/>
              </w:rPr>
            </w:pPr>
            <w:r>
              <w:rPr>
                <w:noProof/>
                <w:sz w:val="20"/>
              </w:rPr>
              <w:t>**</w:t>
            </w:r>
            <w:r>
              <w:rPr>
                <w:noProof/>
                <w:sz w:val="20"/>
              </w:rPr>
              <w:tab/>
              <w:t>This figures does not include EFSI operations, where EUR 4 392 million have been disbursed at the reporting date...</w:t>
            </w:r>
          </w:p>
          <w:p>
            <w:pPr>
              <w:tabs>
                <w:tab w:val="left" w:pos="431"/>
              </w:tabs>
              <w:spacing w:after="0"/>
              <w:ind w:left="431" w:hanging="426"/>
              <w:rPr>
                <w:noProof/>
                <w:sz w:val="20"/>
              </w:rPr>
            </w:pPr>
            <w:r>
              <w:rPr>
                <w:noProof/>
                <w:sz w:val="20"/>
              </w:rPr>
              <w:t>***</w:t>
            </w:r>
            <w:r>
              <w:rPr>
                <w:noProof/>
                <w:sz w:val="20"/>
              </w:rPr>
              <w:tab/>
              <w:t>The risk covered by the Fund is limited to 20.03 billion.</w:t>
            </w:r>
          </w:p>
          <w:p>
            <w:pPr>
              <w:tabs>
                <w:tab w:val="left" w:pos="431"/>
              </w:tabs>
              <w:spacing w:after="0"/>
              <w:ind w:left="431" w:hanging="426"/>
              <w:rPr>
                <w:noProof/>
                <w:sz w:val="20"/>
              </w:rPr>
            </w:pPr>
            <w:r>
              <w:rPr>
                <w:noProof/>
                <w:sz w:val="20"/>
              </w:rPr>
              <w:t>****</w:t>
            </w:r>
            <w:r>
              <w:rPr>
                <w:noProof/>
                <w:sz w:val="20"/>
              </w:rPr>
              <w:tab/>
              <w:t>Loans subrogated to the EU following Syria defaults on EIB loans are included</w:t>
            </w:r>
            <w:r>
              <w:rPr>
                <w:noProof/>
                <w:sz w:val="20"/>
              </w:rPr>
              <w:br/>
              <w:t xml:space="preserve">(amount: EUR 247.20 million). These loans have been fully impaired in the EU Financial Statements of 2015 and 2016. </w:t>
            </w:r>
          </w:p>
        </w:tc>
      </w:tr>
    </w:tbl>
    <w:p>
      <w:pPr>
        <w:rPr>
          <w:noProof/>
        </w:rPr>
      </w:pPr>
      <w:r>
        <w:rPr>
          <w:noProof/>
        </w:rPr>
        <w:t>Tables A1, A2a, A2b and A3 of the SWD provide more detailed information on these outstanding amounts, in particular in terms of ceiling, disbursed amounts or guarantee rates.</w:t>
      </w:r>
    </w:p>
    <w:p>
      <w:pPr>
        <w:rPr>
          <w:noProof/>
        </w:rPr>
      </w:pPr>
    </w:p>
    <w:p>
      <w:pPr>
        <w:pStyle w:val="ManualHeading2"/>
        <w:ind w:left="0" w:firstLine="0"/>
        <w:rPr>
          <w:noProof/>
        </w:rPr>
      </w:pPr>
      <w:bookmarkStart w:id="68" w:name="_Toc389474756"/>
      <w:bookmarkStart w:id="69" w:name="_Toc390944388"/>
      <w:bookmarkStart w:id="70" w:name="_Toc393969959"/>
      <w:bookmarkStart w:id="71" w:name="_Toc417461966"/>
      <w:bookmarkStart w:id="72" w:name="_Toc417998600"/>
      <w:bookmarkStart w:id="73" w:name="_Toc418157626"/>
      <w:bookmarkStart w:id="74" w:name="_Toc418160307"/>
      <w:bookmarkStart w:id="75" w:name="_Toc446577174"/>
      <w:bookmarkStart w:id="76" w:name="_Toc452646720"/>
      <w:bookmarkStart w:id="77" w:name="_Toc453161359"/>
      <w:bookmarkStart w:id="78" w:name="_Toc486601262"/>
      <w:bookmarkStart w:id="79" w:name="_Toc495658609"/>
      <w:r>
        <w:rPr>
          <w:noProof/>
        </w:rPr>
        <w:t>3.1.</w:t>
      </w:r>
      <w:r>
        <w:rPr>
          <w:noProof/>
        </w:rPr>
        <w:tab/>
        <w:t xml:space="preserve">Operations managed directly by the </w:t>
      </w:r>
      <w:bookmarkEnd w:id="68"/>
      <w:r>
        <w:rPr>
          <w:noProof/>
        </w:rPr>
        <w:t>Commission</w:t>
      </w:r>
      <w:bookmarkEnd w:id="69"/>
      <w:bookmarkEnd w:id="70"/>
      <w:bookmarkEnd w:id="71"/>
      <w:bookmarkEnd w:id="72"/>
      <w:bookmarkEnd w:id="73"/>
      <w:bookmarkEnd w:id="74"/>
      <w:bookmarkEnd w:id="75"/>
      <w:bookmarkEnd w:id="76"/>
      <w:bookmarkEnd w:id="77"/>
      <w:bookmarkEnd w:id="78"/>
      <w:bookmarkEnd w:id="79"/>
      <w:r>
        <w:rPr>
          <w:noProof/>
        </w:rPr>
        <w:t xml:space="preserve"> </w:t>
      </w:r>
    </w:p>
    <w:p>
      <w:pPr>
        <w:pStyle w:val="ManualHeading3"/>
        <w:rPr>
          <w:noProof/>
        </w:rPr>
      </w:pPr>
      <w:bookmarkStart w:id="80" w:name="_Toc390944389"/>
      <w:bookmarkStart w:id="81" w:name="_Toc393969960"/>
      <w:bookmarkStart w:id="82" w:name="_Toc417461967"/>
      <w:bookmarkStart w:id="83" w:name="_Toc417998601"/>
      <w:bookmarkStart w:id="84" w:name="_Toc418157627"/>
      <w:bookmarkStart w:id="85" w:name="_Toc418160308"/>
      <w:bookmarkStart w:id="86" w:name="_Toc446577175"/>
      <w:bookmarkStart w:id="87" w:name="_Toc452646721"/>
      <w:bookmarkStart w:id="88" w:name="_Toc453161360"/>
      <w:bookmarkStart w:id="89" w:name="_Toc486601263"/>
      <w:bookmarkStart w:id="90" w:name="_Toc495658610"/>
      <w:r>
        <w:rPr>
          <w:noProof/>
        </w:rPr>
        <w:t>3.1.1.</w:t>
      </w:r>
      <w:r>
        <w:rPr>
          <w:noProof/>
        </w:rPr>
        <w:tab/>
        <w:t>European Financial Stabilisation Mechanism</w:t>
      </w:r>
      <w:bookmarkEnd w:id="80"/>
      <w:bookmarkEnd w:id="81"/>
      <w:bookmarkEnd w:id="82"/>
      <w:bookmarkEnd w:id="83"/>
      <w:bookmarkEnd w:id="84"/>
      <w:bookmarkEnd w:id="85"/>
      <w:r>
        <w:rPr>
          <w:noProof/>
        </w:rPr>
        <w:t xml:space="preserve"> (EFSM)</w:t>
      </w:r>
      <w:bookmarkEnd w:id="86"/>
      <w:bookmarkEnd w:id="87"/>
      <w:bookmarkEnd w:id="88"/>
      <w:bookmarkEnd w:id="89"/>
      <w:bookmarkEnd w:id="90"/>
    </w:p>
    <w:p>
      <w:pPr>
        <w:rPr>
          <w:noProof/>
        </w:rPr>
      </w:pPr>
      <w:r>
        <w:rPr>
          <w:noProof/>
        </w:rPr>
        <w:t>In its conclusions of 9/10 May 2010, the Ecofin Council foresaw a volume of the mechanism of EUR 60 000 million</w:t>
      </w:r>
      <w:r>
        <w:rPr>
          <w:rStyle w:val="Funotenzeichen"/>
          <w:noProof/>
        </w:rPr>
        <w:footnoteReference w:id="17"/>
      </w:r>
      <w:r>
        <w:rPr>
          <w:noProof/>
        </w:rPr>
        <w:t>. In addition, euro-area Member States stood ready to complement such resources if necessary. Article 2(2) of Council Regulation No 407/2010</w:t>
      </w:r>
      <w:r>
        <w:rPr>
          <w:rStyle w:val="FootnoteReference"/>
          <w:noProof/>
        </w:rPr>
        <w:footnoteReference w:id="18"/>
      </w:r>
      <w:r>
        <w:rPr>
          <w:noProof/>
        </w:rPr>
        <w:t xml:space="preserve"> limits the outstanding amount of loans or credit lines to be granted to Member States to the margin available under the own resources ceiling for payment appropriations.</w:t>
      </w:r>
    </w:p>
    <w:p>
      <w:pPr>
        <w:rPr>
          <w:noProof/>
        </w:rPr>
      </w:pPr>
      <w:r>
        <w:rPr>
          <w:noProof/>
        </w:rPr>
        <w:t>Following the Council decisions to grant Union financial assistance to Ireland</w:t>
      </w:r>
      <w:r>
        <w:rPr>
          <w:rStyle w:val="FootnoteReference"/>
          <w:noProof/>
        </w:rPr>
        <w:footnoteReference w:id="19"/>
      </w:r>
      <w:r>
        <w:rPr>
          <w:noProof/>
        </w:rPr>
        <w:t xml:space="preserve"> (up to EUR 22 500 million) and Portugal</w:t>
      </w:r>
      <w:r>
        <w:rPr>
          <w:rStyle w:val="FootnoteReference"/>
          <w:noProof/>
        </w:rPr>
        <w:footnoteReference w:id="20"/>
      </w:r>
      <w:r>
        <w:rPr>
          <w:noProof/>
        </w:rPr>
        <w:t xml:space="preserve"> (up to EUR 26 000 million), disbursements reached           EUR 22 500 million to Ireland and EUR 24 300 million to Portugal</w:t>
      </w:r>
      <w:r>
        <w:rPr>
          <w:rFonts w:cs="Arial"/>
          <w:noProof/>
        </w:rPr>
        <w:t xml:space="preserve"> (the remaining           EUR 1 700 million </w:t>
      </w:r>
      <w:r>
        <w:rPr>
          <w:noProof/>
        </w:rPr>
        <w:t xml:space="preserve">were not requested by the </w:t>
      </w:r>
      <w:r>
        <w:rPr>
          <w:rFonts w:cs="Arial"/>
          <w:noProof/>
        </w:rPr>
        <w:t xml:space="preserve">Portuguese government). Accordingly, </w:t>
      </w:r>
      <w:r>
        <w:rPr>
          <w:noProof/>
        </w:rPr>
        <w:t>the EFSM has a remaining capacity of EUR 13,200 million to provide further assistance, if required</w:t>
      </w:r>
      <w:r>
        <w:rPr>
          <w:rStyle w:val="FootnoteReference"/>
          <w:noProof/>
        </w:rPr>
        <w:footnoteReference w:id="21"/>
      </w:r>
      <w:r>
        <w:rPr>
          <w:noProof/>
        </w:rPr>
        <w:t>.</w:t>
      </w:r>
    </w:p>
    <w:p>
      <w:pPr>
        <w:rPr>
          <w:noProof/>
        </w:rPr>
      </w:pPr>
      <w:r>
        <w:rPr>
          <w:noProof/>
        </w:rPr>
        <w:t>In April 2013 the Eurogroup/ECOFIN decided to increase the maximum weighted average maturity of EFSM loans from 12.5 to 19.5 years, thus offering an option to the beneficiary countries to request a lengthening of loan maturities up to 2026 (tranche by tranche).</w:t>
      </w:r>
    </w:p>
    <w:p>
      <w:pPr>
        <w:spacing w:after="240"/>
        <w:rPr>
          <w:noProof/>
          <w:u w:val="single"/>
        </w:rPr>
      </w:pPr>
      <w:r>
        <w:rPr>
          <w:noProof/>
          <w:u w:val="single"/>
        </w:rPr>
        <w:t>Developments during 2016</w:t>
      </w:r>
    </w:p>
    <w:p>
      <w:pPr>
        <w:rPr>
          <w:noProof/>
        </w:rPr>
      </w:pPr>
      <w:r>
        <w:rPr>
          <w:noProof/>
        </w:rPr>
        <w:t>A request to lengthen the EFSM loan of EUR 4.75 billion disbursed to Portugal in 2011 - which was due on 3 June 2016 - was received from Portugal on 11 January 2016. The loan was refinanced in three transactions with maturities in 2023 (EUR 1.5 billion), 2031 (EUR 2.25 billion) and 2036 (EUR 1 billion). Following this maturity extension, the weighted average maturity of the EFSM loans to Portugal is now 14.9 years.</w:t>
      </w:r>
    </w:p>
    <w:p>
      <w:pPr>
        <w:pStyle w:val="ManualHeading3"/>
        <w:rPr>
          <w:noProof/>
        </w:rPr>
      </w:pPr>
      <w:bookmarkStart w:id="91" w:name="_Toc390944390"/>
      <w:bookmarkStart w:id="92" w:name="_Toc393969961"/>
      <w:bookmarkStart w:id="93" w:name="_Toc417461968"/>
      <w:bookmarkStart w:id="94" w:name="_Toc417998602"/>
      <w:bookmarkStart w:id="95" w:name="_Toc418157628"/>
      <w:bookmarkStart w:id="96" w:name="_Toc418160309"/>
      <w:bookmarkStart w:id="97" w:name="_Toc446577176"/>
      <w:bookmarkStart w:id="98" w:name="_Toc452646722"/>
      <w:bookmarkStart w:id="99" w:name="_Toc453161361"/>
      <w:bookmarkStart w:id="100" w:name="_Toc486601264"/>
      <w:bookmarkStart w:id="101" w:name="_Toc495658611"/>
      <w:r>
        <w:rPr>
          <w:noProof/>
        </w:rPr>
        <w:t>3.1.2.</w:t>
      </w:r>
      <w:r>
        <w:rPr>
          <w:noProof/>
        </w:rPr>
        <w:tab/>
        <w:t>Balance of Payments facility</w:t>
      </w:r>
      <w:bookmarkEnd w:id="91"/>
      <w:bookmarkEnd w:id="92"/>
      <w:bookmarkEnd w:id="93"/>
      <w:bookmarkEnd w:id="94"/>
      <w:bookmarkEnd w:id="95"/>
      <w:bookmarkEnd w:id="96"/>
      <w:bookmarkEnd w:id="97"/>
      <w:bookmarkEnd w:id="98"/>
      <w:bookmarkEnd w:id="99"/>
      <w:bookmarkEnd w:id="100"/>
      <w:r>
        <w:rPr>
          <w:noProof/>
        </w:rPr>
        <w:t xml:space="preserve"> (BOP)</w:t>
      </w:r>
      <w:bookmarkEnd w:id="101"/>
    </w:p>
    <w:p>
      <w:pPr>
        <w:rPr>
          <w:noProof/>
        </w:rPr>
      </w:pPr>
      <w:r>
        <w:rPr>
          <w:noProof/>
        </w:rPr>
        <w:t xml:space="preserve">The EU medium-term financial assistance under the BOP facility was re-activated at the end of 2008 to support Hungary and subsequently Latvia and Romania to restore market confidence for a total commitment of EUR 14 600 million, of which EUR 13 400 million were disbursed. </w:t>
      </w:r>
    </w:p>
    <w:p>
      <w:pPr>
        <w:spacing w:after="240"/>
        <w:rPr>
          <w:noProof/>
          <w:u w:val="single"/>
        </w:rPr>
      </w:pPr>
      <w:r>
        <w:rPr>
          <w:noProof/>
          <w:u w:val="single"/>
        </w:rPr>
        <w:t>Developments during 2016</w:t>
      </w:r>
    </w:p>
    <w:p>
      <w:pPr>
        <w:autoSpaceDE w:val="0"/>
        <w:autoSpaceDN w:val="0"/>
        <w:adjustRightInd w:val="0"/>
        <w:spacing w:before="0" w:after="240"/>
        <w:rPr>
          <w:noProof/>
          <w:lang w:eastAsia="en-GB"/>
        </w:rPr>
      </w:pPr>
      <w:r>
        <w:rPr>
          <w:noProof/>
        </w:rPr>
        <w:t xml:space="preserve">Hungary repaid its final loan tranche of EUR 1 500 million in April 2016. </w:t>
      </w:r>
      <w:r>
        <w:rPr>
          <w:noProof/>
          <w:lang w:eastAsia="en-GB"/>
        </w:rPr>
        <w:t xml:space="preserve">The outstanding amount of BOP loans has thus decreased from EUR 5,700 </w:t>
      </w:r>
      <w:r>
        <w:rPr>
          <w:noProof/>
        </w:rPr>
        <w:t>million</w:t>
      </w:r>
      <w:r>
        <w:rPr>
          <w:noProof/>
          <w:lang w:eastAsia="en-GB"/>
        </w:rPr>
        <w:t xml:space="preserve"> to EUR 4,200 </w:t>
      </w:r>
      <w:r>
        <w:rPr>
          <w:noProof/>
        </w:rPr>
        <w:t>million</w:t>
      </w:r>
      <w:r>
        <w:rPr>
          <w:noProof/>
          <w:lang w:eastAsia="en-GB"/>
        </w:rPr>
        <w:t xml:space="preserve"> in 2016.</w:t>
      </w:r>
    </w:p>
    <w:p>
      <w:pPr>
        <w:spacing w:before="0" w:after="240"/>
        <w:rPr>
          <w:noProof/>
        </w:rPr>
      </w:pPr>
      <w:r>
        <w:rPr>
          <w:noProof/>
        </w:rPr>
        <w:t xml:space="preserve">At 31 December 2016, the BOP facility had a remaining capacity of EUR 45 800 million out of an overall ceiling of EUR 50 000 million to provide further assistance if required. </w:t>
      </w:r>
    </w:p>
    <w:p>
      <w:pPr>
        <w:pStyle w:val="ManualHeading3"/>
        <w:spacing w:after="240"/>
        <w:ind w:left="851" w:hanging="851"/>
        <w:rPr>
          <w:noProof/>
        </w:rPr>
      </w:pPr>
      <w:bookmarkStart w:id="102" w:name="_Toc390944391"/>
      <w:bookmarkStart w:id="103" w:name="_Toc393969962"/>
      <w:bookmarkStart w:id="104" w:name="_Toc417461969"/>
      <w:bookmarkStart w:id="105" w:name="_Toc417998603"/>
      <w:bookmarkStart w:id="106" w:name="_Toc418157629"/>
      <w:bookmarkStart w:id="107" w:name="_Toc418160310"/>
      <w:bookmarkStart w:id="108" w:name="_Toc446577177"/>
      <w:bookmarkStart w:id="109" w:name="_Toc452646723"/>
      <w:bookmarkStart w:id="110" w:name="_Toc453161362"/>
      <w:bookmarkStart w:id="111" w:name="_Toc486601265"/>
      <w:bookmarkStart w:id="112" w:name="_Toc495658612"/>
      <w:r>
        <w:rPr>
          <w:noProof/>
        </w:rPr>
        <w:t>3.1.3.</w:t>
      </w:r>
      <w:r>
        <w:rPr>
          <w:noProof/>
        </w:rPr>
        <w:tab/>
        <w:t>Macro-Financial Assistance loans</w:t>
      </w:r>
      <w:bookmarkEnd w:id="102"/>
      <w:bookmarkEnd w:id="103"/>
      <w:bookmarkEnd w:id="104"/>
      <w:bookmarkEnd w:id="105"/>
      <w:bookmarkEnd w:id="106"/>
      <w:bookmarkEnd w:id="107"/>
      <w:bookmarkEnd w:id="108"/>
      <w:bookmarkEnd w:id="109"/>
      <w:bookmarkEnd w:id="110"/>
      <w:bookmarkEnd w:id="111"/>
      <w:r>
        <w:rPr>
          <w:noProof/>
        </w:rPr>
        <w:t xml:space="preserve"> (MFA)</w:t>
      </w:r>
      <w:bookmarkEnd w:id="112"/>
    </w:p>
    <w:p>
      <w:pPr>
        <w:autoSpaceDE w:val="0"/>
        <w:autoSpaceDN w:val="0"/>
        <w:adjustRightInd w:val="0"/>
        <w:spacing w:before="0" w:after="240"/>
        <w:rPr>
          <w:noProof/>
        </w:rPr>
      </w:pPr>
      <w:r>
        <w:rPr>
          <w:noProof/>
        </w:rPr>
        <w:t>As a general rule, MFA decisions are taken by the European Parliament and the Council (Article 212 of the TFEU). However, the Council may adopt the decision on a proposal from the Commission when the situation in a third country requires urgent financial assistance (Article 213 of the TFEU) and that procedure was used in the second MFA package for Ukraine in 2014.</w:t>
      </w:r>
    </w:p>
    <w:p>
      <w:pPr>
        <w:spacing w:before="0" w:after="240"/>
        <w:rPr>
          <w:noProof/>
          <w:u w:val="single"/>
        </w:rPr>
      </w:pPr>
      <w:r>
        <w:rPr>
          <w:noProof/>
          <w:u w:val="single"/>
        </w:rPr>
        <w:t>Developments during 2016</w:t>
      </w:r>
    </w:p>
    <w:p>
      <w:pPr>
        <w:spacing w:before="0" w:after="240"/>
        <w:rPr>
          <w:noProof/>
          <w:lang w:eastAsia="en-GB"/>
        </w:rPr>
      </w:pPr>
      <w:r>
        <w:rPr>
          <w:noProof/>
        </w:rPr>
        <w:t>The second tranche (EUR 10 million out of the EUR 15 million decision) of the loan granted to the Kyrgyz Republic</w:t>
      </w:r>
      <w:r>
        <w:rPr>
          <w:rStyle w:val="FootnoteReference"/>
          <w:noProof/>
        </w:rPr>
        <w:footnoteReference w:id="22"/>
      </w:r>
      <w:r>
        <w:rPr>
          <w:noProof/>
        </w:rPr>
        <w:t xml:space="preserve"> was disbursed in April 2016.</w:t>
      </w:r>
    </w:p>
    <w:p>
      <w:pPr>
        <w:spacing w:before="0" w:after="240"/>
        <w:rPr>
          <w:noProof/>
        </w:rPr>
      </w:pPr>
      <w:r>
        <w:rPr>
          <w:noProof/>
        </w:rPr>
        <w:t>On 6 July 2016, the European Parliament and the Council decided to provide further macro-financial assistance to Tunisia</w:t>
      </w:r>
      <w:r>
        <w:rPr>
          <w:rStyle w:val="FootnoteReference"/>
          <w:noProof/>
        </w:rPr>
        <w:footnoteReference w:id="23"/>
      </w:r>
      <w:r>
        <w:rPr>
          <w:noProof/>
        </w:rPr>
        <w:t xml:space="preserve"> of a maximum amount of EUR 500 milion in the form of loans (three loan instalments of EUR 200, 150 and 150 million). </w:t>
      </w:r>
    </w:p>
    <w:p>
      <w:pPr>
        <w:spacing w:before="0" w:after="240"/>
        <w:rPr>
          <w:noProof/>
        </w:rPr>
      </w:pPr>
      <w:r>
        <w:rPr>
          <w:noProof/>
        </w:rPr>
        <w:t>On 14 December 2016, the European Parliament and the Council decided to provide further macro-financial assistance to the Hashemite Kingdom of Jordan</w:t>
      </w:r>
      <w:r>
        <w:rPr>
          <w:rStyle w:val="FootnoteReference"/>
          <w:noProof/>
          <w:vertAlign w:val="baseline"/>
        </w:rPr>
        <w:t xml:space="preserve"> </w:t>
      </w:r>
      <w:r>
        <w:rPr>
          <w:rStyle w:val="FootnoteReference"/>
          <w:noProof/>
        </w:rPr>
        <w:footnoteReference w:id="24"/>
      </w:r>
      <w:r>
        <w:rPr>
          <w:noProof/>
        </w:rPr>
        <w:t xml:space="preserve"> of a maximum amount of EUR 200 milion in the form of loans (two loan instalments of EUR 100 million).</w:t>
      </w:r>
    </w:p>
    <w:p>
      <w:pPr>
        <w:autoSpaceDE w:val="0"/>
        <w:spacing w:before="0" w:after="240"/>
        <w:rPr>
          <w:rFonts w:cs="Arial"/>
          <w:noProof/>
        </w:rPr>
      </w:pPr>
      <w:r>
        <w:rPr>
          <w:rFonts w:cs="Arial"/>
          <w:noProof/>
        </w:rPr>
        <w:t xml:space="preserve">Regarding repayments, EUR 70 million were repaid by the beneficiary countries (Bosnia and Herzegovina EUR 4 million, former Yugoslav Republic of Macedonia EUR 10 million, Montenegro EUR 1.34 million and Serbia EUR 54.66 million). </w:t>
      </w:r>
    </w:p>
    <w:p>
      <w:pPr>
        <w:autoSpaceDE w:val="0"/>
        <w:autoSpaceDN w:val="0"/>
        <w:adjustRightInd w:val="0"/>
        <w:rPr>
          <w:noProof/>
          <w:lang w:eastAsia="en-GB"/>
        </w:rPr>
      </w:pPr>
      <w:r>
        <w:rPr>
          <w:noProof/>
          <w:lang w:eastAsia="en-GB"/>
        </w:rPr>
        <w:t xml:space="preserve">The outstanding amount of MFA loans has decreased from EUR 3 006.6 </w:t>
      </w:r>
      <w:r>
        <w:rPr>
          <w:noProof/>
        </w:rPr>
        <w:t>million</w:t>
      </w:r>
      <w:r>
        <w:rPr>
          <w:noProof/>
          <w:lang w:eastAsia="en-GB"/>
        </w:rPr>
        <w:t xml:space="preserve"> to </w:t>
      </w:r>
      <w:r>
        <w:rPr>
          <w:noProof/>
          <w:lang w:eastAsia="en-GB"/>
        </w:rPr>
        <w:br w:type="textWrapping" w:clear="all"/>
        <w:t xml:space="preserve">EUR 2 946.6 </w:t>
      </w:r>
      <w:r>
        <w:rPr>
          <w:noProof/>
        </w:rPr>
        <w:t>million</w:t>
      </w:r>
      <w:r>
        <w:rPr>
          <w:noProof/>
          <w:lang w:eastAsia="en-GB"/>
        </w:rPr>
        <w:t xml:space="preserve"> between 31 December 2015 and 31 December 2016. Loans to Ukraine represent 75% of the total MFA exposure.</w:t>
      </w:r>
    </w:p>
    <w:p>
      <w:pPr>
        <w:spacing w:after="240"/>
        <w:rPr>
          <w:noProof/>
          <w:u w:val="single"/>
        </w:rPr>
      </w:pPr>
      <w:r>
        <w:rPr>
          <w:noProof/>
          <w:u w:val="single"/>
        </w:rPr>
        <w:t>Developments subsequent to 31 December 2016 (until 30 June 2017)</w:t>
      </w:r>
    </w:p>
    <w:p>
      <w:pPr>
        <w:autoSpaceDE w:val="0"/>
        <w:autoSpaceDN w:val="0"/>
        <w:adjustRightInd w:val="0"/>
        <w:rPr>
          <w:noProof/>
          <w:lang w:eastAsia="en-GB"/>
        </w:rPr>
      </w:pPr>
      <w:r>
        <w:rPr>
          <w:noProof/>
          <w:lang w:eastAsia="en-GB"/>
        </w:rPr>
        <w:t>The second tranche of the loan granted to Ukraine under the third programme MFA-III</w:t>
      </w:r>
      <w:r>
        <w:rPr>
          <w:rStyle w:val="FootnoteReference"/>
          <w:noProof/>
        </w:rPr>
        <w:footnoteReference w:id="25"/>
      </w:r>
      <w:r>
        <w:rPr>
          <w:noProof/>
          <w:lang w:eastAsia="en-GB"/>
        </w:rPr>
        <w:t xml:space="preserve"> (EUR 600 milion) was disbursed in April 2017.</w:t>
      </w:r>
    </w:p>
    <w:p>
      <w:pPr>
        <w:autoSpaceDE w:val="0"/>
        <w:autoSpaceDN w:val="0"/>
        <w:adjustRightInd w:val="0"/>
        <w:rPr>
          <w:noProof/>
          <w:lang w:eastAsia="en-GB"/>
        </w:rPr>
      </w:pPr>
      <w:r>
        <w:rPr>
          <w:noProof/>
          <w:lang w:eastAsia="en-GB"/>
        </w:rPr>
        <w:t>The second tranche of the loan granted to Georgia under MFA (13 milion) was disbursed in May 2017.</w:t>
      </w:r>
    </w:p>
    <w:p>
      <w:pPr>
        <w:pStyle w:val="ManualHeading3"/>
        <w:rPr>
          <w:noProof/>
        </w:rPr>
      </w:pPr>
      <w:bookmarkStart w:id="113" w:name="_Toc390944392"/>
      <w:bookmarkStart w:id="114" w:name="_Toc393969963"/>
      <w:bookmarkStart w:id="115" w:name="_Toc418157630"/>
      <w:bookmarkStart w:id="116" w:name="_Toc418160311"/>
      <w:bookmarkStart w:id="117" w:name="_Toc446577178"/>
      <w:bookmarkStart w:id="118" w:name="_Toc452646724"/>
      <w:bookmarkStart w:id="119" w:name="_Toc453161363"/>
      <w:bookmarkStart w:id="120" w:name="_Toc486601266"/>
      <w:bookmarkStart w:id="121" w:name="_Toc495658613"/>
      <w:r>
        <w:rPr>
          <w:noProof/>
        </w:rPr>
        <w:t>3.1.4.</w:t>
      </w:r>
      <w:r>
        <w:rPr>
          <w:noProof/>
        </w:rPr>
        <w:tab/>
        <w:t>Euratom loans</w:t>
      </w:r>
      <w:bookmarkEnd w:id="113"/>
      <w:bookmarkEnd w:id="114"/>
      <w:bookmarkEnd w:id="115"/>
      <w:bookmarkEnd w:id="116"/>
      <w:bookmarkEnd w:id="117"/>
      <w:bookmarkEnd w:id="118"/>
      <w:bookmarkEnd w:id="119"/>
      <w:bookmarkEnd w:id="120"/>
      <w:bookmarkEnd w:id="121"/>
    </w:p>
    <w:p>
      <w:pPr>
        <w:autoSpaceDE w:val="0"/>
        <w:autoSpaceDN w:val="0"/>
        <w:adjustRightInd w:val="0"/>
        <w:rPr>
          <w:noProof/>
        </w:rPr>
      </w:pPr>
      <w:r>
        <w:rPr>
          <w:noProof/>
        </w:rPr>
        <w:t>The Euratom lending to Member States or in certain eligible non-member countries (currently Russian Federation, Armenia, Ukraine) has a ceiling of EUR 4 000 million of which around 92% has already been disbursed. EUR 326 million remain under the EUR 4 000 million Decision.</w:t>
      </w:r>
    </w:p>
    <w:p>
      <w:pPr>
        <w:autoSpaceDE w:val="0"/>
        <w:autoSpaceDN w:val="0"/>
        <w:adjustRightInd w:val="0"/>
        <w:rPr>
          <w:noProof/>
        </w:rPr>
      </w:pPr>
      <w:r>
        <w:rPr>
          <w:noProof/>
        </w:rPr>
        <w:t xml:space="preserve">A loan of EUR 300 million to Ukraine dedicated to the safety upgrade of existing nuclear facilities was signed on 7 August 2013 and the Guarantee Agreement was ratified by the Ukrainian Parliament on 15 May 2014. The loan will be provided in close cooperation with the EBRD, which provides another EUR 300 million loan in parallel. </w:t>
      </w:r>
    </w:p>
    <w:p>
      <w:pPr>
        <w:autoSpaceDE w:val="0"/>
        <w:autoSpaceDN w:val="0"/>
        <w:adjustRightInd w:val="0"/>
        <w:rPr>
          <w:noProof/>
        </w:rPr>
      </w:pPr>
      <w:r>
        <w:rPr>
          <w:noProof/>
        </w:rPr>
        <w:t>On 27 May 2015 the Commission authorised disbursements under the Euratom loan to Energoatom in the amount of up to EUR 100 million, subject to Energoatom having drawn the loan amount granted by the EBRD in an amount not less than EUR 50 million. Due to delays in the implementation of the project, as of 31 December 2016 no Euratom disbursements had taken place.</w:t>
      </w:r>
    </w:p>
    <w:p>
      <w:pPr>
        <w:autoSpaceDE w:val="0"/>
        <w:autoSpaceDN w:val="0"/>
        <w:adjustRightInd w:val="0"/>
        <w:rPr>
          <w:noProof/>
        </w:rPr>
      </w:pPr>
      <w:r>
        <w:rPr>
          <w:noProof/>
        </w:rPr>
        <w:t>These loans benefit from State guarantees which cover 100% of the amounts outstanding at year end.</w:t>
      </w:r>
    </w:p>
    <w:p>
      <w:pPr>
        <w:rPr>
          <w:noProof/>
          <w:u w:val="single"/>
        </w:rPr>
      </w:pPr>
      <w:r>
        <w:rPr>
          <w:noProof/>
          <w:u w:val="single"/>
        </w:rPr>
        <w:t>Developments during 2016</w:t>
      </w:r>
    </w:p>
    <w:p>
      <w:pPr>
        <w:rPr>
          <w:rFonts w:cs="Arial"/>
          <w:noProof/>
        </w:rPr>
      </w:pPr>
      <w:r>
        <w:rPr>
          <w:rFonts w:cs="Arial"/>
          <w:noProof/>
        </w:rPr>
        <w:t xml:space="preserve">No disbursements took place in 2016. Repaid amounts consisted of EUR 22.62 million from Bulgaria, EUR 19 million from Romania and EUR equivalent of 7.1 million from Ukraine. </w:t>
      </w:r>
    </w:p>
    <w:p>
      <w:pPr>
        <w:rPr>
          <w:noProof/>
          <w:u w:val="single"/>
        </w:rPr>
      </w:pPr>
      <w:r>
        <w:rPr>
          <w:noProof/>
          <w:u w:val="single"/>
        </w:rPr>
        <w:t>Developments subsequent to 31 December 2016</w:t>
      </w:r>
    </w:p>
    <w:p>
      <w:pPr>
        <w:rPr>
          <w:rFonts w:cs="Arial"/>
          <w:noProof/>
        </w:rPr>
      </w:pPr>
      <w:r>
        <w:rPr>
          <w:rFonts w:cs="Arial"/>
          <w:noProof/>
        </w:rPr>
        <w:t>The first Euratom tranche of EUR 50 million has been disbursed in May 2017.</w:t>
      </w:r>
    </w:p>
    <w:p>
      <w:pPr>
        <w:pStyle w:val="ManualHeading2"/>
        <w:rPr>
          <w:rFonts w:cs="Arial"/>
          <w:b w:val="0"/>
          <w:noProof/>
        </w:rPr>
      </w:pPr>
      <w:bookmarkStart w:id="122" w:name="_Toc309831361"/>
      <w:bookmarkStart w:id="123" w:name="_Toc329261061"/>
      <w:bookmarkStart w:id="124" w:name="_Toc329855623"/>
      <w:bookmarkStart w:id="125" w:name="_Toc330551228"/>
      <w:bookmarkStart w:id="126" w:name="_Toc342470151"/>
      <w:bookmarkStart w:id="127" w:name="_Toc345073701"/>
      <w:bookmarkStart w:id="128" w:name="_Toc365986218"/>
      <w:bookmarkStart w:id="129" w:name="_Toc367869471"/>
      <w:bookmarkStart w:id="130" w:name="_Toc367869998"/>
      <w:bookmarkStart w:id="131" w:name="_Toc388973016"/>
      <w:bookmarkStart w:id="132" w:name="_Toc389474749"/>
      <w:bookmarkStart w:id="133" w:name="_Toc390944393"/>
      <w:bookmarkStart w:id="134" w:name="_Toc393969964"/>
      <w:bookmarkStart w:id="135" w:name="_Toc417461970"/>
      <w:bookmarkStart w:id="136" w:name="_Toc417998604"/>
      <w:bookmarkStart w:id="137" w:name="_Toc418157631"/>
      <w:bookmarkStart w:id="138" w:name="_Toc418160312"/>
      <w:bookmarkStart w:id="139" w:name="_Toc446577179"/>
      <w:bookmarkStart w:id="140" w:name="_Toc452646725"/>
      <w:bookmarkStart w:id="141" w:name="_Toc453161364"/>
      <w:bookmarkStart w:id="142" w:name="_Toc486601267"/>
    </w:p>
    <w:p>
      <w:pPr>
        <w:pStyle w:val="ManualHeading2"/>
        <w:rPr>
          <w:noProof/>
        </w:rPr>
      </w:pPr>
      <w:bookmarkStart w:id="143" w:name="_Toc495658614"/>
      <w:r>
        <w:rPr>
          <w:noProof/>
        </w:rPr>
        <w:t>3.2.</w:t>
      </w:r>
      <w:r>
        <w:rPr>
          <w:noProof/>
        </w:rPr>
        <w:tab/>
        <w:t>Evolution of the EIB external financing</w:t>
      </w:r>
      <w:bookmarkEnd w:id="122"/>
      <w:bookmarkEnd w:id="123"/>
      <w:bookmarkEnd w:id="124"/>
      <w:bookmarkEnd w:id="125"/>
      <w:bookmarkEnd w:id="126"/>
      <w:bookmarkEnd w:id="127"/>
      <w:bookmarkEnd w:id="128"/>
      <w:bookmarkEnd w:id="129"/>
      <w:bookmarkEnd w:id="130"/>
      <w:bookmarkEnd w:id="131"/>
      <w:bookmarkEnd w:id="132"/>
      <w:r>
        <w:rPr>
          <w:noProof/>
        </w:rPr>
        <w:t xml:space="preserve"> operations</w:t>
      </w:r>
      <w:bookmarkEnd w:id="133"/>
      <w:bookmarkEnd w:id="134"/>
      <w:bookmarkEnd w:id="135"/>
      <w:bookmarkEnd w:id="136"/>
      <w:bookmarkEnd w:id="137"/>
      <w:bookmarkEnd w:id="138"/>
      <w:bookmarkEnd w:id="139"/>
      <w:bookmarkEnd w:id="140"/>
      <w:bookmarkEnd w:id="141"/>
      <w:bookmarkEnd w:id="142"/>
      <w:bookmarkEnd w:id="143"/>
    </w:p>
    <w:p>
      <w:pPr>
        <w:spacing w:after="240"/>
        <w:rPr>
          <w:noProof/>
          <w:u w:val="single"/>
        </w:rPr>
      </w:pPr>
      <w:r>
        <w:rPr>
          <w:noProof/>
          <w:u w:val="single"/>
        </w:rPr>
        <w:t>Developments during 2016</w:t>
      </w:r>
    </w:p>
    <w:p>
      <w:pPr>
        <w:spacing w:before="0" w:after="240"/>
        <w:rPr>
          <w:noProof/>
        </w:rPr>
      </w:pPr>
      <w:r>
        <w:rPr>
          <w:noProof/>
        </w:rPr>
        <w:t xml:space="preserve">Under the EIB general mandate covering the period 2014-2020, a total amount of </w:t>
      </w:r>
      <w:r>
        <w:rPr>
          <w:noProof/>
        </w:rPr>
        <w:br w:type="textWrapping" w:clear="all"/>
        <w:t>EUR 10 741 million had been signed at 31 December 2016, of which only EUR 1 882 million was disbursed at that date, leaving the outstanding capital at EUR 1 893 million (see Table A3 of the SWD). For more information on the countries covered by the EIB mandates, see Tables A1, A3 and A4 of the SWD.</w:t>
      </w:r>
    </w:p>
    <w:p>
      <w:pPr>
        <w:spacing w:before="0" w:after="240"/>
        <w:rPr>
          <w:noProof/>
          <w:lang w:eastAsia="en-GB"/>
        </w:rPr>
      </w:pPr>
      <w:r>
        <w:rPr>
          <w:noProof/>
          <w:lang w:eastAsia="en-GB"/>
        </w:rPr>
        <w:t>For previous EIB external mandates, see Table A3 of the SWD.</w:t>
      </w:r>
    </w:p>
    <w:p>
      <w:pPr>
        <w:spacing w:before="0" w:after="240"/>
        <w:rPr>
          <w:noProof/>
          <w:lang w:eastAsia="en-GB"/>
        </w:rPr>
      </w:pPr>
      <w:r>
        <w:rPr>
          <w:noProof/>
          <w:lang w:eastAsia="en-GB"/>
        </w:rPr>
        <w:t>Defaults on interests payments and loan repayments from the Syrian Government continued in 2016. The EIB has called on the Guarantee Fund to cover those defaults (see paragraph 5.1.3 below).</w:t>
      </w:r>
    </w:p>
    <w:p>
      <w:pPr>
        <w:spacing w:before="0" w:after="240"/>
        <w:rPr>
          <w:noProof/>
          <w:lang w:eastAsia="en-GB"/>
        </w:rPr>
      </w:pPr>
      <w:r>
        <w:rPr>
          <w:noProof/>
          <w:lang w:eastAsia="en-GB"/>
        </w:rPr>
        <w:t>Outstanding amounts at 31 December 2016 for the various facilities referred to in this section are presented in section 3 above (Table 1).</w:t>
      </w:r>
    </w:p>
    <w:p>
      <w:pPr>
        <w:pStyle w:val="ManualHeading1"/>
        <w:rPr>
          <w:noProof/>
        </w:rPr>
      </w:pPr>
      <w:bookmarkStart w:id="144" w:name="_Toc309831362"/>
      <w:bookmarkStart w:id="145" w:name="_Toc329261062"/>
      <w:bookmarkStart w:id="146" w:name="_Toc329855624"/>
      <w:bookmarkStart w:id="147" w:name="_Toc330551229"/>
      <w:bookmarkStart w:id="148" w:name="_Toc342470152"/>
      <w:bookmarkStart w:id="149" w:name="_Toc345073702"/>
      <w:bookmarkStart w:id="150" w:name="_Toc365986219"/>
      <w:bookmarkStart w:id="151" w:name="_Toc367869472"/>
      <w:bookmarkStart w:id="152" w:name="_Toc367869999"/>
      <w:bookmarkStart w:id="153" w:name="_Toc388973017"/>
      <w:bookmarkStart w:id="154" w:name="_Toc389474750"/>
      <w:bookmarkStart w:id="155" w:name="_Toc390944394"/>
      <w:bookmarkStart w:id="156" w:name="_Toc393969965"/>
      <w:bookmarkStart w:id="157" w:name="_Toc417461971"/>
      <w:bookmarkStart w:id="158" w:name="_Toc417998605"/>
      <w:bookmarkStart w:id="159" w:name="_Toc418157632"/>
      <w:bookmarkStart w:id="160" w:name="_Toc418160313"/>
      <w:bookmarkStart w:id="161" w:name="_Toc446577180"/>
      <w:bookmarkStart w:id="162" w:name="_Toc452646726"/>
      <w:bookmarkStart w:id="163" w:name="_Toc453161365"/>
      <w:bookmarkStart w:id="164" w:name="_Toc486601268"/>
      <w:bookmarkStart w:id="165" w:name="_Toc495658615"/>
      <w:r>
        <w:rPr>
          <w:noProof/>
        </w:rPr>
        <w:t>4.</w:t>
      </w:r>
      <w:r>
        <w:rPr>
          <w:noProof/>
        </w:rPr>
        <w:tab/>
        <w:t xml:space="preserve">Risks covered by the </w:t>
      </w:r>
      <w:bookmarkEnd w:id="144"/>
      <w:bookmarkEnd w:id="145"/>
      <w:bookmarkEnd w:id="146"/>
      <w:bookmarkEnd w:id="147"/>
      <w:bookmarkEnd w:id="148"/>
      <w:bookmarkEnd w:id="149"/>
      <w:bookmarkEnd w:id="150"/>
      <w:bookmarkEnd w:id="151"/>
      <w:bookmarkEnd w:id="152"/>
      <w:bookmarkEnd w:id="153"/>
      <w:bookmarkEnd w:id="154"/>
      <w:r>
        <w:rPr>
          <w:noProof/>
        </w:rPr>
        <w:t>EU budget</w:t>
      </w:r>
      <w:bookmarkEnd w:id="155"/>
      <w:bookmarkEnd w:id="156"/>
      <w:bookmarkEnd w:id="157"/>
      <w:bookmarkEnd w:id="158"/>
      <w:bookmarkEnd w:id="159"/>
      <w:bookmarkEnd w:id="160"/>
      <w:bookmarkEnd w:id="161"/>
      <w:bookmarkEnd w:id="162"/>
      <w:bookmarkEnd w:id="163"/>
      <w:bookmarkEnd w:id="164"/>
      <w:bookmarkEnd w:id="165"/>
    </w:p>
    <w:p>
      <w:pPr>
        <w:pStyle w:val="ManualHeading2"/>
        <w:rPr>
          <w:noProof/>
        </w:rPr>
      </w:pPr>
      <w:bookmarkStart w:id="166" w:name="_Toc309831363"/>
      <w:bookmarkStart w:id="167" w:name="_Toc329261063"/>
      <w:bookmarkStart w:id="168" w:name="_Toc329855625"/>
      <w:bookmarkStart w:id="169" w:name="_Toc330551230"/>
      <w:bookmarkStart w:id="170" w:name="_Toc342470153"/>
      <w:bookmarkStart w:id="171" w:name="_Toc345073703"/>
      <w:bookmarkStart w:id="172" w:name="_Toc365986220"/>
      <w:bookmarkStart w:id="173" w:name="_Toc367869473"/>
      <w:bookmarkStart w:id="174" w:name="_Toc367870000"/>
      <w:bookmarkStart w:id="175" w:name="_Toc388973018"/>
      <w:bookmarkStart w:id="176" w:name="_Toc389474751"/>
      <w:bookmarkStart w:id="177" w:name="_Toc390944395"/>
      <w:bookmarkStart w:id="178" w:name="_Toc393969966"/>
      <w:bookmarkStart w:id="179" w:name="_Toc417461972"/>
      <w:bookmarkStart w:id="180" w:name="_Toc417998606"/>
      <w:bookmarkStart w:id="181" w:name="_Toc418157633"/>
      <w:bookmarkStart w:id="182" w:name="_Toc418160314"/>
      <w:bookmarkStart w:id="183" w:name="_Toc446577181"/>
      <w:bookmarkStart w:id="184" w:name="_Toc452646727"/>
      <w:bookmarkStart w:id="185" w:name="_Toc453161366"/>
      <w:bookmarkStart w:id="186" w:name="_Toc486601269"/>
      <w:bookmarkStart w:id="187" w:name="_Toc495658616"/>
      <w:r>
        <w:rPr>
          <w:noProof/>
        </w:rPr>
        <w:t>4.1.</w:t>
      </w:r>
      <w:r>
        <w:rPr>
          <w:noProof/>
        </w:rPr>
        <w:tab/>
        <w:t>Definition of risk</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rPr>
          <w:noProof/>
        </w:rPr>
      </w:pPr>
      <w:r>
        <w:rPr>
          <w:noProof/>
        </w:rPr>
        <w:t>The risk borne by the EU budget derives from the outstanding amount of capital and interest in respect of guaranteed operations.</w:t>
      </w:r>
    </w:p>
    <w:p>
      <w:pPr>
        <w:rPr>
          <w:noProof/>
        </w:rPr>
      </w:pPr>
      <w:r>
        <w:rPr>
          <w:noProof/>
        </w:rPr>
        <w:t>For the purpose of this report, two methods are used for evaluating the risks borne by the EU budget (either directly or indirectly via the Fund):</w:t>
      </w:r>
    </w:p>
    <w:p>
      <w:pPr>
        <w:pStyle w:val="ListDash"/>
        <w:rPr>
          <w:noProof/>
        </w:rPr>
      </w:pPr>
      <w:r>
        <w:rPr>
          <w:noProof/>
        </w:rPr>
        <w:t>"The total risk covered" is based on the sum of the total amount of capital outstanding for the operations concerned on a given date including accrued interest</w:t>
      </w:r>
      <w:r>
        <w:rPr>
          <w:rStyle w:val="FootnoteReference"/>
          <w:noProof/>
        </w:rPr>
        <w:footnoteReference w:id="26"/>
      </w:r>
      <w:r>
        <w:rPr>
          <w:noProof/>
        </w:rPr>
        <w:t xml:space="preserve">. </w:t>
      </w:r>
    </w:p>
    <w:p>
      <w:pPr>
        <w:pStyle w:val="ListDash"/>
        <w:rPr>
          <w:noProof/>
        </w:rPr>
      </w:pPr>
      <w:r>
        <w:rPr>
          <w:noProof/>
        </w:rPr>
        <w:t>The budgetary approach defined as "the annual risk borne by the EU budget" is based on the calculation of the maximum amount of annual payments due which the EU would have to pay out in a financial year assuming that all payments of the guaranteed loans are in default</w:t>
      </w:r>
      <w:r>
        <w:rPr>
          <w:rStyle w:val="Funotenzeichen"/>
          <w:noProof/>
        </w:rPr>
        <w:footnoteReference w:id="27"/>
      </w:r>
      <w:r>
        <w:rPr>
          <w:noProof/>
        </w:rPr>
        <w:t>.</w:t>
      </w:r>
    </w:p>
    <w:p>
      <w:pPr>
        <w:pStyle w:val="ManualHeading2"/>
        <w:rPr>
          <w:noProof/>
        </w:rPr>
      </w:pPr>
      <w:bookmarkStart w:id="188" w:name="_Toc309831364"/>
      <w:bookmarkStart w:id="189" w:name="_Toc329261064"/>
      <w:bookmarkStart w:id="190" w:name="_Toc329855626"/>
      <w:bookmarkStart w:id="191" w:name="_Toc330551231"/>
      <w:bookmarkStart w:id="192" w:name="_Toc342470154"/>
      <w:bookmarkStart w:id="193" w:name="_Toc345073704"/>
      <w:bookmarkStart w:id="194" w:name="_Toc365986221"/>
      <w:bookmarkStart w:id="195" w:name="_Toc367869474"/>
      <w:bookmarkStart w:id="196" w:name="_Toc367870001"/>
      <w:bookmarkStart w:id="197" w:name="_Toc388973019"/>
      <w:bookmarkStart w:id="198" w:name="_Toc389474752"/>
      <w:bookmarkStart w:id="199" w:name="_Toc390944396"/>
      <w:bookmarkStart w:id="200" w:name="_Toc393969967"/>
      <w:bookmarkStart w:id="201" w:name="_Toc417461973"/>
      <w:bookmarkStart w:id="202" w:name="_Toc417998607"/>
      <w:bookmarkStart w:id="203" w:name="_Toc418157634"/>
      <w:bookmarkStart w:id="204" w:name="_Toc418160315"/>
      <w:bookmarkStart w:id="205" w:name="_Toc446577182"/>
      <w:bookmarkStart w:id="206" w:name="_Toc452646728"/>
      <w:bookmarkStart w:id="207" w:name="_Toc453161367"/>
      <w:bookmarkStart w:id="208" w:name="_Toc486601270"/>
      <w:bookmarkStart w:id="209" w:name="_Toc495658617"/>
      <w:r>
        <w:rPr>
          <w:noProof/>
        </w:rPr>
        <w:t>4.2.</w:t>
      </w:r>
      <w:r>
        <w:rPr>
          <w:noProof/>
        </w:rPr>
        <w:tab/>
        <w:t>Total risk composition</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rPr>
          <w:noProof/>
        </w:rPr>
      </w:pPr>
      <w:r>
        <w:rPr>
          <w:noProof/>
        </w:rPr>
        <w:t>Until 2010 the maximum risk in terms of total outstanding amounts covered was mainly linked to loans granted to third countries. Since 2011, the financial crisis has heavily affected the public finances of the Member States leading to an increase in the lending activity of the EU to support sovereign financing needs in Member States.</w:t>
      </w:r>
    </w:p>
    <w:p>
      <w:pPr>
        <w:rPr>
          <w:noProof/>
        </w:rPr>
      </w:pPr>
      <w:r>
        <w:rPr>
          <w:noProof/>
        </w:rPr>
        <w:t xml:space="preserve">As a consequence the composition of risk has changed. At </w:t>
      </w:r>
      <w:r>
        <w:rPr>
          <w:noProof/>
          <w:lang w:eastAsia="en-GB"/>
        </w:rPr>
        <w:t>31 December 2016,</w:t>
      </w:r>
      <w:r>
        <w:rPr>
          <w:noProof/>
        </w:rPr>
        <w:t xml:space="preserve"> 64% of the total outstanding amount</w:t>
      </w:r>
      <w:r>
        <w:rPr>
          <w:rStyle w:val="FootnoteReference"/>
          <w:noProof/>
        </w:rPr>
        <w:footnoteReference w:id="28"/>
      </w:r>
      <w:r>
        <w:rPr>
          <w:noProof/>
        </w:rPr>
        <w:t xml:space="preserve"> concerns borrowing operations linked to loans to Member States which are directly covered by the EU budget (compared to 45% at 31.12.2010).</w:t>
      </w:r>
    </w:p>
    <w:p>
      <w:pPr>
        <w:pStyle w:val="ManualHeading2"/>
        <w:rPr>
          <w:noProof/>
        </w:rPr>
      </w:pPr>
      <w:bookmarkStart w:id="210" w:name="_Toc342470155"/>
      <w:bookmarkStart w:id="211" w:name="_Toc309831365"/>
      <w:bookmarkStart w:id="212" w:name="_Toc329261065"/>
      <w:bookmarkStart w:id="213" w:name="_Toc329855627"/>
      <w:bookmarkStart w:id="214" w:name="_Toc330551232"/>
      <w:bookmarkStart w:id="215" w:name="_Toc342470159"/>
      <w:bookmarkStart w:id="216" w:name="_Toc345073705"/>
      <w:bookmarkStart w:id="217" w:name="_Toc365986222"/>
      <w:bookmarkStart w:id="218" w:name="_Toc367869475"/>
      <w:bookmarkStart w:id="219" w:name="_Toc367870002"/>
      <w:bookmarkStart w:id="220" w:name="_Toc388973020"/>
      <w:bookmarkStart w:id="221" w:name="_Toc389474753"/>
      <w:bookmarkStart w:id="222" w:name="_Toc390944397"/>
      <w:bookmarkStart w:id="223" w:name="_Toc393969968"/>
      <w:bookmarkStart w:id="224" w:name="_Toc417461974"/>
      <w:bookmarkStart w:id="225" w:name="_Toc417998608"/>
      <w:bookmarkStart w:id="226" w:name="_Toc418157635"/>
      <w:bookmarkStart w:id="227" w:name="_Toc418160316"/>
      <w:bookmarkStart w:id="228" w:name="_Toc446577183"/>
      <w:bookmarkStart w:id="229" w:name="_Toc452646729"/>
      <w:bookmarkStart w:id="230" w:name="_Toc453161368"/>
      <w:bookmarkStart w:id="231" w:name="_Toc486601271"/>
      <w:bookmarkStart w:id="232" w:name="_Toc495658618"/>
      <w:bookmarkEnd w:id="210"/>
      <w:r>
        <w:rPr>
          <w:noProof/>
        </w:rPr>
        <w:t>4.3.</w:t>
      </w:r>
      <w:r>
        <w:rPr>
          <w:noProof/>
        </w:rPr>
        <w:tab/>
        <w:t xml:space="preserve">Annual risk covered by the </w:t>
      </w:r>
      <w:bookmarkEnd w:id="211"/>
      <w:bookmarkEnd w:id="212"/>
      <w:bookmarkEnd w:id="213"/>
      <w:bookmarkEnd w:id="214"/>
      <w:bookmarkEnd w:id="215"/>
      <w:bookmarkEnd w:id="216"/>
      <w:bookmarkEnd w:id="217"/>
      <w:bookmarkEnd w:id="218"/>
      <w:bookmarkEnd w:id="219"/>
      <w:bookmarkEnd w:id="220"/>
      <w:bookmarkEnd w:id="221"/>
      <w:r>
        <w:rPr>
          <w:noProof/>
        </w:rPr>
        <w:t>EU budget</w:t>
      </w:r>
      <w:bookmarkEnd w:id="222"/>
      <w:bookmarkEnd w:id="223"/>
      <w:bookmarkEnd w:id="224"/>
      <w:bookmarkEnd w:id="225"/>
      <w:bookmarkEnd w:id="226"/>
      <w:bookmarkEnd w:id="227"/>
      <w:bookmarkEnd w:id="228"/>
      <w:bookmarkEnd w:id="229"/>
      <w:bookmarkEnd w:id="230"/>
      <w:bookmarkEnd w:id="231"/>
      <w:bookmarkEnd w:id="232"/>
    </w:p>
    <w:p>
      <w:pPr>
        <w:rPr>
          <w:noProof/>
        </w:rPr>
      </w:pPr>
      <w:r>
        <w:rPr>
          <w:noProof/>
        </w:rPr>
        <w:t xml:space="preserve">With reference to outstanding loans at 31 December 2016 (see Table 1 above) the maximum amount which the EU would have to pay out during the year 2017 (directly and via the Fund) - </w:t>
      </w:r>
      <w:r>
        <w:rPr>
          <w:i/>
          <w:noProof/>
        </w:rPr>
        <w:t>assuming</w:t>
      </w:r>
      <w:r>
        <w:rPr>
          <w:noProof/>
        </w:rPr>
        <w:t xml:space="preserve"> that </w:t>
      </w:r>
      <w:r>
        <w:rPr>
          <w:i/>
          <w:noProof/>
        </w:rPr>
        <w:t xml:space="preserve">all </w:t>
      </w:r>
      <w:r>
        <w:rPr>
          <w:noProof/>
        </w:rPr>
        <w:t xml:space="preserve">guaranteed loans would be in default - is EUR 5 777 million. That amount represents the capital and interest payments from guaranteed loans falling due during 2017, assuming that defaulting loans are not accelerated (for details see Table A4 in SWD). </w:t>
      </w:r>
      <w:bookmarkStart w:id="233" w:name="_Toc309831366"/>
      <w:bookmarkStart w:id="234" w:name="_Toc329261066"/>
      <w:bookmarkStart w:id="235" w:name="_Toc329855628"/>
      <w:bookmarkStart w:id="236" w:name="_Toc330551233"/>
      <w:bookmarkStart w:id="237" w:name="_Toc342470160"/>
      <w:bookmarkStart w:id="238" w:name="_Toc345073706"/>
      <w:bookmarkStart w:id="239" w:name="_Toc365986223"/>
      <w:bookmarkStart w:id="240" w:name="_Toc367869476"/>
      <w:bookmarkStart w:id="241" w:name="_Toc367870003"/>
      <w:bookmarkStart w:id="242" w:name="_Toc388973021"/>
      <w:bookmarkStart w:id="243" w:name="_Toc389474754"/>
      <w:bookmarkStart w:id="244" w:name="_Toc390944398"/>
      <w:bookmarkStart w:id="245" w:name="_Toc393969969"/>
      <w:bookmarkStart w:id="246" w:name="_Toc417461975"/>
      <w:bookmarkStart w:id="247" w:name="_Toc417998609"/>
      <w:bookmarkStart w:id="248" w:name="_Toc418157636"/>
      <w:bookmarkStart w:id="249" w:name="_Toc418160317"/>
      <w:bookmarkStart w:id="250" w:name="_Toc446577184"/>
      <w:bookmarkStart w:id="251" w:name="_Toc452646730"/>
      <w:bookmarkStart w:id="252" w:name="_Toc453161369"/>
    </w:p>
    <w:p>
      <w:pPr>
        <w:pStyle w:val="ManualHeading3"/>
        <w:rPr>
          <w:noProof/>
        </w:rPr>
      </w:pPr>
      <w:bookmarkStart w:id="253" w:name="_Toc486601272"/>
      <w:bookmarkStart w:id="254" w:name="_Toc495658619"/>
      <w:r>
        <w:rPr>
          <w:noProof/>
        </w:rPr>
        <w:t>4.3.1.</w:t>
      </w:r>
      <w:r>
        <w:rPr>
          <w:noProof/>
        </w:rPr>
        <w:tab/>
        <w:t>Member State</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noProof/>
        </w:rPr>
        <w:t xml:space="preserve"> exposure</w:t>
      </w:r>
      <w:bookmarkEnd w:id="251"/>
      <w:bookmarkEnd w:id="252"/>
      <w:bookmarkEnd w:id="253"/>
      <w:bookmarkEnd w:id="254"/>
    </w:p>
    <w:p>
      <w:pPr>
        <w:rPr>
          <w:noProof/>
        </w:rPr>
      </w:pPr>
      <w:r>
        <w:rPr>
          <w:noProof/>
        </w:rPr>
        <w:t>In 2017, the EU will bear a maximum annual risk related to operations with Member States (MS) of EUR 2 858 million (49.5% of the total annual risk). That risk concerns:</w:t>
      </w:r>
    </w:p>
    <w:p>
      <w:pPr>
        <w:rPr>
          <w:noProof/>
        </w:rPr>
      </w:pPr>
      <w:r>
        <w:rPr>
          <w:noProof/>
        </w:rPr>
        <w:t>(a) EIB lending and/or Euratom loans granted before Member States' accession to the EU;</w:t>
      </w:r>
    </w:p>
    <w:p>
      <w:pPr>
        <w:rPr>
          <w:noProof/>
        </w:rPr>
      </w:pPr>
      <w:r>
        <w:rPr>
          <w:noProof/>
        </w:rPr>
        <w:t xml:space="preserve">(b) the loans granted under the BOP facility, and </w:t>
      </w:r>
    </w:p>
    <w:p>
      <w:pPr>
        <w:rPr>
          <w:noProof/>
        </w:rPr>
      </w:pPr>
      <w:r>
        <w:rPr>
          <w:noProof/>
        </w:rPr>
        <w:t xml:space="preserve">(c) the loans granted under the EFSM scheme. </w:t>
      </w:r>
    </w:p>
    <w:p>
      <w:pPr>
        <w:spacing w:after="0"/>
        <w:rPr>
          <w:noProof/>
          <w:sz w:val="18"/>
        </w:rPr>
      </w:pPr>
      <w:r>
        <w:rPr>
          <w:noProof/>
          <w:sz w:val="18"/>
        </w:rPr>
        <w:t>Table 2: Ranking of the Member States according to the annual risk borne by the EU budget in 2017 (EUR million)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1976"/>
        <w:gridCol w:w="1111"/>
        <w:gridCol w:w="1896"/>
        <w:gridCol w:w="1526"/>
        <w:gridCol w:w="1621"/>
      </w:tblGrid>
      <w:tr>
        <w:tc>
          <w:tcPr>
            <w:tcW w:w="1050" w:type="dxa"/>
            <w:shd w:val="clear" w:color="auto" w:fill="auto"/>
          </w:tcPr>
          <w:p>
            <w:pPr>
              <w:jc w:val="center"/>
              <w:rPr>
                <w:b/>
                <w:noProof/>
                <w:sz w:val="20"/>
                <w:szCs w:val="20"/>
              </w:rPr>
            </w:pPr>
            <w:r>
              <w:rPr>
                <w:b/>
                <w:noProof/>
                <w:sz w:val="20"/>
                <w:szCs w:val="20"/>
              </w:rPr>
              <w:t>Ranking</w:t>
            </w:r>
          </w:p>
        </w:tc>
        <w:tc>
          <w:tcPr>
            <w:tcW w:w="1976" w:type="dxa"/>
            <w:shd w:val="clear" w:color="auto" w:fill="auto"/>
          </w:tcPr>
          <w:p>
            <w:pPr>
              <w:jc w:val="center"/>
              <w:rPr>
                <w:b/>
                <w:noProof/>
                <w:sz w:val="20"/>
                <w:szCs w:val="20"/>
              </w:rPr>
            </w:pPr>
            <w:r>
              <w:rPr>
                <w:b/>
                <w:noProof/>
                <w:sz w:val="20"/>
                <w:szCs w:val="20"/>
              </w:rPr>
              <w:t>Country</w:t>
            </w:r>
          </w:p>
        </w:tc>
        <w:tc>
          <w:tcPr>
            <w:tcW w:w="1111" w:type="dxa"/>
            <w:shd w:val="clear" w:color="auto" w:fill="auto"/>
          </w:tcPr>
          <w:p>
            <w:pPr>
              <w:jc w:val="center"/>
              <w:rPr>
                <w:b/>
                <w:noProof/>
                <w:sz w:val="20"/>
                <w:szCs w:val="20"/>
              </w:rPr>
            </w:pPr>
            <w:r>
              <w:rPr>
                <w:b/>
                <w:noProof/>
                <w:sz w:val="20"/>
                <w:szCs w:val="20"/>
              </w:rPr>
              <w:t>Loans</w:t>
            </w:r>
          </w:p>
        </w:tc>
        <w:tc>
          <w:tcPr>
            <w:tcW w:w="1896" w:type="dxa"/>
            <w:shd w:val="clear" w:color="auto" w:fill="auto"/>
          </w:tcPr>
          <w:p>
            <w:pPr>
              <w:jc w:val="center"/>
              <w:rPr>
                <w:b/>
                <w:noProof/>
                <w:sz w:val="20"/>
                <w:szCs w:val="20"/>
              </w:rPr>
            </w:pPr>
            <w:r>
              <w:rPr>
                <w:b/>
                <w:noProof/>
                <w:sz w:val="20"/>
                <w:szCs w:val="20"/>
              </w:rPr>
              <w:t>Max annual risk</w:t>
            </w:r>
          </w:p>
        </w:tc>
        <w:tc>
          <w:tcPr>
            <w:tcW w:w="1526" w:type="dxa"/>
            <w:shd w:val="clear" w:color="auto" w:fill="auto"/>
          </w:tcPr>
          <w:p>
            <w:pPr>
              <w:jc w:val="center"/>
              <w:rPr>
                <w:b/>
                <w:noProof/>
                <w:sz w:val="20"/>
                <w:szCs w:val="20"/>
              </w:rPr>
            </w:pPr>
            <w:r>
              <w:rPr>
                <w:b/>
                <w:noProof/>
                <w:sz w:val="20"/>
                <w:szCs w:val="20"/>
              </w:rPr>
              <w:t>Weight of the country vis-à-vis annual risk of MS</w:t>
            </w:r>
          </w:p>
        </w:tc>
        <w:tc>
          <w:tcPr>
            <w:tcW w:w="1621" w:type="dxa"/>
            <w:shd w:val="clear" w:color="auto" w:fill="auto"/>
          </w:tcPr>
          <w:p>
            <w:pPr>
              <w:jc w:val="center"/>
              <w:rPr>
                <w:b/>
                <w:noProof/>
                <w:sz w:val="20"/>
                <w:szCs w:val="20"/>
              </w:rPr>
            </w:pPr>
            <w:r>
              <w:rPr>
                <w:b/>
                <w:noProof/>
                <w:sz w:val="20"/>
                <w:szCs w:val="20"/>
              </w:rPr>
              <w:t>Weight of the country vis-à-vis total annual risk (MS and non-MS)</w:t>
            </w:r>
          </w:p>
        </w:tc>
      </w:tr>
      <w:tr>
        <w:tc>
          <w:tcPr>
            <w:tcW w:w="1050" w:type="dxa"/>
            <w:shd w:val="clear" w:color="auto" w:fill="auto"/>
          </w:tcPr>
          <w:p>
            <w:pPr>
              <w:jc w:val="center"/>
              <w:rPr>
                <w:b/>
                <w:noProof/>
              </w:rPr>
            </w:pPr>
            <w:r>
              <w:rPr>
                <w:b/>
                <w:noProof/>
              </w:rPr>
              <w:t>1</w:t>
            </w:r>
          </w:p>
        </w:tc>
        <w:tc>
          <w:tcPr>
            <w:tcW w:w="1976" w:type="dxa"/>
            <w:shd w:val="clear" w:color="auto" w:fill="auto"/>
          </w:tcPr>
          <w:p>
            <w:pPr>
              <w:rPr>
                <w:noProof/>
              </w:rPr>
            </w:pPr>
            <w:r>
              <w:rPr>
                <w:noProof/>
              </w:rPr>
              <w:t>Romania</w:t>
            </w:r>
          </w:p>
        </w:tc>
        <w:tc>
          <w:tcPr>
            <w:tcW w:w="1111" w:type="dxa"/>
            <w:shd w:val="clear" w:color="auto" w:fill="auto"/>
          </w:tcPr>
          <w:p>
            <w:pPr>
              <w:jc w:val="center"/>
              <w:rPr>
                <w:noProof/>
              </w:rPr>
            </w:pPr>
            <w:r>
              <w:rPr>
                <w:noProof/>
              </w:rPr>
              <w:t>a+b)</w:t>
            </w:r>
          </w:p>
        </w:tc>
        <w:tc>
          <w:tcPr>
            <w:tcW w:w="1896" w:type="dxa"/>
            <w:shd w:val="clear" w:color="auto" w:fill="auto"/>
          </w:tcPr>
          <w:p>
            <w:pPr>
              <w:jc w:val="right"/>
              <w:rPr>
                <w:noProof/>
              </w:rPr>
            </w:pPr>
            <w:r>
              <w:rPr>
                <w:noProof/>
              </w:rPr>
              <w:t>1 453.75</w:t>
            </w:r>
          </w:p>
        </w:tc>
        <w:tc>
          <w:tcPr>
            <w:tcW w:w="1526" w:type="dxa"/>
            <w:shd w:val="clear" w:color="auto" w:fill="auto"/>
          </w:tcPr>
          <w:p>
            <w:pPr>
              <w:jc w:val="right"/>
              <w:rPr>
                <w:noProof/>
              </w:rPr>
            </w:pPr>
            <w:r>
              <w:rPr>
                <w:noProof/>
              </w:rPr>
              <w:t>50.9%</w:t>
            </w:r>
          </w:p>
        </w:tc>
        <w:tc>
          <w:tcPr>
            <w:tcW w:w="1621" w:type="dxa"/>
            <w:shd w:val="clear" w:color="auto" w:fill="auto"/>
          </w:tcPr>
          <w:p>
            <w:pPr>
              <w:jc w:val="right"/>
              <w:rPr>
                <w:noProof/>
              </w:rPr>
            </w:pPr>
            <w:r>
              <w:rPr>
                <w:noProof/>
              </w:rPr>
              <w:t>25.2%</w:t>
            </w:r>
          </w:p>
        </w:tc>
      </w:tr>
      <w:tr>
        <w:tc>
          <w:tcPr>
            <w:tcW w:w="1050" w:type="dxa"/>
            <w:shd w:val="clear" w:color="auto" w:fill="auto"/>
          </w:tcPr>
          <w:p>
            <w:pPr>
              <w:jc w:val="center"/>
              <w:rPr>
                <w:b/>
                <w:noProof/>
              </w:rPr>
            </w:pPr>
            <w:r>
              <w:rPr>
                <w:b/>
                <w:noProof/>
              </w:rPr>
              <w:t>2</w:t>
            </w:r>
          </w:p>
        </w:tc>
        <w:tc>
          <w:tcPr>
            <w:tcW w:w="1976" w:type="dxa"/>
            <w:shd w:val="clear" w:color="auto" w:fill="auto"/>
          </w:tcPr>
          <w:p>
            <w:pPr>
              <w:rPr>
                <w:noProof/>
              </w:rPr>
            </w:pPr>
            <w:r>
              <w:rPr>
                <w:noProof/>
              </w:rPr>
              <w:t xml:space="preserve">Ireland </w:t>
            </w:r>
          </w:p>
        </w:tc>
        <w:tc>
          <w:tcPr>
            <w:tcW w:w="1111" w:type="dxa"/>
            <w:shd w:val="clear" w:color="auto" w:fill="auto"/>
          </w:tcPr>
          <w:p>
            <w:pPr>
              <w:jc w:val="center"/>
              <w:rPr>
                <w:noProof/>
              </w:rPr>
            </w:pPr>
            <w:r>
              <w:rPr>
                <w:noProof/>
              </w:rPr>
              <w:t>c)</w:t>
            </w:r>
          </w:p>
        </w:tc>
        <w:tc>
          <w:tcPr>
            <w:tcW w:w="1896" w:type="dxa"/>
            <w:shd w:val="clear" w:color="auto" w:fill="auto"/>
          </w:tcPr>
          <w:p>
            <w:pPr>
              <w:jc w:val="right"/>
              <w:rPr>
                <w:noProof/>
              </w:rPr>
            </w:pPr>
            <w:r>
              <w:rPr>
                <w:noProof/>
              </w:rPr>
              <w:t>607.25</w:t>
            </w:r>
          </w:p>
        </w:tc>
        <w:tc>
          <w:tcPr>
            <w:tcW w:w="1526" w:type="dxa"/>
            <w:shd w:val="clear" w:color="auto" w:fill="auto"/>
          </w:tcPr>
          <w:p>
            <w:pPr>
              <w:jc w:val="right"/>
              <w:rPr>
                <w:noProof/>
              </w:rPr>
            </w:pPr>
            <w:r>
              <w:rPr>
                <w:noProof/>
              </w:rPr>
              <w:t>21.2%</w:t>
            </w:r>
          </w:p>
        </w:tc>
        <w:tc>
          <w:tcPr>
            <w:tcW w:w="1621" w:type="dxa"/>
            <w:shd w:val="clear" w:color="auto" w:fill="auto"/>
          </w:tcPr>
          <w:p>
            <w:pPr>
              <w:jc w:val="right"/>
              <w:rPr>
                <w:noProof/>
              </w:rPr>
            </w:pPr>
            <w:r>
              <w:rPr>
                <w:noProof/>
              </w:rPr>
              <w:t>10.5%</w:t>
            </w:r>
          </w:p>
        </w:tc>
      </w:tr>
      <w:tr>
        <w:tc>
          <w:tcPr>
            <w:tcW w:w="1050" w:type="dxa"/>
            <w:shd w:val="clear" w:color="auto" w:fill="auto"/>
          </w:tcPr>
          <w:p>
            <w:pPr>
              <w:jc w:val="center"/>
              <w:rPr>
                <w:b/>
                <w:noProof/>
              </w:rPr>
            </w:pPr>
            <w:r>
              <w:rPr>
                <w:b/>
                <w:noProof/>
              </w:rPr>
              <w:t>3</w:t>
            </w:r>
          </w:p>
        </w:tc>
        <w:tc>
          <w:tcPr>
            <w:tcW w:w="1976" w:type="dxa"/>
            <w:shd w:val="clear" w:color="auto" w:fill="auto"/>
          </w:tcPr>
          <w:p>
            <w:pPr>
              <w:rPr>
                <w:noProof/>
              </w:rPr>
            </w:pPr>
            <w:r>
              <w:rPr>
                <w:noProof/>
              </w:rPr>
              <w:t>Portugal</w:t>
            </w:r>
          </w:p>
        </w:tc>
        <w:tc>
          <w:tcPr>
            <w:tcW w:w="1111" w:type="dxa"/>
            <w:shd w:val="clear" w:color="auto" w:fill="auto"/>
          </w:tcPr>
          <w:p>
            <w:pPr>
              <w:jc w:val="center"/>
              <w:rPr>
                <w:noProof/>
              </w:rPr>
            </w:pPr>
            <w:r>
              <w:rPr>
                <w:noProof/>
              </w:rPr>
              <w:t>c)</w:t>
            </w:r>
          </w:p>
        </w:tc>
        <w:tc>
          <w:tcPr>
            <w:tcW w:w="1896" w:type="dxa"/>
            <w:shd w:val="clear" w:color="auto" w:fill="auto"/>
          </w:tcPr>
          <w:p>
            <w:pPr>
              <w:jc w:val="right"/>
              <w:rPr>
                <w:noProof/>
              </w:rPr>
            </w:pPr>
            <w:r>
              <w:rPr>
                <w:noProof/>
              </w:rPr>
              <w:t>591.22</w:t>
            </w:r>
          </w:p>
        </w:tc>
        <w:tc>
          <w:tcPr>
            <w:tcW w:w="1526" w:type="dxa"/>
            <w:shd w:val="clear" w:color="auto" w:fill="auto"/>
          </w:tcPr>
          <w:p>
            <w:pPr>
              <w:jc w:val="right"/>
              <w:rPr>
                <w:noProof/>
              </w:rPr>
            </w:pPr>
            <w:r>
              <w:rPr>
                <w:noProof/>
              </w:rPr>
              <w:t>20.7%</w:t>
            </w:r>
          </w:p>
        </w:tc>
        <w:tc>
          <w:tcPr>
            <w:tcW w:w="1621" w:type="dxa"/>
            <w:shd w:val="clear" w:color="auto" w:fill="auto"/>
          </w:tcPr>
          <w:p>
            <w:pPr>
              <w:jc w:val="right"/>
              <w:rPr>
                <w:noProof/>
              </w:rPr>
            </w:pPr>
            <w:r>
              <w:rPr>
                <w:noProof/>
              </w:rPr>
              <w:t>10.2%</w:t>
            </w:r>
          </w:p>
        </w:tc>
      </w:tr>
      <w:tr>
        <w:tc>
          <w:tcPr>
            <w:tcW w:w="1050" w:type="dxa"/>
            <w:shd w:val="clear" w:color="auto" w:fill="auto"/>
          </w:tcPr>
          <w:p>
            <w:pPr>
              <w:jc w:val="center"/>
              <w:rPr>
                <w:b/>
                <w:noProof/>
              </w:rPr>
            </w:pPr>
            <w:r>
              <w:rPr>
                <w:b/>
                <w:noProof/>
              </w:rPr>
              <w:t>4</w:t>
            </w:r>
          </w:p>
        </w:tc>
        <w:tc>
          <w:tcPr>
            <w:tcW w:w="1976" w:type="dxa"/>
            <w:shd w:val="clear" w:color="auto" w:fill="auto"/>
          </w:tcPr>
          <w:p>
            <w:pPr>
              <w:rPr>
                <w:noProof/>
              </w:rPr>
            </w:pPr>
            <w:r>
              <w:rPr>
                <w:noProof/>
              </w:rPr>
              <w:t>Bulgaria</w:t>
            </w:r>
          </w:p>
        </w:tc>
        <w:tc>
          <w:tcPr>
            <w:tcW w:w="1111" w:type="dxa"/>
            <w:shd w:val="clear" w:color="auto" w:fill="auto"/>
          </w:tcPr>
          <w:p>
            <w:pPr>
              <w:jc w:val="center"/>
              <w:rPr>
                <w:noProof/>
              </w:rPr>
            </w:pPr>
            <w:r>
              <w:rPr>
                <w:noProof/>
              </w:rPr>
              <w:t>a)</w:t>
            </w:r>
          </w:p>
        </w:tc>
        <w:tc>
          <w:tcPr>
            <w:tcW w:w="1896" w:type="dxa"/>
            <w:shd w:val="clear" w:color="auto" w:fill="auto"/>
          </w:tcPr>
          <w:p>
            <w:pPr>
              <w:jc w:val="right"/>
              <w:rPr>
                <w:noProof/>
              </w:rPr>
            </w:pPr>
            <w:r>
              <w:rPr>
                <w:noProof/>
              </w:rPr>
              <w:t>73.39</w:t>
            </w:r>
          </w:p>
        </w:tc>
        <w:tc>
          <w:tcPr>
            <w:tcW w:w="1526" w:type="dxa"/>
            <w:shd w:val="clear" w:color="auto" w:fill="auto"/>
          </w:tcPr>
          <w:p>
            <w:pPr>
              <w:jc w:val="right"/>
              <w:rPr>
                <w:noProof/>
              </w:rPr>
            </w:pPr>
            <w:r>
              <w:rPr>
                <w:noProof/>
              </w:rPr>
              <w:t>2.6%</w:t>
            </w:r>
          </w:p>
        </w:tc>
        <w:tc>
          <w:tcPr>
            <w:tcW w:w="1621" w:type="dxa"/>
            <w:shd w:val="clear" w:color="auto" w:fill="auto"/>
          </w:tcPr>
          <w:p>
            <w:pPr>
              <w:jc w:val="right"/>
              <w:rPr>
                <w:noProof/>
              </w:rPr>
            </w:pPr>
            <w:r>
              <w:rPr>
                <w:noProof/>
              </w:rPr>
              <w:t>1.3%</w:t>
            </w:r>
          </w:p>
        </w:tc>
      </w:tr>
      <w:tr>
        <w:tc>
          <w:tcPr>
            <w:tcW w:w="1050" w:type="dxa"/>
            <w:shd w:val="clear" w:color="auto" w:fill="auto"/>
          </w:tcPr>
          <w:p>
            <w:pPr>
              <w:jc w:val="center"/>
              <w:rPr>
                <w:b/>
                <w:noProof/>
              </w:rPr>
            </w:pPr>
            <w:r>
              <w:rPr>
                <w:b/>
                <w:noProof/>
              </w:rPr>
              <w:t>5</w:t>
            </w:r>
          </w:p>
        </w:tc>
        <w:tc>
          <w:tcPr>
            <w:tcW w:w="1976" w:type="dxa"/>
            <w:shd w:val="clear" w:color="auto" w:fill="auto"/>
          </w:tcPr>
          <w:p>
            <w:pPr>
              <w:rPr>
                <w:noProof/>
              </w:rPr>
            </w:pPr>
            <w:r>
              <w:rPr>
                <w:noProof/>
              </w:rPr>
              <w:t>Croatia</w:t>
            </w:r>
          </w:p>
        </w:tc>
        <w:tc>
          <w:tcPr>
            <w:tcW w:w="1111" w:type="dxa"/>
            <w:shd w:val="clear" w:color="auto" w:fill="auto"/>
          </w:tcPr>
          <w:p>
            <w:pPr>
              <w:jc w:val="center"/>
              <w:rPr>
                <w:noProof/>
              </w:rPr>
            </w:pPr>
            <w:r>
              <w:rPr>
                <w:noProof/>
              </w:rPr>
              <w:t>a)</w:t>
            </w:r>
          </w:p>
        </w:tc>
        <w:tc>
          <w:tcPr>
            <w:tcW w:w="1896" w:type="dxa"/>
            <w:shd w:val="clear" w:color="auto" w:fill="auto"/>
          </w:tcPr>
          <w:p>
            <w:pPr>
              <w:jc w:val="right"/>
              <w:rPr>
                <w:noProof/>
              </w:rPr>
            </w:pPr>
            <w:r>
              <w:rPr>
                <w:noProof/>
              </w:rPr>
              <w:t>38.01</w:t>
            </w:r>
          </w:p>
        </w:tc>
        <w:tc>
          <w:tcPr>
            <w:tcW w:w="1526" w:type="dxa"/>
            <w:shd w:val="clear" w:color="auto" w:fill="auto"/>
          </w:tcPr>
          <w:p>
            <w:pPr>
              <w:jc w:val="right"/>
              <w:rPr>
                <w:noProof/>
              </w:rPr>
            </w:pPr>
            <w:r>
              <w:rPr>
                <w:noProof/>
              </w:rPr>
              <w:t>1.3%</w:t>
            </w:r>
          </w:p>
        </w:tc>
        <w:tc>
          <w:tcPr>
            <w:tcW w:w="1621" w:type="dxa"/>
            <w:shd w:val="clear" w:color="auto" w:fill="auto"/>
          </w:tcPr>
          <w:p>
            <w:pPr>
              <w:jc w:val="right"/>
              <w:rPr>
                <w:noProof/>
              </w:rPr>
            </w:pPr>
            <w:r>
              <w:rPr>
                <w:noProof/>
              </w:rPr>
              <w:t>0.7%</w:t>
            </w:r>
          </w:p>
        </w:tc>
      </w:tr>
      <w:tr>
        <w:tc>
          <w:tcPr>
            <w:tcW w:w="1050" w:type="dxa"/>
            <w:shd w:val="clear" w:color="auto" w:fill="auto"/>
          </w:tcPr>
          <w:p>
            <w:pPr>
              <w:jc w:val="center"/>
              <w:rPr>
                <w:b/>
                <w:noProof/>
              </w:rPr>
            </w:pPr>
            <w:r>
              <w:rPr>
                <w:b/>
                <w:noProof/>
              </w:rPr>
              <w:t>6</w:t>
            </w:r>
          </w:p>
        </w:tc>
        <w:tc>
          <w:tcPr>
            <w:tcW w:w="1976" w:type="dxa"/>
            <w:shd w:val="clear" w:color="auto" w:fill="auto"/>
          </w:tcPr>
          <w:p>
            <w:pPr>
              <w:rPr>
                <w:noProof/>
              </w:rPr>
            </w:pPr>
            <w:r>
              <w:rPr>
                <w:noProof/>
              </w:rPr>
              <w:t>Latvia</w:t>
            </w:r>
          </w:p>
        </w:tc>
        <w:tc>
          <w:tcPr>
            <w:tcW w:w="1111" w:type="dxa"/>
            <w:shd w:val="clear" w:color="auto" w:fill="auto"/>
          </w:tcPr>
          <w:p>
            <w:pPr>
              <w:jc w:val="center"/>
              <w:rPr>
                <w:noProof/>
              </w:rPr>
            </w:pPr>
            <w:r>
              <w:rPr>
                <w:noProof/>
              </w:rPr>
              <w:t>a+b)</w:t>
            </w:r>
          </w:p>
        </w:tc>
        <w:tc>
          <w:tcPr>
            <w:tcW w:w="1896" w:type="dxa"/>
            <w:shd w:val="clear" w:color="auto" w:fill="auto"/>
          </w:tcPr>
          <w:p>
            <w:pPr>
              <w:jc w:val="right"/>
              <w:rPr>
                <w:noProof/>
              </w:rPr>
            </w:pPr>
            <w:r>
              <w:rPr>
                <w:noProof/>
              </w:rPr>
              <w:t>26.34</w:t>
            </w:r>
          </w:p>
        </w:tc>
        <w:tc>
          <w:tcPr>
            <w:tcW w:w="1526" w:type="dxa"/>
            <w:shd w:val="clear" w:color="auto" w:fill="auto"/>
          </w:tcPr>
          <w:p>
            <w:pPr>
              <w:jc w:val="right"/>
              <w:rPr>
                <w:noProof/>
              </w:rPr>
            </w:pPr>
            <w:r>
              <w:rPr>
                <w:noProof/>
              </w:rPr>
              <w:t>0.9%</w:t>
            </w:r>
          </w:p>
        </w:tc>
        <w:tc>
          <w:tcPr>
            <w:tcW w:w="1621" w:type="dxa"/>
            <w:shd w:val="clear" w:color="auto" w:fill="auto"/>
          </w:tcPr>
          <w:p>
            <w:pPr>
              <w:jc w:val="right"/>
              <w:rPr>
                <w:noProof/>
              </w:rPr>
            </w:pPr>
            <w:r>
              <w:rPr>
                <w:noProof/>
              </w:rPr>
              <w:t>0.5%</w:t>
            </w:r>
          </w:p>
        </w:tc>
      </w:tr>
      <w:tr>
        <w:tc>
          <w:tcPr>
            <w:tcW w:w="1050" w:type="dxa"/>
            <w:shd w:val="clear" w:color="auto" w:fill="auto"/>
          </w:tcPr>
          <w:p>
            <w:pPr>
              <w:jc w:val="center"/>
              <w:rPr>
                <w:b/>
                <w:noProof/>
              </w:rPr>
            </w:pPr>
            <w:r>
              <w:rPr>
                <w:b/>
                <w:noProof/>
              </w:rPr>
              <w:t>7</w:t>
            </w:r>
          </w:p>
        </w:tc>
        <w:tc>
          <w:tcPr>
            <w:tcW w:w="1976" w:type="dxa"/>
            <w:shd w:val="clear" w:color="auto" w:fill="auto"/>
          </w:tcPr>
          <w:p>
            <w:pPr>
              <w:rPr>
                <w:noProof/>
              </w:rPr>
            </w:pPr>
            <w:r>
              <w:rPr>
                <w:noProof/>
              </w:rPr>
              <w:t>Czech Republic</w:t>
            </w:r>
          </w:p>
        </w:tc>
        <w:tc>
          <w:tcPr>
            <w:tcW w:w="1111" w:type="dxa"/>
            <w:shd w:val="clear" w:color="auto" w:fill="auto"/>
          </w:tcPr>
          <w:p>
            <w:pPr>
              <w:jc w:val="center"/>
              <w:rPr>
                <w:noProof/>
              </w:rPr>
            </w:pPr>
            <w:r>
              <w:rPr>
                <w:noProof/>
              </w:rPr>
              <w:t>a)</w:t>
            </w:r>
          </w:p>
        </w:tc>
        <w:tc>
          <w:tcPr>
            <w:tcW w:w="1896" w:type="dxa"/>
            <w:shd w:val="clear" w:color="auto" w:fill="auto"/>
          </w:tcPr>
          <w:p>
            <w:pPr>
              <w:jc w:val="right"/>
              <w:rPr>
                <w:noProof/>
              </w:rPr>
            </w:pPr>
            <w:r>
              <w:rPr>
                <w:noProof/>
              </w:rPr>
              <w:t>25.93</w:t>
            </w:r>
          </w:p>
        </w:tc>
        <w:tc>
          <w:tcPr>
            <w:tcW w:w="1526" w:type="dxa"/>
            <w:shd w:val="clear" w:color="auto" w:fill="auto"/>
          </w:tcPr>
          <w:p>
            <w:pPr>
              <w:jc w:val="right"/>
              <w:rPr>
                <w:noProof/>
              </w:rPr>
            </w:pPr>
            <w:r>
              <w:rPr>
                <w:noProof/>
              </w:rPr>
              <w:t>0.9%</w:t>
            </w:r>
          </w:p>
        </w:tc>
        <w:tc>
          <w:tcPr>
            <w:tcW w:w="1621" w:type="dxa"/>
            <w:shd w:val="clear" w:color="auto" w:fill="auto"/>
          </w:tcPr>
          <w:p>
            <w:pPr>
              <w:jc w:val="right"/>
              <w:rPr>
                <w:noProof/>
              </w:rPr>
            </w:pPr>
            <w:r>
              <w:rPr>
                <w:noProof/>
              </w:rPr>
              <w:t>0.4%</w:t>
            </w:r>
          </w:p>
        </w:tc>
      </w:tr>
      <w:tr>
        <w:tc>
          <w:tcPr>
            <w:tcW w:w="1050" w:type="dxa"/>
            <w:shd w:val="clear" w:color="auto" w:fill="auto"/>
          </w:tcPr>
          <w:p>
            <w:pPr>
              <w:jc w:val="center"/>
              <w:rPr>
                <w:b/>
                <w:noProof/>
              </w:rPr>
            </w:pPr>
            <w:r>
              <w:rPr>
                <w:b/>
                <w:noProof/>
              </w:rPr>
              <w:t>8</w:t>
            </w:r>
          </w:p>
        </w:tc>
        <w:tc>
          <w:tcPr>
            <w:tcW w:w="1976" w:type="dxa"/>
            <w:shd w:val="clear" w:color="auto" w:fill="auto"/>
          </w:tcPr>
          <w:p>
            <w:pPr>
              <w:rPr>
                <w:noProof/>
              </w:rPr>
            </w:pPr>
            <w:r>
              <w:rPr>
                <w:noProof/>
              </w:rPr>
              <w:t>Poland</w:t>
            </w:r>
          </w:p>
        </w:tc>
        <w:tc>
          <w:tcPr>
            <w:tcW w:w="1111" w:type="dxa"/>
            <w:shd w:val="clear" w:color="auto" w:fill="auto"/>
          </w:tcPr>
          <w:p>
            <w:pPr>
              <w:jc w:val="center"/>
              <w:rPr>
                <w:noProof/>
              </w:rPr>
            </w:pPr>
            <w:r>
              <w:rPr>
                <w:noProof/>
              </w:rPr>
              <w:t>a)</w:t>
            </w:r>
          </w:p>
        </w:tc>
        <w:tc>
          <w:tcPr>
            <w:tcW w:w="1896" w:type="dxa"/>
            <w:shd w:val="clear" w:color="auto" w:fill="auto"/>
          </w:tcPr>
          <w:p>
            <w:pPr>
              <w:jc w:val="right"/>
              <w:rPr>
                <w:noProof/>
              </w:rPr>
            </w:pPr>
            <w:r>
              <w:rPr>
                <w:noProof/>
              </w:rPr>
              <w:t>21.53</w:t>
            </w:r>
          </w:p>
        </w:tc>
        <w:tc>
          <w:tcPr>
            <w:tcW w:w="1526" w:type="dxa"/>
            <w:shd w:val="clear" w:color="auto" w:fill="auto"/>
          </w:tcPr>
          <w:p>
            <w:pPr>
              <w:jc w:val="right"/>
              <w:rPr>
                <w:noProof/>
              </w:rPr>
            </w:pPr>
            <w:r>
              <w:rPr>
                <w:noProof/>
              </w:rPr>
              <w:t>0.8%</w:t>
            </w:r>
          </w:p>
        </w:tc>
        <w:tc>
          <w:tcPr>
            <w:tcW w:w="1621" w:type="dxa"/>
            <w:shd w:val="clear" w:color="auto" w:fill="auto"/>
          </w:tcPr>
          <w:p>
            <w:pPr>
              <w:jc w:val="right"/>
              <w:rPr>
                <w:noProof/>
              </w:rPr>
            </w:pPr>
            <w:r>
              <w:rPr>
                <w:noProof/>
              </w:rPr>
              <w:t>0.4%</w:t>
            </w:r>
          </w:p>
        </w:tc>
      </w:tr>
      <w:tr>
        <w:tc>
          <w:tcPr>
            <w:tcW w:w="1050" w:type="dxa"/>
            <w:shd w:val="clear" w:color="auto" w:fill="auto"/>
          </w:tcPr>
          <w:p>
            <w:pPr>
              <w:jc w:val="center"/>
              <w:rPr>
                <w:b/>
                <w:noProof/>
              </w:rPr>
            </w:pPr>
            <w:r>
              <w:rPr>
                <w:b/>
                <w:noProof/>
              </w:rPr>
              <w:t>9</w:t>
            </w:r>
          </w:p>
        </w:tc>
        <w:tc>
          <w:tcPr>
            <w:tcW w:w="1976" w:type="dxa"/>
            <w:shd w:val="clear" w:color="auto" w:fill="auto"/>
          </w:tcPr>
          <w:p>
            <w:pPr>
              <w:rPr>
                <w:noProof/>
              </w:rPr>
            </w:pPr>
            <w:r>
              <w:rPr>
                <w:noProof/>
              </w:rPr>
              <w:t>Slovak Republic</w:t>
            </w:r>
          </w:p>
        </w:tc>
        <w:tc>
          <w:tcPr>
            <w:tcW w:w="1111" w:type="dxa"/>
            <w:shd w:val="clear" w:color="auto" w:fill="auto"/>
          </w:tcPr>
          <w:p>
            <w:pPr>
              <w:jc w:val="center"/>
              <w:rPr>
                <w:noProof/>
              </w:rPr>
            </w:pPr>
            <w:r>
              <w:rPr>
                <w:noProof/>
              </w:rPr>
              <w:t>a)</w:t>
            </w:r>
          </w:p>
        </w:tc>
        <w:tc>
          <w:tcPr>
            <w:tcW w:w="1896" w:type="dxa"/>
            <w:shd w:val="clear" w:color="auto" w:fill="auto"/>
          </w:tcPr>
          <w:p>
            <w:pPr>
              <w:jc w:val="right"/>
              <w:rPr>
                <w:noProof/>
              </w:rPr>
            </w:pPr>
            <w:r>
              <w:rPr>
                <w:noProof/>
              </w:rPr>
              <w:t>14.24</w:t>
            </w:r>
          </w:p>
        </w:tc>
        <w:tc>
          <w:tcPr>
            <w:tcW w:w="1526" w:type="dxa"/>
            <w:shd w:val="clear" w:color="auto" w:fill="auto"/>
          </w:tcPr>
          <w:p>
            <w:pPr>
              <w:jc w:val="right"/>
              <w:rPr>
                <w:noProof/>
              </w:rPr>
            </w:pPr>
            <w:r>
              <w:rPr>
                <w:noProof/>
              </w:rPr>
              <w:t>0.5%</w:t>
            </w:r>
          </w:p>
        </w:tc>
        <w:tc>
          <w:tcPr>
            <w:tcW w:w="1621" w:type="dxa"/>
            <w:shd w:val="clear" w:color="auto" w:fill="auto"/>
          </w:tcPr>
          <w:p>
            <w:pPr>
              <w:jc w:val="right"/>
              <w:rPr>
                <w:noProof/>
              </w:rPr>
            </w:pPr>
            <w:r>
              <w:rPr>
                <w:noProof/>
              </w:rPr>
              <w:t>0.2%</w:t>
            </w:r>
          </w:p>
        </w:tc>
      </w:tr>
      <w:tr>
        <w:tc>
          <w:tcPr>
            <w:tcW w:w="1050" w:type="dxa"/>
            <w:shd w:val="clear" w:color="auto" w:fill="auto"/>
          </w:tcPr>
          <w:p>
            <w:pPr>
              <w:jc w:val="center"/>
              <w:rPr>
                <w:b/>
                <w:noProof/>
              </w:rPr>
            </w:pPr>
            <w:r>
              <w:rPr>
                <w:b/>
                <w:noProof/>
              </w:rPr>
              <w:t>10</w:t>
            </w:r>
          </w:p>
        </w:tc>
        <w:tc>
          <w:tcPr>
            <w:tcW w:w="1976" w:type="dxa"/>
            <w:shd w:val="clear" w:color="auto" w:fill="auto"/>
          </w:tcPr>
          <w:p>
            <w:pPr>
              <w:rPr>
                <w:noProof/>
              </w:rPr>
            </w:pPr>
            <w:r>
              <w:rPr>
                <w:noProof/>
              </w:rPr>
              <w:t>Lithuania</w:t>
            </w:r>
          </w:p>
        </w:tc>
        <w:tc>
          <w:tcPr>
            <w:tcW w:w="1111" w:type="dxa"/>
            <w:shd w:val="clear" w:color="auto" w:fill="auto"/>
          </w:tcPr>
          <w:p>
            <w:pPr>
              <w:jc w:val="center"/>
              <w:rPr>
                <w:noProof/>
              </w:rPr>
            </w:pPr>
            <w:r>
              <w:rPr>
                <w:noProof/>
              </w:rPr>
              <w:t>a)</w:t>
            </w:r>
          </w:p>
        </w:tc>
        <w:tc>
          <w:tcPr>
            <w:tcW w:w="1896" w:type="dxa"/>
            <w:shd w:val="clear" w:color="auto" w:fill="auto"/>
          </w:tcPr>
          <w:p>
            <w:pPr>
              <w:jc w:val="right"/>
              <w:rPr>
                <w:noProof/>
              </w:rPr>
            </w:pPr>
            <w:r>
              <w:rPr>
                <w:noProof/>
              </w:rPr>
              <w:t>4.42</w:t>
            </w:r>
          </w:p>
        </w:tc>
        <w:tc>
          <w:tcPr>
            <w:tcW w:w="1526" w:type="dxa"/>
            <w:shd w:val="clear" w:color="auto" w:fill="auto"/>
          </w:tcPr>
          <w:p>
            <w:pPr>
              <w:jc w:val="right"/>
              <w:rPr>
                <w:noProof/>
              </w:rPr>
            </w:pPr>
            <w:r>
              <w:rPr>
                <w:noProof/>
              </w:rPr>
              <w:t>0.2%</w:t>
            </w:r>
          </w:p>
        </w:tc>
        <w:tc>
          <w:tcPr>
            <w:tcW w:w="1621" w:type="dxa"/>
            <w:shd w:val="clear" w:color="auto" w:fill="auto"/>
          </w:tcPr>
          <w:p>
            <w:pPr>
              <w:jc w:val="right"/>
              <w:rPr>
                <w:noProof/>
              </w:rPr>
            </w:pPr>
            <w:r>
              <w:rPr>
                <w:noProof/>
              </w:rPr>
              <w:t>0.1%</w:t>
            </w:r>
          </w:p>
        </w:tc>
      </w:tr>
      <w:tr>
        <w:tc>
          <w:tcPr>
            <w:tcW w:w="1050" w:type="dxa"/>
            <w:shd w:val="clear" w:color="auto" w:fill="auto"/>
          </w:tcPr>
          <w:p>
            <w:pPr>
              <w:jc w:val="center"/>
              <w:rPr>
                <w:b/>
                <w:noProof/>
              </w:rPr>
            </w:pPr>
            <w:r>
              <w:rPr>
                <w:b/>
                <w:noProof/>
              </w:rPr>
              <w:t>11</w:t>
            </w:r>
          </w:p>
        </w:tc>
        <w:tc>
          <w:tcPr>
            <w:tcW w:w="1976" w:type="dxa"/>
            <w:shd w:val="clear" w:color="auto" w:fill="auto"/>
          </w:tcPr>
          <w:p>
            <w:pPr>
              <w:rPr>
                <w:noProof/>
              </w:rPr>
            </w:pPr>
            <w:r>
              <w:rPr>
                <w:noProof/>
              </w:rPr>
              <w:t>Hungary</w:t>
            </w:r>
          </w:p>
        </w:tc>
        <w:tc>
          <w:tcPr>
            <w:tcW w:w="1111" w:type="dxa"/>
            <w:shd w:val="clear" w:color="auto" w:fill="auto"/>
          </w:tcPr>
          <w:p>
            <w:pPr>
              <w:jc w:val="center"/>
              <w:rPr>
                <w:noProof/>
              </w:rPr>
            </w:pPr>
            <w:r>
              <w:rPr>
                <w:noProof/>
              </w:rPr>
              <w:t>a)</w:t>
            </w:r>
          </w:p>
        </w:tc>
        <w:tc>
          <w:tcPr>
            <w:tcW w:w="1896" w:type="dxa"/>
            <w:shd w:val="clear" w:color="auto" w:fill="auto"/>
          </w:tcPr>
          <w:p>
            <w:pPr>
              <w:jc w:val="right"/>
              <w:rPr>
                <w:noProof/>
              </w:rPr>
            </w:pPr>
            <w:r>
              <w:rPr>
                <w:noProof/>
              </w:rPr>
              <w:t>2.12</w:t>
            </w:r>
          </w:p>
        </w:tc>
        <w:tc>
          <w:tcPr>
            <w:tcW w:w="1526" w:type="dxa"/>
            <w:shd w:val="clear" w:color="auto" w:fill="auto"/>
          </w:tcPr>
          <w:p>
            <w:pPr>
              <w:jc w:val="right"/>
              <w:rPr>
                <w:noProof/>
              </w:rPr>
            </w:pPr>
            <w:r>
              <w:rPr>
                <w:noProof/>
              </w:rPr>
              <w:t>0.1%</w:t>
            </w:r>
          </w:p>
        </w:tc>
        <w:tc>
          <w:tcPr>
            <w:tcW w:w="1621" w:type="dxa"/>
            <w:shd w:val="clear" w:color="auto" w:fill="auto"/>
          </w:tcPr>
          <w:p>
            <w:pPr>
              <w:jc w:val="right"/>
              <w:rPr>
                <w:noProof/>
              </w:rPr>
            </w:pPr>
            <w:r>
              <w:rPr>
                <w:noProof/>
              </w:rPr>
              <w:t>0.04%</w:t>
            </w:r>
          </w:p>
        </w:tc>
      </w:tr>
      <w:tr>
        <w:tc>
          <w:tcPr>
            <w:tcW w:w="1050" w:type="dxa"/>
            <w:shd w:val="clear" w:color="auto" w:fill="auto"/>
          </w:tcPr>
          <w:p>
            <w:pPr>
              <w:rPr>
                <w:b/>
                <w:noProof/>
              </w:rPr>
            </w:pPr>
            <w:r>
              <w:rPr>
                <w:b/>
                <w:noProof/>
              </w:rPr>
              <w:t>Total</w:t>
            </w:r>
          </w:p>
        </w:tc>
        <w:tc>
          <w:tcPr>
            <w:tcW w:w="1976" w:type="dxa"/>
            <w:shd w:val="clear" w:color="auto" w:fill="auto"/>
          </w:tcPr>
          <w:p>
            <w:pPr>
              <w:rPr>
                <w:noProof/>
              </w:rPr>
            </w:pPr>
          </w:p>
        </w:tc>
        <w:tc>
          <w:tcPr>
            <w:tcW w:w="1111" w:type="dxa"/>
            <w:shd w:val="clear" w:color="auto" w:fill="auto"/>
          </w:tcPr>
          <w:p>
            <w:pPr>
              <w:jc w:val="right"/>
              <w:rPr>
                <w:noProof/>
              </w:rPr>
            </w:pPr>
          </w:p>
        </w:tc>
        <w:tc>
          <w:tcPr>
            <w:tcW w:w="1896" w:type="dxa"/>
            <w:shd w:val="clear" w:color="auto" w:fill="auto"/>
          </w:tcPr>
          <w:p>
            <w:pPr>
              <w:jc w:val="right"/>
              <w:rPr>
                <w:noProof/>
              </w:rPr>
            </w:pPr>
            <w:r>
              <w:rPr>
                <w:noProof/>
              </w:rPr>
              <w:t>2 858.20</w:t>
            </w:r>
          </w:p>
        </w:tc>
        <w:tc>
          <w:tcPr>
            <w:tcW w:w="1526" w:type="dxa"/>
            <w:shd w:val="clear" w:color="auto" w:fill="auto"/>
          </w:tcPr>
          <w:p>
            <w:pPr>
              <w:jc w:val="right"/>
              <w:rPr>
                <w:noProof/>
              </w:rPr>
            </w:pPr>
            <w:r>
              <w:rPr>
                <w:noProof/>
              </w:rPr>
              <w:t>100%</w:t>
            </w:r>
          </w:p>
        </w:tc>
        <w:tc>
          <w:tcPr>
            <w:tcW w:w="1621" w:type="dxa"/>
            <w:shd w:val="clear" w:color="auto" w:fill="auto"/>
          </w:tcPr>
          <w:p>
            <w:pPr>
              <w:jc w:val="right"/>
              <w:rPr>
                <w:noProof/>
              </w:rPr>
            </w:pPr>
            <w:r>
              <w:rPr>
                <w:noProof/>
              </w:rPr>
              <w:t>49.5%</w:t>
            </w:r>
          </w:p>
        </w:tc>
      </w:tr>
    </w:tbl>
    <w:p>
      <w:pPr>
        <w:pStyle w:val="ManualHeading3"/>
        <w:ind w:left="0" w:firstLine="0"/>
        <w:rPr>
          <w:noProof/>
        </w:rPr>
      </w:pPr>
      <w:bookmarkStart w:id="255" w:name="_Toc309831367"/>
      <w:bookmarkStart w:id="256" w:name="_Toc329261067"/>
      <w:bookmarkStart w:id="257" w:name="_Toc329855629"/>
      <w:bookmarkStart w:id="258" w:name="_Toc330551234"/>
      <w:bookmarkStart w:id="259" w:name="_Toc342470161"/>
      <w:bookmarkStart w:id="260" w:name="_Toc345073707"/>
      <w:bookmarkStart w:id="261" w:name="_Toc365986224"/>
      <w:bookmarkStart w:id="262" w:name="_Toc367869477"/>
      <w:bookmarkStart w:id="263" w:name="_Toc367870004"/>
      <w:bookmarkStart w:id="264" w:name="_Toc388973022"/>
      <w:bookmarkStart w:id="265" w:name="_Toc389474755"/>
      <w:bookmarkStart w:id="266" w:name="_Toc390944399"/>
      <w:bookmarkStart w:id="267" w:name="_Toc393969970"/>
      <w:bookmarkStart w:id="268" w:name="_Toc417461976"/>
      <w:bookmarkStart w:id="269" w:name="_Toc417998610"/>
      <w:bookmarkStart w:id="270" w:name="_Toc418157637"/>
      <w:bookmarkStart w:id="271" w:name="_Toc418160318"/>
      <w:bookmarkStart w:id="272" w:name="_Toc446577185"/>
      <w:bookmarkStart w:id="273" w:name="_Toc452646731"/>
      <w:bookmarkStart w:id="274" w:name="_Toc453161370"/>
      <w:bookmarkStart w:id="275" w:name="_Toc486601273"/>
    </w:p>
    <w:p>
      <w:pPr>
        <w:pStyle w:val="ManualHeading3"/>
        <w:ind w:left="0" w:firstLine="0"/>
        <w:rPr>
          <w:noProof/>
        </w:rPr>
      </w:pPr>
      <w:bookmarkStart w:id="276" w:name="_Toc495658620"/>
      <w:r>
        <w:rPr>
          <w:noProof/>
        </w:rPr>
        <w:t>4.3.2.</w:t>
      </w:r>
      <w:r>
        <w:rPr>
          <w:noProof/>
        </w:rPr>
        <w:tab/>
        <w:t>Third country</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Pr>
          <w:noProof/>
        </w:rPr>
        <w:t xml:space="preserve"> exposure</w:t>
      </w:r>
      <w:bookmarkEnd w:id="273"/>
      <w:bookmarkEnd w:id="274"/>
      <w:bookmarkEnd w:id="275"/>
      <w:bookmarkEnd w:id="276"/>
    </w:p>
    <w:p>
      <w:pPr>
        <w:rPr>
          <w:noProof/>
        </w:rPr>
      </w:pPr>
      <w:r>
        <w:rPr>
          <w:noProof/>
        </w:rPr>
        <w:t>In 2017, the Fund will bear a maximum annual risk related to the exposure to third countries of EUR 2 918.8 million (50.5% of the total annual risk). The risk linked to third countries concerns EIB lending, MFA and Euratom loans (details are included in Table A2b of the SWD). The Fund covers guaranteed loans to third countries with maturities extending up to 2042.</w:t>
      </w:r>
    </w:p>
    <w:p>
      <w:pPr>
        <w:rPr>
          <w:noProof/>
        </w:rPr>
      </w:pPr>
      <w:r>
        <w:rPr>
          <w:noProof/>
        </w:rPr>
        <w:t xml:space="preserve">The top ten countries (out of forty-eight) are ranked below according to the repayments due in 2017. They account for EUR 2 415 million or 83% of the annual risk related to third countries borne by the Fund. The economic situation of those countries is analysed and commented in point 3 of the SWD. Creditworthiness, as assessed by the rating agencies, is also indicated in each country table. </w:t>
      </w:r>
    </w:p>
    <w:p>
      <w:pPr>
        <w:spacing w:after="0"/>
        <w:rPr>
          <w:noProof/>
          <w:sz w:val="18"/>
        </w:rPr>
      </w:pPr>
      <w:r>
        <w:rPr>
          <w:noProof/>
        </w:rPr>
        <w:br w:type="page"/>
      </w:r>
      <w:r>
        <w:rPr>
          <w:noProof/>
          <w:sz w:val="18"/>
        </w:rPr>
        <w:t xml:space="preserve">Table 3: Ranking of the </w:t>
      </w:r>
      <w:r>
        <w:rPr>
          <w:b/>
          <w:noProof/>
          <w:sz w:val="18"/>
        </w:rPr>
        <w:t>10 third countries</w:t>
      </w:r>
      <w:r>
        <w:rPr>
          <w:noProof/>
        </w:rPr>
        <w:t xml:space="preserve"> </w:t>
      </w:r>
      <w:r>
        <w:rPr>
          <w:noProof/>
          <w:sz w:val="18"/>
        </w:rPr>
        <w:t xml:space="preserve">with the highest exposure according to the annual risk borne by the EU budget in 2017 (EUR million) </w:t>
      </w:r>
    </w:p>
    <w:tbl>
      <w:tblPr>
        <w:tblW w:w="8760" w:type="dxa"/>
        <w:tblInd w:w="-5" w:type="dxa"/>
        <w:tblLayout w:type="fixed"/>
        <w:tblLook w:val="0000" w:firstRow="0" w:lastRow="0" w:firstColumn="0" w:lastColumn="0" w:noHBand="0" w:noVBand="0"/>
      </w:tblPr>
      <w:tblGrid>
        <w:gridCol w:w="1814"/>
        <w:gridCol w:w="1701"/>
        <w:gridCol w:w="1560"/>
        <w:gridCol w:w="1842"/>
        <w:gridCol w:w="1843"/>
      </w:tblGrid>
      <w:tr>
        <w:trPr>
          <w:trHeight w:val="405"/>
        </w:trPr>
        <w:tc>
          <w:tcPr>
            <w:tcW w:w="1814" w:type="dxa"/>
            <w:tcBorders>
              <w:top w:val="single" w:sz="4" w:space="0" w:color="000000"/>
              <w:left w:val="single" w:sz="4" w:space="0" w:color="000000"/>
            </w:tcBorders>
          </w:tcPr>
          <w:p>
            <w:pPr>
              <w:jc w:val="center"/>
              <w:rPr>
                <w:b/>
                <w:noProof/>
              </w:rPr>
            </w:pPr>
            <w:r>
              <w:rPr>
                <w:b/>
                <w:noProof/>
              </w:rPr>
              <w:t>Ranking</w:t>
            </w:r>
          </w:p>
        </w:tc>
        <w:tc>
          <w:tcPr>
            <w:tcW w:w="1701" w:type="dxa"/>
            <w:tcBorders>
              <w:top w:val="single" w:sz="4" w:space="0" w:color="000000"/>
              <w:left w:val="single" w:sz="4" w:space="0" w:color="000000"/>
            </w:tcBorders>
          </w:tcPr>
          <w:p>
            <w:pPr>
              <w:jc w:val="center"/>
              <w:rPr>
                <w:b/>
                <w:noProof/>
              </w:rPr>
            </w:pPr>
            <w:r>
              <w:rPr>
                <w:b/>
                <w:noProof/>
              </w:rPr>
              <w:t>Country</w:t>
            </w:r>
          </w:p>
        </w:tc>
        <w:tc>
          <w:tcPr>
            <w:tcW w:w="1560" w:type="dxa"/>
            <w:tcBorders>
              <w:top w:val="single" w:sz="4" w:space="0" w:color="000000"/>
              <w:left w:val="single" w:sz="4" w:space="0" w:color="000000"/>
            </w:tcBorders>
          </w:tcPr>
          <w:p>
            <w:pPr>
              <w:jc w:val="center"/>
              <w:rPr>
                <w:b/>
                <w:noProof/>
              </w:rPr>
            </w:pPr>
            <w:r>
              <w:rPr>
                <w:b/>
                <w:noProof/>
              </w:rPr>
              <w:t>Max annual risk</w:t>
            </w:r>
          </w:p>
        </w:tc>
        <w:tc>
          <w:tcPr>
            <w:tcW w:w="1842" w:type="dxa"/>
            <w:tcBorders>
              <w:top w:val="single" w:sz="4" w:space="0" w:color="000000"/>
              <w:left w:val="single" w:sz="4" w:space="0" w:color="000000"/>
            </w:tcBorders>
          </w:tcPr>
          <w:p>
            <w:pPr>
              <w:jc w:val="center"/>
              <w:rPr>
                <w:b/>
                <w:noProof/>
              </w:rPr>
            </w:pPr>
            <w:r>
              <w:rPr>
                <w:b/>
                <w:noProof/>
              </w:rPr>
              <w:t>Weight of the country vis-à-vis annual risk of third countries</w:t>
            </w:r>
          </w:p>
        </w:tc>
        <w:tc>
          <w:tcPr>
            <w:tcW w:w="1843" w:type="dxa"/>
            <w:tcBorders>
              <w:top w:val="single" w:sz="4" w:space="0" w:color="000000"/>
              <w:left w:val="single" w:sz="4" w:space="0" w:color="000000"/>
              <w:right w:val="single" w:sz="4" w:space="0" w:color="000000"/>
            </w:tcBorders>
          </w:tcPr>
          <w:p>
            <w:pPr>
              <w:jc w:val="center"/>
              <w:rPr>
                <w:b/>
                <w:noProof/>
              </w:rPr>
            </w:pPr>
            <w:r>
              <w:rPr>
                <w:b/>
                <w:noProof/>
              </w:rPr>
              <w:t>Weight of the country vis-à-vis total annual risk (MS and non-MS)</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1</w:t>
            </w:r>
          </w:p>
        </w:tc>
        <w:tc>
          <w:tcPr>
            <w:tcW w:w="1701" w:type="dxa"/>
            <w:tcBorders>
              <w:top w:val="single" w:sz="4" w:space="0" w:color="000000"/>
              <w:left w:val="single" w:sz="4" w:space="0" w:color="000000"/>
              <w:bottom w:val="single" w:sz="4" w:space="0" w:color="000000"/>
            </w:tcBorders>
          </w:tcPr>
          <w:p>
            <w:pPr>
              <w:snapToGrid w:val="0"/>
              <w:rPr>
                <w:noProof/>
              </w:rPr>
            </w:pPr>
            <w:r>
              <w:rPr>
                <w:noProof/>
              </w:rPr>
              <w:t>Turkey</w:t>
            </w:r>
          </w:p>
        </w:tc>
        <w:tc>
          <w:tcPr>
            <w:tcW w:w="1560" w:type="dxa"/>
            <w:tcBorders>
              <w:top w:val="single" w:sz="4" w:space="0" w:color="000000"/>
              <w:left w:val="single" w:sz="4" w:space="0" w:color="000000"/>
              <w:bottom w:val="single" w:sz="4" w:space="0" w:color="000000"/>
            </w:tcBorders>
          </w:tcPr>
          <w:p>
            <w:pPr>
              <w:snapToGrid w:val="0"/>
              <w:jc w:val="right"/>
              <w:rPr>
                <w:noProof/>
              </w:rPr>
            </w:pPr>
            <w:r>
              <w:rPr>
                <w:noProof/>
              </w:rPr>
              <w:t>1 025.74</w:t>
            </w:r>
          </w:p>
        </w:tc>
        <w:tc>
          <w:tcPr>
            <w:tcW w:w="1842" w:type="dxa"/>
            <w:tcBorders>
              <w:top w:val="single" w:sz="4" w:space="0" w:color="000000"/>
              <w:left w:val="single" w:sz="4" w:space="0" w:color="000000"/>
              <w:bottom w:val="single" w:sz="4" w:space="0" w:color="000000"/>
            </w:tcBorders>
          </w:tcPr>
          <w:p>
            <w:pPr>
              <w:snapToGrid w:val="0"/>
              <w:jc w:val="right"/>
              <w:rPr>
                <w:noProof/>
              </w:rPr>
            </w:pPr>
            <w:r>
              <w:rPr>
                <w:noProof/>
              </w:rPr>
              <w:t>35.1%</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17.8%</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2</w:t>
            </w:r>
          </w:p>
        </w:tc>
        <w:tc>
          <w:tcPr>
            <w:tcW w:w="1701" w:type="dxa"/>
            <w:tcBorders>
              <w:top w:val="single" w:sz="4" w:space="0" w:color="000000"/>
              <w:left w:val="single" w:sz="4" w:space="0" w:color="000000"/>
              <w:bottom w:val="single" w:sz="4" w:space="0" w:color="000000"/>
            </w:tcBorders>
          </w:tcPr>
          <w:p>
            <w:pPr>
              <w:snapToGrid w:val="0"/>
              <w:rPr>
                <w:noProof/>
              </w:rPr>
            </w:pPr>
            <w:r>
              <w:rPr>
                <w:noProof/>
              </w:rPr>
              <w:t>Tunisia</w:t>
            </w:r>
          </w:p>
        </w:tc>
        <w:tc>
          <w:tcPr>
            <w:tcW w:w="1560" w:type="dxa"/>
            <w:tcBorders>
              <w:top w:val="single" w:sz="4" w:space="0" w:color="000000"/>
              <w:left w:val="single" w:sz="4" w:space="0" w:color="000000"/>
              <w:bottom w:val="single" w:sz="4" w:space="0" w:color="000000"/>
            </w:tcBorders>
          </w:tcPr>
          <w:p>
            <w:pPr>
              <w:snapToGrid w:val="0"/>
              <w:jc w:val="right"/>
              <w:rPr>
                <w:noProof/>
              </w:rPr>
            </w:pPr>
            <w:r>
              <w:rPr>
                <w:noProof/>
              </w:rPr>
              <w:t>283.98</w:t>
            </w:r>
          </w:p>
        </w:tc>
        <w:tc>
          <w:tcPr>
            <w:tcW w:w="1842" w:type="dxa"/>
            <w:tcBorders>
              <w:top w:val="single" w:sz="4" w:space="0" w:color="000000"/>
              <w:left w:val="single" w:sz="4" w:space="0" w:color="000000"/>
              <w:bottom w:val="single" w:sz="4" w:space="0" w:color="000000"/>
            </w:tcBorders>
          </w:tcPr>
          <w:p>
            <w:pPr>
              <w:jc w:val="right"/>
              <w:rPr>
                <w:noProof/>
              </w:rPr>
            </w:pPr>
            <w:r>
              <w:rPr>
                <w:noProof/>
              </w:rPr>
              <w:t>9.7%</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4.9%</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3</w:t>
            </w:r>
          </w:p>
        </w:tc>
        <w:tc>
          <w:tcPr>
            <w:tcW w:w="1701" w:type="dxa"/>
            <w:tcBorders>
              <w:top w:val="single" w:sz="4" w:space="0" w:color="000000"/>
              <w:left w:val="single" w:sz="4" w:space="0" w:color="000000"/>
              <w:bottom w:val="single" w:sz="4" w:space="0" w:color="000000"/>
            </w:tcBorders>
          </w:tcPr>
          <w:p>
            <w:pPr>
              <w:snapToGrid w:val="0"/>
              <w:rPr>
                <w:noProof/>
              </w:rPr>
            </w:pPr>
            <w:r>
              <w:rPr>
                <w:noProof/>
              </w:rPr>
              <w:t>Egypt</w:t>
            </w:r>
          </w:p>
        </w:tc>
        <w:tc>
          <w:tcPr>
            <w:tcW w:w="1560" w:type="dxa"/>
            <w:tcBorders>
              <w:top w:val="single" w:sz="4" w:space="0" w:color="000000"/>
              <w:left w:val="single" w:sz="4" w:space="0" w:color="000000"/>
              <w:bottom w:val="single" w:sz="4" w:space="0" w:color="000000"/>
            </w:tcBorders>
          </w:tcPr>
          <w:p>
            <w:pPr>
              <w:snapToGrid w:val="0"/>
              <w:jc w:val="right"/>
              <w:rPr>
                <w:noProof/>
              </w:rPr>
            </w:pPr>
            <w:r>
              <w:rPr>
                <w:noProof/>
              </w:rPr>
              <w:t>278.37</w:t>
            </w:r>
          </w:p>
        </w:tc>
        <w:tc>
          <w:tcPr>
            <w:tcW w:w="1842" w:type="dxa"/>
            <w:tcBorders>
              <w:top w:val="single" w:sz="4" w:space="0" w:color="000000"/>
              <w:left w:val="single" w:sz="4" w:space="0" w:color="000000"/>
              <w:bottom w:val="single" w:sz="4" w:space="0" w:color="000000"/>
            </w:tcBorders>
          </w:tcPr>
          <w:p>
            <w:pPr>
              <w:snapToGrid w:val="0"/>
              <w:jc w:val="right"/>
              <w:rPr>
                <w:noProof/>
              </w:rPr>
            </w:pPr>
            <w:r>
              <w:rPr>
                <w:noProof/>
              </w:rPr>
              <w:t>9.5%</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4.8%</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4</w:t>
            </w:r>
          </w:p>
        </w:tc>
        <w:tc>
          <w:tcPr>
            <w:tcW w:w="1701" w:type="dxa"/>
            <w:tcBorders>
              <w:top w:val="single" w:sz="4" w:space="0" w:color="000000"/>
              <w:left w:val="single" w:sz="4" w:space="0" w:color="000000"/>
              <w:bottom w:val="single" w:sz="4" w:space="0" w:color="000000"/>
            </w:tcBorders>
          </w:tcPr>
          <w:p>
            <w:pPr>
              <w:snapToGrid w:val="0"/>
              <w:rPr>
                <w:noProof/>
              </w:rPr>
            </w:pPr>
            <w:r>
              <w:rPr>
                <w:noProof/>
              </w:rPr>
              <w:t>Morocco</w:t>
            </w:r>
          </w:p>
        </w:tc>
        <w:tc>
          <w:tcPr>
            <w:tcW w:w="1560" w:type="dxa"/>
            <w:tcBorders>
              <w:top w:val="single" w:sz="4" w:space="0" w:color="000000"/>
              <w:left w:val="single" w:sz="4" w:space="0" w:color="000000"/>
              <w:bottom w:val="single" w:sz="4" w:space="0" w:color="000000"/>
            </w:tcBorders>
          </w:tcPr>
          <w:p>
            <w:pPr>
              <w:snapToGrid w:val="0"/>
              <w:jc w:val="right"/>
              <w:rPr>
                <w:noProof/>
              </w:rPr>
            </w:pPr>
            <w:r>
              <w:rPr>
                <w:noProof/>
              </w:rPr>
              <w:t>221.09</w:t>
            </w:r>
          </w:p>
        </w:tc>
        <w:tc>
          <w:tcPr>
            <w:tcW w:w="1842" w:type="dxa"/>
            <w:tcBorders>
              <w:top w:val="single" w:sz="4" w:space="0" w:color="000000"/>
              <w:left w:val="single" w:sz="4" w:space="0" w:color="000000"/>
              <w:bottom w:val="single" w:sz="4" w:space="0" w:color="000000"/>
            </w:tcBorders>
          </w:tcPr>
          <w:p>
            <w:pPr>
              <w:snapToGrid w:val="0"/>
              <w:jc w:val="right"/>
              <w:rPr>
                <w:noProof/>
              </w:rPr>
            </w:pPr>
            <w:r>
              <w:rPr>
                <w:noProof/>
              </w:rPr>
              <w:t>7.6%</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3.8%</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5</w:t>
            </w:r>
          </w:p>
        </w:tc>
        <w:tc>
          <w:tcPr>
            <w:tcW w:w="1701" w:type="dxa"/>
            <w:tcBorders>
              <w:top w:val="single" w:sz="4" w:space="0" w:color="000000"/>
              <w:left w:val="single" w:sz="4" w:space="0" w:color="000000"/>
              <w:bottom w:val="single" w:sz="4" w:space="0" w:color="000000"/>
            </w:tcBorders>
          </w:tcPr>
          <w:p>
            <w:pPr>
              <w:snapToGrid w:val="0"/>
              <w:rPr>
                <w:noProof/>
              </w:rPr>
            </w:pPr>
            <w:r>
              <w:rPr>
                <w:noProof/>
              </w:rPr>
              <w:t>Serbia</w:t>
            </w:r>
          </w:p>
        </w:tc>
        <w:tc>
          <w:tcPr>
            <w:tcW w:w="1560" w:type="dxa"/>
            <w:tcBorders>
              <w:top w:val="single" w:sz="4" w:space="0" w:color="000000"/>
              <w:left w:val="single" w:sz="4" w:space="0" w:color="000000"/>
              <w:bottom w:val="single" w:sz="4" w:space="0" w:color="000000"/>
            </w:tcBorders>
          </w:tcPr>
          <w:p>
            <w:pPr>
              <w:snapToGrid w:val="0"/>
              <w:jc w:val="right"/>
              <w:rPr>
                <w:noProof/>
              </w:rPr>
            </w:pPr>
            <w:r>
              <w:rPr>
                <w:noProof/>
              </w:rPr>
              <w:t>204.78</w:t>
            </w:r>
          </w:p>
        </w:tc>
        <w:tc>
          <w:tcPr>
            <w:tcW w:w="1842" w:type="dxa"/>
            <w:tcBorders>
              <w:top w:val="single" w:sz="4" w:space="0" w:color="000000"/>
              <w:left w:val="single" w:sz="4" w:space="0" w:color="000000"/>
              <w:bottom w:val="single" w:sz="4" w:space="0" w:color="000000"/>
            </w:tcBorders>
          </w:tcPr>
          <w:p>
            <w:pPr>
              <w:snapToGrid w:val="0"/>
              <w:jc w:val="right"/>
              <w:rPr>
                <w:noProof/>
              </w:rPr>
            </w:pPr>
            <w:r>
              <w:rPr>
                <w:noProof/>
              </w:rPr>
              <w:t>7.0%</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3.5%</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6</w:t>
            </w:r>
          </w:p>
        </w:tc>
        <w:tc>
          <w:tcPr>
            <w:tcW w:w="1701" w:type="dxa"/>
            <w:tcBorders>
              <w:top w:val="single" w:sz="4" w:space="0" w:color="000000"/>
              <w:left w:val="single" w:sz="4" w:space="0" w:color="000000"/>
              <w:bottom w:val="single" w:sz="4" w:space="0" w:color="000000"/>
            </w:tcBorders>
          </w:tcPr>
          <w:p>
            <w:pPr>
              <w:snapToGrid w:val="0"/>
              <w:rPr>
                <w:noProof/>
              </w:rPr>
            </w:pPr>
            <w:r>
              <w:rPr>
                <w:noProof/>
              </w:rPr>
              <w:t>South Africa</w:t>
            </w:r>
          </w:p>
        </w:tc>
        <w:tc>
          <w:tcPr>
            <w:tcW w:w="1560" w:type="dxa"/>
            <w:tcBorders>
              <w:top w:val="single" w:sz="4" w:space="0" w:color="000000"/>
              <w:left w:val="single" w:sz="4" w:space="0" w:color="000000"/>
              <w:bottom w:val="single" w:sz="4" w:space="0" w:color="000000"/>
            </w:tcBorders>
          </w:tcPr>
          <w:p>
            <w:pPr>
              <w:snapToGrid w:val="0"/>
              <w:jc w:val="right"/>
              <w:rPr>
                <w:noProof/>
              </w:rPr>
            </w:pPr>
            <w:r>
              <w:rPr>
                <w:noProof/>
              </w:rPr>
              <w:t>99.73</w:t>
            </w:r>
          </w:p>
        </w:tc>
        <w:tc>
          <w:tcPr>
            <w:tcW w:w="1842" w:type="dxa"/>
            <w:tcBorders>
              <w:top w:val="single" w:sz="4" w:space="0" w:color="000000"/>
              <w:left w:val="single" w:sz="4" w:space="0" w:color="000000"/>
              <w:bottom w:val="single" w:sz="4" w:space="0" w:color="000000"/>
            </w:tcBorders>
          </w:tcPr>
          <w:p>
            <w:pPr>
              <w:snapToGrid w:val="0"/>
              <w:jc w:val="right"/>
              <w:rPr>
                <w:noProof/>
              </w:rPr>
            </w:pPr>
            <w:r>
              <w:rPr>
                <w:noProof/>
              </w:rPr>
              <w:t>3.4%</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1.7%</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7</w:t>
            </w:r>
          </w:p>
        </w:tc>
        <w:tc>
          <w:tcPr>
            <w:tcW w:w="1701" w:type="dxa"/>
            <w:tcBorders>
              <w:top w:val="single" w:sz="4" w:space="0" w:color="000000"/>
              <w:left w:val="single" w:sz="4" w:space="0" w:color="000000"/>
              <w:bottom w:val="single" w:sz="4" w:space="0" w:color="000000"/>
            </w:tcBorders>
          </w:tcPr>
          <w:p>
            <w:pPr>
              <w:snapToGrid w:val="0"/>
              <w:rPr>
                <w:noProof/>
              </w:rPr>
            </w:pPr>
            <w:r>
              <w:rPr>
                <w:noProof/>
              </w:rPr>
              <w:t>Ukraine</w:t>
            </w:r>
          </w:p>
        </w:tc>
        <w:tc>
          <w:tcPr>
            <w:tcW w:w="1560" w:type="dxa"/>
            <w:tcBorders>
              <w:top w:val="single" w:sz="4" w:space="0" w:color="000000"/>
              <w:left w:val="single" w:sz="4" w:space="0" w:color="000000"/>
              <w:bottom w:val="single" w:sz="4" w:space="0" w:color="000000"/>
            </w:tcBorders>
          </w:tcPr>
          <w:p>
            <w:pPr>
              <w:snapToGrid w:val="0"/>
              <w:jc w:val="right"/>
              <w:rPr>
                <w:noProof/>
              </w:rPr>
            </w:pPr>
            <w:r>
              <w:rPr>
                <w:noProof/>
              </w:rPr>
              <w:t>88.12</w:t>
            </w:r>
          </w:p>
        </w:tc>
        <w:tc>
          <w:tcPr>
            <w:tcW w:w="1842" w:type="dxa"/>
            <w:tcBorders>
              <w:top w:val="single" w:sz="4" w:space="0" w:color="000000"/>
              <w:left w:val="single" w:sz="4" w:space="0" w:color="000000"/>
              <w:bottom w:val="single" w:sz="4" w:space="0" w:color="000000"/>
            </w:tcBorders>
          </w:tcPr>
          <w:p>
            <w:pPr>
              <w:snapToGrid w:val="0"/>
              <w:jc w:val="right"/>
              <w:rPr>
                <w:noProof/>
              </w:rPr>
            </w:pPr>
            <w:r>
              <w:rPr>
                <w:noProof/>
              </w:rPr>
              <w:t>3.0%</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1.5%</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8</w:t>
            </w:r>
          </w:p>
        </w:tc>
        <w:tc>
          <w:tcPr>
            <w:tcW w:w="1701" w:type="dxa"/>
            <w:tcBorders>
              <w:top w:val="single" w:sz="4" w:space="0" w:color="000000"/>
              <w:left w:val="single" w:sz="4" w:space="0" w:color="000000"/>
              <w:bottom w:val="single" w:sz="4" w:space="0" w:color="000000"/>
            </w:tcBorders>
          </w:tcPr>
          <w:p>
            <w:pPr>
              <w:snapToGrid w:val="0"/>
              <w:rPr>
                <w:noProof/>
              </w:rPr>
            </w:pPr>
            <w:r>
              <w:rPr>
                <w:noProof/>
              </w:rPr>
              <w:t>Lebanon</w:t>
            </w:r>
          </w:p>
        </w:tc>
        <w:tc>
          <w:tcPr>
            <w:tcW w:w="1560" w:type="dxa"/>
            <w:tcBorders>
              <w:top w:val="single" w:sz="4" w:space="0" w:color="000000"/>
              <w:left w:val="single" w:sz="4" w:space="0" w:color="000000"/>
              <w:bottom w:val="single" w:sz="4" w:space="0" w:color="000000"/>
            </w:tcBorders>
          </w:tcPr>
          <w:p>
            <w:pPr>
              <w:snapToGrid w:val="0"/>
              <w:jc w:val="right"/>
              <w:rPr>
                <w:noProof/>
              </w:rPr>
            </w:pPr>
            <w:r>
              <w:rPr>
                <w:noProof/>
              </w:rPr>
              <w:t>85.15</w:t>
            </w:r>
          </w:p>
        </w:tc>
        <w:tc>
          <w:tcPr>
            <w:tcW w:w="1842" w:type="dxa"/>
            <w:tcBorders>
              <w:top w:val="single" w:sz="4" w:space="0" w:color="000000"/>
              <w:left w:val="single" w:sz="4" w:space="0" w:color="000000"/>
              <w:bottom w:val="single" w:sz="4" w:space="0" w:color="000000"/>
            </w:tcBorders>
          </w:tcPr>
          <w:p>
            <w:pPr>
              <w:snapToGrid w:val="0"/>
              <w:jc w:val="right"/>
              <w:rPr>
                <w:noProof/>
              </w:rPr>
            </w:pPr>
            <w:r>
              <w:rPr>
                <w:noProof/>
              </w:rPr>
              <w:t>2.9%</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1.5%</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9</w:t>
            </w:r>
          </w:p>
        </w:tc>
        <w:tc>
          <w:tcPr>
            <w:tcW w:w="1701" w:type="dxa"/>
            <w:tcBorders>
              <w:top w:val="single" w:sz="4" w:space="0" w:color="000000"/>
              <w:left w:val="single" w:sz="4" w:space="0" w:color="000000"/>
              <w:bottom w:val="single" w:sz="4" w:space="0" w:color="000000"/>
            </w:tcBorders>
          </w:tcPr>
          <w:p>
            <w:pPr>
              <w:snapToGrid w:val="0"/>
              <w:rPr>
                <w:noProof/>
              </w:rPr>
            </w:pPr>
            <w:r>
              <w:rPr>
                <w:noProof/>
              </w:rPr>
              <w:t>Brazil</w:t>
            </w:r>
          </w:p>
        </w:tc>
        <w:tc>
          <w:tcPr>
            <w:tcW w:w="1560" w:type="dxa"/>
            <w:tcBorders>
              <w:top w:val="single" w:sz="4" w:space="0" w:color="000000"/>
              <w:left w:val="single" w:sz="4" w:space="0" w:color="000000"/>
              <w:bottom w:val="single" w:sz="4" w:space="0" w:color="000000"/>
            </w:tcBorders>
          </w:tcPr>
          <w:p>
            <w:pPr>
              <w:snapToGrid w:val="0"/>
              <w:jc w:val="right"/>
              <w:rPr>
                <w:noProof/>
              </w:rPr>
            </w:pPr>
            <w:r>
              <w:rPr>
                <w:noProof/>
              </w:rPr>
              <w:t>65.14</w:t>
            </w:r>
          </w:p>
        </w:tc>
        <w:tc>
          <w:tcPr>
            <w:tcW w:w="1842" w:type="dxa"/>
            <w:tcBorders>
              <w:top w:val="single" w:sz="4" w:space="0" w:color="000000"/>
              <w:left w:val="single" w:sz="4" w:space="0" w:color="000000"/>
              <w:bottom w:val="single" w:sz="4" w:space="0" w:color="000000"/>
            </w:tcBorders>
          </w:tcPr>
          <w:p>
            <w:pPr>
              <w:snapToGrid w:val="0"/>
              <w:jc w:val="right"/>
              <w:rPr>
                <w:noProof/>
              </w:rPr>
            </w:pPr>
            <w:r>
              <w:rPr>
                <w:noProof/>
              </w:rPr>
              <w:t>2.2%</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1.1%</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10</w:t>
            </w:r>
          </w:p>
        </w:tc>
        <w:tc>
          <w:tcPr>
            <w:tcW w:w="1701" w:type="dxa"/>
            <w:tcBorders>
              <w:top w:val="single" w:sz="4" w:space="0" w:color="000000"/>
              <w:left w:val="single" w:sz="4" w:space="0" w:color="000000"/>
              <w:bottom w:val="single" w:sz="4" w:space="0" w:color="000000"/>
            </w:tcBorders>
          </w:tcPr>
          <w:p>
            <w:pPr>
              <w:snapToGrid w:val="0"/>
              <w:jc w:val="left"/>
              <w:rPr>
                <w:noProof/>
              </w:rPr>
            </w:pPr>
            <w:r>
              <w:rPr>
                <w:noProof/>
              </w:rPr>
              <w:t>Bosnia and Herzegovina</w:t>
            </w:r>
          </w:p>
        </w:tc>
        <w:tc>
          <w:tcPr>
            <w:tcW w:w="1560" w:type="dxa"/>
            <w:tcBorders>
              <w:top w:val="single" w:sz="4" w:space="0" w:color="000000"/>
              <w:left w:val="single" w:sz="4" w:space="0" w:color="000000"/>
              <w:bottom w:val="single" w:sz="4" w:space="0" w:color="000000"/>
            </w:tcBorders>
          </w:tcPr>
          <w:p>
            <w:pPr>
              <w:snapToGrid w:val="0"/>
              <w:jc w:val="right"/>
              <w:rPr>
                <w:noProof/>
              </w:rPr>
            </w:pPr>
            <w:r>
              <w:rPr>
                <w:noProof/>
              </w:rPr>
              <w:t>62.94</w:t>
            </w:r>
          </w:p>
        </w:tc>
        <w:tc>
          <w:tcPr>
            <w:tcW w:w="1842" w:type="dxa"/>
            <w:tcBorders>
              <w:top w:val="single" w:sz="4" w:space="0" w:color="000000"/>
              <w:left w:val="single" w:sz="4" w:space="0" w:color="000000"/>
              <w:bottom w:val="single" w:sz="4" w:space="0" w:color="000000"/>
            </w:tcBorders>
          </w:tcPr>
          <w:p>
            <w:pPr>
              <w:snapToGrid w:val="0"/>
              <w:jc w:val="right"/>
              <w:rPr>
                <w:noProof/>
              </w:rPr>
            </w:pPr>
            <w:r>
              <w:rPr>
                <w:noProof/>
              </w:rPr>
              <w:t>2.2%</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1.1%</w:t>
            </w:r>
          </w:p>
        </w:tc>
      </w:tr>
      <w:tr>
        <w:tc>
          <w:tcPr>
            <w:tcW w:w="1814" w:type="dxa"/>
            <w:tcBorders>
              <w:top w:val="single" w:sz="4" w:space="0" w:color="000000"/>
              <w:left w:val="single" w:sz="4" w:space="0" w:color="000000"/>
              <w:bottom w:val="single" w:sz="4" w:space="0" w:color="000000"/>
            </w:tcBorders>
          </w:tcPr>
          <w:p>
            <w:pPr>
              <w:snapToGrid w:val="0"/>
              <w:rPr>
                <w:b/>
                <w:noProof/>
              </w:rPr>
            </w:pPr>
            <w:r>
              <w:rPr>
                <w:b/>
                <w:noProof/>
              </w:rPr>
              <w:t>Total (top 10)</w:t>
            </w:r>
          </w:p>
        </w:tc>
        <w:tc>
          <w:tcPr>
            <w:tcW w:w="1701" w:type="dxa"/>
            <w:tcBorders>
              <w:top w:val="single" w:sz="4" w:space="0" w:color="000000"/>
              <w:left w:val="single" w:sz="4" w:space="0" w:color="000000"/>
              <w:bottom w:val="single" w:sz="4" w:space="0" w:color="000000"/>
            </w:tcBorders>
          </w:tcPr>
          <w:p>
            <w:pPr>
              <w:snapToGrid w:val="0"/>
              <w:rPr>
                <w:noProof/>
              </w:rPr>
            </w:pPr>
          </w:p>
        </w:tc>
        <w:tc>
          <w:tcPr>
            <w:tcW w:w="1560" w:type="dxa"/>
            <w:tcBorders>
              <w:top w:val="single" w:sz="4" w:space="0" w:color="000000"/>
              <w:left w:val="single" w:sz="4" w:space="0" w:color="000000"/>
              <w:bottom w:val="single" w:sz="4" w:space="0" w:color="000000"/>
            </w:tcBorders>
            <w:vAlign w:val="center"/>
          </w:tcPr>
          <w:p>
            <w:pPr>
              <w:snapToGrid w:val="0"/>
              <w:jc w:val="right"/>
              <w:rPr>
                <w:noProof/>
              </w:rPr>
            </w:pPr>
            <w:r>
              <w:rPr>
                <w:noProof/>
              </w:rPr>
              <w:t>2 415.03</w:t>
            </w:r>
          </w:p>
        </w:tc>
        <w:tc>
          <w:tcPr>
            <w:tcW w:w="1842" w:type="dxa"/>
            <w:tcBorders>
              <w:top w:val="single" w:sz="4" w:space="0" w:color="000000"/>
              <w:left w:val="single" w:sz="4" w:space="0" w:color="000000"/>
              <w:bottom w:val="single" w:sz="4" w:space="0" w:color="000000"/>
            </w:tcBorders>
          </w:tcPr>
          <w:p>
            <w:pPr>
              <w:snapToGrid w:val="0"/>
              <w:jc w:val="right"/>
              <w:rPr>
                <w:noProof/>
              </w:rPr>
            </w:pPr>
            <w:r>
              <w:rPr>
                <w:noProof/>
              </w:rPr>
              <w:t>82.7%</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41.8%</w:t>
            </w:r>
          </w:p>
        </w:tc>
      </w:tr>
    </w:tbl>
    <w:p>
      <w:pPr>
        <w:pStyle w:val="ManualHeading1"/>
        <w:spacing w:before="0"/>
        <w:ind w:left="0" w:firstLine="0"/>
        <w:rPr>
          <w:noProof/>
        </w:rPr>
      </w:pPr>
      <w:bookmarkStart w:id="277" w:name="_Toc417461977"/>
      <w:bookmarkStart w:id="278" w:name="_Toc417998611"/>
      <w:bookmarkStart w:id="279" w:name="_Toc418157638"/>
      <w:bookmarkStart w:id="280" w:name="_Toc418160319"/>
      <w:bookmarkStart w:id="281" w:name="_Toc446577186"/>
      <w:bookmarkStart w:id="282" w:name="_Toc452646732"/>
      <w:bookmarkStart w:id="283" w:name="_Toc453161371"/>
      <w:bookmarkStart w:id="284" w:name="_Toc486601274"/>
      <w:r>
        <w:rPr>
          <w:noProof/>
        </w:rPr>
        <w:br w:type="page"/>
      </w:r>
      <w:bookmarkStart w:id="285" w:name="_Toc495658621"/>
      <w:r>
        <w:rPr>
          <w:noProof/>
        </w:rPr>
        <w:t>5.</w:t>
      </w:r>
      <w:r>
        <w:rPr>
          <w:noProof/>
        </w:rPr>
        <w:tab/>
      </w:r>
      <w:bookmarkStart w:id="286" w:name="_Toc342470163"/>
      <w:bookmarkStart w:id="287" w:name="_Toc390944400"/>
      <w:bookmarkStart w:id="288" w:name="_Toc393969971"/>
      <w:bookmarkEnd w:id="286"/>
      <w:r>
        <w:rPr>
          <w:noProof/>
        </w:rPr>
        <w:t>The Guarantee Fund for external Actions</w:t>
      </w:r>
      <w:bookmarkEnd w:id="277"/>
      <w:bookmarkEnd w:id="278"/>
      <w:bookmarkEnd w:id="279"/>
      <w:bookmarkEnd w:id="280"/>
      <w:bookmarkEnd w:id="281"/>
      <w:bookmarkEnd w:id="282"/>
      <w:bookmarkEnd w:id="283"/>
      <w:bookmarkEnd w:id="284"/>
      <w:bookmarkEnd w:id="287"/>
      <w:bookmarkEnd w:id="288"/>
      <w:bookmarkEnd w:id="285"/>
    </w:p>
    <w:p>
      <w:pPr>
        <w:pStyle w:val="ManualHeading2"/>
        <w:rPr>
          <w:noProof/>
        </w:rPr>
      </w:pPr>
      <w:bookmarkStart w:id="289" w:name="_Toc390944401"/>
      <w:bookmarkStart w:id="290" w:name="_Toc393969972"/>
      <w:bookmarkStart w:id="291" w:name="_Toc417461978"/>
      <w:bookmarkStart w:id="292" w:name="_Toc417998612"/>
      <w:bookmarkStart w:id="293" w:name="_Toc418157639"/>
      <w:bookmarkStart w:id="294" w:name="_Toc418160320"/>
      <w:bookmarkStart w:id="295" w:name="_Toc446577187"/>
      <w:bookmarkStart w:id="296" w:name="_Toc452646733"/>
      <w:bookmarkStart w:id="297" w:name="_Toc453161372"/>
      <w:bookmarkStart w:id="298" w:name="_Toc486601275"/>
      <w:bookmarkStart w:id="299" w:name="_Toc495658622"/>
      <w:bookmarkStart w:id="300" w:name="_Toc309831370"/>
      <w:bookmarkStart w:id="301" w:name="_Toc329261070"/>
      <w:bookmarkStart w:id="302" w:name="_Toc329855632"/>
      <w:bookmarkStart w:id="303" w:name="_Toc330551237"/>
      <w:bookmarkStart w:id="304" w:name="_Toc342470165"/>
      <w:bookmarkStart w:id="305" w:name="_Toc345073710"/>
      <w:bookmarkStart w:id="306" w:name="_Toc365986227"/>
      <w:bookmarkStart w:id="307" w:name="_Toc367869480"/>
      <w:bookmarkStart w:id="308" w:name="_Toc367870007"/>
      <w:bookmarkStart w:id="309" w:name="_Toc388973025"/>
      <w:bookmarkStart w:id="310" w:name="_Toc389474758"/>
      <w:r>
        <w:rPr>
          <w:noProof/>
        </w:rPr>
        <w:t>5.1.</w:t>
      </w:r>
      <w:r>
        <w:rPr>
          <w:noProof/>
        </w:rPr>
        <w:tab/>
        <w:t>Activation of guarantees</w:t>
      </w:r>
      <w:bookmarkEnd w:id="289"/>
      <w:bookmarkEnd w:id="290"/>
      <w:bookmarkEnd w:id="291"/>
      <w:bookmarkEnd w:id="292"/>
      <w:bookmarkEnd w:id="293"/>
      <w:bookmarkEnd w:id="294"/>
      <w:bookmarkEnd w:id="295"/>
      <w:bookmarkEnd w:id="296"/>
      <w:bookmarkEnd w:id="297"/>
      <w:bookmarkEnd w:id="298"/>
      <w:bookmarkEnd w:id="299"/>
    </w:p>
    <w:p>
      <w:pPr>
        <w:pStyle w:val="ManualHeading3"/>
        <w:rPr>
          <w:noProof/>
        </w:rPr>
      </w:pPr>
      <w:bookmarkStart w:id="311" w:name="_Toc390944402"/>
      <w:bookmarkStart w:id="312" w:name="_Toc393969973"/>
      <w:bookmarkStart w:id="313" w:name="_Toc417461979"/>
      <w:bookmarkStart w:id="314" w:name="_Toc417998613"/>
      <w:bookmarkStart w:id="315" w:name="_Toc418157640"/>
      <w:bookmarkStart w:id="316" w:name="_Toc418160321"/>
      <w:bookmarkStart w:id="317" w:name="_Toc446577188"/>
      <w:bookmarkStart w:id="318" w:name="_Toc452646734"/>
      <w:bookmarkStart w:id="319" w:name="_Toc453161373"/>
      <w:bookmarkStart w:id="320" w:name="_Toc486601276"/>
      <w:bookmarkStart w:id="321" w:name="_Toc495658623"/>
      <w:r>
        <w:rPr>
          <w:noProof/>
        </w:rPr>
        <w:t>5.1.1.</w:t>
      </w:r>
      <w:r>
        <w:rPr>
          <w:noProof/>
        </w:rPr>
        <w:tab/>
        <w:t>Payments from cash resources</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pPr>
        <w:rPr>
          <w:noProof/>
        </w:rPr>
      </w:pPr>
      <w:r>
        <w:rPr>
          <w:noProof/>
        </w:rPr>
        <w:t>The EU budget provisionally covers the debt service at due dates in case a debtor fails to repay its loan to the EU on time. The Commission draws on its cash resources in order to avoid delays and any resulting costs</w:t>
      </w:r>
      <w:r>
        <w:rPr>
          <w:i/>
          <w:noProof/>
        </w:rPr>
        <w:t xml:space="preserve"> </w:t>
      </w:r>
      <w:r>
        <w:rPr>
          <w:noProof/>
        </w:rPr>
        <w:t>in servicing its borrowing operations</w:t>
      </w:r>
      <w:r>
        <w:rPr>
          <w:rStyle w:val="Funotenzeichen"/>
          <w:noProof/>
        </w:rPr>
        <w:footnoteReference w:id="29"/>
      </w:r>
      <w:r>
        <w:rPr>
          <w:noProof/>
        </w:rPr>
        <w:t xml:space="preserve">. </w:t>
      </w:r>
    </w:p>
    <w:p>
      <w:pPr>
        <w:rPr>
          <w:noProof/>
        </w:rPr>
      </w:pPr>
      <w:r>
        <w:rPr>
          <w:noProof/>
        </w:rPr>
        <w:t>Being mindful of most expenditures taking place during the first quarter of each year, debt redemption is structured for the months thereafter as well as for the beginning of each month when cash balances are highest.</w:t>
      </w:r>
    </w:p>
    <w:p>
      <w:pPr>
        <w:rPr>
          <w:noProof/>
        </w:rPr>
      </w:pPr>
      <w:r>
        <w:rPr>
          <w:noProof/>
        </w:rPr>
        <w:t>In 2016 cash for about EUR 1 million was used for a limited period of 16 days due to a technical default for one payment of one debtor.</w:t>
      </w:r>
    </w:p>
    <w:p>
      <w:pPr>
        <w:pStyle w:val="ManualHeading3"/>
        <w:rPr>
          <w:noProof/>
        </w:rPr>
      </w:pPr>
      <w:bookmarkStart w:id="322" w:name="_Toc309831371"/>
      <w:bookmarkStart w:id="323" w:name="_Toc329261071"/>
      <w:bookmarkStart w:id="324" w:name="_Toc329855633"/>
      <w:bookmarkStart w:id="325" w:name="_Toc330551238"/>
      <w:bookmarkStart w:id="326" w:name="_Toc342470166"/>
      <w:bookmarkStart w:id="327" w:name="_Toc345073711"/>
      <w:bookmarkStart w:id="328" w:name="_Toc365986228"/>
      <w:bookmarkStart w:id="329" w:name="_Toc367869481"/>
      <w:bookmarkStart w:id="330" w:name="_Toc367870008"/>
      <w:bookmarkStart w:id="331" w:name="_Toc388973026"/>
      <w:bookmarkStart w:id="332" w:name="_Toc389474759"/>
      <w:bookmarkStart w:id="333" w:name="_Toc390944403"/>
      <w:bookmarkStart w:id="334" w:name="_Toc393969974"/>
      <w:bookmarkStart w:id="335" w:name="_Toc417461980"/>
      <w:bookmarkStart w:id="336" w:name="_Toc417998614"/>
      <w:bookmarkStart w:id="337" w:name="_Toc418157641"/>
      <w:bookmarkStart w:id="338" w:name="_Toc418160322"/>
      <w:bookmarkStart w:id="339" w:name="_Toc446577189"/>
      <w:bookmarkStart w:id="340" w:name="_Toc452646735"/>
      <w:bookmarkStart w:id="341" w:name="_Toc453161374"/>
      <w:bookmarkStart w:id="342" w:name="_Toc486601277"/>
      <w:bookmarkStart w:id="343" w:name="_Toc495658624"/>
      <w:r>
        <w:rPr>
          <w:noProof/>
        </w:rPr>
        <w:t>5.1.2.</w:t>
      </w:r>
      <w:r>
        <w:rPr>
          <w:noProof/>
        </w:rPr>
        <w:tab/>
        <w:t xml:space="preserve">Payments from the </w:t>
      </w:r>
      <w:bookmarkEnd w:id="322"/>
      <w:bookmarkEnd w:id="323"/>
      <w:bookmarkEnd w:id="324"/>
      <w:bookmarkEnd w:id="325"/>
      <w:bookmarkEnd w:id="326"/>
      <w:bookmarkEnd w:id="327"/>
      <w:bookmarkEnd w:id="328"/>
      <w:bookmarkEnd w:id="329"/>
      <w:bookmarkEnd w:id="330"/>
      <w:bookmarkEnd w:id="331"/>
      <w:bookmarkEnd w:id="332"/>
      <w:r>
        <w:rPr>
          <w:noProof/>
        </w:rPr>
        <w:t>EU budget</w:t>
      </w:r>
      <w:bookmarkEnd w:id="333"/>
      <w:bookmarkEnd w:id="334"/>
      <w:bookmarkEnd w:id="335"/>
      <w:bookmarkEnd w:id="336"/>
      <w:bookmarkEnd w:id="337"/>
      <w:bookmarkEnd w:id="338"/>
      <w:bookmarkEnd w:id="339"/>
      <w:bookmarkEnd w:id="340"/>
      <w:bookmarkEnd w:id="341"/>
      <w:bookmarkEnd w:id="342"/>
      <w:bookmarkEnd w:id="343"/>
      <w:r>
        <w:rPr>
          <w:noProof/>
        </w:rPr>
        <w:t xml:space="preserve"> </w:t>
      </w:r>
    </w:p>
    <w:p>
      <w:pPr>
        <w:rPr>
          <w:noProof/>
        </w:rPr>
      </w:pPr>
      <w:r>
        <w:rPr>
          <w:noProof/>
        </w:rPr>
        <w:t>In the event that one or more Member States do not meet their legal obligations and that the EU’s own resources are insufficient, the Commission can use available EU budget resources and prioritise debt repayment over other non-obligatory expenditures. According to the MFF, if this proves to be insufficient, EU legislation obliges Member States to provide additional contributions necessary to repay the debt and to balance the budget, up to a ceiling of 1.20% of EU GNI. If needed, EU legislation allows Member States to contribute independently of their share to the EU budget.</w:t>
      </w:r>
    </w:p>
    <w:p>
      <w:pPr>
        <w:rPr>
          <w:noProof/>
        </w:rPr>
      </w:pPr>
      <w:r>
        <w:rPr>
          <w:noProof/>
        </w:rPr>
        <w:t>As no default from Member States occurred during the year 2016, no appropriation was requested.</w:t>
      </w:r>
    </w:p>
    <w:p>
      <w:pPr>
        <w:pStyle w:val="ManualHeading3"/>
        <w:rPr>
          <w:noProof/>
        </w:rPr>
      </w:pPr>
      <w:bookmarkStart w:id="344" w:name="_Toc309831372"/>
      <w:bookmarkStart w:id="345" w:name="_Toc329261072"/>
      <w:bookmarkStart w:id="346" w:name="_Toc329855634"/>
      <w:bookmarkStart w:id="347" w:name="_Toc330551239"/>
      <w:bookmarkStart w:id="348" w:name="_Toc342470167"/>
      <w:bookmarkStart w:id="349" w:name="_Toc345073712"/>
      <w:bookmarkStart w:id="350" w:name="_Toc365986229"/>
      <w:bookmarkStart w:id="351" w:name="_Toc367869482"/>
      <w:bookmarkStart w:id="352" w:name="_Toc367870009"/>
      <w:bookmarkStart w:id="353" w:name="_Toc388973027"/>
      <w:bookmarkStart w:id="354" w:name="_Toc389474760"/>
      <w:bookmarkStart w:id="355" w:name="_Toc390944404"/>
      <w:bookmarkStart w:id="356" w:name="_Toc393969975"/>
      <w:bookmarkStart w:id="357" w:name="_Toc417461981"/>
      <w:bookmarkStart w:id="358" w:name="_Toc417998615"/>
      <w:bookmarkStart w:id="359" w:name="_Toc418157642"/>
      <w:bookmarkStart w:id="360" w:name="_Toc418160323"/>
      <w:bookmarkStart w:id="361" w:name="_Toc446577190"/>
      <w:bookmarkStart w:id="362" w:name="_Toc452646736"/>
      <w:bookmarkStart w:id="363" w:name="_Toc453161375"/>
      <w:bookmarkStart w:id="364" w:name="_Toc486601278"/>
      <w:bookmarkStart w:id="365" w:name="_Toc495658625"/>
      <w:r>
        <w:rPr>
          <w:noProof/>
        </w:rPr>
        <w:t>5.1.3.</w:t>
      </w:r>
      <w:r>
        <w:rPr>
          <w:noProof/>
        </w:rPr>
        <w:tab/>
        <w:t xml:space="preserve">Calls on the Guarantee Fund </w:t>
      </w:r>
      <w:bookmarkEnd w:id="344"/>
      <w:bookmarkEnd w:id="345"/>
      <w:bookmarkEnd w:id="346"/>
      <w:bookmarkEnd w:id="347"/>
      <w:bookmarkEnd w:id="348"/>
      <w:bookmarkEnd w:id="349"/>
      <w:bookmarkEnd w:id="350"/>
      <w:bookmarkEnd w:id="351"/>
      <w:bookmarkEnd w:id="352"/>
      <w:bookmarkEnd w:id="353"/>
      <w:bookmarkEnd w:id="354"/>
      <w:r>
        <w:rPr>
          <w:noProof/>
        </w:rPr>
        <w:t>and recoveries</w:t>
      </w:r>
      <w:bookmarkEnd w:id="355"/>
      <w:bookmarkEnd w:id="356"/>
      <w:bookmarkEnd w:id="357"/>
      <w:bookmarkEnd w:id="358"/>
      <w:bookmarkEnd w:id="359"/>
      <w:bookmarkEnd w:id="360"/>
      <w:bookmarkEnd w:id="361"/>
      <w:bookmarkEnd w:id="362"/>
      <w:bookmarkEnd w:id="363"/>
      <w:bookmarkEnd w:id="364"/>
      <w:bookmarkEnd w:id="365"/>
    </w:p>
    <w:p>
      <w:pPr>
        <w:rPr>
          <w:noProof/>
        </w:rPr>
      </w:pPr>
      <w:r>
        <w:rPr>
          <w:noProof/>
        </w:rPr>
        <w:t>In the event of late payment by the beneficiary of a loan to third countries granted or guaranteed by the EU, the Guarantee Fund is called on to cover the default within three months of the request.</w:t>
      </w:r>
    </w:p>
    <w:p>
      <w:pPr>
        <w:rPr>
          <w:noProof/>
        </w:rPr>
      </w:pPr>
      <w:r>
        <w:rPr>
          <w:noProof/>
        </w:rPr>
        <w:t>The amounts called by the EIB are withdrawn from the Guarantee Fund account after authorization by the Commission services. When the EU makes a payment under the EU Guarantee, it is subrogated into the rights and remedies of the EIB</w:t>
      </w:r>
      <w:r>
        <w:rPr>
          <w:rStyle w:val="Funotenzeichen"/>
          <w:noProof/>
        </w:rPr>
        <w:t xml:space="preserve"> </w:t>
      </w:r>
      <w:r>
        <w:rPr>
          <w:rStyle w:val="Funotenzeichen"/>
          <w:noProof/>
        </w:rPr>
        <w:footnoteReference w:id="30"/>
      </w:r>
      <w:r>
        <w:rPr>
          <w:noProof/>
        </w:rPr>
        <w:t xml:space="preserve">. </w:t>
      </w:r>
    </w:p>
    <w:p>
      <w:pPr>
        <w:rPr>
          <w:noProof/>
        </w:rPr>
      </w:pPr>
      <w:r>
        <w:rPr>
          <w:noProof/>
        </w:rPr>
        <w:t>Recovery proceedings are undertaken by the EIB on behalf of the EU in respect of the subrogated sums</w:t>
      </w:r>
      <w:r>
        <w:rPr>
          <w:rStyle w:val="Funotenzeichen"/>
          <w:noProof/>
        </w:rPr>
        <w:footnoteReference w:id="31"/>
      </w:r>
      <w:r>
        <w:rPr>
          <w:noProof/>
        </w:rPr>
        <w:t>.</w:t>
      </w:r>
    </w:p>
    <w:p>
      <w:pPr>
        <w:spacing w:before="100" w:beforeAutospacing="1"/>
        <w:rPr>
          <w:i/>
          <w:noProof/>
          <w:u w:val="single"/>
        </w:rPr>
      </w:pPr>
      <w:r>
        <w:rPr>
          <w:i/>
          <w:noProof/>
          <w:u w:val="single"/>
        </w:rPr>
        <w:t>EIB loans to projects in Syria</w:t>
      </w:r>
    </w:p>
    <w:p>
      <w:pPr>
        <w:spacing w:before="0"/>
        <w:rPr>
          <w:noProof/>
          <w:szCs w:val="20"/>
        </w:rPr>
      </w:pPr>
      <w:r>
        <w:rPr>
          <w:noProof/>
        </w:rPr>
        <w:t>Starting from December 2011, the EIB has experienced defaults on certain interest payments and loan repayments from the Syrian Government. Since official payment requests have remained unsuccessful, the EIB started to call on the Guarantee Fund in May 2012. The evolution of the calls corresponding to defaulting loans in Syria is presented in Table 4a.</w:t>
      </w:r>
    </w:p>
    <w:p>
      <w:pPr>
        <w:spacing w:before="0" w:after="0"/>
        <w:rPr>
          <w:noProof/>
          <w:sz w:val="18"/>
        </w:rPr>
      </w:pPr>
      <w:r>
        <w:rPr>
          <w:noProof/>
          <w:sz w:val="18"/>
        </w:rPr>
        <w:t xml:space="preserve">Table 4a: Calls on the Guarantee </w:t>
      </w:r>
      <w:r>
        <w:rPr>
          <w:noProof/>
          <w:sz w:val="18"/>
          <w:szCs w:val="18"/>
        </w:rPr>
        <w:t>Fund due to defaulting</w:t>
      </w:r>
      <w:r>
        <w:rPr>
          <w:noProof/>
          <w:sz w:val="18"/>
        </w:rPr>
        <w:t xml:space="preserve"> loans in Syria (in EUR million)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30"/>
        <w:gridCol w:w="1426"/>
        <w:gridCol w:w="1431"/>
        <w:gridCol w:w="1366"/>
        <w:gridCol w:w="1481"/>
      </w:tblGrid>
      <w:tr>
        <w:trPr>
          <w:trHeight w:val="1231"/>
        </w:trPr>
        <w:tc>
          <w:tcPr>
            <w:tcW w:w="1416" w:type="dxa"/>
            <w:shd w:val="clear" w:color="auto" w:fill="auto"/>
          </w:tcPr>
          <w:p>
            <w:pPr>
              <w:spacing w:after="240"/>
              <w:jc w:val="center"/>
              <w:rPr>
                <w:noProof/>
                <w:sz w:val="22"/>
              </w:rPr>
            </w:pPr>
            <w:r>
              <w:rPr>
                <w:noProof/>
                <w:sz w:val="22"/>
              </w:rPr>
              <w:t>Year</w:t>
            </w:r>
            <w:r>
              <w:rPr>
                <w:noProof/>
              </w:rPr>
              <w:t xml:space="preserve"> </w:t>
            </w:r>
            <w:r>
              <w:rPr>
                <w:noProof/>
                <w:sz w:val="22"/>
              </w:rPr>
              <w:t>(Withdrawal from GF account on)</w:t>
            </w:r>
          </w:p>
        </w:tc>
        <w:tc>
          <w:tcPr>
            <w:tcW w:w="1430" w:type="dxa"/>
            <w:shd w:val="clear" w:color="auto" w:fill="auto"/>
          </w:tcPr>
          <w:p>
            <w:pPr>
              <w:spacing w:after="240"/>
              <w:jc w:val="center"/>
              <w:rPr>
                <w:noProof/>
                <w:sz w:val="22"/>
              </w:rPr>
            </w:pPr>
            <w:r>
              <w:rPr>
                <w:noProof/>
                <w:sz w:val="22"/>
              </w:rPr>
              <w:t>Number of calls paid</w:t>
            </w:r>
          </w:p>
        </w:tc>
        <w:tc>
          <w:tcPr>
            <w:tcW w:w="1426" w:type="dxa"/>
            <w:shd w:val="clear" w:color="auto" w:fill="auto"/>
          </w:tcPr>
          <w:p>
            <w:pPr>
              <w:spacing w:after="240"/>
              <w:jc w:val="center"/>
              <w:rPr>
                <w:noProof/>
                <w:sz w:val="22"/>
              </w:rPr>
            </w:pPr>
            <w:r>
              <w:rPr>
                <w:noProof/>
                <w:sz w:val="22"/>
              </w:rPr>
              <w:t>Amount of due instalments</w:t>
            </w:r>
          </w:p>
        </w:tc>
        <w:tc>
          <w:tcPr>
            <w:tcW w:w="1431" w:type="dxa"/>
            <w:shd w:val="clear" w:color="auto" w:fill="auto"/>
          </w:tcPr>
          <w:p>
            <w:pPr>
              <w:spacing w:after="240"/>
              <w:jc w:val="center"/>
              <w:rPr>
                <w:noProof/>
                <w:sz w:val="22"/>
              </w:rPr>
            </w:pPr>
            <w:r>
              <w:rPr>
                <w:noProof/>
                <w:sz w:val="22"/>
              </w:rPr>
              <w:t>Penalties and accrued interests</w:t>
            </w:r>
            <w:r>
              <w:rPr>
                <w:rStyle w:val="FootnoteReference"/>
                <w:noProof/>
                <w:sz w:val="22"/>
              </w:rPr>
              <w:footnoteReference w:id="32"/>
            </w:r>
          </w:p>
        </w:tc>
        <w:tc>
          <w:tcPr>
            <w:tcW w:w="1366" w:type="dxa"/>
            <w:shd w:val="clear" w:color="auto" w:fill="auto"/>
          </w:tcPr>
          <w:p>
            <w:pPr>
              <w:spacing w:after="240"/>
              <w:jc w:val="center"/>
              <w:rPr>
                <w:noProof/>
                <w:sz w:val="22"/>
              </w:rPr>
            </w:pPr>
            <w:r>
              <w:rPr>
                <w:noProof/>
                <w:sz w:val="22"/>
              </w:rPr>
              <w:t>Amount recovered</w:t>
            </w:r>
          </w:p>
        </w:tc>
        <w:tc>
          <w:tcPr>
            <w:tcW w:w="1481" w:type="dxa"/>
            <w:shd w:val="clear" w:color="auto" w:fill="auto"/>
          </w:tcPr>
          <w:p>
            <w:pPr>
              <w:spacing w:after="240"/>
              <w:jc w:val="center"/>
              <w:rPr>
                <w:noProof/>
                <w:sz w:val="22"/>
              </w:rPr>
            </w:pPr>
            <w:r>
              <w:rPr>
                <w:noProof/>
                <w:sz w:val="22"/>
              </w:rPr>
              <w:t>Total</w:t>
            </w:r>
          </w:p>
        </w:tc>
      </w:tr>
      <w:tr>
        <w:tc>
          <w:tcPr>
            <w:tcW w:w="1416" w:type="dxa"/>
            <w:shd w:val="clear" w:color="auto" w:fill="auto"/>
          </w:tcPr>
          <w:p>
            <w:pPr>
              <w:jc w:val="center"/>
              <w:rPr>
                <w:noProof/>
              </w:rPr>
            </w:pPr>
            <w:r>
              <w:rPr>
                <w:noProof/>
              </w:rPr>
              <w:t>2012</w:t>
            </w:r>
          </w:p>
        </w:tc>
        <w:tc>
          <w:tcPr>
            <w:tcW w:w="1430" w:type="dxa"/>
            <w:shd w:val="clear" w:color="auto" w:fill="auto"/>
          </w:tcPr>
          <w:p>
            <w:pPr>
              <w:jc w:val="right"/>
              <w:rPr>
                <w:noProof/>
              </w:rPr>
            </w:pPr>
            <w:r>
              <w:rPr>
                <w:noProof/>
              </w:rPr>
              <w:t>2</w:t>
            </w:r>
          </w:p>
        </w:tc>
        <w:tc>
          <w:tcPr>
            <w:tcW w:w="1426" w:type="dxa"/>
            <w:shd w:val="clear" w:color="auto" w:fill="auto"/>
            <w:vAlign w:val="bottom"/>
          </w:tcPr>
          <w:p>
            <w:pPr>
              <w:jc w:val="right"/>
              <w:rPr>
                <w:noProof/>
              </w:rPr>
            </w:pPr>
            <w:r>
              <w:rPr>
                <w:noProof/>
              </w:rPr>
              <w:t>24.0</w:t>
            </w:r>
          </w:p>
        </w:tc>
        <w:tc>
          <w:tcPr>
            <w:tcW w:w="1431" w:type="dxa"/>
            <w:shd w:val="clear" w:color="auto" w:fill="auto"/>
            <w:vAlign w:val="bottom"/>
          </w:tcPr>
          <w:p>
            <w:pPr>
              <w:jc w:val="right"/>
              <w:rPr>
                <w:noProof/>
              </w:rPr>
            </w:pPr>
            <w:r>
              <w:rPr>
                <w:noProof/>
              </w:rPr>
              <w:t>0.0</w:t>
            </w:r>
          </w:p>
        </w:tc>
        <w:tc>
          <w:tcPr>
            <w:tcW w:w="1366" w:type="dxa"/>
            <w:shd w:val="clear" w:color="auto" w:fill="auto"/>
            <w:vAlign w:val="bottom"/>
          </w:tcPr>
          <w:p>
            <w:pPr>
              <w:jc w:val="right"/>
              <w:rPr>
                <w:noProof/>
              </w:rPr>
            </w:pPr>
            <w:r>
              <w:rPr>
                <w:noProof/>
              </w:rPr>
              <w:t>2.2</w:t>
            </w:r>
          </w:p>
        </w:tc>
        <w:tc>
          <w:tcPr>
            <w:tcW w:w="1481" w:type="dxa"/>
            <w:shd w:val="clear" w:color="auto" w:fill="auto"/>
            <w:vAlign w:val="bottom"/>
          </w:tcPr>
          <w:p>
            <w:pPr>
              <w:jc w:val="right"/>
              <w:rPr>
                <w:noProof/>
              </w:rPr>
            </w:pPr>
            <w:r>
              <w:rPr>
                <w:noProof/>
              </w:rPr>
              <w:t>21.8</w:t>
            </w:r>
          </w:p>
        </w:tc>
      </w:tr>
      <w:tr>
        <w:tc>
          <w:tcPr>
            <w:tcW w:w="1416" w:type="dxa"/>
            <w:shd w:val="clear" w:color="auto" w:fill="auto"/>
          </w:tcPr>
          <w:p>
            <w:pPr>
              <w:jc w:val="center"/>
              <w:rPr>
                <w:noProof/>
              </w:rPr>
            </w:pPr>
            <w:r>
              <w:rPr>
                <w:noProof/>
              </w:rPr>
              <w:t>2013</w:t>
            </w:r>
          </w:p>
        </w:tc>
        <w:tc>
          <w:tcPr>
            <w:tcW w:w="1430" w:type="dxa"/>
            <w:shd w:val="clear" w:color="auto" w:fill="auto"/>
          </w:tcPr>
          <w:p>
            <w:pPr>
              <w:jc w:val="right"/>
              <w:rPr>
                <w:noProof/>
              </w:rPr>
            </w:pPr>
            <w:r>
              <w:rPr>
                <w:noProof/>
              </w:rPr>
              <w:t>8</w:t>
            </w:r>
          </w:p>
        </w:tc>
        <w:tc>
          <w:tcPr>
            <w:tcW w:w="1426" w:type="dxa"/>
            <w:shd w:val="clear" w:color="auto" w:fill="auto"/>
            <w:vAlign w:val="bottom"/>
          </w:tcPr>
          <w:p>
            <w:pPr>
              <w:jc w:val="right"/>
              <w:rPr>
                <w:noProof/>
              </w:rPr>
            </w:pPr>
            <w:r>
              <w:rPr>
                <w:noProof/>
              </w:rPr>
              <w:t>59.3</w:t>
            </w:r>
          </w:p>
        </w:tc>
        <w:tc>
          <w:tcPr>
            <w:tcW w:w="1431" w:type="dxa"/>
            <w:shd w:val="clear" w:color="auto" w:fill="auto"/>
            <w:vAlign w:val="bottom"/>
          </w:tcPr>
          <w:p>
            <w:pPr>
              <w:jc w:val="right"/>
              <w:rPr>
                <w:noProof/>
              </w:rPr>
            </w:pPr>
            <w:r>
              <w:rPr>
                <w:noProof/>
              </w:rPr>
              <w:t>1.4</w:t>
            </w:r>
          </w:p>
        </w:tc>
        <w:tc>
          <w:tcPr>
            <w:tcW w:w="1366" w:type="dxa"/>
            <w:shd w:val="clear" w:color="auto" w:fill="auto"/>
            <w:vAlign w:val="bottom"/>
          </w:tcPr>
          <w:p>
            <w:pPr>
              <w:jc w:val="right"/>
              <w:rPr>
                <w:noProof/>
              </w:rPr>
            </w:pPr>
            <w:r>
              <w:rPr>
                <w:noProof/>
              </w:rPr>
              <w:t>0.0</w:t>
            </w:r>
          </w:p>
        </w:tc>
        <w:tc>
          <w:tcPr>
            <w:tcW w:w="1481" w:type="dxa"/>
            <w:shd w:val="clear" w:color="auto" w:fill="auto"/>
            <w:vAlign w:val="bottom"/>
          </w:tcPr>
          <w:p>
            <w:pPr>
              <w:jc w:val="right"/>
              <w:rPr>
                <w:noProof/>
              </w:rPr>
            </w:pPr>
            <w:r>
              <w:rPr>
                <w:noProof/>
              </w:rPr>
              <w:t>60.7</w:t>
            </w:r>
          </w:p>
        </w:tc>
      </w:tr>
      <w:tr>
        <w:tc>
          <w:tcPr>
            <w:tcW w:w="1416" w:type="dxa"/>
            <w:shd w:val="clear" w:color="auto" w:fill="auto"/>
          </w:tcPr>
          <w:p>
            <w:pPr>
              <w:jc w:val="center"/>
              <w:rPr>
                <w:noProof/>
              </w:rPr>
            </w:pPr>
            <w:r>
              <w:rPr>
                <w:noProof/>
              </w:rPr>
              <w:t>2014</w:t>
            </w:r>
          </w:p>
        </w:tc>
        <w:tc>
          <w:tcPr>
            <w:tcW w:w="1430" w:type="dxa"/>
            <w:shd w:val="clear" w:color="auto" w:fill="auto"/>
          </w:tcPr>
          <w:p>
            <w:pPr>
              <w:jc w:val="right"/>
              <w:rPr>
                <w:noProof/>
              </w:rPr>
            </w:pPr>
            <w:r>
              <w:rPr>
                <w:noProof/>
              </w:rPr>
              <w:t>8</w:t>
            </w:r>
          </w:p>
        </w:tc>
        <w:tc>
          <w:tcPr>
            <w:tcW w:w="1426" w:type="dxa"/>
            <w:shd w:val="clear" w:color="auto" w:fill="auto"/>
            <w:vAlign w:val="bottom"/>
          </w:tcPr>
          <w:p>
            <w:pPr>
              <w:jc w:val="right"/>
              <w:rPr>
                <w:noProof/>
              </w:rPr>
            </w:pPr>
            <w:r>
              <w:rPr>
                <w:noProof/>
              </w:rPr>
              <w:t>58.7</w:t>
            </w:r>
          </w:p>
        </w:tc>
        <w:tc>
          <w:tcPr>
            <w:tcW w:w="1431" w:type="dxa"/>
            <w:shd w:val="clear" w:color="auto" w:fill="auto"/>
            <w:vAlign w:val="bottom"/>
          </w:tcPr>
          <w:p>
            <w:pPr>
              <w:jc w:val="right"/>
              <w:rPr>
                <w:noProof/>
              </w:rPr>
            </w:pPr>
            <w:r>
              <w:rPr>
                <w:noProof/>
              </w:rPr>
              <w:t>1.5</w:t>
            </w:r>
          </w:p>
        </w:tc>
        <w:tc>
          <w:tcPr>
            <w:tcW w:w="1366" w:type="dxa"/>
            <w:shd w:val="clear" w:color="auto" w:fill="auto"/>
            <w:vAlign w:val="bottom"/>
          </w:tcPr>
          <w:p>
            <w:pPr>
              <w:jc w:val="right"/>
              <w:rPr>
                <w:noProof/>
              </w:rPr>
            </w:pPr>
            <w:r>
              <w:rPr>
                <w:noProof/>
              </w:rPr>
              <w:t>0.0</w:t>
            </w:r>
          </w:p>
        </w:tc>
        <w:tc>
          <w:tcPr>
            <w:tcW w:w="1481" w:type="dxa"/>
            <w:shd w:val="clear" w:color="auto" w:fill="auto"/>
            <w:vAlign w:val="bottom"/>
          </w:tcPr>
          <w:p>
            <w:pPr>
              <w:jc w:val="right"/>
              <w:rPr>
                <w:noProof/>
              </w:rPr>
            </w:pPr>
            <w:r>
              <w:rPr>
                <w:noProof/>
              </w:rPr>
              <w:t>60.2</w:t>
            </w:r>
          </w:p>
        </w:tc>
      </w:tr>
      <w:tr>
        <w:tc>
          <w:tcPr>
            <w:tcW w:w="1416" w:type="dxa"/>
            <w:shd w:val="clear" w:color="auto" w:fill="auto"/>
          </w:tcPr>
          <w:p>
            <w:pPr>
              <w:jc w:val="center"/>
              <w:rPr>
                <w:noProof/>
              </w:rPr>
            </w:pPr>
            <w:r>
              <w:rPr>
                <w:noProof/>
              </w:rPr>
              <w:t>2015</w:t>
            </w:r>
          </w:p>
        </w:tc>
        <w:tc>
          <w:tcPr>
            <w:tcW w:w="1430" w:type="dxa"/>
            <w:shd w:val="clear" w:color="auto" w:fill="auto"/>
          </w:tcPr>
          <w:p>
            <w:pPr>
              <w:jc w:val="right"/>
              <w:rPr>
                <w:noProof/>
              </w:rPr>
            </w:pPr>
            <w:r>
              <w:rPr>
                <w:noProof/>
              </w:rPr>
              <w:t>8</w:t>
            </w:r>
          </w:p>
        </w:tc>
        <w:tc>
          <w:tcPr>
            <w:tcW w:w="1426" w:type="dxa"/>
            <w:shd w:val="clear" w:color="auto" w:fill="auto"/>
            <w:vAlign w:val="bottom"/>
          </w:tcPr>
          <w:p>
            <w:pPr>
              <w:jc w:val="right"/>
              <w:rPr>
                <w:noProof/>
              </w:rPr>
            </w:pPr>
            <w:r>
              <w:rPr>
                <w:noProof/>
              </w:rPr>
              <w:t>58.7</w:t>
            </w:r>
          </w:p>
        </w:tc>
        <w:tc>
          <w:tcPr>
            <w:tcW w:w="1431" w:type="dxa"/>
            <w:shd w:val="clear" w:color="auto" w:fill="auto"/>
            <w:vAlign w:val="bottom"/>
          </w:tcPr>
          <w:p>
            <w:pPr>
              <w:jc w:val="right"/>
              <w:rPr>
                <w:noProof/>
              </w:rPr>
            </w:pPr>
            <w:r>
              <w:rPr>
                <w:noProof/>
              </w:rPr>
              <w:t>1.5</w:t>
            </w:r>
          </w:p>
        </w:tc>
        <w:tc>
          <w:tcPr>
            <w:tcW w:w="1366" w:type="dxa"/>
            <w:shd w:val="clear" w:color="auto" w:fill="auto"/>
            <w:vAlign w:val="bottom"/>
          </w:tcPr>
          <w:p>
            <w:pPr>
              <w:jc w:val="right"/>
              <w:rPr>
                <w:noProof/>
              </w:rPr>
            </w:pPr>
            <w:r>
              <w:rPr>
                <w:noProof/>
              </w:rPr>
              <w:t>0.0</w:t>
            </w:r>
          </w:p>
        </w:tc>
        <w:tc>
          <w:tcPr>
            <w:tcW w:w="1481" w:type="dxa"/>
            <w:shd w:val="clear" w:color="auto" w:fill="auto"/>
            <w:vAlign w:val="bottom"/>
          </w:tcPr>
          <w:p>
            <w:pPr>
              <w:jc w:val="right"/>
              <w:rPr>
                <w:noProof/>
              </w:rPr>
            </w:pPr>
            <w:r>
              <w:rPr>
                <w:noProof/>
              </w:rPr>
              <w:t>60.2</w:t>
            </w:r>
          </w:p>
        </w:tc>
      </w:tr>
      <w:tr>
        <w:tc>
          <w:tcPr>
            <w:tcW w:w="1416" w:type="dxa"/>
            <w:shd w:val="clear" w:color="auto" w:fill="auto"/>
          </w:tcPr>
          <w:p>
            <w:pPr>
              <w:jc w:val="center"/>
              <w:rPr>
                <w:noProof/>
              </w:rPr>
            </w:pPr>
            <w:r>
              <w:rPr>
                <w:noProof/>
              </w:rPr>
              <w:t>2016</w:t>
            </w:r>
          </w:p>
        </w:tc>
        <w:tc>
          <w:tcPr>
            <w:tcW w:w="1430" w:type="dxa"/>
            <w:shd w:val="clear" w:color="auto" w:fill="auto"/>
            <w:vAlign w:val="center"/>
          </w:tcPr>
          <w:p>
            <w:pPr>
              <w:jc w:val="right"/>
              <w:rPr>
                <w:noProof/>
              </w:rPr>
            </w:pPr>
            <w:r>
              <w:rPr>
                <w:noProof/>
              </w:rPr>
              <w:t>12</w:t>
            </w:r>
          </w:p>
        </w:tc>
        <w:tc>
          <w:tcPr>
            <w:tcW w:w="1426" w:type="dxa"/>
            <w:shd w:val="clear" w:color="auto" w:fill="auto"/>
            <w:vAlign w:val="bottom"/>
          </w:tcPr>
          <w:p>
            <w:pPr>
              <w:jc w:val="right"/>
              <w:rPr>
                <w:noProof/>
              </w:rPr>
            </w:pPr>
            <w:r>
              <w:rPr>
                <w:noProof/>
              </w:rPr>
              <w:t>103.8</w:t>
            </w:r>
          </w:p>
        </w:tc>
        <w:tc>
          <w:tcPr>
            <w:tcW w:w="1431" w:type="dxa"/>
            <w:shd w:val="clear" w:color="auto" w:fill="auto"/>
            <w:vAlign w:val="bottom"/>
          </w:tcPr>
          <w:p>
            <w:pPr>
              <w:jc w:val="right"/>
              <w:rPr>
                <w:noProof/>
              </w:rPr>
            </w:pPr>
            <w:r>
              <w:rPr>
                <w:noProof/>
              </w:rPr>
              <w:t>2.4</w:t>
            </w:r>
          </w:p>
        </w:tc>
        <w:tc>
          <w:tcPr>
            <w:tcW w:w="1366" w:type="dxa"/>
            <w:shd w:val="clear" w:color="auto" w:fill="auto"/>
            <w:vAlign w:val="bottom"/>
          </w:tcPr>
          <w:p>
            <w:pPr>
              <w:jc w:val="right"/>
              <w:rPr>
                <w:noProof/>
              </w:rPr>
            </w:pPr>
            <w:r>
              <w:rPr>
                <w:noProof/>
              </w:rPr>
              <w:t>0.0</w:t>
            </w:r>
          </w:p>
        </w:tc>
        <w:tc>
          <w:tcPr>
            <w:tcW w:w="1481" w:type="dxa"/>
            <w:shd w:val="clear" w:color="auto" w:fill="auto"/>
            <w:vAlign w:val="bottom"/>
          </w:tcPr>
          <w:p>
            <w:pPr>
              <w:jc w:val="right"/>
              <w:rPr>
                <w:noProof/>
              </w:rPr>
            </w:pPr>
            <w:r>
              <w:rPr>
                <w:noProof/>
              </w:rPr>
              <w:t>106.2</w:t>
            </w:r>
          </w:p>
        </w:tc>
      </w:tr>
      <w:tr>
        <w:tc>
          <w:tcPr>
            <w:tcW w:w="1416" w:type="dxa"/>
            <w:shd w:val="clear" w:color="auto" w:fill="auto"/>
          </w:tcPr>
          <w:p>
            <w:pPr>
              <w:jc w:val="center"/>
              <w:rPr>
                <w:noProof/>
              </w:rPr>
            </w:pPr>
            <w:r>
              <w:rPr>
                <w:noProof/>
              </w:rPr>
              <w:t>Total</w:t>
            </w:r>
          </w:p>
        </w:tc>
        <w:tc>
          <w:tcPr>
            <w:tcW w:w="1430" w:type="dxa"/>
            <w:shd w:val="clear" w:color="auto" w:fill="auto"/>
            <w:vAlign w:val="center"/>
          </w:tcPr>
          <w:p>
            <w:pPr>
              <w:jc w:val="right"/>
              <w:rPr>
                <w:noProof/>
              </w:rPr>
            </w:pPr>
            <w:r>
              <w:rPr>
                <w:noProof/>
              </w:rPr>
              <w:t>38</w:t>
            </w:r>
          </w:p>
        </w:tc>
        <w:tc>
          <w:tcPr>
            <w:tcW w:w="1426" w:type="dxa"/>
            <w:shd w:val="clear" w:color="auto" w:fill="auto"/>
            <w:vAlign w:val="bottom"/>
          </w:tcPr>
          <w:p>
            <w:pPr>
              <w:jc w:val="right"/>
              <w:rPr>
                <w:noProof/>
              </w:rPr>
            </w:pPr>
            <w:r>
              <w:rPr>
                <w:noProof/>
              </w:rPr>
              <w:t>304.4</w:t>
            </w:r>
          </w:p>
        </w:tc>
        <w:tc>
          <w:tcPr>
            <w:tcW w:w="1431" w:type="dxa"/>
            <w:shd w:val="clear" w:color="auto" w:fill="auto"/>
            <w:vAlign w:val="bottom"/>
          </w:tcPr>
          <w:p>
            <w:pPr>
              <w:jc w:val="right"/>
              <w:rPr>
                <w:noProof/>
              </w:rPr>
            </w:pPr>
            <w:r>
              <w:rPr>
                <w:noProof/>
              </w:rPr>
              <w:t>6.8</w:t>
            </w:r>
          </w:p>
        </w:tc>
        <w:tc>
          <w:tcPr>
            <w:tcW w:w="1366" w:type="dxa"/>
            <w:shd w:val="clear" w:color="auto" w:fill="auto"/>
            <w:vAlign w:val="bottom"/>
          </w:tcPr>
          <w:p>
            <w:pPr>
              <w:jc w:val="right"/>
              <w:rPr>
                <w:noProof/>
              </w:rPr>
            </w:pPr>
            <w:r>
              <w:rPr>
                <w:noProof/>
              </w:rPr>
              <w:t>2.2</w:t>
            </w:r>
          </w:p>
        </w:tc>
        <w:tc>
          <w:tcPr>
            <w:tcW w:w="1481" w:type="dxa"/>
            <w:shd w:val="clear" w:color="auto" w:fill="auto"/>
            <w:vAlign w:val="bottom"/>
          </w:tcPr>
          <w:p>
            <w:pPr>
              <w:jc w:val="right"/>
              <w:rPr>
                <w:noProof/>
              </w:rPr>
            </w:pPr>
            <w:r>
              <w:rPr>
                <w:noProof/>
              </w:rPr>
              <w:t>309.1</w:t>
            </w:r>
          </w:p>
        </w:tc>
      </w:tr>
    </w:tbl>
    <w:p>
      <w:pPr>
        <w:spacing w:before="240" w:after="240"/>
        <w:rPr>
          <w:noProof/>
        </w:rPr>
      </w:pPr>
      <w:r>
        <w:rPr>
          <w:noProof/>
        </w:rPr>
        <w:t>At 31 December 2016, the total capital outstanding of guaranteed loans related to Syria amounted to EUR 555 million</w:t>
      </w:r>
      <w:r>
        <w:rPr>
          <w:rStyle w:val="FootnoteReference"/>
          <w:noProof/>
        </w:rPr>
        <w:footnoteReference w:id="33"/>
      </w:r>
      <w:r>
        <w:rPr>
          <w:noProof/>
        </w:rPr>
        <w:t>, with the final loan maturity in 2030.</w:t>
      </w:r>
    </w:p>
    <w:p>
      <w:pPr>
        <w:spacing w:before="100" w:beforeAutospacing="1"/>
        <w:rPr>
          <w:i/>
          <w:noProof/>
          <w:u w:val="single"/>
        </w:rPr>
      </w:pPr>
      <w:r>
        <w:rPr>
          <w:i/>
          <w:noProof/>
          <w:u w:val="single"/>
        </w:rPr>
        <w:t>TAV Tunisie S.A. (Enfidha airport)</w:t>
      </w:r>
    </w:p>
    <w:p>
      <w:pPr>
        <w:spacing w:before="100" w:beforeAutospacing="1"/>
        <w:rPr>
          <w:noProof/>
          <w:szCs w:val="20"/>
        </w:rPr>
      </w:pPr>
      <w:r>
        <w:rPr>
          <w:noProof/>
          <w:szCs w:val="20"/>
        </w:rPr>
        <w:t>The EIB called on 29 June 2016 the EU guarantee under the external lending mandate in relation to a loan to TAV Tunisie S.A. (Enfidha airport).</w:t>
      </w:r>
    </w:p>
    <w:p>
      <w:pPr>
        <w:spacing w:before="0"/>
        <w:rPr>
          <w:noProof/>
          <w:szCs w:val="20"/>
        </w:rPr>
      </w:pPr>
      <w:r>
        <w:rPr>
          <w:noProof/>
          <w:szCs w:val="20"/>
        </w:rPr>
        <w:t xml:space="preserve">On 29 September 2016, the European Commission paid EUR 4.65 million (payment of arrears and interests) to the EIB for the above mentioned guarantee call, which is currently being discussed with the EIB. </w:t>
      </w:r>
    </w:p>
    <w:p>
      <w:pPr>
        <w:spacing w:before="0"/>
        <w:jc w:val="left"/>
        <w:rPr>
          <w:noProof/>
          <w:szCs w:val="20"/>
        </w:rPr>
      </w:pPr>
      <w:r>
        <w:rPr>
          <w:noProof/>
          <w:szCs w:val="20"/>
        </w:rPr>
        <w:t>The call on the Fund corresponding to defaulting loan for TAV Tunisie S.A. (Enfidha airport) is presented in Table 4b.</w:t>
      </w:r>
      <w:r>
        <w:rPr>
          <w:noProof/>
          <w:szCs w:val="20"/>
        </w:rPr>
        <w:br w:type="page"/>
      </w:r>
    </w:p>
    <w:p>
      <w:pPr>
        <w:spacing w:after="0"/>
        <w:rPr>
          <w:noProof/>
          <w:sz w:val="18"/>
        </w:rPr>
      </w:pPr>
      <w:r>
        <w:rPr>
          <w:noProof/>
          <w:sz w:val="18"/>
        </w:rPr>
        <w:t>Table 4b: Call on the Guarantee Fund relating to TAV Tunisie S.A. (Enfidha airport) (in EUR million)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30"/>
        <w:gridCol w:w="1407"/>
        <w:gridCol w:w="1417"/>
        <w:gridCol w:w="1418"/>
        <w:gridCol w:w="1417"/>
      </w:tblGrid>
      <w:tr>
        <w:trPr>
          <w:trHeight w:val="1231"/>
        </w:trPr>
        <w:tc>
          <w:tcPr>
            <w:tcW w:w="1416" w:type="dxa"/>
            <w:shd w:val="clear" w:color="auto" w:fill="auto"/>
          </w:tcPr>
          <w:p>
            <w:pPr>
              <w:spacing w:after="240"/>
              <w:jc w:val="center"/>
              <w:rPr>
                <w:noProof/>
                <w:sz w:val="22"/>
              </w:rPr>
            </w:pPr>
            <w:r>
              <w:rPr>
                <w:noProof/>
                <w:sz w:val="22"/>
                <w:szCs w:val="22"/>
              </w:rPr>
              <w:t>Year</w:t>
            </w:r>
            <w:r>
              <w:rPr>
                <w:noProof/>
              </w:rPr>
              <w:t xml:space="preserve"> </w:t>
            </w:r>
            <w:r>
              <w:rPr>
                <w:noProof/>
                <w:sz w:val="22"/>
                <w:szCs w:val="22"/>
              </w:rPr>
              <w:t>of withdrawal</w:t>
            </w:r>
            <w:r>
              <w:rPr>
                <w:noProof/>
                <w:sz w:val="22"/>
              </w:rPr>
              <w:t xml:space="preserve"> </w:t>
            </w:r>
          </w:p>
        </w:tc>
        <w:tc>
          <w:tcPr>
            <w:tcW w:w="1430" w:type="dxa"/>
            <w:shd w:val="clear" w:color="auto" w:fill="auto"/>
          </w:tcPr>
          <w:p>
            <w:pPr>
              <w:spacing w:after="240"/>
              <w:jc w:val="center"/>
              <w:rPr>
                <w:noProof/>
                <w:sz w:val="22"/>
              </w:rPr>
            </w:pPr>
            <w:r>
              <w:rPr>
                <w:noProof/>
                <w:sz w:val="22"/>
              </w:rPr>
              <w:t>Number of calls paid</w:t>
            </w:r>
          </w:p>
        </w:tc>
        <w:tc>
          <w:tcPr>
            <w:tcW w:w="1407" w:type="dxa"/>
            <w:shd w:val="clear" w:color="auto" w:fill="auto"/>
          </w:tcPr>
          <w:p>
            <w:pPr>
              <w:spacing w:after="240"/>
              <w:jc w:val="center"/>
              <w:rPr>
                <w:noProof/>
                <w:sz w:val="22"/>
              </w:rPr>
            </w:pPr>
            <w:r>
              <w:rPr>
                <w:noProof/>
                <w:sz w:val="22"/>
              </w:rPr>
              <w:t>Amount of due instalments</w:t>
            </w:r>
          </w:p>
        </w:tc>
        <w:tc>
          <w:tcPr>
            <w:tcW w:w="1417" w:type="dxa"/>
            <w:shd w:val="clear" w:color="auto" w:fill="auto"/>
          </w:tcPr>
          <w:p>
            <w:pPr>
              <w:spacing w:after="240"/>
              <w:jc w:val="center"/>
              <w:rPr>
                <w:noProof/>
                <w:sz w:val="22"/>
              </w:rPr>
            </w:pPr>
            <w:r>
              <w:rPr>
                <w:noProof/>
                <w:sz w:val="22"/>
              </w:rPr>
              <w:t>Penalties and accrued interest</w:t>
            </w:r>
            <w:r>
              <w:rPr>
                <w:noProof/>
                <w:sz w:val="22"/>
                <w:vertAlign w:val="superscript"/>
              </w:rPr>
              <w:t>32</w:t>
            </w:r>
            <w:r>
              <w:rPr>
                <w:noProof/>
                <w:sz w:val="22"/>
              </w:rPr>
              <w:t xml:space="preserve"> </w:t>
            </w:r>
          </w:p>
        </w:tc>
        <w:tc>
          <w:tcPr>
            <w:tcW w:w="1418" w:type="dxa"/>
            <w:shd w:val="clear" w:color="auto" w:fill="auto"/>
          </w:tcPr>
          <w:p>
            <w:pPr>
              <w:spacing w:after="240"/>
              <w:jc w:val="center"/>
              <w:rPr>
                <w:noProof/>
                <w:sz w:val="22"/>
              </w:rPr>
            </w:pPr>
            <w:r>
              <w:rPr>
                <w:noProof/>
                <w:sz w:val="22"/>
              </w:rPr>
              <w:t>Amount recovered</w:t>
            </w:r>
          </w:p>
        </w:tc>
        <w:tc>
          <w:tcPr>
            <w:tcW w:w="1417" w:type="dxa"/>
            <w:shd w:val="clear" w:color="auto" w:fill="auto"/>
          </w:tcPr>
          <w:p>
            <w:pPr>
              <w:spacing w:after="240"/>
              <w:jc w:val="center"/>
              <w:rPr>
                <w:noProof/>
                <w:sz w:val="22"/>
              </w:rPr>
            </w:pPr>
            <w:r>
              <w:rPr>
                <w:noProof/>
                <w:sz w:val="22"/>
              </w:rPr>
              <w:t>Total</w:t>
            </w:r>
          </w:p>
        </w:tc>
      </w:tr>
      <w:tr>
        <w:tc>
          <w:tcPr>
            <w:tcW w:w="1416" w:type="dxa"/>
            <w:shd w:val="clear" w:color="auto" w:fill="auto"/>
            <w:vAlign w:val="center"/>
          </w:tcPr>
          <w:p>
            <w:pPr>
              <w:spacing w:after="240"/>
              <w:jc w:val="center"/>
              <w:rPr>
                <w:noProof/>
                <w:sz w:val="22"/>
              </w:rPr>
            </w:pPr>
            <w:r>
              <w:rPr>
                <w:noProof/>
                <w:sz w:val="22"/>
                <w:szCs w:val="22"/>
              </w:rPr>
              <w:t>2016</w:t>
            </w:r>
          </w:p>
        </w:tc>
        <w:tc>
          <w:tcPr>
            <w:tcW w:w="1430" w:type="dxa"/>
            <w:shd w:val="clear" w:color="auto" w:fill="auto"/>
            <w:vAlign w:val="center"/>
          </w:tcPr>
          <w:p>
            <w:pPr>
              <w:spacing w:after="240"/>
              <w:jc w:val="right"/>
              <w:rPr>
                <w:noProof/>
                <w:sz w:val="22"/>
              </w:rPr>
            </w:pPr>
            <w:r>
              <w:rPr>
                <w:noProof/>
                <w:sz w:val="22"/>
                <w:szCs w:val="22"/>
              </w:rPr>
              <w:t>1</w:t>
            </w:r>
          </w:p>
        </w:tc>
        <w:tc>
          <w:tcPr>
            <w:tcW w:w="1407" w:type="dxa"/>
            <w:shd w:val="clear" w:color="auto" w:fill="auto"/>
            <w:vAlign w:val="center"/>
          </w:tcPr>
          <w:p>
            <w:pPr>
              <w:spacing w:after="240"/>
              <w:jc w:val="right"/>
              <w:rPr>
                <w:noProof/>
                <w:sz w:val="22"/>
              </w:rPr>
            </w:pPr>
            <w:r>
              <w:rPr>
                <w:noProof/>
                <w:sz w:val="22"/>
                <w:szCs w:val="22"/>
              </w:rPr>
              <w:t>4.56</w:t>
            </w:r>
          </w:p>
        </w:tc>
        <w:tc>
          <w:tcPr>
            <w:tcW w:w="1417" w:type="dxa"/>
            <w:shd w:val="clear" w:color="auto" w:fill="auto"/>
            <w:vAlign w:val="center"/>
          </w:tcPr>
          <w:p>
            <w:pPr>
              <w:spacing w:after="240"/>
              <w:jc w:val="right"/>
              <w:rPr>
                <w:noProof/>
                <w:sz w:val="22"/>
              </w:rPr>
            </w:pPr>
            <w:r>
              <w:rPr>
                <w:noProof/>
                <w:sz w:val="22"/>
                <w:szCs w:val="22"/>
              </w:rPr>
              <w:t>0.09</w:t>
            </w:r>
          </w:p>
        </w:tc>
        <w:tc>
          <w:tcPr>
            <w:tcW w:w="1418" w:type="dxa"/>
            <w:shd w:val="clear" w:color="auto" w:fill="auto"/>
            <w:vAlign w:val="center"/>
          </w:tcPr>
          <w:p>
            <w:pPr>
              <w:spacing w:after="240"/>
              <w:jc w:val="right"/>
              <w:rPr>
                <w:noProof/>
                <w:sz w:val="22"/>
              </w:rPr>
            </w:pPr>
            <w:r>
              <w:rPr>
                <w:noProof/>
                <w:sz w:val="22"/>
                <w:szCs w:val="22"/>
              </w:rPr>
              <w:t>0.00</w:t>
            </w:r>
          </w:p>
        </w:tc>
        <w:tc>
          <w:tcPr>
            <w:tcW w:w="1417" w:type="dxa"/>
            <w:shd w:val="clear" w:color="auto" w:fill="auto"/>
            <w:vAlign w:val="center"/>
          </w:tcPr>
          <w:p>
            <w:pPr>
              <w:spacing w:after="240"/>
              <w:jc w:val="right"/>
              <w:rPr>
                <w:noProof/>
                <w:sz w:val="22"/>
              </w:rPr>
            </w:pPr>
            <w:r>
              <w:rPr>
                <w:noProof/>
                <w:sz w:val="22"/>
                <w:szCs w:val="22"/>
              </w:rPr>
              <w:t>4.65</w:t>
            </w:r>
          </w:p>
        </w:tc>
      </w:tr>
      <w:tr>
        <w:tc>
          <w:tcPr>
            <w:tcW w:w="1416" w:type="dxa"/>
            <w:shd w:val="clear" w:color="auto" w:fill="auto"/>
          </w:tcPr>
          <w:p>
            <w:pPr>
              <w:spacing w:after="240"/>
              <w:jc w:val="center"/>
              <w:rPr>
                <w:noProof/>
                <w:sz w:val="22"/>
              </w:rPr>
            </w:pPr>
            <w:r>
              <w:rPr>
                <w:noProof/>
                <w:sz w:val="22"/>
              </w:rPr>
              <w:t>Total</w:t>
            </w:r>
          </w:p>
        </w:tc>
        <w:tc>
          <w:tcPr>
            <w:tcW w:w="1430" w:type="dxa"/>
            <w:shd w:val="clear" w:color="auto" w:fill="auto"/>
            <w:vAlign w:val="center"/>
          </w:tcPr>
          <w:p>
            <w:pPr>
              <w:spacing w:after="240"/>
              <w:jc w:val="right"/>
              <w:rPr>
                <w:noProof/>
                <w:sz w:val="22"/>
              </w:rPr>
            </w:pPr>
            <w:r>
              <w:rPr>
                <w:noProof/>
                <w:sz w:val="22"/>
                <w:szCs w:val="22"/>
              </w:rPr>
              <w:t>1</w:t>
            </w:r>
          </w:p>
        </w:tc>
        <w:tc>
          <w:tcPr>
            <w:tcW w:w="1407" w:type="dxa"/>
            <w:shd w:val="clear" w:color="auto" w:fill="auto"/>
            <w:vAlign w:val="center"/>
          </w:tcPr>
          <w:p>
            <w:pPr>
              <w:spacing w:after="240"/>
              <w:jc w:val="right"/>
              <w:rPr>
                <w:noProof/>
                <w:sz w:val="22"/>
              </w:rPr>
            </w:pPr>
            <w:r>
              <w:rPr>
                <w:noProof/>
                <w:sz w:val="22"/>
                <w:szCs w:val="22"/>
              </w:rPr>
              <w:t>4.56</w:t>
            </w:r>
          </w:p>
        </w:tc>
        <w:tc>
          <w:tcPr>
            <w:tcW w:w="1417" w:type="dxa"/>
            <w:shd w:val="clear" w:color="auto" w:fill="auto"/>
            <w:vAlign w:val="center"/>
          </w:tcPr>
          <w:p>
            <w:pPr>
              <w:spacing w:after="240"/>
              <w:jc w:val="right"/>
              <w:rPr>
                <w:noProof/>
                <w:sz w:val="22"/>
              </w:rPr>
            </w:pPr>
            <w:r>
              <w:rPr>
                <w:noProof/>
                <w:sz w:val="22"/>
                <w:szCs w:val="22"/>
              </w:rPr>
              <w:t>0.09</w:t>
            </w:r>
          </w:p>
        </w:tc>
        <w:tc>
          <w:tcPr>
            <w:tcW w:w="1418" w:type="dxa"/>
            <w:shd w:val="clear" w:color="auto" w:fill="auto"/>
            <w:vAlign w:val="center"/>
          </w:tcPr>
          <w:p>
            <w:pPr>
              <w:spacing w:after="240"/>
              <w:jc w:val="right"/>
              <w:rPr>
                <w:noProof/>
                <w:sz w:val="22"/>
              </w:rPr>
            </w:pPr>
            <w:r>
              <w:rPr>
                <w:noProof/>
                <w:sz w:val="22"/>
                <w:szCs w:val="22"/>
              </w:rPr>
              <w:t>0.00</w:t>
            </w:r>
          </w:p>
        </w:tc>
        <w:tc>
          <w:tcPr>
            <w:tcW w:w="1417" w:type="dxa"/>
            <w:shd w:val="clear" w:color="auto" w:fill="auto"/>
            <w:vAlign w:val="center"/>
          </w:tcPr>
          <w:p>
            <w:pPr>
              <w:spacing w:after="240"/>
              <w:jc w:val="right"/>
              <w:rPr>
                <w:noProof/>
                <w:sz w:val="22"/>
              </w:rPr>
            </w:pPr>
            <w:r>
              <w:rPr>
                <w:noProof/>
                <w:sz w:val="22"/>
                <w:szCs w:val="22"/>
              </w:rPr>
              <w:t>4.65</w:t>
            </w:r>
          </w:p>
        </w:tc>
      </w:tr>
    </w:tbl>
    <w:p>
      <w:pPr>
        <w:spacing w:before="240" w:after="240"/>
        <w:rPr>
          <w:noProof/>
        </w:rPr>
      </w:pPr>
      <w:r>
        <w:rPr>
          <w:noProof/>
        </w:rPr>
        <w:t>At 31 December 2016, the total capital outstanding of guaranteed loans related to TAV Tunisie S.A. (Enfidha airport) amounts to EUR 64.4 million</w:t>
      </w:r>
      <w:r>
        <w:rPr>
          <w:rStyle w:val="FootnoteReference"/>
          <w:noProof/>
        </w:rPr>
        <w:footnoteReference w:id="34"/>
      </w:r>
      <w:r>
        <w:rPr>
          <w:noProof/>
        </w:rPr>
        <w:t>, with the final loan maturity in 2028.</w:t>
      </w:r>
    </w:p>
    <w:p>
      <w:pPr>
        <w:spacing w:before="0" w:after="240"/>
        <w:rPr>
          <w:noProof/>
          <w:u w:val="single"/>
        </w:rPr>
      </w:pPr>
      <w:r>
        <w:rPr>
          <w:noProof/>
          <w:u w:val="single"/>
        </w:rPr>
        <w:t>Developments subsequent to 31 December 2016 (until 30 June 2017)</w:t>
      </w:r>
    </w:p>
    <w:p>
      <w:pPr>
        <w:spacing w:before="0" w:after="240"/>
        <w:rPr>
          <w:noProof/>
        </w:rPr>
      </w:pPr>
      <w:r>
        <w:rPr>
          <w:noProof/>
        </w:rPr>
        <w:t>By the end of June 2017, six additionnal calls related to Syria for a total amount of EUR 28.38 million (including interest and penalties) and one additionnal call related to TAV Tunisie S.A. (Enfidha airport) for a total amount of EUR 2.21 million (including interest and penalties) have been received.</w:t>
      </w:r>
    </w:p>
    <w:p>
      <w:pPr>
        <w:pStyle w:val="ManualHeading2"/>
        <w:rPr>
          <w:noProof/>
        </w:rPr>
      </w:pPr>
      <w:bookmarkStart w:id="366" w:name="_Toc390944405"/>
      <w:bookmarkStart w:id="367" w:name="_Toc393969976"/>
      <w:bookmarkStart w:id="368" w:name="_Toc417461982"/>
      <w:bookmarkStart w:id="369" w:name="_Toc417998616"/>
      <w:bookmarkStart w:id="370" w:name="_Toc418157643"/>
      <w:bookmarkStart w:id="371" w:name="_Toc418160324"/>
      <w:bookmarkStart w:id="372" w:name="_Toc446577191"/>
      <w:bookmarkStart w:id="373" w:name="_Toc452646737"/>
      <w:bookmarkStart w:id="374" w:name="_Toc453161376"/>
      <w:bookmarkStart w:id="375" w:name="_Toc486601279"/>
      <w:bookmarkStart w:id="376" w:name="_Toc495658626"/>
      <w:r>
        <w:rPr>
          <w:noProof/>
        </w:rPr>
        <w:t>5.2.</w:t>
      </w:r>
      <w:r>
        <w:rPr>
          <w:noProof/>
        </w:rPr>
        <w:tab/>
        <w:t>Evolution of the Fund</w:t>
      </w:r>
      <w:bookmarkEnd w:id="366"/>
      <w:bookmarkEnd w:id="367"/>
      <w:bookmarkEnd w:id="368"/>
      <w:bookmarkEnd w:id="369"/>
      <w:bookmarkEnd w:id="370"/>
      <w:bookmarkEnd w:id="371"/>
      <w:bookmarkEnd w:id="372"/>
      <w:bookmarkEnd w:id="373"/>
      <w:bookmarkEnd w:id="374"/>
      <w:bookmarkEnd w:id="375"/>
      <w:bookmarkEnd w:id="376"/>
    </w:p>
    <w:p>
      <w:pPr>
        <w:rPr>
          <w:noProof/>
        </w:rPr>
      </w:pPr>
      <w:r>
        <w:rPr>
          <w:noProof/>
        </w:rPr>
        <w:t>In accordance with the Guarantee Fund Regulation, the Fund has to reach an appropriate level (target amount) set at 9% of the total outstanding capital liabilities arising from each operation, plus accrued interest. A provisioning mechanism is in place to ensure the target amount is met.</w:t>
      </w:r>
    </w:p>
    <w:p>
      <w:pPr>
        <w:rPr>
          <w:noProof/>
        </w:rPr>
      </w:pPr>
      <w:r>
        <w:rPr>
          <w:noProof/>
        </w:rPr>
        <w:t xml:space="preserve">On the basis of the provisioning mechanism, the EU budget paid </w:t>
      </w:r>
      <w:r>
        <w:rPr>
          <w:noProof/>
          <w:color w:val="000000"/>
        </w:rPr>
        <w:t>EUR </w:t>
      </w:r>
      <w:r>
        <w:rPr>
          <w:noProof/>
        </w:rPr>
        <w:t xml:space="preserve">257.12 </w:t>
      </w:r>
      <w:r>
        <w:rPr>
          <w:noProof/>
          <w:color w:val="000000"/>
        </w:rPr>
        <w:t xml:space="preserve">million to the Fund </w:t>
      </w:r>
      <w:r>
        <w:rPr>
          <w:noProof/>
        </w:rPr>
        <w:t xml:space="preserve">in February 2016, </w:t>
      </w:r>
      <w:r>
        <w:rPr>
          <w:noProof/>
          <w:color w:val="000000"/>
        </w:rPr>
        <w:t xml:space="preserve">while </w:t>
      </w:r>
      <w:r>
        <w:rPr>
          <w:noProof/>
        </w:rPr>
        <w:t>in February 2017 the respective payment amounted to EUR 240.54 million.</w:t>
      </w:r>
    </w:p>
    <w:p>
      <w:pPr>
        <w:rPr>
          <w:noProof/>
        </w:rPr>
      </w:pPr>
      <w:r>
        <w:rPr>
          <w:noProof/>
        </w:rPr>
        <w:t>At 31 December 2016, the net assets</w:t>
      </w:r>
      <w:r>
        <w:rPr>
          <w:rStyle w:val="Funotenzeichen"/>
          <w:noProof/>
        </w:rPr>
        <w:footnoteReference w:id="35"/>
      </w:r>
      <w:r>
        <w:rPr>
          <w:noProof/>
        </w:rPr>
        <w:t xml:space="preserve"> of the Fund amounted to</w:t>
      </w:r>
      <w:r>
        <w:rPr>
          <w:noProof/>
          <w:color w:val="000000"/>
        </w:rPr>
        <w:t xml:space="preserve"> EUR 2 505.14 million. </w:t>
      </w:r>
      <w:r>
        <w:rPr>
          <w:noProof/>
        </w:rPr>
        <w:t xml:space="preserve">The ratio between the net assets </w:t>
      </w:r>
      <w:r>
        <w:rPr>
          <w:noProof/>
          <w:color w:val="000000"/>
        </w:rPr>
        <w:t>and the</w:t>
      </w:r>
      <w:r>
        <w:rPr>
          <w:noProof/>
        </w:rPr>
        <w:t xml:space="preserve"> outstanding capital liabilities</w:t>
      </w:r>
      <w:r>
        <w:rPr>
          <w:rStyle w:val="Funotenzeichen"/>
          <w:noProof/>
        </w:rPr>
        <w:footnoteReference w:id="36"/>
      </w:r>
      <w:r>
        <w:rPr>
          <w:noProof/>
        </w:rPr>
        <w:t xml:space="preserve"> (</w:t>
      </w:r>
      <w:r>
        <w:rPr>
          <w:noProof/>
          <w:color w:val="000000"/>
        </w:rPr>
        <w:t xml:space="preserve">EUR 29 365.98 million), </w:t>
      </w:r>
      <w:r>
        <w:rPr>
          <w:noProof/>
        </w:rPr>
        <w:t xml:space="preserve">within the meaning of the Guarantee Fund Regulation, </w:t>
      </w:r>
      <w:r>
        <w:rPr>
          <w:noProof/>
          <w:color w:val="000000"/>
        </w:rPr>
        <w:t>was</w:t>
      </w:r>
      <w:r>
        <w:rPr>
          <w:noProof/>
        </w:rPr>
        <w:t xml:space="preserve"> lower than the target amount. Consequently, a provisioning of </w:t>
      </w:r>
      <w:r>
        <w:rPr>
          <w:noProof/>
          <w:color w:val="000000"/>
        </w:rPr>
        <w:t>EUR 137.80 million was inserted</w:t>
      </w:r>
      <w:r>
        <w:rPr>
          <w:noProof/>
        </w:rPr>
        <w:t xml:space="preserve"> in the preliminary EU budget of 2018.</w:t>
      </w:r>
    </w:p>
    <w:p>
      <w:pPr>
        <w:rPr>
          <w:noProof/>
        </w:rPr>
      </w:pPr>
      <w:r>
        <w:rPr>
          <w:noProof/>
        </w:rPr>
        <w:t xml:space="preserve">A review to assess the main parameters of the Fund, in particular the target rate, should be undertaken at the time of the mid-term review of the EIB external lending mandate. Therefore, an evaluation of the Guarantee Fund was carried out by an external contractor taking into account the risk profile of the Fund and its effectiveness in the light of the evolution of the external financing covered by the Fund and the related risks. The report was delivered in August 2016 and the main </w:t>
      </w:r>
      <w:r>
        <w:rPr>
          <w:bCs/>
          <w:noProof/>
        </w:rPr>
        <w:t>conclusion was that a</w:t>
      </w:r>
      <w:r>
        <w:rPr>
          <w:noProof/>
        </w:rPr>
        <w:t xml:space="preserve"> 9% Target Rate is still deemed optimal for the current risk level of the loans portfolio, even under a scenario of further rating downgrades of the main obligors. Therefore, the 9% Target Rate is kept unchanged.</w:t>
      </w:r>
    </w:p>
    <w:p>
      <w:pPr>
        <w:rPr>
          <w:noProof/>
        </w:rPr>
      </w:pPr>
    </w:p>
    <w:p>
      <w:pPr>
        <w:pStyle w:val="ManualHeading1"/>
        <w:spacing w:before="0"/>
        <w:ind w:left="851" w:hanging="851"/>
        <w:rPr>
          <w:noProof/>
        </w:rPr>
      </w:pPr>
      <w:bookmarkStart w:id="377" w:name="_Toc495658627"/>
      <w:r>
        <w:rPr>
          <w:noProof/>
        </w:rPr>
        <w:t>6.</w:t>
      </w:r>
      <w:r>
        <w:rPr>
          <w:noProof/>
        </w:rPr>
        <w:tab/>
        <w:t>The European Fund for Strategic Investments (EFSI)</w:t>
      </w:r>
      <w:r>
        <w:rPr>
          <w:rStyle w:val="FootnoteReference"/>
          <w:noProof/>
        </w:rPr>
        <w:t xml:space="preserve"> </w:t>
      </w:r>
      <w:r>
        <w:rPr>
          <w:rStyle w:val="FootnoteReference"/>
          <w:noProof/>
        </w:rPr>
        <w:footnoteReference w:id="37"/>
      </w:r>
      <w:bookmarkEnd w:id="377"/>
    </w:p>
    <w:p>
      <w:pPr>
        <w:rPr>
          <w:noProof/>
        </w:rPr>
      </w:pPr>
      <w:r>
        <w:rPr>
          <w:noProof/>
        </w:rPr>
        <w:t>The EU Guarantee covers financing and investment operations signed by the EIB under the Infrastructure and Innovation Window ("IIW") and by the EIF under the SME</w:t>
      </w:r>
      <w:r>
        <w:rPr>
          <w:rStyle w:val="FootnoteReference"/>
          <w:noProof/>
        </w:rPr>
        <w:footnoteReference w:id="38"/>
      </w:r>
      <w:r>
        <w:rPr>
          <w:noProof/>
        </w:rPr>
        <w:t xml:space="preserve"> Window ("SMEW"). Part of these operations are covered by the EU Guarantee while the other part is carried out at the own risk of the EIB Group.</w:t>
      </w:r>
    </w:p>
    <w:p>
      <w:pPr>
        <w:rPr>
          <w:noProof/>
        </w:rPr>
      </w:pPr>
      <w:r>
        <w:rPr>
          <w:noProof/>
        </w:rPr>
        <w:t xml:space="preserve">According to Article 12 of the EFSI Regulation, the EFSI Guarantee Fund ("EFSI GF") shall constitute a liquidity cushion from which the EIB shall be paid in the event of a call on the EU guarantee. In accordance with the EFSI Agreement between the EU and the EIB, calls are paid by the EFSI GF if their amount is in excess of the funds at the disposal of the EIB on the EFSI Account. The EFSI Account, managed by the EIB, has been established for the purposes of collecting the EU revenues resulting from EFSI operations under the EU guarantee and recovered amounts and to the extent of the available balance, for the payment of calls under the EU guarantee. </w:t>
      </w:r>
    </w:p>
    <w:p>
      <w:pPr>
        <w:rPr>
          <w:noProof/>
        </w:rPr>
      </w:pPr>
      <w:r>
        <w:rPr>
          <w:noProof/>
        </w:rPr>
        <w:t>The EFSI GF is provisioned progressively taking into account the increase in exposure borne by the EU Guarantee.</w:t>
      </w:r>
    </w:p>
    <w:p>
      <w:pPr>
        <w:rPr>
          <w:noProof/>
        </w:rPr>
      </w:pPr>
      <w:r>
        <w:rPr>
          <w:noProof/>
        </w:rPr>
        <w:t xml:space="preserve">The resources of the EFSI GF are directly managed by the Commission and invested in accordance with the principle of sound financial management following appropriate prudential rules. </w:t>
      </w:r>
    </w:p>
    <w:p>
      <w:pPr>
        <w:rPr>
          <w:noProof/>
          <w:u w:val="single"/>
        </w:rPr>
      </w:pPr>
      <w:r>
        <w:rPr>
          <w:noProof/>
          <w:u w:val="single"/>
        </w:rPr>
        <w:t>Developments during 2016</w:t>
      </w:r>
    </w:p>
    <w:p>
      <w:pPr>
        <w:rPr>
          <w:noProof/>
        </w:rPr>
      </w:pPr>
      <w:r>
        <w:rPr>
          <w:noProof/>
        </w:rPr>
        <w:t xml:space="preserve">The guarantee exposure of the EU in relation to disbursed outstanding EFSI operations by the EIB Group amounted to EUR 4 392 million, as at 31 December 2016, out of the legal commitment of EUR 16 billion guaranteed by the EU (Article 11 of the EFSI Regulation). The amount of EUR 4 392 million is recorded as a contingent liability in the notes to the 2016 financial statements of the EU. </w:t>
      </w:r>
    </w:p>
    <w:p>
      <w:pPr>
        <w:rPr>
          <w:noProof/>
        </w:rPr>
      </w:pPr>
      <w:r>
        <w:rPr>
          <w:noProof/>
        </w:rPr>
        <w:t>Under the IIW, the outstanding disbursed exposure covered by the EU Guarantee was EUR 4.02 billion, of which EUR 3.98 billion for debt operations and EUR 0.04 billion for equity-type operations</w:t>
      </w:r>
      <w:r>
        <w:rPr>
          <w:noProof/>
          <w:vertAlign w:val="superscript"/>
        </w:rPr>
        <w:footnoteReference w:id="39"/>
      </w:r>
      <w:r>
        <w:rPr>
          <w:noProof/>
        </w:rPr>
        <w:t>.</w:t>
      </w:r>
    </w:p>
    <w:p>
      <w:pPr>
        <w:rPr>
          <w:noProof/>
        </w:rPr>
      </w:pPr>
      <w:r>
        <w:rPr>
          <w:noProof/>
        </w:rPr>
        <w:t xml:space="preserve">As of end 2016 under SMEW, the total outstanding exposure covered by the EU Guarantee was EUR 369.7 million, of which EUR 364.8 million for guarantee operations and </w:t>
      </w:r>
      <w:r>
        <w:rPr>
          <w:noProof/>
        </w:rPr>
        <w:br w:type="textWrapping" w:clear="all"/>
        <w:t xml:space="preserve">EUR 5 million for equity operations. </w:t>
      </w:r>
    </w:p>
    <w:p>
      <w:pPr>
        <w:rPr>
          <w:noProof/>
        </w:rPr>
      </w:pPr>
      <w:r>
        <w:rPr>
          <w:noProof/>
        </w:rPr>
        <w:t>The net assets of the Guarantee Fund stood at EUR 1 020 million as at 31/12/2016.</w:t>
      </w:r>
    </w:p>
    <w:p>
      <w:pPr>
        <w:rPr>
          <w:noProof/>
        </w:rPr>
      </w:pPr>
      <w:r>
        <w:rPr>
          <w:noProof/>
        </w:rPr>
        <w:t>As of end-2016, total cumulated signatures under EFSI amounted to EUR 21.3 billion covering 28 Member States, of which an amount of EUR 14.2 billion was signed</w:t>
      </w:r>
      <w:r>
        <w:rPr>
          <w:rStyle w:val="FootnoteReference"/>
          <w:noProof/>
        </w:rPr>
        <w:footnoteReference w:id="40"/>
      </w:r>
      <w:r>
        <w:rPr>
          <w:noProof/>
        </w:rPr>
        <w:t xml:space="preserve"> by the EIB (121 operations) and EUR 7.1 was signed by the EIF (225 operations). Overall, this represents a significant increase compared to 2015, at the end of which total signatures amounted to EUR 1.2 billion.</w:t>
      </w:r>
    </w:p>
    <w:p>
      <w:pPr>
        <w:rPr>
          <w:noProof/>
        </w:rPr>
      </w:pPr>
      <w:r>
        <w:rPr>
          <w:noProof/>
        </w:rPr>
        <w:t>For more information on the management of the EFSI Guarantee Fund, see the last version of the report from the Commission to the European Parliament, the Council and the Court of Auditors on the management of the Guarantee Fund of the European fund for strategic investments</w:t>
      </w:r>
      <w:r>
        <w:rPr>
          <w:rStyle w:val="FootnoteReference"/>
          <w:noProof/>
        </w:rPr>
        <w:footnoteReference w:id="41"/>
      </w:r>
      <w:r>
        <w:rPr>
          <w:noProof/>
        </w:rPr>
        <w:t xml:space="preserve"> and the associated Staff Working Document (SWD).</w:t>
      </w:r>
    </w:p>
    <w:sectPr>
      <w:headerReference w:type="even" r:id="rId22"/>
      <w:headerReference w:type="default" r:id="rId23"/>
      <w:footerReference w:type="even" r:id="rId24"/>
      <w:footerReference w:type="default" r:id="rId25"/>
      <w:headerReference w:type="first" r:id="rId26"/>
      <w:footerReference w:type="first" r:id="rId2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_GOPA TheSerif Light">
    <w:altName w:val="Times New Roman"/>
    <w:charset w:val="00"/>
    <w:family w:val="roman"/>
    <w:pitch w:val="variable"/>
    <w:sig w:usb0="8000006F" w:usb1="5000204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tabs>
        <w:tab w:val="left" w:pos="507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noProof/>
      </w:rPr>
    </w:pPr>
    <w:r>
      <w:fldChar w:fldCharType="begin"/>
    </w:r>
    <w:r>
      <w:instrText xml:space="preserve"> PAGE   \* MERGEFORMAT </w:instrText>
    </w:r>
    <w:r>
      <w:fldChar w:fldCharType="separate"/>
    </w:r>
    <w:r>
      <w:rPr>
        <w:noProof/>
      </w:rPr>
      <w:t>15</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Regulation (EU, Euratom) No 966/2012 of the European Parliament and of the Council of 25 October 2012 on the financial rules applicable to the general budget of the Union and repealing Council Regulation (EC, Euratom) No 1605/2002 (OJ L 298, 26.10.2012, p. 1).</w:t>
      </w:r>
    </w:p>
  </w:footnote>
  <w:footnote w:id="3">
    <w:p>
      <w:pPr>
        <w:pStyle w:val="FootnoteText"/>
      </w:pPr>
      <w:r>
        <w:rPr>
          <w:rStyle w:val="FootnoteReference"/>
        </w:rPr>
        <w:footnoteRef/>
      </w:r>
      <w:r>
        <w:tab/>
        <w:t>Council Regulation (EC, Euratom) No 480/2009 of 25 May 2009 establishing a Guarantee Fund for external actions (codified version), the "Guarantee Fund Regulation" (OJ L 145, 10.6.2009, p.10).</w:t>
      </w:r>
    </w:p>
  </w:footnote>
  <w:footnote w:id="4">
    <w:p>
      <w:pPr>
        <w:pStyle w:val="FootnoteText"/>
      </w:pPr>
      <w:r>
        <w:rPr>
          <w:rStyle w:val="FootnoteReference"/>
        </w:rPr>
        <w:footnoteRef/>
      </w:r>
      <w:r>
        <w:t xml:space="preserve"> </w:t>
      </w:r>
      <w:r>
        <w:tab/>
        <w:t>Regulation (EU) 2015/1017 of the European Parliament and of the Council of 25 June 2015 on the European Fund for Strategic Investments, the European Investment Advisory Hub and the European Investment Project Portal and amending Regulations (EU) No 1291/2013 and (EU) No 1316/2013 — the European Fund for Strategic Investments  (the "EFSI Regulation"). OJ L 169, 1.7.2015, p. 1.</w:t>
      </w:r>
    </w:p>
  </w:footnote>
  <w:footnote w:id="5">
    <w:p>
      <w:pPr>
        <w:pStyle w:val="FootnoteText"/>
      </w:pPr>
      <w:r>
        <w:rPr>
          <w:rStyle w:val="FootnoteReference"/>
        </w:rPr>
        <w:footnoteRef/>
      </w:r>
      <w:r>
        <w:tab/>
        <w:t xml:space="preserve">MFA may also take the form of grants to third countries. </w:t>
      </w:r>
      <w:r>
        <w:rPr>
          <w:color w:val="000000"/>
        </w:rPr>
        <w:t>References to legal bases are listed in the Annex of Table A2B of the SWD.</w:t>
      </w:r>
    </w:p>
  </w:footnote>
  <w:footnote w:id="6">
    <w:p>
      <w:pPr>
        <w:pStyle w:val="FootnoteText"/>
      </w:pPr>
      <w:r>
        <w:rPr>
          <w:rStyle w:val="FootnoteReference"/>
        </w:rPr>
        <w:footnoteRef/>
      </w:r>
      <w:r>
        <w:tab/>
        <w:t>Council Regulation (EC) N° 332/2002 of 18 February 2002 establishing a facility providing medium-term financial assistance for Member States' balances of payments (OJ L 53, 23.2.2002, p.1).</w:t>
      </w:r>
    </w:p>
  </w:footnote>
  <w:footnote w:id="7">
    <w:p>
      <w:pPr>
        <w:pStyle w:val="FootnoteText"/>
      </w:pPr>
      <w:r>
        <w:rPr>
          <w:rStyle w:val="FootnoteReference"/>
        </w:rPr>
        <w:footnoteRef/>
      </w:r>
      <w:r>
        <w:tab/>
        <w:t xml:space="preserve">Council Regulation (EU) No 407/2010 of 11 May 2010 establishing a European financial stabilisation mechanism (OJ L 118, 12.5.2010, p.1). </w:t>
      </w:r>
    </w:p>
  </w:footnote>
  <w:footnote w:id="8">
    <w:p>
      <w:pPr>
        <w:pStyle w:val="FootnoteText"/>
      </w:pPr>
      <w:r>
        <w:rPr>
          <w:rStyle w:val="FootnoteReference"/>
        </w:rPr>
        <w:footnoteRef/>
      </w:r>
      <w:r>
        <w:rPr>
          <w:color w:val="000000"/>
        </w:rPr>
        <w:tab/>
        <w:t>References to legal bases are listed in the Annex of Table A3 of the SWD.</w:t>
      </w:r>
    </w:p>
  </w:footnote>
  <w:footnote w:id="9">
    <w:p>
      <w:pPr>
        <w:pStyle w:val="FootnoteText"/>
      </w:pPr>
      <w:r>
        <w:rPr>
          <w:rStyle w:val="FootnoteReference"/>
        </w:rPr>
        <w:footnoteRef/>
      </w:r>
      <w:r>
        <w:rPr>
          <w:lang w:val="en-US"/>
        </w:rPr>
        <w:tab/>
        <w:t xml:space="preserve">Although external risks are covered </w:t>
      </w:r>
      <w:r>
        <w:rPr>
          <w:i/>
          <w:lang w:val="en-US"/>
        </w:rPr>
        <w:t>in fine</w:t>
      </w:r>
      <w:r>
        <w:rPr>
          <w:lang w:val="en-US"/>
        </w:rPr>
        <w:t xml:space="preserve"> by the EU budget, </w:t>
      </w:r>
      <w:r>
        <w:t xml:space="preserve">the Guarantee Fund acts as an instrument to protect the EU budget against the risk of payment defaults. For the latest annual report on the Fund and its management, see COM(2017) 488 final of 14.09.2017 and its Staff Working Document (SWD(2017) 296  final of 14.09.2017). The report for 2017 is expected to be available by September 2018 on </w:t>
      </w:r>
      <w:hyperlink r:id="rId1" w:history="1">
        <w:r>
          <w:rPr>
            <w:rStyle w:val="Hyperlink"/>
            <w:noProof/>
            <w:color w:val="auto"/>
          </w:rPr>
          <w:t>http://eur-lex.europa.eu/homepage.html</w:t>
        </w:r>
      </w:hyperlink>
      <w:r>
        <w:rPr>
          <w:noProof/>
        </w:rPr>
        <w:t xml:space="preserve"> .</w:t>
      </w:r>
    </w:p>
  </w:footnote>
  <w:footnote w:id="10">
    <w:p>
      <w:pPr>
        <w:pStyle w:val="FootnoteText"/>
      </w:pPr>
      <w:r>
        <w:rPr>
          <w:rStyle w:val="FootnoteReference"/>
        </w:rPr>
        <w:footnoteRef/>
      </w:r>
      <w:r>
        <w:tab/>
        <w:t>For a comprehensive report on the functioning of the Fund and the provisioning target rate, see  COM(2014) 214 final of 8.4.2014 and its Staff Working Document (2014) 129 final</w:t>
      </w:r>
    </w:p>
  </w:footnote>
  <w:footnote w:id="11">
    <w:p>
      <w:pPr>
        <w:pStyle w:val="FootnoteText"/>
      </w:pPr>
      <w:r>
        <w:rPr>
          <w:rStyle w:val="FootnoteReference"/>
        </w:rPr>
        <w:footnoteRef/>
      </w:r>
      <w:r>
        <w:t xml:space="preserve"> </w:t>
      </w:r>
      <w:r>
        <w:tab/>
        <w:t xml:space="preserve">For more information on the management of the EFSI Guarantee Fund, see COM(2017)326 final of 16.6.2017. </w:t>
      </w:r>
    </w:p>
  </w:footnote>
  <w:footnote w:id="12">
    <w:p>
      <w:pPr>
        <w:pStyle w:val="FootnoteText"/>
      </w:pPr>
      <w:r>
        <w:rPr>
          <w:rStyle w:val="FootnoteReference"/>
        </w:rPr>
        <w:footnoteRef/>
      </w:r>
      <w:r>
        <w:t xml:space="preserve"> </w:t>
      </w:r>
      <w:r>
        <w:tab/>
        <w:t xml:space="preserve">Regulation (EU) 2015/1017 of the European Parliament and of the Council of 25 June 2015 on the European Fund for Strategic Investments, the European Investment Advisory Hub and the European Investment Project Portal and amending Regulations (EU) No 1291/2013 and (EU) No 1316/2013 — the European Fund for Strategic Investments  (the "EFSI Regulation"). The agreement on the management of the EFSI and on the granting of the EU guarantee (the "EFSI Agreement") was signed by the European Commission and the European Investment Bank (the "EIB") on 22 July 2015. An amendment to this Agreement was signed on 21 July 2016. </w:t>
      </w:r>
    </w:p>
  </w:footnote>
  <w:footnote w:id="13">
    <w:p>
      <w:pPr>
        <w:pStyle w:val="FootnoteText"/>
        <w:jc w:val="left"/>
      </w:pPr>
      <w:r>
        <w:rPr>
          <w:rStyle w:val="FootnoteReference"/>
        </w:rPr>
        <w:footnoteRef/>
      </w:r>
      <w:r>
        <w:rPr>
          <w:color w:val="000000"/>
        </w:rPr>
        <w:tab/>
        <w:t>About the GLF</w:t>
      </w:r>
      <w:r>
        <w:t>:  http://ec.europa.eu/economy_finance/assistance_eu_ms/greek_loan_facility/index_en.htm.</w:t>
      </w:r>
    </w:p>
  </w:footnote>
  <w:footnote w:id="14">
    <w:p>
      <w:pPr>
        <w:pStyle w:val="FootnoteText"/>
        <w:rPr>
          <w:color w:val="000000"/>
        </w:rPr>
      </w:pPr>
      <w:r>
        <w:rPr>
          <w:rStyle w:val="FootnoteReference"/>
        </w:rPr>
        <w:footnoteRef/>
      </w:r>
      <w:r>
        <w:tab/>
      </w:r>
      <w:hyperlink r:id="rId2" w:history="1">
        <w:r>
          <w:rPr>
            <w:rStyle w:val="Hyperlink"/>
            <w:color w:val="auto"/>
            <w:u w:val="none"/>
          </w:rPr>
          <w:t>About the EFSF</w:t>
        </w:r>
      </w:hyperlink>
      <w:r>
        <w:t>:</w:t>
      </w:r>
      <w:r>
        <w:rPr>
          <w:color w:val="000000"/>
        </w:rPr>
        <w:t xml:space="preserve"> http://www.efsf.europa.eu.</w:t>
      </w:r>
    </w:p>
  </w:footnote>
  <w:footnote w:id="15">
    <w:p>
      <w:pPr>
        <w:pStyle w:val="FootnoteText"/>
      </w:pPr>
      <w:r>
        <w:rPr>
          <w:rStyle w:val="FootnoteReference"/>
        </w:rPr>
        <w:footnoteRef/>
      </w:r>
      <w:r>
        <w:tab/>
        <w:t>The loans granted under the EU/EFSM are guaranteed by the EU budget.</w:t>
      </w:r>
    </w:p>
  </w:footnote>
  <w:footnote w:id="16">
    <w:p>
      <w:pPr>
        <w:pStyle w:val="FootnoteText"/>
      </w:pPr>
      <w:r>
        <w:rPr>
          <w:rStyle w:val="FootnoteReference"/>
        </w:rPr>
        <w:footnoteRef/>
      </w:r>
      <w:r>
        <w:tab/>
        <w:t xml:space="preserve">About the ESM: </w:t>
      </w:r>
      <w:hyperlink r:id="rId3" w:history="1">
        <w:r>
          <w:rPr>
            <w:rStyle w:val="Hyperlink"/>
          </w:rPr>
          <w:t>http://esm.europa.eu</w:t>
        </w:r>
      </w:hyperlink>
      <w:r>
        <w:t>.</w:t>
      </w:r>
    </w:p>
  </w:footnote>
  <w:footnote w:id="17">
    <w:p>
      <w:pPr>
        <w:pStyle w:val="FootnoteText"/>
        <w:jc w:val="left"/>
      </w:pPr>
      <w:r>
        <w:rPr>
          <w:rStyle w:val="FootnoteReference"/>
        </w:rPr>
        <w:footnoteRef/>
      </w:r>
      <w:r>
        <w:tab/>
        <w:t>Cf. Press release on extraordinary Ecofin Council meeting 9/10 May 2010 (</w:t>
      </w:r>
      <w:hyperlink r:id="rId4" w:history="1">
        <w:r>
          <w:rPr>
            <w:rStyle w:val="Hyperlink"/>
            <w:color w:val="auto"/>
          </w:rPr>
          <w:t>http://www.consilium.europa.eu/uedocs/cms_data/docs/pressdata/en/ecofin/114324.pdf</w:t>
        </w:r>
      </w:hyperlink>
      <w:r>
        <w:t>).</w:t>
      </w:r>
    </w:p>
  </w:footnote>
  <w:footnote w:id="18">
    <w:p>
      <w:pPr>
        <w:pStyle w:val="FootnoteText"/>
      </w:pPr>
      <w:r>
        <w:rPr>
          <w:rStyle w:val="FootnoteReference"/>
        </w:rPr>
        <w:footnoteRef/>
      </w:r>
      <w:r>
        <w:t xml:space="preserve"> </w:t>
      </w:r>
      <w:r>
        <w:tab/>
      </w:r>
      <w:r>
        <w:rPr>
          <w:noProof/>
        </w:rPr>
        <w:t>Council Regulation (EU) No 407/2010 of 11 May 2010 establishing a European financial stabilisation mechanism (OJ L 118, 12.5.2010, p.1).</w:t>
      </w:r>
    </w:p>
  </w:footnote>
  <w:footnote w:id="19">
    <w:p>
      <w:pPr>
        <w:pStyle w:val="FootnoteText"/>
      </w:pPr>
      <w:r>
        <w:rPr>
          <w:rStyle w:val="FootnoteReference"/>
        </w:rPr>
        <w:footnoteRef/>
      </w:r>
      <w:r>
        <w:tab/>
        <w:t>Council Implementing Decision 2011/77/EU of 7 December 2011 on granting Union financial assistance to Ireland (OJ L 30, 4.2.2011, p. 348).</w:t>
      </w:r>
    </w:p>
  </w:footnote>
  <w:footnote w:id="20">
    <w:p>
      <w:pPr>
        <w:pStyle w:val="FootnoteText"/>
      </w:pPr>
      <w:r>
        <w:rPr>
          <w:rStyle w:val="FootnoteReference"/>
        </w:rPr>
        <w:footnoteRef/>
      </w:r>
      <w:r>
        <w:tab/>
        <w:t>Council Implementing Decision 2011/344/EU of 17 May 2011 on granting Union financial assistance to Portugal (OJ L 159, 17.6.2011, p. 88); see also corrigendum (OJ L 178, 10.7.2012, p.15).</w:t>
      </w:r>
    </w:p>
  </w:footnote>
  <w:footnote w:id="21">
    <w:p>
      <w:pPr>
        <w:pStyle w:val="FootnoteText"/>
      </w:pPr>
      <w:r>
        <w:rPr>
          <w:rStyle w:val="FootnoteReference"/>
        </w:rPr>
        <w:footnoteRef/>
      </w:r>
      <w:r>
        <w:tab/>
        <w:t xml:space="preserve">For further information on EFSM, see also the report from the Commission on borrowing and lending activities of the European Union in 2016 (COM(2016)387 final). The report for 2016 is expected to be available by October 2017 on </w:t>
      </w:r>
      <w:r>
        <w:rPr>
          <w:noProof/>
        </w:rPr>
        <w:t>http://eur-lex.europa.eu/homepage.html.</w:t>
      </w:r>
    </w:p>
  </w:footnote>
  <w:footnote w:id="22">
    <w:p>
      <w:pPr>
        <w:pStyle w:val="FootnoteText"/>
      </w:pPr>
      <w:r>
        <w:rPr>
          <w:rStyle w:val="FootnoteReference"/>
        </w:rPr>
        <w:footnoteRef/>
      </w:r>
      <w:r>
        <w:t xml:space="preserve"> </w:t>
      </w:r>
      <w:r>
        <w:tab/>
        <w:t>Decision 1025/2013/EU of the European Parliament and of the Council of 22 October 2013 providing macro-financial assistance to the Kyrgyz Republic (OJ L 283, 25.10.2013, p. 1).</w:t>
      </w:r>
    </w:p>
  </w:footnote>
  <w:footnote w:id="23">
    <w:p>
      <w:pPr>
        <w:pStyle w:val="FootnoteText"/>
      </w:pPr>
      <w:r>
        <w:rPr>
          <w:rStyle w:val="FootnoteReference"/>
        </w:rPr>
        <w:footnoteRef/>
      </w:r>
      <w:r>
        <w:rPr>
          <w:noProof/>
          <w:sz w:val="24"/>
          <w:szCs w:val="24"/>
        </w:rPr>
        <w:tab/>
      </w:r>
      <w:r>
        <w:t>Decision (EU) 2016/1112 of the European Parliament and of the Council of 6 July 2016 providing further macro-financial assistance to Tunisia (OJ L 186, 09.07.2016, p. 1).</w:t>
      </w:r>
    </w:p>
  </w:footnote>
  <w:footnote w:id="24">
    <w:p>
      <w:pPr>
        <w:pStyle w:val="FootnoteText"/>
      </w:pPr>
      <w:r>
        <w:rPr>
          <w:rStyle w:val="FootnoteReference"/>
        </w:rPr>
        <w:footnoteRef/>
      </w:r>
      <w:r>
        <w:rPr>
          <w:noProof/>
          <w:sz w:val="24"/>
          <w:szCs w:val="24"/>
        </w:rPr>
        <w:tab/>
      </w:r>
      <w:r>
        <w:t>Decision (EU) 2016/2371 of the European Parliament and of the Council of 14 December 2016 providing further macro-financial assistance to the Hashemite Kingdom of Jordan (OJ L 352, 23.12.2016, p. 18).</w:t>
      </w:r>
    </w:p>
  </w:footnote>
  <w:footnote w:id="25">
    <w:p>
      <w:pPr>
        <w:pStyle w:val="FootnoteText"/>
      </w:pPr>
      <w:r>
        <w:rPr>
          <w:rStyle w:val="FootnoteReference"/>
        </w:rPr>
        <w:footnoteRef/>
      </w:r>
      <w:r>
        <w:rPr>
          <w:noProof/>
          <w:sz w:val="24"/>
          <w:szCs w:val="24"/>
        </w:rPr>
        <w:tab/>
      </w:r>
      <w:r>
        <w:t>Decision (EU) 2015/601 of the European Parliament and of the Council of 17 April 2015 providing further macro-financial assistance to Ukraine (OJ L 100/1, 17.04.2015).</w:t>
      </w:r>
    </w:p>
  </w:footnote>
  <w:footnote w:id="26">
    <w:p>
      <w:pPr>
        <w:pStyle w:val="FootnoteText"/>
      </w:pPr>
      <w:r>
        <w:rPr>
          <w:rStyle w:val="FootnoteReference"/>
        </w:rPr>
        <w:footnoteRef/>
      </w:r>
      <w:r>
        <w:tab/>
        <w:t>See Table 1 of the Report.</w:t>
      </w:r>
    </w:p>
  </w:footnote>
  <w:footnote w:id="27">
    <w:p>
      <w:pPr>
        <w:pStyle w:val="FootnoteText"/>
      </w:pPr>
      <w:r>
        <w:rPr>
          <w:rStyle w:val="FootnoteReference"/>
        </w:rPr>
        <w:footnoteRef/>
      </w:r>
      <w:r>
        <w:tab/>
        <w:t>For the purpose of that calculation, it is assumed that defaulting loans are not accelerated, i.e. only payments due are taken into account (see Tables 2 and 3 of the report and Table A4 of the SWD).</w:t>
      </w:r>
    </w:p>
  </w:footnote>
  <w:footnote w:id="28">
    <w:p>
      <w:pPr>
        <w:pStyle w:val="FootnoteText"/>
      </w:pPr>
      <w:r>
        <w:rPr>
          <w:rStyle w:val="FootnoteReference"/>
        </w:rPr>
        <w:footnoteRef/>
      </w:r>
      <w:r>
        <w:t xml:space="preserve"> </w:t>
      </w:r>
      <w:r>
        <w:tab/>
        <w:t>See Table 1.</w:t>
      </w:r>
    </w:p>
  </w:footnote>
  <w:footnote w:id="29">
    <w:p>
      <w:pPr>
        <w:pStyle w:val="FootnoteText"/>
      </w:pPr>
      <w:r>
        <w:rPr>
          <w:rStyle w:val="FootnoteReference"/>
        </w:rPr>
        <w:footnoteRef/>
      </w:r>
      <w:r>
        <w:rPr>
          <w:color w:val="000000"/>
        </w:rPr>
        <w:tab/>
        <w:t>See Article 14 of Council Regulation (EU, Euratom) No 609/2014 of 26 May 2014 on the methods and procedure for making available the traditional, VAT and GNI-based own resources and on the measures to meet cash requirements (OJ L 168, 7.6.2014, p. 39).</w:t>
      </w:r>
    </w:p>
  </w:footnote>
  <w:footnote w:id="30">
    <w:p>
      <w:pPr>
        <w:pStyle w:val="FootnoteText"/>
      </w:pPr>
      <w:r>
        <w:rPr>
          <w:rStyle w:val="FootnoteReference"/>
        </w:rPr>
        <w:footnoteRef/>
      </w:r>
      <w:r>
        <w:rPr>
          <w:color w:val="000000"/>
        </w:rPr>
        <w:tab/>
        <w:t>See Article 8.7 of Decision No 466/2014/EU of the European Parliament and of the Council of 16 April 2014 granting an EU guarantee to the European Investment Bank against losses under financing operations supporting investment projects outside the Union.</w:t>
      </w:r>
    </w:p>
  </w:footnote>
  <w:footnote w:id="31">
    <w:p>
      <w:pPr>
        <w:pStyle w:val="FootnoteText"/>
      </w:pPr>
      <w:r>
        <w:rPr>
          <w:rStyle w:val="FootnoteReference"/>
        </w:rPr>
        <w:footnoteRef/>
      </w:r>
      <w:r>
        <w:rPr>
          <w:color w:val="000000"/>
        </w:rPr>
        <w:tab/>
        <w:t>For further information on recovery proceedings, see also the Recovery Agreement signed on 25 July 2014 between the European Union and The European Investment Bank governing modalities and procedures for recovery of payments made by the EU under the guarantees granted by it to the EIB against losses under financing operations supporting investment projects outside the EU.</w:t>
      </w:r>
    </w:p>
  </w:footnote>
  <w:footnote w:id="32">
    <w:p>
      <w:pPr>
        <w:pStyle w:val="FootnoteText"/>
      </w:pPr>
      <w:r>
        <w:rPr>
          <w:rStyle w:val="FootnoteReference"/>
        </w:rPr>
        <w:footnoteRef/>
      </w:r>
      <w:r>
        <w:t xml:space="preserve"> </w:t>
      </w:r>
      <w:r>
        <w:tab/>
      </w:r>
      <w:r>
        <w:rPr>
          <w:noProof/>
        </w:rPr>
        <w:t>Penalties and accrued interests are claimed by the EIB only with the second payment request of each individual loan and run from the default date until the payment date by the Guarantee Fund.</w:t>
      </w:r>
    </w:p>
  </w:footnote>
  <w:footnote w:id="33">
    <w:p>
      <w:pPr>
        <w:pStyle w:val="FootnoteText"/>
      </w:pPr>
      <w:r>
        <w:rPr>
          <w:rStyle w:val="FootnoteReference"/>
        </w:rPr>
        <w:footnoteRef/>
      </w:r>
      <w:r>
        <w:t xml:space="preserve"> </w:t>
      </w:r>
      <w:r>
        <w:tab/>
        <w:t>This includes the amount of EUR 304.43 million (principal + interest) already called by the EIB.</w:t>
      </w:r>
    </w:p>
  </w:footnote>
  <w:footnote w:id="34">
    <w:p>
      <w:pPr>
        <w:pStyle w:val="FootnoteText"/>
      </w:pPr>
      <w:r>
        <w:rPr>
          <w:rStyle w:val="FootnoteReference"/>
        </w:rPr>
        <w:footnoteRef/>
      </w:r>
      <w:r>
        <w:t xml:space="preserve"> </w:t>
      </w:r>
      <w:r>
        <w:tab/>
        <w:t>This includes the amount of EUR 4.56 million (including interest) already called by the EIB.</w:t>
      </w:r>
    </w:p>
  </w:footnote>
  <w:footnote w:id="35">
    <w:p>
      <w:pPr>
        <w:pStyle w:val="FootnoteText"/>
      </w:pPr>
      <w:r>
        <w:rPr>
          <w:rStyle w:val="FootnoteReference"/>
        </w:rPr>
        <w:footnoteRef/>
      </w:r>
      <w:r>
        <w:tab/>
        <w:t>Total assets of the Fund minus accrued payables (EIB fees and audit fees).</w:t>
      </w:r>
    </w:p>
  </w:footnote>
  <w:footnote w:id="36">
    <w:p>
      <w:pPr>
        <w:pStyle w:val="FootnoteText"/>
      </w:pPr>
      <w:r>
        <w:rPr>
          <w:rStyle w:val="FootnoteReference"/>
        </w:rPr>
        <w:footnoteRef/>
      </w:r>
      <w:r>
        <w:tab/>
        <w:t>Including accrued interests.</w:t>
      </w:r>
    </w:p>
  </w:footnote>
  <w:footnote w:id="37">
    <w:p>
      <w:pPr>
        <w:pStyle w:val="FootnoteText"/>
      </w:pPr>
      <w:r>
        <w:rPr>
          <w:rStyle w:val="FootnoteReference"/>
        </w:rPr>
        <w:footnoteRef/>
      </w:r>
      <w:r>
        <w:t xml:space="preserve"> </w:t>
      </w:r>
      <w:r>
        <w:tab/>
        <w:t>Regulation (EU) 2015/1017 of the European Parliament and of the Council of 25 June 2015 on the European Fund for Strategic Investments, the European Investment Advisory Hub and the European Investment Project Portal and amending Regulations (EU) No 1291/2013 and (EU) No 1316/2013 — the European Fund for Strategic Investments  (the "EFSI Regulation"). OJ L 169, 1.7.2015, p. 1.</w:t>
      </w:r>
    </w:p>
  </w:footnote>
  <w:footnote w:id="38">
    <w:p>
      <w:pPr>
        <w:pStyle w:val="FootnoteText"/>
      </w:pPr>
      <w:r>
        <w:rPr>
          <w:rStyle w:val="FootnoteReference"/>
        </w:rPr>
        <w:footnoteRef/>
      </w:r>
      <w:r>
        <w:t xml:space="preserve"> </w:t>
      </w:r>
      <w:r>
        <w:tab/>
        <w:t>Micro, small or medium-sized enterprise (SME).</w:t>
      </w:r>
    </w:p>
  </w:footnote>
  <w:footnote w:id="39">
    <w:p>
      <w:pPr>
        <w:pStyle w:val="FootnoteText"/>
      </w:pPr>
      <w:r>
        <w:rPr>
          <w:rStyle w:val="FootnoteReference"/>
        </w:rPr>
        <w:footnoteRef/>
      </w:r>
      <w:r>
        <w:t xml:space="preserve"> </w:t>
      </w:r>
      <w:r>
        <w:tab/>
        <w:t>As at end 2016, the total signed (disbursed and undisbursed) exposure of the IIW portfolio benefitting from the EU Guarantee was EUR 13.38 billion of which EUR 12.84 billion for debt operations and EUR 0.54 billion for equity-type operations. However, due to the first loss piece coverage of the EU Guarantee, potential losses for the EU budget under the IIW were capped at EUR 10.6 billion.</w:t>
      </w:r>
    </w:p>
  </w:footnote>
  <w:footnote w:id="40">
    <w:p>
      <w:pPr>
        <w:pStyle w:val="FootnoteText"/>
      </w:pPr>
      <w:r>
        <w:rPr>
          <w:rStyle w:val="FootnoteReference"/>
        </w:rPr>
        <w:footnoteRef/>
      </w:r>
      <w:r>
        <w:t xml:space="preserve"> </w:t>
      </w:r>
      <w:r>
        <w:tab/>
        <w:t>The difference between total signatures and signed exposure depends on several factors, such as the latter excluding EIB share in equity-type operations as well as differences due to repayments and applied foreign exchange rates.</w:t>
      </w:r>
    </w:p>
  </w:footnote>
  <w:footnote w:id="41">
    <w:p>
      <w:pPr>
        <w:pStyle w:val="FootnoteText"/>
      </w:pPr>
      <w:r>
        <w:rPr>
          <w:rStyle w:val="FootnoteReference"/>
        </w:rPr>
        <w:footnoteRef/>
      </w:r>
      <w:r>
        <w:t xml:space="preserve"> </w:t>
      </w:r>
      <w:r>
        <w:tab/>
        <w:t>Last version - COM(2017)326 final of 16.6.2017.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3E00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4">
    <w:nsid w:val="1CD71CE5"/>
    <w:multiLevelType w:val="hybridMultilevel"/>
    <w:tmpl w:val="5D9A37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E930D7"/>
    <w:multiLevelType w:val="multilevel"/>
    <w:tmpl w:val="EFD2E05E"/>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7">
    <w:nsid w:val="378B083A"/>
    <w:multiLevelType w:val="hybridMultilevel"/>
    <w:tmpl w:val="724C6F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9">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0">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1">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2">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nsid w:val="473508AF"/>
    <w:multiLevelType w:val="hybridMultilevel"/>
    <w:tmpl w:val="863C4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49795E82"/>
    <w:multiLevelType w:val="hybridMultilevel"/>
    <w:tmpl w:val="35E044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30FD0"/>
    <w:multiLevelType w:val="hybridMultilevel"/>
    <w:tmpl w:val="B3E02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9">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0">
    <w:nsid w:val="5B4A68BD"/>
    <w:multiLevelType w:val="multilevel"/>
    <w:tmpl w:val="141CFBD6"/>
    <w:lvl w:ilvl="0">
      <w:start w:val="1"/>
      <w:numFmt w:val="bullet"/>
      <w:pStyle w:val="DBulletsgelb1"/>
      <w:lvlText w:val=""/>
      <w:lvlJc w:val="left"/>
      <w:pPr>
        <w:ind w:left="530" w:hanging="360"/>
      </w:pPr>
      <w:rPr>
        <w:rFonts w:ascii="Symbol" w:hAnsi="Symbol" w:hint="default"/>
        <w:color w:val="auto"/>
        <w:sz w:val="19"/>
        <w:szCs w:val="18"/>
      </w:rPr>
    </w:lvl>
    <w:lvl w:ilvl="1">
      <w:start w:val="1"/>
      <w:numFmt w:val="bullet"/>
      <w:pStyle w:val="BBullets2"/>
      <w:lvlText w:val="o"/>
      <w:lvlJc w:val="left"/>
      <w:pPr>
        <w:tabs>
          <w:tab w:val="num" w:pos="709"/>
        </w:tabs>
        <w:ind w:left="709" w:hanging="284"/>
      </w:pPr>
      <w:rPr>
        <w:rFonts w:ascii="Symbol" w:hAnsi="Symbol" w:hint="default"/>
        <w:sz w:val="16"/>
      </w:rPr>
    </w:lvl>
    <w:lvl w:ilvl="2">
      <w:start w:val="1"/>
      <w:numFmt w:val="bullet"/>
      <w:lvlText w:val=""/>
      <w:lvlJc w:val="left"/>
      <w:pPr>
        <w:tabs>
          <w:tab w:val="num" w:pos="1990"/>
        </w:tabs>
        <w:ind w:left="1990" w:hanging="360"/>
      </w:pPr>
      <w:rPr>
        <w:rFonts w:ascii="Wingdings" w:hAnsi="Wingdings" w:hint="default"/>
      </w:rPr>
    </w:lvl>
    <w:lvl w:ilvl="3">
      <w:start w:val="1"/>
      <w:numFmt w:val="bullet"/>
      <w:lvlText w:val=""/>
      <w:lvlJc w:val="left"/>
      <w:pPr>
        <w:tabs>
          <w:tab w:val="num" w:pos="2710"/>
        </w:tabs>
        <w:ind w:left="2710" w:hanging="360"/>
      </w:pPr>
      <w:rPr>
        <w:rFonts w:ascii="Symbol" w:hAnsi="Symbol" w:hint="default"/>
      </w:rPr>
    </w:lvl>
    <w:lvl w:ilvl="4">
      <w:start w:val="1"/>
      <w:numFmt w:val="bullet"/>
      <w:lvlText w:val="o"/>
      <w:lvlJc w:val="left"/>
      <w:pPr>
        <w:tabs>
          <w:tab w:val="num" w:pos="3430"/>
        </w:tabs>
        <w:ind w:left="3430" w:hanging="360"/>
      </w:pPr>
      <w:rPr>
        <w:rFonts w:ascii="Courier New" w:hAnsi="Courier New" w:cs="Courier New" w:hint="default"/>
      </w:rPr>
    </w:lvl>
    <w:lvl w:ilvl="5">
      <w:start w:val="1"/>
      <w:numFmt w:val="bullet"/>
      <w:lvlText w:val=""/>
      <w:lvlJc w:val="left"/>
      <w:pPr>
        <w:tabs>
          <w:tab w:val="num" w:pos="4150"/>
        </w:tabs>
        <w:ind w:left="4150" w:hanging="360"/>
      </w:pPr>
      <w:rPr>
        <w:rFonts w:ascii="Wingdings" w:hAnsi="Wingdings" w:hint="default"/>
      </w:rPr>
    </w:lvl>
    <w:lvl w:ilvl="6">
      <w:start w:val="1"/>
      <w:numFmt w:val="bullet"/>
      <w:lvlText w:val=""/>
      <w:lvlJc w:val="left"/>
      <w:pPr>
        <w:tabs>
          <w:tab w:val="num" w:pos="4870"/>
        </w:tabs>
        <w:ind w:left="4870" w:hanging="360"/>
      </w:pPr>
      <w:rPr>
        <w:rFonts w:ascii="Symbol" w:hAnsi="Symbol" w:hint="default"/>
      </w:rPr>
    </w:lvl>
    <w:lvl w:ilvl="7">
      <w:start w:val="1"/>
      <w:numFmt w:val="bullet"/>
      <w:lvlText w:val="o"/>
      <w:lvlJc w:val="left"/>
      <w:pPr>
        <w:tabs>
          <w:tab w:val="num" w:pos="5590"/>
        </w:tabs>
        <w:ind w:left="5590" w:hanging="360"/>
      </w:pPr>
      <w:rPr>
        <w:rFonts w:ascii="Courier New" w:hAnsi="Courier New" w:cs="Courier New" w:hint="default"/>
      </w:rPr>
    </w:lvl>
    <w:lvl w:ilvl="8">
      <w:start w:val="1"/>
      <w:numFmt w:val="bullet"/>
      <w:lvlText w:val=""/>
      <w:lvlJc w:val="left"/>
      <w:pPr>
        <w:tabs>
          <w:tab w:val="num" w:pos="6310"/>
        </w:tabs>
        <w:ind w:left="6310" w:hanging="360"/>
      </w:pPr>
      <w:rPr>
        <w:rFonts w:ascii="Wingdings" w:hAnsi="Wingdings" w:hint="default"/>
      </w:rPr>
    </w:lvl>
  </w:abstractNum>
  <w:abstractNum w:abstractNumId="21">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5">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6">
    <w:nsid w:val="67671EEF"/>
    <w:multiLevelType w:val="singleLevel"/>
    <w:tmpl w:val="249CEA72"/>
    <w:lvl w:ilvl="0">
      <w:start w:val="1"/>
      <w:numFmt w:val="bullet"/>
      <w:lvlText w:val="–"/>
      <w:lvlJc w:val="left"/>
      <w:pPr>
        <w:tabs>
          <w:tab w:val="num" w:pos="765"/>
        </w:tabs>
        <w:ind w:left="765" w:hanging="283"/>
      </w:pPr>
      <w:rPr>
        <w:rFonts w:ascii="Times New Roman" w:hAnsi="Times New Roman"/>
      </w:rPr>
    </w:lvl>
  </w:abstractNum>
  <w:abstractNum w:abstractNumId="27">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8">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9">
    <w:nsid w:val="6D1471E6"/>
    <w:multiLevelType w:val="hybridMultilevel"/>
    <w:tmpl w:val="9544FB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1">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8A241BD"/>
    <w:multiLevelType w:val="singleLevel"/>
    <w:tmpl w:val="53C4DF32"/>
    <w:name w:val="NumPar"/>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4">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6">
    <w:nsid w:val="7D8820A0"/>
    <w:multiLevelType w:val="singleLevel"/>
    <w:tmpl w:val="54F6C7B4"/>
    <w:name w:val="Heading"/>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37">
    <w:nsid w:val="7F7154E1"/>
    <w:multiLevelType w:val="singleLevel"/>
    <w:tmpl w:val="E3F6D2C6"/>
    <w:name w:val="List Dash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6"/>
  </w:num>
  <w:num w:numId="2">
    <w:abstractNumId w:val="6"/>
  </w:num>
  <w:num w:numId="3">
    <w:abstractNumId w:val="23"/>
  </w:num>
  <w:num w:numId="4">
    <w:abstractNumId w:val="21"/>
  </w:num>
  <w:num w:numId="5">
    <w:abstractNumId w:val="14"/>
  </w:num>
  <w:num w:numId="6">
    <w:abstractNumId w:val="27"/>
  </w:num>
  <w:num w:numId="7">
    <w:abstractNumId w:val="32"/>
  </w:num>
  <w:num w:numId="8">
    <w:abstractNumId w:val="32"/>
  </w:num>
  <w:num w:numId="9">
    <w:abstractNumId w:val="31"/>
  </w:num>
  <w:num w:numId="10">
    <w:abstractNumId w:val="35"/>
  </w:num>
  <w:num w:numId="11">
    <w:abstractNumId w:val="9"/>
  </w:num>
  <w:num w:numId="12">
    <w:abstractNumId w:val="8"/>
  </w:num>
  <w:num w:numId="13">
    <w:abstractNumId w:val="24"/>
  </w:num>
  <w:num w:numId="14">
    <w:abstractNumId w:val="10"/>
  </w:num>
  <w:num w:numId="15">
    <w:abstractNumId w:val="18"/>
  </w:num>
  <w:num w:numId="16">
    <w:abstractNumId w:val="22"/>
  </w:num>
  <w:num w:numId="17">
    <w:abstractNumId w:val="34"/>
  </w:num>
  <w:num w:numId="18">
    <w:abstractNumId w:val="5"/>
  </w:num>
  <w:num w:numId="19">
    <w:abstractNumId w:val="2"/>
  </w:num>
  <w:num w:numId="20">
    <w:abstractNumId w:val="1"/>
  </w:num>
  <w:num w:numId="21">
    <w:abstractNumId w:val="28"/>
  </w:num>
  <w:num w:numId="22">
    <w:abstractNumId w:val="3"/>
  </w:num>
  <w:num w:numId="23">
    <w:abstractNumId w:val="11"/>
  </w:num>
  <w:num w:numId="24">
    <w:abstractNumId w:val="37"/>
  </w:num>
  <w:num w:numId="25">
    <w:abstractNumId w:val="12"/>
  </w:num>
  <w:num w:numId="26">
    <w:abstractNumId w:val="25"/>
  </w:num>
  <w:num w:numId="27">
    <w:abstractNumId w:val="19"/>
  </w:num>
  <w:num w:numId="28">
    <w:abstractNumId w:val="33"/>
  </w:num>
  <w:num w:numId="29">
    <w:abstractNumId w:val="36"/>
  </w:num>
  <w:num w:numId="30">
    <w:abstractNumId w:val="0"/>
  </w:num>
  <w:num w:numId="31">
    <w:abstractNumId w:val="32"/>
  </w:num>
  <w:num w:numId="32">
    <w:abstractNumId w:val="32"/>
  </w:num>
  <w:num w:numId="33">
    <w:abstractNumId w:val="20"/>
  </w:num>
  <w:num w:numId="34">
    <w:abstractNumId w:val="26"/>
  </w:num>
  <w:num w:numId="35">
    <w:abstractNumId w:val="13"/>
  </w:num>
  <w:num w:numId="36">
    <w:abstractNumId w:val="17"/>
  </w:num>
  <w:num w:numId="37">
    <w:abstractNumId w:val="15"/>
  </w:num>
  <w:num w:numId="38">
    <w:abstractNumId w:val="4"/>
  </w:num>
  <w:num w:numId="39">
    <w:abstractNumId w:val="29"/>
  </w:num>
  <w:num w:numId="40">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5DAAA489-0870-4DA1-BD2E-107BDE34BB3C"/>
    <w:docVar w:name="LW_COVERPAGE_TYPE" w:val="1"/>
    <w:docVar w:name="LW_CROSSREFERENCE" w:val="{SWD(2017) 435 final}"/>
    <w:docVar w:name="LW_DocType" w:val="NORMAL"/>
    <w:docVar w:name="LW_EMISSION" w:val="1.12.2017"/>
    <w:docVar w:name="LW_EMISSION_ISODATE" w:val="2017-12-01"/>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7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guarantees covered by the general budget_x000b_Situation at 31 December 2016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qFormat/>
    <w:pPr>
      <w:keepNext/>
      <w:numPr>
        <w:numId w:val="8"/>
      </w:numPr>
      <w:spacing w:before="360"/>
      <w:outlineLvl w:val="0"/>
    </w:pPr>
    <w:rPr>
      <w:b/>
      <w:bCs/>
      <w:smallCaps/>
      <w:szCs w:val="32"/>
    </w:rPr>
  </w:style>
  <w:style w:type="paragraph" w:styleId="Heading2">
    <w:name w:val="heading 2"/>
    <w:basedOn w:val="Normal"/>
    <w:next w:val="Normal"/>
    <w:link w:val="Heading2Char"/>
    <w:qFormat/>
    <w:pPr>
      <w:keepNext/>
      <w:outlineLvl w:val="1"/>
    </w:pPr>
    <w:rPr>
      <w:b/>
      <w:bCs/>
      <w:iCs/>
      <w:noProof/>
      <w:szCs w:val="28"/>
    </w:rPr>
  </w:style>
  <w:style w:type="paragraph" w:styleId="Heading3">
    <w:name w:val="heading 3"/>
    <w:basedOn w:val="Normal"/>
    <w:next w:val="Normal"/>
    <w:qFormat/>
    <w:pPr>
      <w:keepNext/>
      <w:numPr>
        <w:ilvl w:val="2"/>
        <w:numId w:val="8"/>
      </w:numPr>
      <w:outlineLvl w:val="2"/>
    </w:pPr>
    <w:rPr>
      <w:bCs/>
      <w:i/>
      <w:szCs w:val="26"/>
    </w:rPr>
  </w:style>
  <w:style w:type="paragraph" w:styleId="Heading4">
    <w:name w:val="heading 4"/>
    <w:basedOn w:val="Normal"/>
    <w:next w:val="Normal"/>
    <w:qFormat/>
    <w:pPr>
      <w:keepNext/>
      <w:numPr>
        <w:ilvl w:val="3"/>
        <w:numId w:val="8"/>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BVI fnr"/>
    <w:semiHidden/>
    <w:rPr>
      <w:shd w:val="clear" w:color="auto" w:fill="auto"/>
      <w:vertAlign w:val="superscript"/>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al"/>
    <w:link w:val="FootnoteTextChar"/>
    <w:uiPriority w:val="99"/>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9"/>
      </w:numPr>
    </w:pPr>
  </w:style>
  <w:style w:type="paragraph" w:customStyle="1" w:styleId="NumPar2">
    <w:name w:val="NumPar 2"/>
    <w:basedOn w:val="Normal"/>
    <w:next w:val="Normal"/>
    <w:pPr>
      <w:numPr>
        <w:ilvl w:val="1"/>
        <w:numId w:val="9"/>
      </w:numPr>
    </w:pPr>
  </w:style>
  <w:style w:type="paragraph" w:customStyle="1" w:styleId="NumPar3">
    <w:name w:val="NumPar 3"/>
    <w:basedOn w:val="Normal"/>
    <w:next w:val="Normal"/>
    <w:pPr>
      <w:numPr>
        <w:ilvl w:val="2"/>
        <w:numId w:val="9"/>
      </w:numPr>
    </w:pPr>
  </w:style>
  <w:style w:type="paragraph" w:customStyle="1" w:styleId="NumPar4">
    <w:name w:val="NumPar 4"/>
    <w:basedOn w:val="Normal"/>
    <w:next w:val="Normal"/>
    <w:pPr>
      <w:numPr>
        <w:ilvl w:val="3"/>
        <w:numId w:val="9"/>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10"/>
      </w:numPr>
    </w:pPr>
  </w:style>
  <w:style w:type="paragraph" w:customStyle="1" w:styleId="Point0number">
    <w:name w:val="Point 0 (number)"/>
    <w:basedOn w:val="Normal"/>
    <w:pPr>
      <w:numPr>
        <w:numId w:val="10"/>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10"/>
      </w:numPr>
    </w:pPr>
  </w:style>
  <w:style w:type="paragraph" w:customStyle="1" w:styleId="Point1number">
    <w:name w:val="Point 1 (number)"/>
    <w:basedOn w:val="Normal"/>
    <w:pPr>
      <w:numPr>
        <w:ilvl w:val="2"/>
        <w:numId w:val="10"/>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10"/>
      </w:numPr>
    </w:pPr>
  </w:style>
  <w:style w:type="paragraph" w:customStyle="1" w:styleId="Point2number">
    <w:name w:val="Point 2 (number)"/>
    <w:basedOn w:val="Normal"/>
    <w:pPr>
      <w:numPr>
        <w:ilvl w:val="4"/>
        <w:numId w:val="10"/>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10"/>
      </w:numPr>
    </w:pPr>
  </w:style>
  <w:style w:type="paragraph" w:customStyle="1" w:styleId="Point3number">
    <w:name w:val="Point 3 (number)"/>
    <w:basedOn w:val="Normal"/>
    <w:pPr>
      <w:numPr>
        <w:ilvl w:val="6"/>
        <w:numId w:val="10"/>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1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qFormat/>
    <w:pPr>
      <w:tabs>
        <w:tab w:val="right" w:leader="dot" w:pos="9071"/>
      </w:tabs>
      <w:spacing w:before="60"/>
      <w:ind w:left="850" w:hanging="850"/>
      <w:jc w:val="left"/>
    </w:p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Funotenzeichen">
    <w:name w:val="Fußnotenzeichen"/>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styleId="Emphasis">
    <w:name w:val="Emphasis"/>
    <w:qFormat/>
    <w:rPr>
      <w:rFonts w:cs="Times New Roman"/>
      <w:i/>
      <w:iCs/>
      <w:shd w:val="clear" w:color="auto" w:fill="auto"/>
    </w:rPr>
  </w:style>
  <w:style w:type="paragraph" w:styleId="ListBullet">
    <w:name w:val="List Bullet"/>
    <w:basedOn w:val="Normal"/>
    <w:pPr>
      <w:numPr>
        <w:numId w:val="30"/>
      </w:numPr>
    </w:pPr>
    <w:rPr>
      <w:lang w:eastAsia="de-DE"/>
    </w:rPr>
  </w:style>
  <w:style w:type="paragraph" w:styleId="ListNumber">
    <w:name w:val="List Number"/>
    <w:basedOn w:val="Normal"/>
    <w:pPr>
      <w:numPr>
        <w:numId w:val="16"/>
      </w:numPr>
    </w:pPr>
    <w:rPr>
      <w:lang w:eastAsia="de-DE"/>
    </w:rPr>
  </w:style>
  <w:style w:type="paragraph" w:customStyle="1" w:styleId="ListDash">
    <w:name w:val="List Dash"/>
    <w:basedOn w:val="Normal"/>
    <w:pPr>
      <w:numPr>
        <w:numId w:val="25"/>
      </w:numPr>
    </w:pPr>
    <w:rPr>
      <w:lang w:eastAsia="de-DE"/>
    </w:rPr>
  </w:style>
  <w:style w:type="paragraph" w:customStyle="1" w:styleId="ListNumberLevel2">
    <w:name w:val="List Number (Level 2)"/>
    <w:basedOn w:val="Normal"/>
    <w:pPr>
      <w:numPr>
        <w:ilvl w:val="1"/>
        <w:numId w:val="16"/>
      </w:numPr>
    </w:pPr>
    <w:rPr>
      <w:lang w:eastAsia="de-DE"/>
    </w:rPr>
  </w:style>
  <w:style w:type="paragraph" w:customStyle="1" w:styleId="ListNumberLevel3">
    <w:name w:val="List Number (Level 3)"/>
    <w:basedOn w:val="Normal"/>
    <w:pPr>
      <w:numPr>
        <w:ilvl w:val="2"/>
        <w:numId w:val="16"/>
      </w:numPr>
    </w:pPr>
    <w:rPr>
      <w:lang w:eastAsia="de-DE"/>
    </w:rPr>
  </w:style>
  <w:style w:type="paragraph" w:customStyle="1" w:styleId="ListNumberLevel4">
    <w:name w:val="List Number (Level 4)"/>
    <w:basedOn w:val="Normal"/>
    <w:pPr>
      <w:numPr>
        <w:ilvl w:val="3"/>
        <w:numId w:val="16"/>
      </w:numPr>
    </w:pPr>
    <w:rPr>
      <w:lang w:eastAsia="de-DE"/>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character" w:styleId="CommentReference">
    <w:name w:val="annotation reference"/>
    <w:rPr>
      <w:sz w:val="16"/>
      <w:szCs w:val="16"/>
      <w:shd w:val="clear" w:color="auto" w:fill="aut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paragraph" w:styleId="ListNumber2">
    <w:name w:val="List Number 2"/>
    <w:basedOn w:val="Normal"/>
    <w:pPr>
      <w:numPr>
        <w:numId w:val="18"/>
      </w:numPr>
    </w:pPr>
    <w:rPr>
      <w:lang w:eastAsia="de-DE"/>
    </w:rPr>
  </w:style>
  <w:style w:type="paragraph" w:styleId="ListNumber3">
    <w:name w:val="List Number 3"/>
    <w:basedOn w:val="Normal"/>
    <w:pPr>
      <w:numPr>
        <w:numId w:val="19"/>
      </w:numPr>
    </w:pPr>
    <w:rPr>
      <w:lang w:eastAsia="de-DE"/>
    </w:rPr>
  </w:style>
  <w:style w:type="paragraph" w:styleId="ListNumber4">
    <w:name w:val="List Number 4"/>
    <w:basedOn w:val="Normal"/>
    <w:pPr>
      <w:numPr>
        <w:numId w:val="20"/>
      </w:numPr>
    </w:pPr>
    <w:rPr>
      <w:lang w:eastAsia="de-DE"/>
    </w:rPr>
  </w:style>
  <w:style w:type="paragraph" w:customStyle="1" w:styleId="ListNumber1">
    <w:name w:val="List Number 1"/>
    <w:basedOn w:val="Text1"/>
    <w:pPr>
      <w:numPr>
        <w:numId w:val="17"/>
      </w:numPr>
    </w:pPr>
    <w:rPr>
      <w:lang w:eastAsia="de-DE"/>
    </w:rPr>
  </w:style>
  <w:style w:type="paragraph" w:customStyle="1" w:styleId="ListNumber1Level2">
    <w:name w:val="List Number 1 (Level 2)"/>
    <w:basedOn w:val="Text1"/>
    <w:pPr>
      <w:numPr>
        <w:ilvl w:val="1"/>
        <w:numId w:val="17"/>
      </w:numPr>
    </w:pPr>
    <w:rPr>
      <w:lang w:eastAsia="de-DE"/>
    </w:rPr>
  </w:style>
  <w:style w:type="paragraph" w:customStyle="1" w:styleId="ListNumber2Level2">
    <w:name w:val="List Number 2 (Level 2)"/>
    <w:basedOn w:val="Text2"/>
    <w:pPr>
      <w:numPr>
        <w:ilvl w:val="1"/>
        <w:numId w:val="18"/>
      </w:numPr>
    </w:pPr>
    <w:rPr>
      <w:lang w:eastAsia="de-DE"/>
    </w:rPr>
  </w:style>
  <w:style w:type="paragraph" w:customStyle="1" w:styleId="ListNumber3Level2">
    <w:name w:val="List Number 3 (Level 2)"/>
    <w:basedOn w:val="Text3"/>
    <w:pPr>
      <w:numPr>
        <w:ilvl w:val="1"/>
        <w:numId w:val="19"/>
      </w:numPr>
    </w:pPr>
    <w:rPr>
      <w:lang w:eastAsia="de-DE"/>
    </w:rPr>
  </w:style>
  <w:style w:type="paragraph" w:customStyle="1" w:styleId="ListNumber4Level2">
    <w:name w:val="List Number 4 (Level 2)"/>
    <w:basedOn w:val="Text4"/>
    <w:pPr>
      <w:numPr>
        <w:ilvl w:val="1"/>
        <w:numId w:val="20"/>
      </w:numPr>
    </w:pPr>
    <w:rPr>
      <w:lang w:eastAsia="de-DE"/>
    </w:rPr>
  </w:style>
  <w:style w:type="paragraph" w:customStyle="1" w:styleId="ListNumber1Level3">
    <w:name w:val="List Number 1 (Level 3)"/>
    <w:basedOn w:val="Text1"/>
    <w:pPr>
      <w:numPr>
        <w:ilvl w:val="2"/>
        <w:numId w:val="17"/>
      </w:numPr>
    </w:pPr>
    <w:rPr>
      <w:lang w:eastAsia="de-DE"/>
    </w:rPr>
  </w:style>
  <w:style w:type="paragraph" w:customStyle="1" w:styleId="ListNumber2Level3">
    <w:name w:val="List Number 2 (Level 3)"/>
    <w:basedOn w:val="Text2"/>
    <w:pPr>
      <w:numPr>
        <w:ilvl w:val="2"/>
        <w:numId w:val="18"/>
      </w:numPr>
    </w:pPr>
    <w:rPr>
      <w:lang w:eastAsia="de-DE"/>
    </w:rPr>
  </w:style>
  <w:style w:type="paragraph" w:customStyle="1" w:styleId="ListNumber3Level3">
    <w:name w:val="List Number 3 (Level 3)"/>
    <w:basedOn w:val="Text3"/>
    <w:pPr>
      <w:numPr>
        <w:ilvl w:val="2"/>
        <w:numId w:val="19"/>
      </w:numPr>
    </w:pPr>
    <w:rPr>
      <w:lang w:eastAsia="de-DE"/>
    </w:rPr>
  </w:style>
  <w:style w:type="paragraph" w:customStyle="1" w:styleId="ListNumber4Level3">
    <w:name w:val="List Number 4 (Level 3)"/>
    <w:basedOn w:val="Text4"/>
    <w:pPr>
      <w:numPr>
        <w:ilvl w:val="2"/>
        <w:numId w:val="20"/>
      </w:numPr>
    </w:pPr>
    <w:rPr>
      <w:lang w:eastAsia="de-DE"/>
    </w:rPr>
  </w:style>
  <w:style w:type="paragraph" w:customStyle="1" w:styleId="ListNumber1Level4">
    <w:name w:val="List Number 1 (Level 4)"/>
    <w:basedOn w:val="Text1"/>
    <w:pPr>
      <w:numPr>
        <w:ilvl w:val="3"/>
        <w:numId w:val="17"/>
      </w:numPr>
    </w:pPr>
    <w:rPr>
      <w:lang w:eastAsia="de-DE"/>
    </w:rPr>
  </w:style>
  <w:style w:type="paragraph" w:customStyle="1" w:styleId="ListNumber2Level4">
    <w:name w:val="List Number 2 (Level 4)"/>
    <w:basedOn w:val="Text2"/>
    <w:pPr>
      <w:numPr>
        <w:ilvl w:val="3"/>
        <w:numId w:val="18"/>
      </w:numPr>
    </w:pPr>
    <w:rPr>
      <w:lang w:eastAsia="de-DE"/>
    </w:rPr>
  </w:style>
  <w:style w:type="paragraph" w:customStyle="1" w:styleId="ListNumber3Level4">
    <w:name w:val="List Number 3 (Level 4)"/>
    <w:basedOn w:val="Text3"/>
    <w:pPr>
      <w:numPr>
        <w:ilvl w:val="3"/>
        <w:numId w:val="19"/>
      </w:numPr>
    </w:pPr>
    <w:rPr>
      <w:lang w:eastAsia="de-DE"/>
    </w:rPr>
  </w:style>
  <w:style w:type="paragraph" w:customStyle="1" w:styleId="ListNumber4Level4">
    <w:name w:val="List Number 4 (Level 4)"/>
    <w:basedOn w:val="Text4"/>
    <w:pPr>
      <w:numPr>
        <w:ilvl w:val="3"/>
        <w:numId w:val="20"/>
      </w:numPr>
    </w:pPr>
    <w:rPr>
      <w:lang w:eastAsia="de-DE"/>
    </w:rPr>
  </w:style>
  <w:style w:type="paragraph" w:customStyle="1" w:styleId="ListBullet1">
    <w:name w:val="List Bullet 1"/>
    <w:basedOn w:val="Normal"/>
    <w:pPr>
      <w:numPr>
        <w:numId w:val="21"/>
      </w:numPr>
    </w:pPr>
    <w:rPr>
      <w:lang w:eastAsia="de-DE"/>
    </w:rPr>
  </w:style>
  <w:style w:type="paragraph" w:styleId="ListBullet2">
    <w:name w:val="List Bullet 2"/>
    <w:basedOn w:val="Normal"/>
    <w:pPr>
      <w:numPr>
        <w:numId w:val="22"/>
      </w:numPr>
    </w:pPr>
    <w:rPr>
      <w:lang w:eastAsia="de-DE"/>
    </w:rPr>
  </w:style>
  <w:style w:type="paragraph" w:styleId="ListBullet3">
    <w:name w:val="List Bullet 3"/>
    <w:basedOn w:val="Normal"/>
    <w:pPr>
      <w:numPr>
        <w:numId w:val="23"/>
      </w:numPr>
    </w:pPr>
    <w:rPr>
      <w:lang w:eastAsia="de-DE"/>
    </w:rPr>
  </w:style>
  <w:style w:type="paragraph" w:styleId="ListBullet4">
    <w:name w:val="List Bullet 4"/>
    <w:basedOn w:val="Normal"/>
    <w:pPr>
      <w:numPr>
        <w:numId w:val="24"/>
      </w:numPr>
    </w:pPr>
    <w:rPr>
      <w:lang w:eastAsia="de-DE"/>
    </w:rPr>
  </w:style>
  <w:style w:type="paragraph" w:customStyle="1" w:styleId="ListDash1">
    <w:name w:val="List Dash 1"/>
    <w:basedOn w:val="Normal"/>
    <w:pPr>
      <w:numPr>
        <w:numId w:val="26"/>
      </w:numPr>
    </w:pPr>
    <w:rPr>
      <w:lang w:eastAsia="de-DE"/>
    </w:rPr>
  </w:style>
  <w:style w:type="paragraph" w:customStyle="1" w:styleId="ListDash2">
    <w:name w:val="List Dash 2"/>
    <w:basedOn w:val="Normal"/>
    <w:pPr>
      <w:numPr>
        <w:numId w:val="27"/>
      </w:numPr>
    </w:pPr>
    <w:rPr>
      <w:lang w:eastAsia="de-DE"/>
    </w:rPr>
  </w:style>
  <w:style w:type="paragraph" w:customStyle="1" w:styleId="ListDash3">
    <w:name w:val="List Dash 3"/>
    <w:basedOn w:val="Normal"/>
    <w:pPr>
      <w:numPr>
        <w:numId w:val="28"/>
      </w:numPr>
    </w:pPr>
    <w:rPr>
      <w:lang w:eastAsia="de-DE"/>
    </w:rPr>
  </w:style>
  <w:style w:type="paragraph" w:customStyle="1" w:styleId="ListDash4">
    <w:name w:val="List Dash 4"/>
    <w:basedOn w:val="Normal"/>
    <w:pPr>
      <w:numPr>
        <w:numId w:val="29"/>
      </w:numPr>
    </w:pPr>
    <w:rPr>
      <w:lang w:eastAsia="de-DE"/>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en-US"/>
    </w:rPr>
  </w:style>
  <w:style w:type="paragraph" w:customStyle="1" w:styleId="Default">
    <w:name w:val="Default"/>
    <w:pPr>
      <w:autoSpaceDE w:val="0"/>
      <w:autoSpaceDN w:val="0"/>
      <w:adjustRightInd w:val="0"/>
    </w:pPr>
    <w:rPr>
      <w:color w:val="000000"/>
      <w:sz w:val="24"/>
      <w:szCs w:val="24"/>
    </w:rPr>
  </w:style>
  <w:style w:type="paragraph" w:styleId="DocumentMap">
    <w:name w:val="Document Map"/>
    <w:basedOn w:val="Normal"/>
    <w:link w:val="DocumentMapChar"/>
    <w:pPr>
      <w:shd w:val="clear" w:color="auto" w:fill="000080"/>
    </w:pPr>
    <w:rPr>
      <w:rFonts w:ascii="Tahoma" w:hAnsi="Tahoma" w:cs="Tahoma"/>
      <w:sz w:val="20"/>
      <w:szCs w:val="20"/>
    </w:rPr>
  </w:style>
  <w:style w:type="character" w:customStyle="1" w:styleId="DocumentMapChar">
    <w:name w:val="Document Map Char"/>
    <w:link w:val="DocumentMap"/>
    <w:rPr>
      <w:rFonts w:ascii="Tahoma" w:hAnsi="Tahoma" w:cs="Tahoma"/>
      <w:shd w:val="clear" w:color="auto" w:fill="000080"/>
      <w:lang w:eastAsia="en-US"/>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
    <w:link w:val="FootnoteText"/>
    <w:uiPriority w:val="99"/>
    <w:rPr>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character" w:customStyle="1" w:styleId="FooterChar">
    <w:name w:val="Footer Char"/>
    <w:link w:val="Footer"/>
    <w:uiPriority w:val="99"/>
    <w:rPr>
      <w:sz w:val="24"/>
      <w:szCs w:val="24"/>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link w:val="Subtitle"/>
    <w:rPr>
      <w:rFonts w:ascii="Cambria" w:eastAsia="Times New Roman" w:hAnsi="Cambria" w:cs="Times New Roman"/>
      <w:sz w:val="24"/>
      <w:szCs w:val="24"/>
      <w:shd w:val="clear" w:color="auto" w:fill="auto"/>
      <w:lang w:eastAsia="en-US"/>
    </w:rPr>
  </w:style>
  <w:style w:type="paragraph" w:styleId="NormalWeb">
    <w:name w:val="Normal (Web)"/>
    <w:basedOn w:val="Normal"/>
    <w:uiPriority w:val="99"/>
    <w:unhideWhenUsed/>
    <w:pPr>
      <w:spacing w:before="100" w:beforeAutospacing="1" w:after="100" w:afterAutospacing="1"/>
      <w:jc w:val="left"/>
    </w:pPr>
    <w:rPr>
      <w:lang w:eastAsia="en-GB"/>
    </w:rPr>
  </w:style>
  <w:style w:type="character" w:styleId="Strong">
    <w:name w:val="Strong"/>
    <w:uiPriority w:val="22"/>
    <w:qFormat/>
    <w:rPr>
      <w:b/>
      <w:bCs/>
      <w:shd w:val="clear" w:color="auto" w:fill="auto"/>
    </w:rPr>
  </w:style>
  <w:style w:type="paragraph" w:styleId="Revision">
    <w:name w:val="Revision"/>
    <w:hidden/>
    <w:uiPriority w:val="99"/>
    <w:semiHidden/>
    <w:rPr>
      <w:sz w:val="24"/>
      <w:szCs w:val="24"/>
      <w:lang w:eastAsia="en-US"/>
    </w:rPr>
  </w:style>
  <w:style w:type="character" w:customStyle="1" w:styleId="Heading1Char">
    <w:name w:val="Heading 1 Char"/>
    <w:link w:val="Heading1"/>
    <w:rPr>
      <w:b/>
      <w:bCs/>
      <w:smallCaps/>
      <w:sz w:val="24"/>
      <w:szCs w:val="32"/>
      <w:lang w:eastAsia="en-US"/>
    </w:rPr>
  </w:style>
  <w:style w:type="character" w:customStyle="1" w:styleId="Heading2Char">
    <w:name w:val="Heading 2 Char"/>
    <w:link w:val="Heading2"/>
    <w:rPr>
      <w:b/>
      <w:bCs/>
      <w:iCs/>
      <w:noProof/>
      <w:sz w:val="24"/>
      <w:szCs w:val="28"/>
      <w:lang w:eastAsia="en-US"/>
    </w:rPr>
  </w:style>
  <w:style w:type="character" w:styleId="FollowedHyperlink">
    <w:name w:val="FollowedHyperlink"/>
    <w:rPr>
      <w:color w:val="800080"/>
      <w:u w:val="single"/>
      <w:shd w:val="clear" w:color="auto" w:fill="auto"/>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BBullets2">
    <w:name w:val="B Bullets 2"/>
    <w:uiPriority w:val="20"/>
    <w:qFormat/>
    <w:pPr>
      <w:numPr>
        <w:ilvl w:val="1"/>
        <w:numId w:val="33"/>
      </w:numPr>
      <w:spacing w:before="60" w:after="60" w:line="320" w:lineRule="exact"/>
    </w:pPr>
    <w:rPr>
      <w:rFonts w:ascii="_GOPA TheSerif Light" w:eastAsia="Calibri" w:hAnsi="_GOPA TheSerif Light"/>
      <w:color w:val="000000"/>
      <w:sz w:val="19"/>
      <w:szCs w:val="22"/>
      <w:lang w:eastAsia="en-US"/>
    </w:rPr>
  </w:style>
  <w:style w:type="paragraph" w:customStyle="1" w:styleId="DBulletsgelb1">
    <w:name w:val="D Bullets gelb 1"/>
    <w:link w:val="DBulletsgelb1Zchn"/>
    <w:uiPriority w:val="54"/>
    <w:qFormat/>
    <w:pPr>
      <w:numPr>
        <w:numId w:val="33"/>
      </w:numPr>
      <w:pBdr>
        <w:top w:val="single" w:sz="4" w:space="0" w:color="FCF6E9"/>
        <w:left w:val="single" w:sz="4" w:space="8" w:color="FCF6E9"/>
        <w:bottom w:val="single" w:sz="4" w:space="0" w:color="FCF6E9"/>
        <w:right w:val="single" w:sz="4" w:space="4" w:color="FCF6E9"/>
      </w:pBdr>
      <w:shd w:val="clear" w:color="auto" w:fill="FCF6E9"/>
      <w:spacing w:line="320" w:lineRule="exact"/>
      <w:ind w:left="425" w:right="113" w:hanging="255"/>
    </w:pPr>
    <w:rPr>
      <w:rFonts w:ascii="_GOPA TheSerif Light" w:eastAsia="Calibri" w:hAnsi="_GOPA TheSerif Light"/>
      <w:color w:val="000000"/>
      <w:sz w:val="19"/>
      <w:szCs w:val="22"/>
      <w:lang w:eastAsia="de-DE"/>
    </w:rPr>
  </w:style>
  <w:style w:type="character" w:customStyle="1" w:styleId="DBulletsgelb1Zchn">
    <w:name w:val="D Bullets gelb 1 Zchn"/>
    <w:link w:val="DBulletsgelb1"/>
    <w:uiPriority w:val="54"/>
    <w:rPr>
      <w:rFonts w:ascii="_GOPA TheSerif Light" w:eastAsia="Calibri" w:hAnsi="_GOPA TheSerif Light"/>
      <w:color w:val="000000"/>
      <w:sz w:val="19"/>
      <w:szCs w:val="22"/>
      <w:shd w:val="clear" w:color="auto" w:fill="FCF6E9"/>
      <w:lang w:eastAsia="de-DE"/>
    </w:rPr>
  </w:style>
  <w:style w:type="character" w:customStyle="1" w:styleId="BHighlight1">
    <w:name w:val="B Highlight 1"/>
    <w:qFormat/>
    <w:rPr>
      <w:rFonts w:ascii="_GOPA TheSerif Light" w:hAnsi="_GOPA TheSerif Light"/>
      <w:b/>
      <w:color w:val="DC9300"/>
      <w:sz w:val="19"/>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b/>
      <w:sz w:val="3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qFormat/>
    <w:pPr>
      <w:keepNext/>
      <w:numPr>
        <w:numId w:val="8"/>
      </w:numPr>
      <w:spacing w:before="360"/>
      <w:outlineLvl w:val="0"/>
    </w:pPr>
    <w:rPr>
      <w:b/>
      <w:bCs/>
      <w:smallCaps/>
      <w:szCs w:val="32"/>
    </w:rPr>
  </w:style>
  <w:style w:type="paragraph" w:styleId="Heading2">
    <w:name w:val="heading 2"/>
    <w:basedOn w:val="Normal"/>
    <w:next w:val="Normal"/>
    <w:link w:val="Heading2Char"/>
    <w:qFormat/>
    <w:pPr>
      <w:keepNext/>
      <w:outlineLvl w:val="1"/>
    </w:pPr>
    <w:rPr>
      <w:b/>
      <w:bCs/>
      <w:iCs/>
      <w:noProof/>
      <w:szCs w:val="28"/>
    </w:rPr>
  </w:style>
  <w:style w:type="paragraph" w:styleId="Heading3">
    <w:name w:val="heading 3"/>
    <w:basedOn w:val="Normal"/>
    <w:next w:val="Normal"/>
    <w:qFormat/>
    <w:pPr>
      <w:keepNext/>
      <w:numPr>
        <w:ilvl w:val="2"/>
        <w:numId w:val="8"/>
      </w:numPr>
      <w:outlineLvl w:val="2"/>
    </w:pPr>
    <w:rPr>
      <w:bCs/>
      <w:i/>
      <w:szCs w:val="26"/>
    </w:rPr>
  </w:style>
  <w:style w:type="paragraph" w:styleId="Heading4">
    <w:name w:val="heading 4"/>
    <w:basedOn w:val="Normal"/>
    <w:next w:val="Normal"/>
    <w:qFormat/>
    <w:pPr>
      <w:keepNext/>
      <w:numPr>
        <w:ilvl w:val="3"/>
        <w:numId w:val="8"/>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BVI fnr"/>
    <w:semiHidden/>
    <w:rPr>
      <w:shd w:val="clear" w:color="auto" w:fill="auto"/>
      <w:vertAlign w:val="superscript"/>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al"/>
    <w:link w:val="FootnoteTextChar"/>
    <w:uiPriority w:val="99"/>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9"/>
      </w:numPr>
    </w:pPr>
  </w:style>
  <w:style w:type="paragraph" w:customStyle="1" w:styleId="NumPar2">
    <w:name w:val="NumPar 2"/>
    <w:basedOn w:val="Normal"/>
    <w:next w:val="Normal"/>
    <w:pPr>
      <w:numPr>
        <w:ilvl w:val="1"/>
        <w:numId w:val="9"/>
      </w:numPr>
    </w:pPr>
  </w:style>
  <w:style w:type="paragraph" w:customStyle="1" w:styleId="NumPar3">
    <w:name w:val="NumPar 3"/>
    <w:basedOn w:val="Normal"/>
    <w:next w:val="Normal"/>
    <w:pPr>
      <w:numPr>
        <w:ilvl w:val="2"/>
        <w:numId w:val="9"/>
      </w:numPr>
    </w:pPr>
  </w:style>
  <w:style w:type="paragraph" w:customStyle="1" w:styleId="NumPar4">
    <w:name w:val="NumPar 4"/>
    <w:basedOn w:val="Normal"/>
    <w:next w:val="Normal"/>
    <w:pPr>
      <w:numPr>
        <w:ilvl w:val="3"/>
        <w:numId w:val="9"/>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10"/>
      </w:numPr>
    </w:pPr>
  </w:style>
  <w:style w:type="paragraph" w:customStyle="1" w:styleId="Point0number">
    <w:name w:val="Point 0 (number)"/>
    <w:basedOn w:val="Normal"/>
    <w:pPr>
      <w:numPr>
        <w:numId w:val="10"/>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10"/>
      </w:numPr>
    </w:pPr>
  </w:style>
  <w:style w:type="paragraph" w:customStyle="1" w:styleId="Point1number">
    <w:name w:val="Point 1 (number)"/>
    <w:basedOn w:val="Normal"/>
    <w:pPr>
      <w:numPr>
        <w:ilvl w:val="2"/>
        <w:numId w:val="10"/>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10"/>
      </w:numPr>
    </w:pPr>
  </w:style>
  <w:style w:type="paragraph" w:customStyle="1" w:styleId="Point2number">
    <w:name w:val="Point 2 (number)"/>
    <w:basedOn w:val="Normal"/>
    <w:pPr>
      <w:numPr>
        <w:ilvl w:val="4"/>
        <w:numId w:val="10"/>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10"/>
      </w:numPr>
    </w:pPr>
  </w:style>
  <w:style w:type="paragraph" w:customStyle="1" w:styleId="Point3number">
    <w:name w:val="Point 3 (number)"/>
    <w:basedOn w:val="Normal"/>
    <w:pPr>
      <w:numPr>
        <w:ilvl w:val="6"/>
        <w:numId w:val="10"/>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1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qFormat/>
    <w:pPr>
      <w:tabs>
        <w:tab w:val="right" w:leader="dot" w:pos="9071"/>
      </w:tabs>
      <w:spacing w:before="60"/>
      <w:ind w:left="850" w:hanging="850"/>
      <w:jc w:val="left"/>
    </w:p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Funotenzeichen">
    <w:name w:val="Fußnotenzeichen"/>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styleId="Emphasis">
    <w:name w:val="Emphasis"/>
    <w:qFormat/>
    <w:rPr>
      <w:rFonts w:cs="Times New Roman"/>
      <w:i/>
      <w:iCs/>
      <w:shd w:val="clear" w:color="auto" w:fill="auto"/>
    </w:rPr>
  </w:style>
  <w:style w:type="paragraph" w:styleId="ListBullet">
    <w:name w:val="List Bullet"/>
    <w:basedOn w:val="Normal"/>
    <w:pPr>
      <w:numPr>
        <w:numId w:val="30"/>
      </w:numPr>
    </w:pPr>
    <w:rPr>
      <w:lang w:eastAsia="de-DE"/>
    </w:rPr>
  </w:style>
  <w:style w:type="paragraph" w:styleId="ListNumber">
    <w:name w:val="List Number"/>
    <w:basedOn w:val="Normal"/>
    <w:pPr>
      <w:numPr>
        <w:numId w:val="16"/>
      </w:numPr>
    </w:pPr>
    <w:rPr>
      <w:lang w:eastAsia="de-DE"/>
    </w:rPr>
  </w:style>
  <w:style w:type="paragraph" w:customStyle="1" w:styleId="ListDash">
    <w:name w:val="List Dash"/>
    <w:basedOn w:val="Normal"/>
    <w:pPr>
      <w:numPr>
        <w:numId w:val="25"/>
      </w:numPr>
    </w:pPr>
    <w:rPr>
      <w:lang w:eastAsia="de-DE"/>
    </w:rPr>
  </w:style>
  <w:style w:type="paragraph" w:customStyle="1" w:styleId="ListNumberLevel2">
    <w:name w:val="List Number (Level 2)"/>
    <w:basedOn w:val="Normal"/>
    <w:pPr>
      <w:numPr>
        <w:ilvl w:val="1"/>
        <w:numId w:val="16"/>
      </w:numPr>
    </w:pPr>
    <w:rPr>
      <w:lang w:eastAsia="de-DE"/>
    </w:rPr>
  </w:style>
  <w:style w:type="paragraph" w:customStyle="1" w:styleId="ListNumberLevel3">
    <w:name w:val="List Number (Level 3)"/>
    <w:basedOn w:val="Normal"/>
    <w:pPr>
      <w:numPr>
        <w:ilvl w:val="2"/>
        <w:numId w:val="16"/>
      </w:numPr>
    </w:pPr>
    <w:rPr>
      <w:lang w:eastAsia="de-DE"/>
    </w:rPr>
  </w:style>
  <w:style w:type="paragraph" w:customStyle="1" w:styleId="ListNumberLevel4">
    <w:name w:val="List Number (Level 4)"/>
    <w:basedOn w:val="Normal"/>
    <w:pPr>
      <w:numPr>
        <w:ilvl w:val="3"/>
        <w:numId w:val="16"/>
      </w:numPr>
    </w:pPr>
    <w:rPr>
      <w:lang w:eastAsia="de-DE"/>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character" w:styleId="CommentReference">
    <w:name w:val="annotation reference"/>
    <w:rPr>
      <w:sz w:val="16"/>
      <w:szCs w:val="16"/>
      <w:shd w:val="clear" w:color="auto" w:fill="aut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paragraph" w:styleId="ListNumber2">
    <w:name w:val="List Number 2"/>
    <w:basedOn w:val="Normal"/>
    <w:pPr>
      <w:numPr>
        <w:numId w:val="18"/>
      </w:numPr>
    </w:pPr>
    <w:rPr>
      <w:lang w:eastAsia="de-DE"/>
    </w:rPr>
  </w:style>
  <w:style w:type="paragraph" w:styleId="ListNumber3">
    <w:name w:val="List Number 3"/>
    <w:basedOn w:val="Normal"/>
    <w:pPr>
      <w:numPr>
        <w:numId w:val="19"/>
      </w:numPr>
    </w:pPr>
    <w:rPr>
      <w:lang w:eastAsia="de-DE"/>
    </w:rPr>
  </w:style>
  <w:style w:type="paragraph" w:styleId="ListNumber4">
    <w:name w:val="List Number 4"/>
    <w:basedOn w:val="Normal"/>
    <w:pPr>
      <w:numPr>
        <w:numId w:val="20"/>
      </w:numPr>
    </w:pPr>
    <w:rPr>
      <w:lang w:eastAsia="de-DE"/>
    </w:rPr>
  </w:style>
  <w:style w:type="paragraph" w:customStyle="1" w:styleId="ListNumber1">
    <w:name w:val="List Number 1"/>
    <w:basedOn w:val="Text1"/>
    <w:pPr>
      <w:numPr>
        <w:numId w:val="17"/>
      </w:numPr>
    </w:pPr>
    <w:rPr>
      <w:lang w:eastAsia="de-DE"/>
    </w:rPr>
  </w:style>
  <w:style w:type="paragraph" w:customStyle="1" w:styleId="ListNumber1Level2">
    <w:name w:val="List Number 1 (Level 2)"/>
    <w:basedOn w:val="Text1"/>
    <w:pPr>
      <w:numPr>
        <w:ilvl w:val="1"/>
        <w:numId w:val="17"/>
      </w:numPr>
    </w:pPr>
    <w:rPr>
      <w:lang w:eastAsia="de-DE"/>
    </w:rPr>
  </w:style>
  <w:style w:type="paragraph" w:customStyle="1" w:styleId="ListNumber2Level2">
    <w:name w:val="List Number 2 (Level 2)"/>
    <w:basedOn w:val="Text2"/>
    <w:pPr>
      <w:numPr>
        <w:ilvl w:val="1"/>
        <w:numId w:val="18"/>
      </w:numPr>
    </w:pPr>
    <w:rPr>
      <w:lang w:eastAsia="de-DE"/>
    </w:rPr>
  </w:style>
  <w:style w:type="paragraph" w:customStyle="1" w:styleId="ListNumber3Level2">
    <w:name w:val="List Number 3 (Level 2)"/>
    <w:basedOn w:val="Text3"/>
    <w:pPr>
      <w:numPr>
        <w:ilvl w:val="1"/>
        <w:numId w:val="19"/>
      </w:numPr>
    </w:pPr>
    <w:rPr>
      <w:lang w:eastAsia="de-DE"/>
    </w:rPr>
  </w:style>
  <w:style w:type="paragraph" w:customStyle="1" w:styleId="ListNumber4Level2">
    <w:name w:val="List Number 4 (Level 2)"/>
    <w:basedOn w:val="Text4"/>
    <w:pPr>
      <w:numPr>
        <w:ilvl w:val="1"/>
        <w:numId w:val="20"/>
      </w:numPr>
    </w:pPr>
    <w:rPr>
      <w:lang w:eastAsia="de-DE"/>
    </w:rPr>
  </w:style>
  <w:style w:type="paragraph" w:customStyle="1" w:styleId="ListNumber1Level3">
    <w:name w:val="List Number 1 (Level 3)"/>
    <w:basedOn w:val="Text1"/>
    <w:pPr>
      <w:numPr>
        <w:ilvl w:val="2"/>
        <w:numId w:val="17"/>
      </w:numPr>
    </w:pPr>
    <w:rPr>
      <w:lang w:eastAsia="de-DE"/>
    </w:rPr>
  </w:style>
  <w:style w:type="paragraph" w:customStyle="1" w:styleId="ListNumber2Level3">
    <w:name w:val="List Number 2 (Level 3)"/>
    <w:basedOn w:val="Text2"/>
    <w:pPr>
      <w:numPr>
        <w:ilvl w:val="2"/>
        <w:numId w:val="18"/>
      </w:numPr>
    </w:pPr>
    <w:rPr>
      <w:lang w:eastAsia="de-DE"/>
    </w:rPr>
  </w:style>
  <w:style w:type="paragraph" w:customStyle="1" w:styleId="ListNumber3Level3">
    <w:name w:val="List Number 3 (Level 3)"/>
    <w:basedOn w:val="Text3"/>
    <w:pPr>
      <w:numPr>
        <w:ilvl w:val="2"/>
        <w:numId w:val="19"/>
      </w:numPr>
    </w:pPr>
    <w:rPr>
      <w:lang w:eastAsia="de-DE"/>
    </w:rPr>
  </w:style>
  <w:style w:type="paragraph" w:customStyle="1" w:styleId="ListNumber4Level3">
    <w:name w:val="List Number 4 (Level 3)"/>
    <w:basedOn w:val="Text4"/>
    <w:pPr>
      <w:numPr>
        <w:ilvl w:val="2"/>
        <w:numId w:val="20"/>
      </w:numPr>
    </w:pPr>
    <w:rPr>
      <w:lang w:eastAsia="de-DE"/>
    </w:rPr>
  </w:style>
  <w:style w:type="paragraph" w:customStyle="1" w:styleId="ListNumber1Level4">
    <w:name w:val="List Number 1 (Level 4)"/>
    <w:basedOn w:val="Text1"/>
    <w:pPr>
      <w:numPr>
        <w:ilvl w:val="3"/>
        <w:numId w:val="17"/>
      </w:numPr>
    </w:pPr>
    <w:rPr>
      <w:lang w:eastAsia="de-DE"/>
    </w:rPr>
  </w:style>
  <w:style w:type="paragraph" w:customStyle="1" w:styleId="ListNumber2Level4">
    <w:name w:val="List Number 2 (Level 4)"/>
    <w:basedOn w:val="Text2"/>
    <w:pPr>
      <w:numPr>
        <w:ilvl w:val="3"/>
        <w:numId w:val="18"/>
      </w:numPr>
    </w:pPr>
    <w:rPr>
      <w:lang w:eastAsia="de-DE"/>
    </w:rPr>
  </w:style>
  <w:style w:type="paragraph" w:customStyle="1" w:styleId="ListNumber3Level4">
    <w:name w:val="List Number 3 (Level 4)"/>
    <w:basedOn w:val="Text3"/>
    <w:pPr>
      <w:numPr>
        <w:ilvl w:val="3"/>
        <w:numId w:val="19"/>
      </w:numPr>
    </w:pPr>
    <w:rPr>
      <w:lang w:eastAsia="de-DE"/>
    </w:rPr>
  </w:style>
  <w:style w:type="paragraph" w:customStyle="1" w:styleId="ListNumber4Level4">
    <w:name w:val="List Number 4 (Level 4)"/>
    <w:basedOn w:val="Text4"/>
    <w:pPr>
      <w:numPr>
        <w:ilvl w:val="3"/>
        <w:numId w:val="20"/>
      </w:numPr>
    </w:pPr>
    <w:rPr>
      <w:lang w:eastAsia="de-DE"/>
    </w:rPr>
  </w:style>
  <w:style w:type="paragraph" w:customStyle="1" w:styleId="ListBullet1">
    <w:name w:val="List Bullet 1"/>
    <w:basedOn w:val="Normal"/>
    <w:pPr>
      <w:numPr>
        <w:numId w:val="21"/>
      </w:numPr>
    </w:pPr>
    <w:rPr>
      <w:lang w:eastAsia="de-DE"/>
    </w:rPr>
  </w:style>
  <w:style w:type="paragraph" w:styleId="ListBullet2">
    <w:name w:val="List Bullet 2"/>
    <w:basedOn w:val="Normal"/>
    <w:pPr>
      <w:numPr>
        <w:numId w:val="22"/>
      </w:numPr>
    </w:pPr>
    <w:rPr>
      <w:lang w:eastAsia="de-DE"/>
    </w:rPr>
  </w:style>
  <w:style w:type="paragraph" w:styleId="ListBullet3">
    <w:name w:val="List Bullet 3"/>
    <w:basedOn w:val="Normal"/>
    <w:pPr>
      <w:numPr>
        <w:numId w:val="23"/>
      </w:numPr>
    </w:pPr>
    <w:rPr>
      <w:lang w:eastAsia="de-DE"/>
    </w:rPr>
  </w:style>
  <w:style w:type="paragraph" w:styleId="ListBullet4">
    <w:name w:val="List Bullet 4"/>
    <w:basedOn w:val="Normal"/>
    <w:pPr>
      <w:numPr>
        <w:numId w:val="24"/>
      </w:numPr>
    </w:pPr>
    <w:rPr>
      <w:lang w:eastAsia="de-DE"/>
    </w:rPr>
  </w:style>
  <w:style w:type="paragraph" w:customStyle="1" w:styleId="ListDash1">
    <w:name w:val="List Dash 1"/>
    <w:basedOn w:val="Normal"/>
    <w:pPr>
      <w:numPr>
        <w:numId w:val="26"/>
      </w:numPr>
    </w:pPr>
    <w:rPr>
      <w:lang w:eastAsia="de-DE"/>
    </w:rPr>
  </w:style>
  <w:style w:type="paragraph" w:customStyle="1" w:styleId="ListDash2">
    <w:name w:val="List Dash 2"/>
    <w:basedOn w:val="Normal"/>
    <w:pPr>
      <w:numPr>
        <w:numId w:val="27"/>
      </w:numPr>
    </w:pPr>
    <w:rPr>
      <w:lang w:eastAsia="de-DE"/>
    </w:rPr>
  </w:style>
  <w:style w:type="paragraph" w:customStyle="1" w:styleId="ListDash3">
    <w:name w:val="List Dash 3"/>
    <w:basedOn w:val="Normal"/>
    <w:pPr>
      <w:numPr>
        <w:numId w:val="28"/>
      </w:numPr>
    </w:pPr>
    <w:rPr>
      <w:lang w:eastAsia="de-DE"/>
    </w:rPr>
  </w:style>
  <w:style w:type="paragraph" w:customStyle="1" w:styleId="ListDash4">
    <w:name w:val="List Dash 4"/>
    <w:basedOn w:val="Normal"/>
    <w:pPr>
      <w:numPr>
        <w:numId w:val="29"/>
      </w:numPr>
    </w:pPr>
    <w:rPr>
      <w:lang w:eastAsia="de-DE"/>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en-US"/>
    </w:rPr>
  </w:style>
  <w:style w:type="paragraph" w:customStyle="1" w:styleId="Default">
    <w:name w:val="Default"/>
    <w:pPr>
      <w:autoSpaceDE w:val="0"/>
      <w:autoSpaceDN w:val="0"/>
      <w:adjustRightInd w:val="0"/>
    </w:pPr>
    <w:rPr>
      <w:color w:val="000000"/>
      <w:sz w:val="24"/>
      <w:szCs w:val="24"/>
    </w:rPr>
  </w:style>
  <w:style w:type="paragraph" w:styleId="DocumentMap">
    <w:name w:val="Document Map"/>
    <w:basedOn w:val="Normal"/>
    <w:link w:val="DocumentMapChar"/>
    <w:pPr>
      <w:shd w:val="clear" w:color="auto" w:fill="000080"/>
    </w:pPr>
    <w:rPr>
      <w:rFonts w:ascii="Tahoma" w:hAnsi="Tahoma" w:cs="Tahoma"/>
      <w:sz w:val="20"/>
      <w:szCs w:val="20"/>
    </w:rPr>
  </w:style>
  <w:style w:type="character" w:customStyle="1" w:styleId="DocumentMapChar">
    <w:name w:val="Document Map Char"/>
    <w:link w:val="DocumentMap"/>
    <w:rPr>
      <w:rFonts w:ascii="Tahoma" w:hAnsi="Tahoma" w:cs="Tahoma"/>
      <w:shd w:val="clear" w:color="auto" w:fill="000080"/>
      <w:lang w:eastAsia="en-US"/>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
    <w:link w:val="FootnoteText"/>
    <w:uiPriority w:val="99"/>
    <w:rPr>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character" w:customStyle="1" w:styleId="FooterChar">
    <w:name w:val="Footer Char"/>
    <w:link w:val="Footer"/>
    <w:uiPriority w:val="99"/>
    <w:rPr>
      <w:sz w:val="24"/>
      <w:szCs w:val="24"/>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link w:val="Subtitle"/>
    <w:rPr>
      <w:rFonts w:ascii="Cambria" w:eastAsia="Times New Roman" w:hAnsi="Cambria" w:cs="Times New Roman"/>
      <w:sz w:val="24"/>
      <w:szCs w:val="24"/>
      <w:shd w:val="clear" w:color="auto" w:fill="auto"/>
      <w:lang w:eastAsia="en-US"/>
    </w:rPr>
  </w:style>
  <w:style w:type="paragraph" w:styleId="NormalWeb">
    <w:name w:val="Normal (Web)"/>
    <w:basedOn w:val="Normal"/>
    <w:uiPriority w:val="99"/>
    <w:unhideWhenUsed/>
    <w:pPr>
      <w:spacing w:before="100" w:beforeAutospacing="1" w:after="100" w:afterAutospacing="1"/>
      <w:jc w:val="left"/>
    </w:pPr>
    <w:rPr>
      <w:lang w:eastAsia="en-GB"/>
    </w:rPr>
  </w:style>
  <w:style w:type="character" w:styleId="Strong">
    <w:name w:val="Strong"/>
    <w:uiPriority w:val="22"/>
    <w:qFormat/>
    <w:rPr>
      <w:b/>
      <w:bCs/>
      <w:shd w:val="clear" w:color="auto" w:fill="auto"/>
    </w:rPr>
  </w:style>
  <w:style w:type="paragraph" w:styleId="Revision">
    <w:name w:val="Revision"/>
    <w:hidden/>
    <w:uiPriority w:val="99"/>
    <w:semiHidden/>
    <w:rPr>
      <w:sz w:val="24"/>
      <w:szCs w:val="24"/>
      <w:lang w:eastAsia="en-US"/>
    </w:rPr>
  </w:style>
  <w:style w:type="character" w:customStyle="1" w:styleId="Heading1Char">
    <w:name w:val="Heading 1 Char"/>
    <w:link w:val="Heading1"/>
    <w:rPr>
      <w:b/>
      <w:bCs/>
      <w:smallCaps/>
      <w:sz w:val="24"/>
      <w:szCs w:val="32"/>
      <w:lang w:eastAsia="en-US"/>
    </w:rPr>
  </w:style>
  <w:style w:type="character" w:customStyle="1" w:styleId="Heading2Char">
    <w:name w:val="Heading 2 Char"/>
    <w:link w:val="Heading2"/>
    <w:rPr>
      <w:b/>
      <w:bCs/>
      <w:iCs/>
      <w:noProof/>
      <w:sz w:val="24"/>
      <w:szCs w:val="28"/>
      <w:lang w:eastAsia="en-US"/>
    </w:rPr>
  </w:style>
  <w:style w:type="character" w:styleId="FollowedHyperlink">
    <w:name w:val="FollowedHyperlink"/>
    <w:rPr>
      <w:color w:val="800080"/>
      <w:u w:val="single"/>
      <w:shd w:val="clear" w:color="auto" w:fill="auto"/>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BBullets2">
    <w:name w:val="B Bullets 2"/>
    <w:uiPriority w:val="20"/>
    <w:qFormat/>
    <w:pPr>
      <w:numPr>
        <w:ilvl w:val="1"/>
        <w:numId w:val="33"/>
      </w:numPr>
      <w:spacing w:before="60" w:after="60" w:line="320" w:lineRule="exact"/>
    </w:pPr>
    <w:rPr>
      <w:rFonts w:ascii="_GOPA TheSerif Light" w:eastAsia="Calibri" w:hAnsi="_GOPA TheSerif Light"/>
      <w:color w:val="000000"/>
      <w:sz w:val="19"/>
      <w:szCs w:val="22"/>
      <w:lang w:eastAsia="en-US"/>
    </w:rPr>
  </w:style>
  <w:style w:type="paragraph" w:customStyle="1" w:styleId="DBulletsgelb1">
    <w:name w:val="D Bullets gelb 1"/>
    <w:link w:val="DBulletsgelb1Zchn"/>
    <w:uiPriority w:val="54"/>
    <w:qFormat/>
    <w:pPr>
      <w:numPr>
        <w:numId w:val="33"/>
      </w:numPr>
      <w:pBdr>
        <w:top w:val="single" w:sz="4" w:space="0" w:color="FCF6E9"/>
        <w:left w:val="single" w:sz="4" w:space="8" w:color="FCF6E9"/>
        <w:bottom w:val="single" w:sz="4" w:space="0" w:color="FCF6E9"/>
        <w:right w:val="single" w:sz="4" w:space="4" w:color="FCF6E9"/>
      </w:pBdr>
      <w:shd w:val="clear" w:color="auto" w:fill="FCF6E9"/>
      <w:spacing w:line="320" w:lineRule="exact"/>
      <w:ind w:left="425" w:right="113" w:hanging="255"/>
    </w:pPr>
    <w:rPr>
      <w:rFonts w:ascii="_GOPA TheSerif Light" w:eastAsia="Calibri" w:hAnsi="_GOPA TheSerif Light"/>
      <w:color w:val="000000"/>
      <w:sz w:val="19"/>
      <w:szCs w:val="22"/>
      <w:lang w:eastAsia="de-DE"/>
    </w:rPr>
  </w:style>
  <w:style w:type="character" w:customStyle="1" w:styleId="DBulletsgelb1Zchn">
    <w:name w:val="D Bullets gelb 1 Zchn"/>
    <w:link w:val="DBulletsgelb1"/>
    <w:uiPriority w:val="54"/>
    <w:rPr>
      <w:rFonts w:ascii="_GOPA TheSerif Light" w:eastAsia="Calibri" w:hAnsi="_GOPA TheSerif Light"/>
      <w:color w:val="000000"/>
      <w:sz w:val="19"/>
      <w:szCs w:val="22"/>
      <w:shd w:val="clear" w:color="auto" w:fill="FCF6E9"/>
      <w:lang w:eastAsia="de-DE"/>
    </w:rPr>
  </w:style>
  <w:style w:type="character" w:customStyle="1" w:styleId="BHighlight1">
    <w:name w:val="B Highlight 1"/>
    <w:qFormat/>
    <w:rPr>
      <w:rFonts w:ascii="_GOPA TheSerif Light" w:hAnsi="_GOPA TheSerif Light"/>
      <w:b/>
      <w:color w:val="DC9300"/>
      <w:sz w:val="19"/>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b/>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88917">
      <w:bodyDiv w:val="1"/>
      <w:marLeft w:val="0"/>
      <w:marRight w:val="0"/>
      <w:marTop w:val="0"/>
      <w:marBottom w:val="0"/>
      <w:divBdr>
        <w:top w:val="none" w:sz="0" w:space="0" w:color="auto"/>
        <w:left w:val="none" w:sz="0" w:space="0" w:color="auto"/>
        <w:bottom w:val="none" w:sz="0" w:space="0" w:color="auto"/>
        <w:right w:val="none" w:sz="0" w:space="0" w:color="auto"/>
      </w:divBdr>
    </w:div>
    <w:div w:id="419453083">
      <w:bodyDiv w:val="1"/>
      <w:marLeft w:val="0"/>
      <w:marRight w:val="0"/>
      <w:marTop w:val="0"/>
      <w:marBottom w:val="0"/>
      <w:divBdr>
        <w:top w:val="none" w:sz="0" w:space="0" w:color="auto"/>
        <w:left w:val="none" w:sz="0" w:space="0" w:color="auto"/>
        <w:bottom w:val="none" w:sz="0" w:space="0" w:color="auto"/>
        <w:right w:val="none" w:sz="0" w:space="0" w:color="auto"/>
      </w:divBdr>
    </w:div>
    <w:div w:id="552615252">
      <w:bodyDiv w:val="1"/>
      <w:marLeft w:val="0"/>
      <w:marRight w:val="0"/>
      <w:marTop w:val="0"/>
      <w:marBottom w:val="0"/>
      <w:divBdr>
        <w:top w:val="none" w:sz="0" w:space="0" w:color="auto"/>
        <w:left w:val="none" w:sz="0" w:space="0" w:color="auto"/>
        <w:bottom w:val="none" w:sz="0" w:space="0" w:color="auto"/>
        <w:right w:val="none" w:sz="0" w:space="0" w:color="auto"/>
      </w:divBdr>
    </w:div>
    <w:div w:id="790244039">
      <w:bodyDiv w:val="1"/>
      <w:marLeft w:val="0"/>
      <w:marRight w:val="0"/>
      <w:marTop w:val="0"/>
      <w:marBottom w:val="0"/>
      <w:divBdr>
        <w:top w:val="none" w:sz="0" w:space="0" w:color="auto"/>
        <w:left w:val="none" w:sz="0" w:space="0" w:color="auto"/>
        <w:bottom w:val="none" w:sz="0" w:space="0" w:color="auto"/>
        <w:right w:val="none" w:sz="0" w:space="0" w:color="auto"/>
      </w:divBdr>
    </w:div>
    <w:div w:id="983241643">
      <w:bodyDiv w:val="1"/>
      <w:marLeft w:val="0"/>
      <w:marRight w:val="0"/>
      <w:marTop w:val="0"/>
      <w:marBottom w:val="0"/>
      <w:divBdr>
        <w:top w:val="none" w:sz="0" w:space="0" w:color="auto"/>
        <w:left w:val="none" w:sz="0" w:space="0" w:color="auto"/>
        <w:bottom w:val="none" w:sz="0" w:space="0" w:color="auto"/>
        <w:right w:val="none" w:sz="0" w:space="0" w:color="auto"/>
      </w:divBdr>
    </w:div>
    <w:div w:id="1435828464">
      <w:bodyDiv w:val="1"/>
      <w:marLeft w:val="0"/>
      <w:marRight w:val="0"/>
      <w:marTop w:val="0"/>
      <w:marBottom w:val="0"/>
      <w:divBdr>
        <w:top w:val="none" w:sz="0" w:space="0" w:color="auto"/>
        <w:left w:val="none" w:sz="0" w:space="0" w:color="auto"/>
        <w:bottom w:val="none" w:sz="0" w:space="0" w:color="auto"/>
        <w:right w:val="none" w:sz="0" w:space="0" w:color="auto"/>
      </w:divBdr>
    </w:div>
    <w:div w:id="1449197605">
      <w:bodyDiv w:val="1"/>
      <w:marLeft w:val="0"/>
      <w:marRight w:val="0"/>
      <w:marTop w:val="0"/>
      <w:marBottom w:val="0"/>
      <w:divBdr>
        <w:top w:val="none" w:sz="0" w:space="0" w:color="auto"/>
        <w:left w:val="none" w:sz="0" w:space="0" w:color="auto"/>
        <w:bottom w:val="none" w:sz="0" w:space="0" w:color="auto"/>
        <w:right w:val="none" w:sz="0" w:space="0" w:color="auto"/>
      </w:divBdr>
      <w:divsChild>
        <w:div w:id="1638997413">
          <w:marLeft w:val="0"/>
          <w:marRight w:val="0"/>
          <w:marTop w:val="0"/>
          <w:marBottom w:val="0"/>
          <w:divBdr>
            <w:top w:val="none" w:sz="0" w:space="0" w:color="auto"/>
            <w:left w:val="none" w:sz="0" w:space="0" w:color="auto"/>
            <w:bottom w:val="none" w:sz="0" w:space="0" w:color="auto"/>
            <w:right w:val="none" w:sz="0" w:space="0" w:color="auto"/>
          </w:divBdr>
          <w:divsChild>
            <w:div w:id="1195967791">
              <w:marLeft w:val="-300"/>
              <w:marRight w:val="0"/>
              <w:marTop w:val="0"/>
              <w:marBottom w:val="270"/>
              <w:divBdr>
                <w:top w:val="none" w:sz="0" w:space="0" w:color="auto"/>
                <w:left w:val="none" w:sz="0" w:space="0" w:color="auto"/>
                <w:bottom w:val="none" w:sz="0" w:space="0" w:color="auto"/>
                <w:right w:val="none" w:sz="0" w:space="0" w:color="auto"/>
              </w:divBdr>
              <w:divsChild>
                <w:div w:id="1963266378">
                  <w:marLeft w:val="0"/>
                  <w:marRight w:val="0"/>
                  <w:marTop w:val="0"/>
                  <w:marBottom w:val="0"/>
                  <w:divBdr>
                    <w:top w:val="none" w:sz="0" w:space="0" w:color="auto"/>
                    <w:left w:val="none" w:sz="0" w:space="0" w:color="auto"/>
                    <w:bottom w:val="none" w:sz="0" w:space="0" w:color="auto"/>
                    <w:right w:val="none" w:sz="0" w:space="0" w:color="auto"/>
                  </w:divBdr>
                  <w:divsChild>
                    <w:div w:id="969550347">
                      <w:marLeft w:val="0"/>
                      <w:marRight w:val="0"/>
                      <w:marTop w:val="0"/>
                      <w:marBottom w:val="270"/>
                      <w:divBdr>
                        <w:top w:val="none" w:sz="0" w:space="0" w:color="auto"/>
                        <w:left w:val="none" w:sz="0" w:space="0" w:color="auto"/>
                        <w:bottom w:val="none" w:sz="0" w:space="0" w:color="auto"/>
                        <w:right w:val="none" w:sz="0" w:space="0" w:color="auto"/>
                      </w:divBdr>
                      <w:divsChild>
                        <w:div w:id="1118140803">
                          <w:marLeft w:val="0"/>
                          <w:marRight w:val="0"/>
                          <w:marTop w:val="0"/>
                          <w:marBottom w:val="0"/>
                          <w:divBdr>
                            <w:top w:val="none" w:sz="0" w:space="0" w:color="auto"/>
                            <w:left w:val="none" w:sz="0" w:space="0" w:color="auto"/>
                            <w:bottom w:val="none" w:sz="0" w:space="0" w:color="auto"/>
                            <w:right w:val="none" w:sz="0" w:space="0" w:color="auto"/>
                          </w:divBdr>
                          <w:divsChild>
                            <w:div w:id="2042395949">
                              <w:marLeft w:val="0"/>
                              <w:marRight w:val="0"/>
                              <w:marTop w:val="0"/>
                              <w:marBottom w:val="0"/>
                              <w:divBdr>
                                <w:top w:val="none" w:sz="0" w:space="0" w:color="auto"/>
                                <w:left w:val="none" w:sz="0" w:space="0" w:color="auto"/>
                                <w:bottom w:val="none" w:sz="0" w:space="0" w:color="auto"/>
                                <w:right w:val="none" w:sz="0" w:space="0" w:color="auto"/>
                              </w:divBdr>
                              <w:divsChild>
                                <w:div w:id="59836253">
                                  <w:marLeft w:val="0"/>
                                  <w:marRight w:val="0"/>
                                  <w:marTop w:val="0"/>
                                  <w:marBottom w:val="0"/>
                                  <w:divBdr>
                                    <w:top w:val="none" w:sz="0" w:space="0" w:color="auto"/>
                                    <w:left w:val="none" w:sz="0" w:space="0" w:color="auto"/>
                                    <w:bottom w:val="none" w:sz="0" w:space="0" w:color="auto"/>
                                    <w:right w:val="none" w:sz="0" w:space="0" w:color="auto"/>
                                  </w:divBdr>
                                  <w:divsChild>
                                    <w:div w:id="15700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337983">
      <w:bodyDiv w:val="1"/>
      <w:marLeft w:val="0"/>
      <w:marRight w:val="0"/>
      <w:marTop w:val="0"/>
      <w:marBottom w:val="0"/>
      <w:divBdr>
        <w:top w:val="none" w:sz="0" w:space="0" w:color="auto"/>
        <w:left w:val="none" w:sz="0" w:space="0" w:color="auto"/>
        <w:bottom w:val="none" w:sz="0" w:space="0" w:color="auto"/>
        <w:right w:val="none" w:sz="0" w:space="0" w:color="auto"/>
      </w:divBdr>
      <w:divsChild>
        <w:div w:id="557279205">
          <w:marLeft w:val="0"/>
          <w:marRight w:val="0"/>
          <w:marTop w:val="0"/>
          <w:marBottom w:val="0"/>
          <w:divBdr>
            <w:top w:val="none" w:sz="0" w:space="0" w:color="auto"/>
            <w:left w:val="none" w:sz="0" w:space="0" w:color="auto"/>
            <w:bottom w:val="none" w:sz="0" w:space="0" w:color="auto"/>
            <w:right w:val="none" w:sz="0" w:space="0" w:color="auto"/>
          </w:divBdr>
          <w:divsChild>
            <w:div w:id="1843855925">
              <w:marLeft w:val="0"/>
              <w:marRight w:val="0"/>
              <w:marTop w:val="0"/>
              <w:marBottom w:val="0"/>
              <w:divBdr>
                <w:top w:val="none" w:sz="0" w:space="0" w:color="auto"/>
                <w:left w:val="none" w:sz="0" w:space="0" w:color="auto"/>
                <w:bottom w:val="none" w:sz="0" w:space="0" w:color="auto"/>
                <w:right w:val="none" w:sz="0" w:space="0" w:color="auto"/>
              </w:divBdr>
              <w:divsChild>
                <w:div w:id="335615287">
                  <w:marLeft w:val="0"/>
                  <w:marRight w:val="0"/>
                  <w:marTop w:val="0"/>
                  <w:marBottom w:val="0"/>
                  <w:divBdr>
                    <w:top w:val="none" w:sz="0" w:space="0" w:color="auto"/>
                    <w:left w:val="none" w:sz="0" w:space="0" w:color="auto"/>
                    <w:bottom w:val="none" w:sz="0" w:space="0" w:color="auto"/>
                    <w:right w:val="none" w:sz="0" w:space="0" w:color="auto"/>
                  </w:divBdr>
                  <w:divsChild>
                    <w:div w:id="12525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0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esm.europa.eu" TargetMode="External"/><Relationship Id="rId2" Type="http://schemas.openxmlformats.org/officeDocument/2006/relationships/hyperlink" Target="../../AppData/Local/Microsoft/Windows/Temporary%20Internet%20Files/AppData/Local/Microsoft/Windows/Temporary%20Internet%20Files/skrynna/AppData/Local/Microsoft/Windows/skrynna/AppData/Local/Microsoft/Windows/Temporary%20Internet%20Files/sinesca/AppData/Local/Microsoft/Windows/Temporary%20Internet%20Files/skrynna/AppData/Local/Microsoft/Windows/Temporary%20Internet%20Files/skrynna/AppData/Local/Microsoft/Windows/steimpa/AppData/Local/Microsoft/Windows/Temporary%20Internet%20Files/Content.Outlook/ASMTF00S/About%20the%20EFSF" TargetMode="External"/><Relationship Id="rId1" Type="http://schemas.openxmlformats.org/officeDocument/2006/relationships/hyperlink" Target="http://eur-lex.europa.eu/homepage.html" TargetMode="External"/><Relationship Id="rId4" Type="http://schemas.openxmlformats.org/officeDocument/2006/relationships/hyperlink" Target="http://www.consilium.europa.eu/uedocs/cms_data/docs/pressdata/en/ecofin/1143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467D7-3E7D-4505-8097-E6866D11B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5115</Words>
  <Characters>25477</Characters>
  <Application>Microsoft Office Word</Application>
  <DocSecurity>0</DocSecurity>
  <Lines>749</Lines>
  <Paragraphs>518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30074</CharactersWithSpaces>
  <SharedDoc>false</SharedDoc>
  <HLinks>
    <vt:vector size="156" baseType="variant">
      <vt:variant>
        <vt:i4>1835064</vt:i4>
      </vt:variant>
      <vt:variant>
        <vt:i4>131</vt:i4>
      </vt:variant>
      <vt:variant>
        <vt:i4>0</vt:i4>
      </vt:variant>
      <vt:variant>
        <vt:i4>5</vt:i4>
      </vt:variant>
      <vt:variant>
        <vt:lpwstr/>
      </vt:variant>
      <vt:variant>
        <vt:lpwstr>_Toc485288193</vt:lpwstr>
      </vt:variant>
      <vt:variant>
        <vt:i4>1835064</vt:i4>
      </vt:variant>
      <vt:variant>
        <vt:i4>125</vt:i4>
      </vt:variant>
      <vt:variant>
        <vt:i4>0</vt:i4>
      </vt:variant>
      <vt:variant>
        <vt:i4>5</vt:i4>
      </vt:variant>
      <vt:variant>
        <vt:lpwstr/>
      </vt:variant>
      <vt:variant>
        <vt:lpwstr>_Toc485288192</vt:lpwstr>
      </vt:variant>
      <vt:variant>
        <vt:i4>1835064</vt:i4>
      </vt:variant>
      <vt:variant>
        <vt:i4>119</vt:i4>
      </vt:variant>
      <vt:variant>
        <vt:i4>0</vt:i4>
      </vt:variant>
      <vt:variant>
        <vt:i4>5</vt:i4>
      </vt:variant>
      <vt:variant>
        <vt:lpwstr/>
      </vt:variant>
      <vt:variant>
        <vt:lpwstr>_Toc485288191</vt:lpwstr>
      </vt:variant>
      <vt:variant>
        <vt:i4>1835064</vt:i4>
      </vt:variant>
      <vt:variant>
        <vt:i4>113</vt:i4>
      </vt:variant>
      <vt:variant>
        <vt:i4>0</vt:i4>
      </vt:variant>
      <vt:variant>
        <vt:i4>5</vt:i4>
      </vt:variant>
      <vt:variant>
        <vt:lpwstr/>
      </vt:variant>
      <vt:variant>
        <vt:lpwstr>_Toc485288190</vt:lpwstr>
      </vt:variant>
      <vt:variant>
        <vt:i4>1900600</vt:i4>
      </vt:variant>
      <vt:variant>
        <vt:i4>107</vt:i4>
      </vt:variant>
      <vt:variant>
        <vt:i4>0</vt:i4>
      </vt:variant>
      <vt:variant>
        <vt:i4>5</vt:i4>
      </vt:variant>
      <vt:variant>
        <vt:lpwstr/>
      </vt:variant>
      <vt:variant>
        <vt:lpwstr>_Toc485288189</vt:lpwstr>
      </vt:variant>
      <vt:variant>
        <vt:i4>1900600</vt:i4>
      </vt:variant>
      <vt:variant>
        <vt:i4>101</vt:i4>
      </vt:variant>
      <vt:variant>
        <vt:i4>0</vt:i4>
      </vt:variant>
      <vt:variant>
        <vt:i4>5</vt:i4>
      </vt:variant>
      <vt:variant>
        <vt:lpwstr/>
      </vt:variant>
      <vt:variant>
        <vt:lpwstr>_Toc485288188</vt:lpwstr>
      </vt:variant>
      <vt:variant>
        <vt:i4>1900600</vt:i4>
      </vt:variant>
      <vt:variant>
        <vt:i4>95</vt:i4>
      </vt:variant>
      <vt:variant>
        <vt:i4>0</vt:i4>
      </vt:variant>
      <vt:variant>
        <vt:i4>5</vt:i4>
      </vt:variant>
      <vt:variant>
        <vt:lpwstr/>
      </vt:variant>
      <vt:variant>
        <vt:lpwstr>_Toc485288187</vt:lpwstr>
      </vt:variant>
      <vt:variant>
        <vt:i4>1900600</vt:i4>
      </vt:variant>
      <vt:variant>
        <vt:i4>89</vt:i4>
      </vt:variant>
      <vt:variant>
        <vt:i4>0</vt:i4>
      </vt:variant>
      <vt:variant>
        <vt:i4>5</vt:i4>
      </vt:variant>
      <vt:variant>
        <vt:lpwstr/>
      </vt:variant>
      <vt:variant>
        <vt:lpwstr>_Toc485288186</vt:lpwstr>
      </vt:variant>
      <vt:variant>
        <vt:i4>1900600</vt:i4>
      </vt:variant>
      <vt:variant>
        <vt:i4>83</vt:i4>
      </vt:variant>
      <vt:variant>
        <vt:i4>0</vt:i4>
      </vt:variant>
      <vt:variant>
        <vt:i4>5</vt:i4>
      </vt:variant>
      <vt:variant>
        <vt:lpwstr/>
      </vt:variant>
      <vt:variant>
        <vt:lpwstr>_Toc485288185</vt:lpwstr>
      </vt:variant>
      <vt:variant>
        <vt:i4>1900600</vt:i4>
      </vt:variant>
      <vt:variant>
        <vt:i4>77</vt:i4>
      </vt:variant>
      <vt:variant>
        <vt:i4>0</vt:i4>
      </vt:variant>
      <vt:variant>
        <vt:i4>5</vt:i4>
      </vt:variant>
      <vt:variant>
        <vt:lpwstr/>
      </vt:variant>
      <vt:variant>
        <vt:lpwstr>_Toc485288184</vt:lpwstr>
      </vt:variant>
      <vt:variant>
        <vt:i4>1900600</vt:i4>
      </vt:variant>
      <vt:variant>
        <vt:i4>71</vt:i4>
      </vt:variant>
      <vt:variant>
        <vt:i4>0</vt:i4>
      </vt:variant>
      <vt:variant>
        <vt:i4>5</vt:i4>
      </vt:variant>
      <vt:variant>
        <vt:lpwstr/>
      </vt:variant>
      <vt:variant>
        <vt:lpwstr>_Toc485288183</vt:lpwstr>
      </vt:variant>
      <vt:variant>
        <vt:i4>1900600</vt:i4>
      </vt:variant>
      <vt:variant>
        <vt:i4>65</vt:i4>
      </vt:variant>
      <vt:variant>
        <vt:i4>0</vt:i4>
      </vt:variant>
      <vt:variant>
        <vt:i4>5</vt:i4>
      </vt:variant>
      <vt:variant>
        <vt:lpwstr/>
      </vt:variant>
      <vt:variant>
        <vt:lpwstr>_Toc485288182</vt:lpwstr>
      </vt:variant>
      <vt:variant>
        <vt:i4>1900600</vt:i4>
      </vt:variant>
      <vt:variant>
        <vt:i4>59</vt:i4>
      </vt:variant>
      <vt:variant>
        <vt:i4>0</vt:i4>
      </vt:variant>
      <vt:variant>
        <vt:i4>5</vt:i4>
      </vt:variant>
      <vt:variant>
        <vt:lpwstr/>
      </vt:variant>
      <vt:variant>
        <vt:lpwstr>_Toc485288181</vt:lpwstr>
      </vt:variant>
      <vt:variant>
        <vt:i4>1900600</vt:i4>
      </vt:variant>
      <vt:variant>
        <vt:i4>53</vt:i4>
      </vt:variant>
      <vt:variant>
        <vt:i4>0</vt:i4>
      </vt:variant>
      <vt:variant>
        <vt:i4>5</vt:i4>
      </vt:variant>
      <vt:variant>
        <vt:lpwstr/>
      </vt:variant>
      <vt:variant>
        <vt:lpwstr>_Toc485288180</vt:lpwstr>
      </vt:variant>
      <vt:variant>
        <vt:i4>1179704</vt:i4>
      </vt:variant>
      <vt:variant>
        <vt:i4>47</vt:i4>
      </vt:variant>
      <vt:variant>
        <vt:i4>0</vt:i4>
      </vt:variant>
      <vt:variant>
        <vt:i4>5</vt:i4>
      </vt:variant>
      <vt:variant>
        <vt:lpwstr/>
      </vt:variant>
      <vt:variant>
        <vt:lpwstr>_Toc485288179</vt:lpwstr>
      </vt:variant>
      <vt:variant>
        <vt:i4>1179704</vt:i4>
      </vt:variant>
      <vt:variant>
        <vt:i4>41</vt:i4>
      </vt:variant>
      <vt:variant>
        <vt:i4>0</vt:i4>
      </vt:variant>
      <vt:variant>
        <vt:i4>5</vt:i4>
      </vt:variant>
      <vt:variant>
        <vt:lpwstr/>
      </vt:variant>
      <vt:variant>
        <vt:lpwstr>_Toc485288178</vt:lpwstr>
      </vt:variant>
      <vt:variant>
        <vt:i4>1179704</vt:i4>
      </vt:variant>
      <vt:variant>
        <vt:i4>35</vt:i4>
      </vt:variant>
      <vt:variant>
        <vt:i4>0</vt:i4>
      </vt:variant>
      <vt:variant>
        <vt:i4>5</vt:i4>
      </vt:variant>
      <vt:variant>
        <vt:lpwstr/>
      </vt:variant>
      <vt:variant>
        <vt:lpwstr>_Toc485288177</vt:lpwstr>
      </vt:variant>
      <vt:variant>
        <vt:i4>1179704</vt:i4>
      </vt:variant>
      <vt:variant>
        <vt:i4>29</vt:i4>
      </vt:variant>
      <vt:variant>
        <vt:i4>0</vt:i4>
      </vt:variant>
      <vt:variant>
        <vt:i4>5</vt:i4>
      </vt:variant>
      <vt:variant>
        <vt:lpwstr/>
      </vt:variant>
      <vt:variant>
        <vt:lpwstr>_Toc485288176</vt:lpwstr>
      </vt:variant>
      <vt:variant>
        <vt:i4>1179704</vt:i4>
      </vt:variant>
      <vt:variant>
        <vt:i4>23</vt:i4>
      </vt:variant>
      <vt:variant>
        <vt:i4>0</vt:i4>
      </vt:variant>
      <vt:variant>
        <vt:i4>5</vt:i4>
      </vt:variant>
      <vt:variant>
        <vt:lpwstr/>
      </vt:variant>
      <vt:variant>
        <vt:lpwstr>_Toc485288175</vt:lpwstr>
      </vt:variant>
      <vt:variant>
        <vt:i4>1179704</vt:i4>
      </vt:variant>
      <vt:variant>
        <vt:i4>17</vt:i4>
      </vt:variant>
      <vt:variant>
        <vt:i4>0</vt:i4>
      </vt:variant>
      <vt:variant>
        <vt:i4>5</vt:i4>
      </vt:variant>
      <vt:variant>
        <vt:lpwstr/>
      </vt:variant>
      <vt:variant>
        <vt:lpwstr>_Toc485288174</vt:lpwstr>
      </vt:variant>
      <vt:variant>
        <vt:i4>1179704</vt:i4>
      </vt:variant>
      <vt:variant>
        <vt:i4>11</vt:i4>
      </vt:variant>
      <vt:variant>
        <vt:i4>0</vt:i4>
      </vt:variant>
      <vt:variant>
        <vt:i4>5</vt:i4>
      </vt:variant>
      <vt:variant>
        <vt:lpwstr/>
      </vt:variant>
      <vt:variant>
        <vt:lpwstr>_Toc485288173</vt:lpwstr>
      </vt:variant>
      <vt:variant>
        <vt:i4>1179704</vt:i4>
      </vt:variant>
      <vt:variant>
        <vt:i4>5</vt:i4>
      </vt:variant>
      <vt:variant>
        <vt:i4>0</vt:i4>
      </vt:variant>
      <vt:variant>
        <vt:i4>5</vt:i4>
      </vt:variant>
      <vt:variant>
        <vt:lpwstr/>
      </vt:variant>
      <vt:variant>
        <vt:lpwstr>_Toc485288172</vt:lpwstr>
      </vt:variant>
      <vt:variant>
        <vt:i4>786490</vt:i4>
      </vt:variant>
      <vt:variant>
        <vt:i4>9</vt:i4>
      </vt:variant>
      <vt:variant>
        <vt:i4>0</vt:i4>
      </vt:variant>
      <vt:variant>
        <vt:i4>5</vt:i4>
      </vt:variant>
      <vt:variant>
        <vt:lpwstr>http://www.consilium.europa.eu/uedocs/cms_data/docs/pressdata/en/ecofin/114324.pdf</vt:lpwstr>
      </vt:variant>
      <vt:variant>
        <vt:lpwstr/>
      </vt:variant>
      <vt:variant>
        <vt:i4>2031690</vt:i4>
      </vt:variant>
      <vt:variant>
        <vt:i4>6</vt:i4>
      </vt:variant>
      <vt:variant>
        <vt:i4>0</vt:i4>
      </vt:variant>
      <vt:variant>
        <vt:i4>5</vt:i4>
      </vt:variant>
      <vt:variant>
        <vt:lpwstr>http://esm.europa.eu/</vt:lpwstr>
      </vt:variant>
      <vt:variant>
        <vt:lpwstr/>
      </vt:variant>
      <vt:variant>
        <vt:i4>2883619</vt:i4>
      </vt:variant>
      <vt:variant>
        <vt:i4>3</vt:i4>
      </vt:variant>
      <vt:variant>
        <vt:i4>0</vt:i4>
      </vt:variant>
      <vt:variant>
        <vt:i4>5</vt:i4>
      </vt:variant>
      <vt:variant>
        <vt:lpwstr>../../AppData/Local/Microsoft/Windows/Temporary Internet Files/AppData/Local/Microsoft/Windows/Temporary Internet Files/skrynna/AppData/Local/Microsoft/Windows/skrynna/AppData/Local/Microsoft/Windows/Temporary Internet Files/sinesca/AppData/Local/Microsoft/Windows/Temporary Internet Files/skrynna/AppData/Local/Microsoft/Windows/Temporary Internet Files/skrynna/AppData/Local/Microsoft/Windows/steimpa/AppData/Local/Microsoft/Windows/Temporary Internet Files/Content.Outlook/ASMTF00S/About the EFSF</vt:lpwstr>
      </vt:variant>
      <vt:variant>
        <vt:lpwstr/>
      </vt:variant>
      <vt:variant>
        <vt:i4>3145760</vt:i4>
      </vt:variant>
      <vt:variant>
        <vt:i4>0</vt:i4>
      </vt:variant>
      <vt:variant>
        <vt:i4>0</vt:i4>
      </vt:variant>
      <vt:variant>
        <vt:i4>5</vt:i4>
      </vt:variant>
      <vt:variant>
        <vt:lpwstr>http://eur-lex.europa.eu/homepage.html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2017-07-03T10:03:00Z</cp:lastPrinted>
  <dcterms:created xsi:type="dcterms:W3CDTF">2017-11-17T10:51:00Z</dcterms:created>
  <dcterms:modified xsi:type="dcterms:W3CDTF">2017-11-24T08:46:00Z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