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DF8AF0-48DF-4E09-83D7-0310501D55CC" style="width:450.75pt;height:409.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2"/>
        <w:pBdr>
          <w:left w:val="nil"/>
        </w:pBdr>
        <w:rPr>
          <w:noProof/>
        </w:rPr>
      </w:pPr>
      <w:r>
        <w:rPr>
          <w:noProof/>
        </w:rPr>
        <w:t>1.</w:t>
      </w:r>
      <w:r>
        <w:rPr>
          <w:noProof/>
        </w:rPr>
        <w:tab/>
        <w:t>КОНТЕКСТ НА ПРЕДЛОЖЕНИЕТО</w:t>
      </w:r>
    </w:p>
    <w:p>
      <w:pPr>
        <w:pStyle w:val="ManualHeading2"/>
        <w:pBdr>
          <w:left w:val="nil"/>
        </w:pBdr>
        <w:rPr>
          <w:noProof/>
        </w:rPr>
      </w:pPr>
      <w:r>
        <w:rPr>
          <w:noProof/>
        </w:rPr>
        <w:t>Основания и цели на предложението</w:t>
      </w:r>
    </w:p>
    <w:p>
      <w:pPr>
        <w:pStyle w:val="Body"/>
        <w:spacing w:before="0" w:after="240"/>
        <w:rPr>
          <w:noProof/>
        </w:rPr>
      </w:pPr>
      <w:r>
        <w:rPr>
          <w:noProof/>
        </w:rPr>
        <w:t>Европейската агенция по лекарствата беше създадена с Регламент (ЕИО) № 2309/93, който беше заменен от Регламент (ЕО) № 726/2004</w:t>
      </w:r>
      <w:r>
        <w:rPr>
          <w:rStyle w:val="FootnoteReference"/>
          <w:rFonts w:eastAsiaTheme="majorEastAsia"/>
          <w:noProof/>
        </w:rPr>
        <w:footnoteReference w:id="1"/>
      </w:r>
      <w:r>
        <w:rPr>
          <w:noProof/>
        </w:rPr>
        <w:t>. Съгласно член 1 от решението от 29 октомври 1993 г., взето с общо съгласие между представителите на правителствата на държавите членки, заседаващи на ниво държавни и правителствени ръководители, относно местонахождението на седалищата на определени органи и отдели на европейските общности и на Европол</w:t>
      </w:r>
      <w:r>
        <w:rPr>
          <w:rStyle w:val="FootnoteReference"/>
          <w:rFonts w:eastAsiaTheme="majorEastAsia"/>
          <w:noProof/>
        </w:rPr>
        <w:footnoteReference w:id="2"/>
      </w:r>
      <w:r>
        <w:rPr>
          <w:noProof/>
        </w:rPr>
        <w:t>, седалището на Европейската агенция по лекарствата е в Лондон, Обединеното кралство.</w:t>
      </w:r>
    </w:p>
    <w:p>
      <w:pPr>
        <w:pBdr>
          <w:left w:val="nil"/>
        </w:pBdr>
        <w:spacing w:before="0" w:after="0"/>
        <w:rPr>
          <w:noProof/>
        </w:rPr>
      </w:pPr>
      <w:r>
        <w:rPr>
          <w:noProof/>
        </w:rPr>
        <w:t xml:space="preserve">На 29 март 2017 г. Обединеното кралство уведоми Европейския съвет за намерението си да напусне Съюза съгласно член 50 от Договора за Европейския съюз. </w:t>
      </w:r>
    </w:p>
    <w:p>
      <w:pPr>
        <w:pBdr>
          <w:left w:val="nil"/>
        </w:pBdr>
        <w:spacing w:before="0" w:after="0"/>
        <w:rPr>
          <w:noProof/>
        </w:rPr>
      </w:pPr>
    </w:p>
    <w:p>
      <w:pPr>
        <w:pBdr>
          <w:left w:val="nil"/>
        </w:pBdr>
        <w:spacing w:before="0" w:after="0"/>
        <w:rPr>
          <w:noProof/>
        </w:rPr>
      </w:pPr>
      <w:r>
        <w:rPr>
          <w:noProof/>
        </w:rPr>
        <w:t xml:space="preserve">На 20 ноември 2017 г. в рамките на заседанието на Съвета по общи въпроси (чл. 50) останалите 27 държави членки избраха Амстердам, Нидерландия, за ново седалище на Европейската агенция по лекарствата.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Body"/>
        <w:tabs>
          <w:tab w:val="left" w:pos="850"/>
        </w:tabs>
        <w:spacing w:before="0" w:after="240"/>
        <w:rPr>
          <w:noProof/>
        </w:rPr>
      </w:pPr>
      <w:r>
        <w:rPr>
          <w:noProof/>
        </w:rPr>
        <w:t xml:space="preserve">Тъй като подлежащият на изменение акт се основава на членове 114 и 168, параграф 4, буква в) от Договора за функционирането на Европейския съюз („ДФЕС“), актът за изменение следва да има същото правно основание. </w:t>
      </w:r>
    </w:p>
    <w:p>
      <w:pPr>
        <w:pStyle w:val="ManualHeading2"/>
        <w:rPr>
          <w:rFonts w:eastAsia="Arial Unicode MS"/>
          <w:noProof/>
          <w:u w:color="000000"/>
          <w:bdr w:val="nil"/>
        </w:rPr>
      </w:pPr>
      <w:r>
        <w:rPr>
          <w:noProof/>
        </w:rPr>
        <w:t>•</w:t>
      </w:r>
      <w:r>
        <w:rPr>
          <w:noProof/>
        </w:rPr>
        <w:tab/>
        <w:t>Избор на инструмент</w:t>
      </w:r>
    </w:p>
    <w:p>
      <w:pPr>
        <w:pStyle w:val="Body"/>
        <w:tabs>
          <w:tab w:val="left" w:pos="850"/>
        </w:tabs>
        <w:spacing w:before="0" w:after="240"/>
        <w:rPr>
          <w:noProof/>
        </w:rPr>
      </w:pPr>
      <w:r>
        <w:rPr>
          <w:noProof/>
        </w:rPr>
        <w:t>Настоящото предложение е за изменение на Регламент (ЕО) № 726/2004. Поради това съответното изменение се предлага под формата на регламент за изменение.</w:t>
      </w:r>
    </w:p>
    <w:p>
      <w:pPr>
        <w:pStyle w:val="ManualHeading2"/>
        <w:rPr>
          <w:rFonts w:eastAsia="Arial Unicode MS"/>
          <w:noProof/>
          <w:u w:color="000000"/>
          <w:bdr w:val="nil"/>
        </w:rPr>
      </w:pPr>
      <w:r>
        <w:rPr>
          <w:noProof/>
        </w:rPr>
        <w:t>•</w:t>
      </w:r>
      <w:r>
        <w:rPr>
          <w:noProof/>
        </w:rPr>
        <w:tab/>
        <w:t xml:space="preserve">Субсидиарност и пропорционалност  </w:t>
      </w:r>
    </w:p>
    <w:p>
      <w:pPr>
        <w:pStyle w:val="Body"/>
        <w:tabs>
          <w:tab w:val="left" w:pos="850"/>
        </w:tabs>
        <w:spacing w:before="0" w:after="240"/>
        <w:rPr>
          <w:noProof/>
        </w:rPr>
      </w:pPr>
      <w:r>
        <w:rPr>
          <w:noProof/>
        </w:rPr>
        <w:t>Въпросът за местоположението на седалището на Агенцията е от изключителната компетентност на Съюза. Мярката е пропорционална на целта на предложението за регламент, а именно да потвърди новото седалище на Агенцията по смисъла на Регламент (ЕО) № 726/2004.</w:t>
      </w:r>
    </w:p>
    <w:p>
      <w:pPr>
        <w:pStyle w:val="ManualHeading1"/>
        <w:rPr>
          <w:noProof/>
        </w:rPr>
      </w:pPr>
      <w:r>
        <w:rPr>
          <w:noProof/>
        </w:rPr>
        <w:t>4.</w:t>
      </w:r>
      <w:r>
        <w:rPr>
          <w:noProof/>
        </w:rPr>
        <w:tab/>
        <w:t>ОТРАЖЕНИЕ ВЪРХУ БЮДЖЕТА</w:t>
      </w:r>
    </w:p>
    <w:p>
      <w:pPr>
        <w:pStyle w:val="Body"/>
        <w:spacing w:before="0" w:after="240"/>
        <w:rPr>
          <w:noProof/>
        </w:rPr>
      </w:pPr>
      <w:r>
        <w:rPr>
          <w:noProof/>
        </w:rPr>
        <w:t xml:space="preserve">Преместването на Европейската агенция по лекарствата ще има отражения върху бюджета, по-специално с оглед на разходите, свързани с предсрочно прекратяване на текущия договор за наем в Лондон вследствие на оттеглянето, разходите по самото преместване и разходите, свързани с настаняването в новите помещения в Амстердам. Както е посочено в указанията за водене на преговори на Съвета от 22 май 2017 г., за договарянето на споразумение с Обединеното кралство, определящо реда и условията за оттеглянето му от Европейския съюз, Обединеното кралство следва изцяло да покрие </w:t>
      </w:r>
      <w:r>
        <w:rPr>
          <w:noProof/>
        </w:rPr>
        <w:lastRenderedPageBreak/>
        <w:t>конкретни разходи, свързани с процеса на оттегляне, например преместването на агенциите със седалище в Обединеното кралство.</w:t>
      </w:r>
    </w:p>
    <w:p>
      <w:pPr>
        <w:pStyle w:val="Body"/>
        <w:spacing w:before="0" w:after="240"/>
        <w:rPr>
          <w:noProof/>
        </w:rPr>
      </w:pPr>
      <w:r>
        <w:rPr>
          <w:noProof/>
        </w:rPr>
        <w:t>Може да се наложи някои от разходите по преместването да бъдат предварително финансирани от бюджета на ЕС преди финансовото споразумение. В това отношение Комисията ще направи оценка на възможните допълнителни нужди от финансиране, които да бъдат насочени през бюджета на ЕС съвместно с Европейската агенция по лекарствата. При необходимост Комисията ще представи съответните предложения на Европейския парламент и на Съвета в контекста на годишната бюджетна процедура за 2019 г., а ако е необходимо — и за 2018 г. Това се отнася например за разходите, свързани със самото преместване. Освен това, разходите във връзка с настаняването в новите помещения ще бъдат представени в контекста на проекти за недвижими имоти, определена в член 203 от Финансовия регламент</w:t>
      </w:r>
      <w:r>
        <w:rPr>
          <w:rStyle w:val="FootnoteReference"/>
          <w:rFonts w:eastAsiaTheme="majorEastAsia"/>
          <w:noProof/>
        </w:rPr>
        <w:footnoteReference w:id="3"/>
      </w:r>
      <w:r>
        <w:rPr>
          <w:noProof/>
        </w:rPr>
        <w:t xml:space="preserve">, която изисква предварително одобрение от Европейския парламент и Съвета, преди да бъдат сключени договори, свързани с проекти за недвижими имоти. Тази процедура се очаква да бъде стартирана във възможно най-кратък срок (най-късно в началото на 2018 г.). </w:t>
      </w:r>
    </w:p>
    <w:p>
      <w:pPr>
        <w:pStyle w:val="Body"/>
        <w:spacing w:before="0" w:after="240"/>
        <w:rPr>
          <w:noProof/>
        </w:rPr>
      </w:pPr>
      <w:r>
        <w:rPr>
          <w:noProof/>
        </w:rPr>
        <w:t xml:space="preserv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2017/0328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726/2004 по отношение на местоположението на седалището на Европейската агенция по лекарствата</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и член 168, параграф 4, буква в)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контекста на уведомлението на Обединеното кралство от 29 март 2017 г. за намерението му да напусне Съюза съгласно член 50 от Договора за Европейския съюз, на срещата си в рамките на Съвета по общи въпроси („член 50“) останалите 27 държави членки избраха Амстердам, Нидерландия, за ново седалище на Европейската агенция по лекарствата.</w:t>
      </w:r>
    </w:p>
    <w:p>
      <w:pPr>
        <w:pStyle w:val="ManualConsidrant"/>
        <w:rPr>
          <w:noProof/>
        </w:rPr>
      </w:pPr>
      <w:r>
        <w:t>(2)</w:t>
      </w:r>
      <w:r>
        <w:tab/>
      </w:r>
      <w:r>
        <w:rPr>
          <w:noProof/>
        </w:rPr>
        <w:t>Като се вземе предвид член 50, параграф 3 от Договора за Европейския съюз, Европейската агенция по лекарствата следва да заеме своето ново седалище от датата, на която Договорите престанат да се прилагат спрямо Обединеното кралство, или от 30 март 2019 г., в зависимост от това коя от двете дати настъпи по-рано.</w:t>
      </w:r>
    </w:p>
    <w:p>
      <w:pPr>
        <w:pStyle w:val="ManualConsidrant"/>
        <w:rPr>
          <w:noProof/>
        </w:rPr>
      </w:pPr>
      <w:r>
        <w:t>(3)</w:t>
      </w:r>
      <w:r>
        <w:tab/>
      </w:r>
      <w:r>
        <w:rPr>
          <w:noProof/>
        </w:rPr>
        <w:t>За да се гарантира правилното функциониране на Европейската агенция по лекарствата на новото ѝ местоположение, следва да бъде сключено споразумение относно седалището, преди агенцията да го заеме.</w:t>
      </w:r>
    </w:p>
    <w:p>
      <w:pPr>
        <w:pStyle w:val="ManualConsidrant"/>
        <w:rPr>
          <w:noProof/>
        </w:rPr>
      </w:pPr>
      <w:r>
        <w:t>(4)</w:t>
      </w:r>
      <w:r>
        <w:tab/>
      </w:r>
      <w:r>
        <w:rPr>
          <w:noProof/>
        </w:rPr>
        <w:t>За да има Европейската агенция по лекарствата достатъчно време за преместване, настоящият регламент следва да влезе в сила по спешност.</w:t>
      </w:r>
    </w:p>
    <w:p>
      <w:pPr>
        <w:pStyle w:val="ManualConsidrant"/>
        <w:rPr>
          <w:noProof/>
        </w:rPr>
      </w:pPr>
      <w:r>
        <w:t>(5)</w:t>
      </w:r>
      <w:r>
        <w:tab/>
      </w:r>
      <w:r>
        <w:rPr>
          <w:noProof/>
        </w:rPr>
        <w:t>Поради това Регламент (ЕО) № 726/2004 на Европейския парламент и на Съвета</w:t>
      </w:r>
      <w:r>
        <w:rPr>
          <w:rStyle w:val="FootnoteReference"/>
          <w:noProof/>
        </w:rPr>
        <w:footnoteReference w:id="6"/>
      </w:r>
      <w:r>
        <w:rPr>
          <w:noProof/>
        </w:rPr>
        <w:t xml:space="preserve"> следва да бъде съответно изменен,</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pStyle w:val="Body"/>
        <w:rPr>
          <w:noProof/>
        </w:rPr>
      </w:pPr>
      <w:r>
        <w:rPr>
          <w:noProof/>
        </w:rPr>
        <w:t>В Регламент (ЕО) № 726/2004 се вмъква следният член 71а:</w:t>
      </w:r>
    </w:p>
    <w:p>
      <w:pPr>
        <w:pStyle w:val="Body"/>
        <w:jc w:val="center"/>
        <w:rPr>
          <w:rFonts w:eastAsia="Arial Unicode MS" w:cs="Arial Unicode MS"/>
          <w:i/>
          <w:noProof/>
        </w:rPr>
      </w:pPr>
      <w:r>
        <w:rPr>
          <w:i/>
          <w:noProof/>
        </w:rPr>
        <w:t>„Член 71 a</w:t>
      </w:r>
    </w:p>
    <w:p>
      <w:pPr>
        <w:pStyle w:val="Titrearticle"/>
        <w:rPr>
          <w:rFonts w:eastAsia="Arial Unicode MS" w:cs="Arial Unicode MS"/>
          <w:noProof/>
        </w:rPr>
      </w:pPr>
      <w:r>
        <w:rPr>
          <w:noProof/>
        </w:rPr>
        <w:t>Седалището на Агенцията е в Амстердам, Нидерландия.“</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Body"/>
        <w:rPr>
          <w:rFonts w:eastAsia="Arial Unicode MS" w:cs="Arial Unicode MS"/>
          <w:noProof/>
        </w:rPr>
      </w:pPr>
      <w:r>
        <w:rPr>
          <w:noProof/>
        </w:rPr>
        <w:t xml:space="preserve">Настоящият регламент се прилага от датата, на която Договорите престанат да се прилагат спрямо Обединеното кралство, или от 30 март 2019 г., в зависимост от това коя от двете дати настъпи по-рано.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2">
    <w:p>
      <w:pPr>
        <w:pStyle w:val="FootnoteText"/>
      </w:pPr>
      <w:r>
        <w:rPr>
          <w:rStyle w:val="FootnoteReference"/>
        </w:rPr>
        <w:footnoteRef/>
      </w:r>
      <w:r>
        <w:tab/>
        <w:t>ОВ C 323, 30.11.1993 г., стр. 1.</w:t>
      </w:r>
    </w:p>
  </w:footnote>
  <w:footnote w:id="3">
    <w:p>
      <w:pPr>
        <w:pStyle w:val="FootnoteText"/>
        <w:ind w:left="0" w:firstLine="0"/>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4">
    <w:p>
      <w:pPr>
        <w:pStyle w:val="FootnoteText"/>
      </w:pPr>
      <w:r>
        <w:rPr>
          <w:rStyle w:val="FootnoteReference"/>
        </w:rPr>
        <w:footnoteRef/>
      </w:r>
      <w:r>
        <w:tab/>
        <w:t>ОВ C ,  г., стр. .</w:t>
      </w:r>
    </w:p>
  </w:footnote>
  <w:footnote w:id="5">
    <w:p>
      <w:pPr>
        <w:pStyle w:val="FootnoteText"/>
      </w:pPr>
      <w:r>
        <w:rPr>
          <w:rStyle w:val="FootnoteReference"/>
        </w:rPr>
        <w:footnoteRef/>
      </w:r>
      <w:r>
        <w:tab/>
        <w:t>ОВ C ,  г., стр. .</w:t>
      </w:r>
    </w:p>
  </w:footnote>
  <w:footnote w:id="6">
    <w:p>
      <w:pPr>
        <w:pStyle w:val="FootnoteText"/>
        <w:ind w:left="567" w:hanging="567"/>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05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C4E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76A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A8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46F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2CF1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B4652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74FC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3F3F9B"/>
    <w:multiLevelType w:val="hybridMultilevel"/>
    <w:tmpl w:val="D5060374"/>
    <w:styleLink w:val="ImportedStyle2"/>
    <w:lvl w:ilvl="0" w:tplc="D8B8925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1A92DD50">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6B6558A">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548968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29CC19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F4CCD19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66CF33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EFEDB3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6A64AC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3:32: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8DDF8AF0-48DF-4E09-83D7-0310501D55CC"/>
    <w:docVar w:name="LW_COVERPAGE_TYPE" w:val="1"/>
    <w:docVar w:name="LW_CROSSREFERENCE" w:val="&lt;UNUSED&gt;"/>
    <w:docVar w:name="LW_DocType" w:val="COM"/>
    <w:docVar w:name="LW_EMISSION" w:val="29.11.2017"/>
    <w:docVar w:name="LW_EMISSION_ISODATE" w:val="2017-11-29"/>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8"/>
    <w:docVar w:name="LW_REF.II.NEW.CP_YEAR" w:val="2017"/>
    <w:docVar w:name="LW_REF.INST.NEW" w:val="COM"/>
    <w:docVar w:name="LW_REF.INST.NEW_ADOPTED" w:val="final"/>
    <w:docVar w:name="LW_REF.INST.NEW_TEXT" w:val="(2017)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726/2004 \u1087?\u1086? \u1086?\u1090?\u1085?\u1086?\u1096?\u1077?\u1085?\u1080?\u1077? \u1085?\u1072? \u1084?\u1077?\u1089?\u1090?\u1086?\u1087?\u1086?\u1083?\u1086?\u1078?\u1077?\u1085?\u1080?\u1077?\u1090?\u1086? \u1085?\u1072? \u1089?\u1077?\u1076?\u1072?\u1083?\u1080?\u1097?\u1077?\u1090?\u1086? \u1085?\u1072? \u1045?\u1074?\u1088?\u1086?\u1087?\u1077?\u1081?\u1089?\u1082?\u1072?\u1090?\u1072? \u1072?\u1075?\u1077?\u1085?\u1094?\u1080?\u1103? \u1087?\u1086? \u1083?\u1077?\u1082?\u1072?\u1088?\u1089?\u1090?\u1074?\u1072?\u1090?\u1072?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891</Words>
  <Characters>5112</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2017-11-30T16:30:00Z</dcterms:created>
  <dcterms:modified xsi:type="dcterms:W3CDTF">2017-12-01T12:32:00Z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