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charts/chart3.xml" ContentType="application/vnd.openxmlformats-officedocument.drawingml.chart+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6FD" w:rsidRDefault="00C162EC">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34884501-9290-41C6-A523-1000481B7FC0" style="width:451.15pt;height:430.7pt">
            <v:imagedata r:id="rId9" o:title=""/>
          </v:shape>
        </w:pict>
      </w:r>
    </w:p>
    <w:bookmarkEnd w:id="0" w:displacedByCustomXml="next"/>
    <w:sdt>
      <w:sdtPr>
        <w:rPr>
          <w:rFonts w:eastAsia="Times New Roman"/>
          <w:b/>
          <w:noProof/>
          <w:szCs w:val="24"/>
          <w:lang w:eastAsia="en-GB"/>
        </w:rPr>
        <w:id w:val="1951354602"/>
        <w:docPartObj>
          <w:docPartGallery w:val="Table of Contents"/>
          <w:docPartUnique/>
        </w:docPartObj>
      </w:sdtPr>
      <w:sdtEndPr>
        <w:rPr>
          <w:b w:val="0"/>
          <w:bCs/>
        </w:rPr>
      </w:sdtEndPr>
      <w:sdtContent>
        <w:p w:rsidR="00EC06FD" w:rsidRDefault="00EC06FD">
          <w:pPr>
            <w:pStyle w:val="Pagedecouverture"/>
            <w:rPr>
              <w:b/>
              <w:noProof/>
              <w:szCs w:val="24"/>
              <w:lang w:eastAsia="en-GB"/>
            </w:rPr>
            <w:sectPr w:rsidR="00EC06FD">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2"/>
              <w:cols w:space="720"/>
              <w:docGrid w:linePitch="326"/>
            </w:sectPr>
          </w:pPr>
        </w:p>
        <w:p w:rsidR="00EC06FD" w:rsidRDefault="00F346DE">
          <w:pPr>
            <w:pStyle w:val="TOCHeading"/>
            <w:suppressAutoHyphens/>
            <w:spacing w:line="276" w:lineRule="auto"/>
            <w:rPr>
              <w:noProof/>
            </w:rPr>
          </w:pPr>
          <w:r>
            <w:rPr>
              <w:noProof/>
            </w:rPr>
            <w:lastRenderedPageBreak/>
            <w:t>Table of contents</w:t>
          </w:r>
        </w:p>
        <w:p w:rsidR="00EC06FD" w:rsidRDefault="00F346DE">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494899763"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EXECUTIVE SUMMARY</w:t>
            </w:r>
            <w:r>
              <w:rPr>
                <w:noProof/>
                <w:webHidden/>
              </w:rPr>
              <w:tab/>
            </w:r>
            <w:r>
              <w:rPr>
                <w:noProof/>
                <w:webHidden/>
              </w:rPr>
              <w:fldChar w:fldCharType="begin"/>
            </w:r>
            <w:r>
              <w:rPr>
                <w:noProof/>
                <w:webHidden/>
              </w:rPr>
              <w:instrText xml:space="preserve"> PAGEREF _Toc494899763 \h </w:instrText>
            </w:r>
            <w:r>
              <w:rPr>
                <w:noProof/>
                <w:webHidden/>
              </w:rPr>
            </w:r>
            <w:r>
              <w:rPr>
                <w:noProof/>
                <w:webHidden/>
              </w:rPr>
              <w:fldChar w:fldCharType="separate"/>
            </w:r>
            <w:r w:rsidR="00E13DD6">
              <w:rPr>
                <w:noProof/>
                <w:webHidden/>
              </w:rPr>
              <w:t>4</w:t>
            </w:r>
            <w:r>
              <w:rPr>
                <w:noProof/>
                <w:webHidden/>
              </w:rPr>
              <w:fldChar w:fldCharType="end"/>
            </w:r>
          </w:hyperlink>
        </w:p>
        <w:p w:rsidR="00EC06FD" w:rsidRDefault="00C162EC">
          <w:pPr>
            <w:pStyle w:val="TOC1"/>
            <w:rPr>
              <w:rFonts w:asciiTheme="minorHAnsi" w:eastAsiaTheme="minorEastAsia" w:hAnsiTheme="minorHAnsi" w:cstheme="minorBidi"/>
              <w:caps w:val="0"/>
              <w:noProof/>
              <w:sz w:val="22"/>
              <w:szCs w:val="22"/>
              <w:lang w:eastAsia="en-GB"/>
            </w:rPr>
          </w:pPr>
          <w:hyperlink w:anchor="_Toc494899764" w:history="1">
            <w:r w:rsidR="00F346DE">
              <w:rPr>
                <w:rStyle w:val="Hyperlink"/>
                <w:noProof/>
              </w:rPr>
              <w:t>2.</w:t>
            </w:r>
            <w:r w:rsidR="00F346DE">
              <w:rPr>
                <w:rFonts w:asciiTheme="minorHAnsi" w:eastAsiaTheme="minorEastAsia" w:hAnsiTheme="minorHAnsi" w:cstheme="minorBidi"/>
                <w:caps w:val="0"/>
                <w:noProof/>
                <w:sz w:val="22"/>
                <w:szCs w:val="22"/>
                <w:lang w:eastAsia="en-GB"/>
              </w:rPr>
              <w:tab/>
            </w:r>
            <w:r w:rsidR="00F346DE">
              <w:rPr>
                <w:rStyle w:val="Hyperlink"/>
                <w:noProof/>
              </w:rPr>
              <w:t>ACRONYMS AND GLOSSARY</w:t>
            </w:r>
            <w:r w:rsidR="00F346DE">
              <w:rPr>
                <w:noProof/>
                <w:webHidden/>
              </w:rPr>
              <w:tab/>
            </w:r>
            <w:r w:rsidR="00F346DE">
              <w:rPr>
                <w:noProof/>
                <w:webHidden/>
              </w:rPr>
              <w:fldChar w:fldCharType="begin"/>
            </w:r>
            <w:r w:rsidR="00F346DE">
              <w:rPr>
                <w:noProof/>
                <w:webHidden/>
              </w:rPr>
              <w:instrText xml:space="preserve"> PAGEREF _Toc494899764 \h </w:instrText>
            </w:r>
            <w:r w:rsidR="00F346DE">
              <w:rPr>
                <w:noProof/>
                <w:webHidden/>
              </w:rPr>
            </w:r>
            <w:r w:rsidR="00F346DE">
              <w:rPr>
                <w:noProof/>
                <w:webHidden/>
              </w:rPr>
              <w:fldChar w:fldCharType="separate"/>
            </w:r>
            <w:r w:rsidR="00E13DD6">
              <w:rPr>
                <w:noProof/>
                <w:webHidden/>
              </w:rPr>
              <w:t>6</w:t>
            </w:r>
            <w:r w:rsidR="00F346DE">
              <w:rPr>
                <w:noProof/>
                <w:webHidden/>
              </w:rPr>
              <w:fldChar w:fldCharType="end"/>
            </w:r>
          </w:hyperlink>
        </w:p>
        <w:p w:rsidR="00EC06FD" w:rsidRDefault="00C162EC">
          <w:pPr>
            <w:pStyle w:val="TOC1"/>
            <w:rPr>
              <w:rFonts w:asciiTheme="minorHAnsi" w:eastAsiaTheme="minorEastAsia" w:hAnsiTheme="minorHAnsi" w:cstheme="minorBidi"/>
              <w:caps w:val="0"/>
              <w:noProof/>
              <w:sz w:val="22"/>
              <w:szCs w:val="22"/>
              <w:lang w:eastAsia="en-GB"/>
            </w:rPr>
          </w:pPr>
          <w:hyperlink w:anchor="_Toc494899765" w:history="1">
            <w:r w:rsidR="00F346DE">
              <w:rPr>
                <w:rStyle w:val="Hyperlink"/>
                <w:noProof/>
              </w:rPr>
              <w:t>3.</w:t>
            </w:r>
            <w:r w:rsidR="00F346DE">
              <w:rPr>
                <w:rFonts w:asciiTheme="minorHAnsi" w:eastAsiaTheme="minorEastAsia" w:hAnsiTheme="minorHAnsi" w:cstheme="minorBidi"/>
                <w:caps w:val="0"/>
                <w:noProof/>
                <w:sz w:val="22"/>
                <w:szCs w:val="22"/>
                <w:lang w:eastAsia="en-GB"/>
              </w:rPr>
              <w:tab/>
            </w:r>
            <w:r w:rsidR="00F346DE">
              <w:rPr>
                <w:rStyle w:val="Hyperlink"/>
                <w:noProof/>
              </w:rPr>
              <w:t>INTRODUCTION</w:t>
            </w:r>
            <w:r w:rsidR="00F346DE">
              <w:rPr>
                <w:noProof/>
                <w:webHidden/>
              </w:rPr>
              <w:tab/>
            </w:r>
            <w:r w:rsidR="00F346DE">
              <w:rPr>
                <w:noProof/>
                <w:webHidden/>
              </w:rPr>
              <w:fldChar w:fldCharType="begin"/>
            </w:r>
            <w:r w:rsidR="00F346DE">
              <w:rPr>
                <w:noProof/>
                <w:webHidden/>
              </w:rPr>
              <w:instrText xml:space="preserve"> PAGEREF _Toc494899765 \h </w:instrText>
            </w:r>
            <w:r w:rsidR="00F346DE">
              <w:rPr>
                <w:noProof/>
                <w:webHidden/>
              </w:rPr>
            </w:r>
            <w:r w:rsidR="00F346DE">
              <w:rPr>
                <w:noProof/>
                <w:webHidden/>
              </w:rPr>
              <w:fldChar w:fldCharType="separate"/>
            </w:r>
            <w:r w:rsidR="00E13DD6">
              <w:rPr>
                <w:noProof/>
                <w:webHidden/>
              </w:rPr>
              <w:t>7</w:t>
            </w:r>
            <w:r w:rsidR="00F346DE">
              <w:rPr>
                <w:noProof/>
                <w:webHidden/>
              </w:rPr>
              <w:fldChar w:fldCharType="end"/>
            </w:r>
          </w:hyperlink>
        </w:p>
        <w:p w:rsidR="00EC06FD" w:rsidRDefault="00C162EC">
          <w:pPr>
            <w:pStyle w:val="TOC2"/>
            <w:tabs>
              <w:tab w:val="left" w:pos="1077"/>
            </w:tabs>
            <w:rPr>
              <w:rFonts w:asciiTheme="minorHAnsi" w:eastAsiaTheme="minorEastAsia" w:hAnsiTheme="minorHAnsi" w:cstheme="minorBidi"/>
              <w:noProof/>
              <w:sz w:val="22"/>
              <w:szCs w:val="22"/>
              <w:lang w:eastAsia="en-GB"/>
            </w:rPr>
          </w:pPr>
          <w:hyperlink w:anchor="_Toc494899766" w:history="1">
            <w:r w:rsidR="00F346DE">
              <w:rPr>
                <w:rStyle w:val="Hyperlink"/>
                <w:noProof/>
              </w:rPr>
              <w:t>3.1.</w:t>
            </w:r>
            <w:r w:rsidR="00F346DE">
              <w:rPr>
                <w:rFonts w:asciiTheme="minorHAnsi" w:eastAsiaTheme="minorEastAsia" w:hAnsiTheme="minorHAnsi" w:cstheme="minorBidi"/>
                <w:noProof/>
                <w:sz w:val="22"/>
                <w:szCs w:val="22"/>
                <w:lang w:eastAsia="en-GB"/>
              </w:rPr>
              <w:tab/>
            </w:r>
            <w:r w:rsidR="00F346DE">
              <w:rPr>
                <w:rStyle w:val="Hyperlink"/>
                <w:noProof/>
              </w:rPr>
              <w:t>Purpose of the evaluation</w:t>
            </w:r>
            <w:r w:rsidR="00F346DE">
              <w:rPr>
                <w:noProof/>
                <w:webHidden/>
              </w:rPr>
              <w:tab/>
            </w:r>
            <w:r w:rsidR="00F346DE">
              <w:rPr>
                <w:noProof/>
                <w:webHidden/>
              </w:rPr>
              <w:fldChar w:fldCharType="begin"/>
            </w:r>
            <w:r w:rsidR="00F346DE">
              <w:rPr>
                <w:noProof/>
                <w:webHidden/>
              </w:rPr>
              <w:instrText xml:space="preserve"> PAGEREF _Toc494899766 \h </w:instrText>
            </w:r>
            <w:r w:rsidR="00F346DE">
              <w:rPr>
                <w:noProof/>
                <w:webHidden/>
              </w:rPr>
            </w:r>
            <w:r w:rsidR="00F346DE">
              <w:rPr>
                <w:noProof/>
                <w:webHidden/>
              </w:rPr>
              <w:fldChar w:fldCharType="separate"/>
            </w:r>
            <w:r w:rsidR="00E13DD6">
              <w:rPr>
                <w:noProof/>
                <w:webHidden/>
              </w:rPr>
              <w:t>7</w:t>
            </w:r>
            <w:r w:rsidR="00F346DE">
              <w:rPr>
                <w:noProof/>
                <w:webHidden/>
              </w:rPr>
              <w:fldChar w:fldCharType="end"/>
            </w:r>
          </w:hyperlink>
        </w:p>
        <w:p w:rsidR="00EC06FD" w:rsidRDefault="00C162EC">
          <w:pPr>
            <w:pStyle w:val="TOC2"/>
            <w:tabs>
              <w:tab w:val="left" w:pos="1077"/>
            </w:tabs>
            <w:rPr>
              <w:rFonts w:asciiTheme="minorHAnsi" w:eastAsiaTheme="minorEastAsia" w:hAnsiTheme="minorHAnsi" w:cstheme="minorBidi"/>
              <w:noProof/>
              <w:sz w:val="22"/>
              <w:szCs w:val="22"/>
              <w:lang w:eastAsia="en-GB"/>
            </w:rPr>
          </w:pPr>
          <w:hyperlink w:anchor="_Toc494899767" w:history="1">
            <w:r w:rsidR="00F346DE">
              <w:rPr>
                <w:rStyle w:val="Hyperlink"/>
                <w:noProof/>
              </w:rPr>
              <w:t>3.2.</w:t>
            </w:r>
            <w:r w:rsidR="00F346DE">
              <w:rPr>
                <w:rFonts w:asciiTheme="minorHAnsi" w:eastAsiaTheme="minorEastAsia" w:hAnsiTheme="minorHAnsi" w:cstheme="minorBidi"/>
                <w:noProof/>
                <w:sz w:val="22"/>
                <w:szCs w:val="22"/>
                <w:lang w:eastAsia="en-GB"/>
              </w:rPr>
              <w:tab/>
            </w:r>
            <w:r w:rsidR="00F346DE">
              <w:rPr>
                <w:rStyle w:val="Hyperlink"/>
                <w:noProof/>
              </w:rPr>
              <w:t>Scope of the evaluation</w:t>
            </w:r>
            <w:r w:rsidR="00F346DE">
              <w:rPr>
                <w:noProof/>
                <w:webHidden/>
              </w:rPr>
              <w:tab/>
            </w:r>
            <w:r w:rsidR="00F346DE">
              <w:rPr>
                <w:noProof/>
                <w:webHidden/>
              </w:rPr>
              <w:fldChar w:fldCharType="begin"/>
            </w:r>
            <w:r w:rsidR="00F346DE">
              <w:rPr>
                <w:noProof/>
                <w:webHidden/>
              </w:rPr>
              <w:instrText xml:space="preserve"> PAGEREF _Toc494899767 \h </w:instrText>
            </w:r>
            <w:r w:rsidR="00F346DE">
              <w:rPr>
                <w:noProof/>
                <w:webHidden/>
              </w:rPr>
            </w:r>
            <w:r w:rsidR="00F346DE">
              <w:rPr>
                <w:noProof/>
                <w:webHidden/>
              </w:rPr>
              <w:fldChar w:fldCharType="separate"/>
            </w:r>
            <w:r w:rsidR="00E13DD6">
              <w:rPr>
                <w:noProof/>
                <w:webHidden/>
              </w:rPr>
              <w:t>7</w:t>
            </w:r>
            <w:r w:rsidR="00F346DE">
              <w:rPr>
                <w:noProof/>
                <w:webHidden/>
              </w:rPr>
              <w:fldChar w:fldCharType="end"/>
            </w:r>
          </w:hyperlink>
        </w:p>
        <w:p w:rsidR="00EC06FD" w:rsidRDefault="00C162EC">
          <w:pPr>
            <w:pStyle w:val="TOC1"/>
            <w:rPr>
              <w:rFonts w:asciiTheme="minorHAnsi" w:eastAsiaTheme="minorEastAsia" w:hAnsiTheme="minorHAnsi" w:cstheme="minorBidi"/>
              <w:caps w:val="0"/>
              <w:noProof/>
              <w:sz w:val="22"/>
              <w:szCs w:val="22"/>
              <w:lang w:eastAsia="en-GB"/>
            </w:rPr>
          </w:pPr>
          <w:hyperlink w:anchor="_Toc494899768" w:history="1">
            <w:r w:rsidR="00F346DE">
              <w:rPr>
                <w:rStyle w:val="Hyperlink"/>
                <w:noProof/>
              </w:rPr>
              <w:t>4.</w:t>
            </w:r>
            <w:r w:rsidR="00F346DE">
              <w:rPr>
                <w:rFonts w:asciiTheme="minorHAnsi" w:eastAsiaTheme="minorEastAsia" w:hAnsiTheme="minorHAnsi" w:cstheme="minorBidi"/>
                <w:caps w:val="0"/>
                <w:noProof/>
                <w:sz w:val="22"/>
                <w:szCs w:val="22"/>
                <w:lang w:eastAsia="en-GB"/>
              </w:rPr>
              <w:tab/>
            </w:r>
            <w:r w:rsidR="00F346DE">
              <w:rPr>
                <w:rStyle w:val="Hyperlink"/>
                <w:noProof/>
              </w:rPr>
              <w:t>BACKGROUND TO THE INITIATIVE</w:t>
            </w:r>
            <w:r w:rsidR="00F346DE">
              <w:rPr>
                <w:noProof/>
                <w:webHidden/>
              </w:rPr>
              <w:tab/>
            </w:r>
            <w:r w:rsidR="00F346DE">
              <w:rPr>
                <w:noProof/>
                <w:webHidden/>
              </w:rPr>
              <w:fldChar w:fldCharType="begin"/>
            </w:r>
            <w:r w:rsidR="00F346DE">
              <w:rPr>
                <w:noProof/>
                <w:webHidden/>
              </w:rPr>
              <w:instrText xml:space="preserve"> PAGEREF _Toc494899768 \h </w:instrText>
            </w:r>
            <w:r w:rsidR="00F346DE">
              <w:rPr>
                <w:noProof/>
                <w:webHidden/>
              </w:rPr>
            </w:r>
            <w:r w:rsidR="00F346DE">
              <w:rPr>
                <w:noProof/>
                <w:webHidden/>
              </w:rPr>
              <w:fldChar w:fldCharType="separate"/>
            </w:r>
            <w:r w:rsidR="00E13DD6">
              <w:rPr>
                <w:noProof/>
                <w:webHidden/>
              </w:rPr>
              <w:t>8</w:t>
            </w:r>
            <w:r w:rsidR="00F346DE">
              <w:rPr>
                <w:noProof/>
                <w:webHidden/>
              </w:rPr>
              <w:fldChar w:fldCharType="end"/>
            </w:r>
          </w:hyperlink>
        </w:p>
        <w:p w:rsidR="00EC06FD" w:rsidRDefault="00C162EC">
          <w:pPr>
            <w:pStyle w:val="TOC2"/>
            <w:tabs>
              <w:tab w:val="left" w:pos="1077"/>
            </w:tabs>
            <w:rPr>
              <w:rFonts w:asciiTheme="minorHAnsi" w:eastAsiaTheme="minorEastAsia" w:hAnsiTheme="minorHAnsi" w:cstheme="minorBidi"/>
              <w:noProof/>
              <w:sz w:val="22"/>
              <w:szCs w:val="22"/>
              <w:lang w:eastAsia="en-GB"/>
            </w:rPr>
          </w:pPr>
          <w:hyperlink w:anchor="_Toc494899769" w:history="1">
            <w:r w:rsidR="00F346DE">
              <w:rPr>
                <w:rStyle w:val="Hyperlink"/>
                <w:noProof/>
              </w:rPr>
              <w:t>4.1.</w:t>
            </w:r>
            <w:r w:rsidR="00F346DE">
              <w:rPr>
                <w:rFonts w:asciiTheme="minorHAnsi" w:eastAsiaTheme="minorEastAsia" w:hAnsiTheme="minorHAnsi" w:cstheme="minorBidi"/>
                <w:noProof/>
                <w:sz w:val="22"/>
                <w:szCs w:val="22"/>
                <w:lang w:eastAsia="en-GB"/>
              </w:rPr>
              <w:tab/>
            </w:r>
            <w:r w:rsidR="00F346DE">
              <w:rPr>
                <w:rStyle w:val="Hyperlink"/>
                <w:noProof/>
              </w:rPr>
              <w:t>Description of the initiative and its objectives</w:t>
            </w:r>
            <w:r w:rsidR="00F346DE">
              <w:rPr>
                <w:noProof/>
                <w:webHidden/>
              </w:rPr>
              <w:tab/>
            </w:r>
            <w:r w:rsidR="00F346DE">
              <w:rPr>
                <w:noProof/>
                <w:webHidden/>
              </w:rPr>
              <w:fldChar w:fldCharType="begin"/>
            </w:r>
            <w:r w:rsidR="00F346DE">
              <w:rPr>
                <w:noProof/>
                <w:webHidden/>
              </w:rPr>
              <w:instrText xml:space="preserve"> PAGEREF _Toc494899769 \h </w:instrText>
            </w:r>
            <w:r w:rsidR="00F346DE">
              <w:rPr>
                <w:noProof/>
                <w:webHidden/>
              </w:rPr>
            </w:r>
            <w:r w:rsidR="00F346DE">
              <w:rPr>
                <w:noProof/>
                <w:webHidden/>
              </w:rPr>
              <w:fldChar w:fldCharType="separate"/>
            </w:r>
            <w:r w:rsidR="00E13DD6">
              <w:rPr>
                <w:noProof/>
                <w:webHidden/>
              </w:rPr>
              <w:t>8</w:t>
            </w:r>
            <w:r w:rsidR="00F346DE">
              <w:rPr>
                <w:noProof/>
                <w:webHidden/>
              </w:rPr>
              <w:fldChar w:fldCharType="end"/>
            </w:r>
          </w:hyperlink>
        </w:p>
        <w:p w:rsidR="00EC06FD" w:rsidRDefault="00C162EC">
          <w:pPr>
            <w:pStyle w:val="TOC2"/>
            <w:tabs>
              <w:tab w:val="left" w:pos="1077"/>
            </w:tabs>
            <w:rPr>
              <w:rFonts w:asciiTheme="minorHAnsi" w:eastAsiaTheme="minorEastAsia" w:hAnsiTheme="minorHAnsi" w:cstheme="minorBidi"/>
              <w:noProof/>
              <w:sz w:val="22"/>
              <w:szCs w:val="22"/>
              <w:lang w:eastAsia="en-GB"/>
            </w:rPr>
          </w:pPr>
          <w:hyperlink w:anchor="_Toc494899770" w:history="1">
            <w:r w:rsidR="00F346DE">
              <w:rPr>
                <w:rStyle w:val="Hyperlink"/>
                <w:noProof/>
              </w:rPr>
              <w:t>4.2.</w:t>
            </w:r>
            <w:r w:rsidR="00F346DE">
              <w:rPr>
                <w:rFonts w:asciiTheme="minorHAnsi" w:eastAsiaTheme="minorEastAsia" w:hAnsiTheme="minorHAnsi" w:cstheme="minorBidi"/>
                <w:noProof/>
                <w:sz w:val="22"/>
                <w:szCs w:val="22"/>
                <w:lang w:eastAsia="en-GB"/>
              </w:rPr>
              <w:tab/>
            </w:r>
            <w:r w:rsidR="00F346DE">
              <w:rPr>
                <w:rStyle w:val="Hyperlink"/>
                <w:noProof/>
              </w:rPr>
              <w:t>Evaluation questions</w:t>
            </w:r>
            <w:r w:rsidR="00F346DE">
              <w:rPr>
                <w:noProof/>
                <w:webHidden/>
              </w:rPr>
              <w:tab/>
            </w:r>
            <w:r w:rsidR="00F346DE">
              <w:rPr>
                <w:noProof/>
                <w:webHidden/>
              </w:rPr>
              <w:fldChar w:fldCharType="begin"/>
            </w:r>
            <w:r w:rsidR="00F346DE">
              <w:rPr>
                <w:noProof/>
                <w:webHidden/>
              </w:rPr>
              <w:instrText xml:space="preserve"> PAGEREF _Toc494899770 \h </w:instrText>
            </w:r>
            <w:r w:rsidR="00F346DE">
              <w:rPr>
                <w:noProof/>
                <w:webHidden/>
              </w:rPr>
            </w:r>
            <w:r w:rsidR="00F346DE">
              <w:rPr>
                <w:noProof/>
                <w:webHidden/>
              </w:rPr>
              <w:fldChar w:fldCharType="separate"/>
            </w:r>
            <w:r w:rsidR="00E13DD6">
              <w:rPr>
                <w:noProof/>
                <w:webHidden/>
              </w:rPr>
              <w:t>11</w:t>
            </w:r>
            <w:r w:rsidR="00F346DE">
              <w:rPr>
                <w:noProof/>
                <w:webHidden/>
              </w:rPr>
              <w:fldChar w:fldCharType="end"/>
            </w:r>
          </w:hyperlink>
        </w:p>
        <w:p w:rsidR="00EC06FD" w:rsidRDefault="00C162EC">
          <w:pPr>
            <w:pStyle w:val="TOC2"/>
            <w:tabs>
              <w:tab w:val="left" w:pos="1077"/>
            </w:tabs>
            <w:rPr>
              <w:rFonts w:asciiTheme="minorHAnsi" w:eastAsiaTheme="minorEastAsia" w:hAnsiTheme="minorHAnsi" w:cstheme="minorBidi"/>
              <w:noProof/>
              <w:sz w:val="22"/>
              <w:szCs w:val="22"/>
              <w:lang w:eastAsia="en-GB"/>
            </w:rPr>
          </w:pPr>
          <w:hyperlink w:anchor="_Toc494899771" w:history="1">
            <w:r w:rsidR="00F346DE">
              <w:rPr>
                <w:rStyle w:val="Hyperlink"/>
                <w:noProof/>
              </w:rPr>
              <w:t>4.3.</w:t>
            </w:r>
            <w:r w:rsidR="00F346DE">
              <w:rPr>
                <w:rFonts w:asciiTheme="minorHAnsi" w:eastAsiaTheme="minorEastAsia" w:hAnsiTheme="minorHAnsi" w:cstheme="minorBidi"/>
                <w:noProof/>
                <w:sz w:val="22"/>
                <w:szCs w:val="22"/>
                <w:lang w:eastAsia="en-GB"/>
              </w:rPr>
              <w:tab/>
            </w:r>
            <w:r w:rsidR="00F346DE">
              <w:rPr>
                <w:rStyle w:val="Hyperlink"/>
                <w:noProof/>
              </w:rPr>
              <w:t>Method</w:t>
            </w:r>
            <w:r w:rsidR="00F346DE">
              <w:rPr>
                <w:noProof/>
                <w:webHidden/>
              </w:rPr>
              <w:tab/>
            </w:r>
            <w:r w:rsidR="00F346DE">
              <w:rPr>
                <w:noProof/>
                <w:webHidden/>
              </w:rPr>
              <w:fldChar w:fldCharType="begin"/>
            </w:r>
            <w:r w:rsidR="00F346DE">
              <w:rPr>
                <w:noProof/>
                <w:webHidden/>
              </w:rPr>
              <w:instrText xml:space="preserve"> PAGEREF _Toc494899771 \h </w:instrText>
            </w:r>
            <w:r w:rsidR="00F346DE">
              <w:rPr>
                <w:noProof/>
                <w:webHidden/>
              </w:rPr>
            </w:r>
            <w:r w:rsidR="00F346DE">
              <w:rPr>
                <w:noProof/>
                <w:webHidden/>
              </w:rPr>
              <w:fldChar w:fldCharType="separate"/>
            </w:r>
            <w:r w:rsidR="00E13DD6">
              <w:rPr>
                <w:noProof/>
                <w:webHidden/>
              </w:rPr>
              <w:t>11</w:t>
            </w:r>
            <w:r w:rsidR="00F346DE">
              <w:rPr>
                <w:noProof/>
                <w:webHidden/>
              </w:rPr>
              <w:fldChar w:fldCharType="end"/>
            </w:r>
          </w:hyperlink>
        </w:p>
        <w:p w:rsidR="00EC06FD" w:rsidRDefault="00C162EC">
          <w:pPr>
            <w:pStyle w:val="TOC1"/>
            <w:rPr>
              <w:rFonts w:asciiTheme="minorHAnsi" w:eastAsiaTheme="minorEastAsia" w:hAnsiTheme="minorHAnsi" w:cstheme="minorBidi"/>
              <w:caps w:val="0"/>
              <w:noProof/>
              <w:sz w:val="22"/>
              <w:szCs w:val="22"/>
              <w:lang w:eastAsia="en-GB"/>
            </w:rPr>
          </w:pPr>
          <w:hyperlink w:anchor="_Toc494899772" w:history="1">
            <w:r w:rsidR="00F346DE">
              <w:rPr>
                <w:rStyle w:val="Hyperlink"/>
                <w:noProof/>
              </w:rPr>
              <w:t>5.</w:t>
            </w:r>
            <w:r w:rsidR="00F346DE">
              <w:rPr>
                <w:rFonts w:asciiTheme="minorHAnsi" w:eastAsiaTheme="minorEastAsia" w:hAnsiTheme="minorHAnsi" w:cstheme="minorBidi"/>
                <w:caps w:val="0"/>
                <w:noProof/>
                <w:sz w:val="22"/>
                <w:szCs w:val="22"/>
                <w:lang w:eastAsia="en-GB"/>
              </w:rPr>
              <w:tab/>
            </w:r>
            <w:r w:rsidR="00F346DE">
              <w:rPr>
                <w:rStyle w:val="Hyperlink"/>
                <w:noProof/>
              </w:rPr>
              <w:t>IMPLEMENTATION STATE OF PLAY</w:t>
            </w:r>
            <w:r w:rsidR="00F346DE">
              <w:rPr>
                <w:noProof/>
                <w:webHidden/>
              </w:rPr>
              <w:tab/>
            </w:r>
            <w:r w:rsidR="00F346DE">
              <w:rPr>
                <w:noProof/>
                <w:webHidden/>
              </w:rPr>
              <w:fldChar w:fldCharType="begin"/>
            </w:r>
            <w:r w:rsidR="00F346DE">
              <w:rPr>
                <w:noProof/>
                <w:webHidden/>
              </w:rPr>
              <w:instrText xml:space="preserve"> PAGEREF _Toc494899772 \h </w:instrText>
            </w:r>
            <w:r w:rsidR="00F346DE">
              <w:rPr>
                <w:noProof/>
                <w:webHidden/>
              </w:rPr>
            </w:r>
            <w:r w:rsidR="00F346DE">
              <w:rPr>
                <w:noProof/>
                <w:webHidden/>
              </w:rPr>
              <w:fldChar w:fldCharType="separate"/>
            </w:r>
            <w:r w:rsidR="00E13DD6">
              <w:rPr>
                <w:noProof/>
                <w:webHidden/>
              </w:rPr>
              <w:t>13</w:t>
            </w:r>
            <w:r w:rsidR="00F346DE">
              <w:rPr>
                <w:noProof/>
                <w:webHidden/>
              </w:rPr>
              <w:fldChar w:fldCharType="end"/>
            </w:r>
          </w:hyperlink>
        </w:p>
        <w:p w:rsidR="00EC06FD" w:rsidRDefault="00C162EC">
          <w:pPr>
            <w:pStyle w:val="TOC2"/>
            <w:tabs>
              <w:tab w:val="left" w:pos="1077"/>
            </w:tabs>
            <w:rPr>
              <w:rFonts w:asciiTheme="minorHAnsi" w:eastAsiaTheme="minorEastAsia" w:hAnsiTheme="minorHAnsi" w:cstheme="minorBidi"/>
              <w:noProof/>
              <w:sz w:val="22"/>
              <w:szCs w:val="22"/>
              <w:lang w:eastAsia="en-GB"/>
            </w:rPr>
          </w:pPr>
          <w:hyperlink w:anchor="_Toc494899773" w:history="1">
            <w:r w:rsidR="00F346DE">
              <w:rPr>
                <w:rStyle w:val="Hyperlink"/>
                <w:noProof/>
              </w:rPr>
              <w:t>5.1.</w:t>
            </w:r>
            <w:r w:rsidR="00F346DE">
              <w:rPr>
                <w:rFonts w:asciiTheme="minorHAnsi" w:eastAsiaTheme="minorEastAsia" w:hAnsiTheme="minorHAnsi" w:cstheme="minorBidi"/>
                <w:noProof/>
                <w:sz w:val="22"/>
                <w:szCs w:val="22"/>
                <w:lang w:eastAsia="en-GB"/>
              </w:rPr>
              <w:tab/>
            </w:r>
            <w:r w:rsidR="00F346DE">
              <w:rPr>
                <w:rStyle w:val="Hyperlink"/>
                <w:noProof/>
              </w:rPr>
              <w:t>Overview of programme inputs and activities</w:t>
            </w:r>
            <w:r w:rsidR="00F346DE">
              <w:rPr>
                <w:noProof/>
                <w:webHidden/>
              </w:rPr>
              <w:tab/>
            </w:r>
            <w:r w:rsidR="00F346DE">
              <w:rPr>
                <w:noProof/>
                <w:webHidden/>
              </w:rPr>
              <w:fldChar w:fldCharType="begin"/>
            </w:r>
            <w:r w:rsidR="00F346DE">
              <w:rPr>
                <w:noProof/>
                <w:webHidden/>
              </w:rPr>
              <w:instrText xml:space="preserve"> PAGEREF _Toc494899773 \h </w:instrText>
            </w:r>
            <w:r w:rsidR="00F346DE">
              <w:rPr>
                <w:noProof/>
                <w:webHidden/>
              </w:rPr>
            </w:r>
            <w:r w:rsidR="00F346DE">
              <w:rPr>
                <w:noProof/>
                <w:webHidden/>
              </w:rPr>
              <w:fldChar w:fldCharType="separate"/>
            </w:r>
            <w:r w:rsidR="00E13DD6">
              <w:rPr>
                <w:noProof/>
                <w:webHidden/>
              </w:rPr>
              <w:t>13</w:t>
            </w:r>
            <w:r w:rsidR="00F346DE">
              <w:rPr>
                <w:noProof/>
                <w:webHidden/>
              </w:rPr>
              <w:fldChar w:fldCharType="end"/>
            </w:r>
          </w:hyperlink>
        </w:p>
        <w:p w:rsidR="00EC06FD" w:rsidRDefault="00C162EC">
          <w:pPr>
            <w:pStyle w:val="TOC2"/>
            <w:tabs>
              <w:tab w:val="left" w:pos="1077"/>
            </w:tabs>
            <w:rPr>
              <w:rFonts w:asciiTheme="minorHAnsi" w:eastAsiaTheme="minorEastAsia" w:hAnsiTheme="minorHAnsi" w:cstheme="minorBidi"/>
              <w:noProof/>
              <w:sz w:val="22"/>
              <w:szCs w:val="22"/>
              <w:lang w:eastAsia="en-GB"/>
            </w:rPr>
          </w:pPr>
          <w:hyperlink w:anchor="_Toc494899774" w:history="1">
            <w:r w:rsidR="00F346DE">
              <w:rPr>
                <w:rStyle w:val="Hyperlink"/>
                <w:noProof/>
              </w:rPr>
              <w:t>5.2.</w:t>
            </w:r>
            <w:r w:rsidR="00F346DE">
              <w:rPr>
                <w:rFonts w:asciiTheme="minorHAnsi" w:eastAsiaTheme="minorEastAsia" w:hAnsiTheme="minorHAnsi" w:cstheme="minorBidi"/>
                <w:noProof/>
                <w:sz w:val="22"/>
                <w:szCs w:val="22"/>
                <w:lang w:eastAsia="en-GB"/>
              </w:rPr>
              <w:tab/>
            </w:r>
            <w:r w:rsidR="00F346DE">
              <w:rPr>
                <w:rStyle w:val="Hyperlink"/>
                <w:noProof/>
              </w:rPr>
              <w:t>Overview of implementation status after three years</w:t>
            </w:r>
            <w:r w:rsidR="00F346DE">
              <w:rPr>
                <w:noProof/>
                <w:webHidden/>
              </w:rPr>
              <w:tab/>
            </w:r>
            <w:r w:rsidR="00F346DE">
              <w:rPr>
                <w:noProof/>
                <w:webHidden/>
              </w:rPr>
              <w:fldChar w:fldCharType="begin"/>
            </w:r>
            <w:r w:rsidR="00F346DE">
              <w:rPr>
                <w:noProof/>
                <w:webHidden/>
              </w:rPr>
              <w:instrText xml:space="preserve"> PAGEREF _Toc494899774 \h </w:instrText>
            </w:r>
            <w:r w:rsidR="00F346DE">
              <w:rPr>
                <w:noProof/>
                <w:webHidden/>
              </w:rPr>
            </w:r>
            <w:r w:rsidR="00F346DE">
              <w:rPr>
                <w:noProof/>
                <w:webHidden/>
              </w:rPr>
              <w:fldChar w:fldCharType="separate"/>
            </w:r>
            <w:r w:rsidR="00E13DD6">
              <w:rPr>
                <w:noProof/>
                <w:webHidden/>
              </w:rPr>
              <w:t>14</w:t>
            </w:r>
            <w:r w:rsidR="00F346DE">
              <w:rPr>
                <w:noProof/>
                <w:webHidden/>
              </w:rPr>
              <w:fldChar w:fldCharType="end"/>
            </w:r>
          </w:hyperlink>
        </w:p>
        <w:p w:rsidR="00EC06FD" w:rsidRDefault="00C162EC">
          <w:pPr>
            <w:pStyle w:val="TOC3"/>
            <w:tabs>
              <w:tab w:val="left" w:pos="1916"/>
            </w:tabs>
            <w:rPr>
              <w:rFonts w:asciiTheme="minorHAnsi" w:eastAsiaTheme="minorEastAsia" w:hAnsiTheme="minorHAnsi" w:cstheme="minorBidi"/>
              <w:noProof/>
              <w:sz w:val="22"/>
              <w:szCs w:val="22"/>
              <w:lang w:eastAsia="en-GB"/>
            </w:rPr>
          </w:pPr>
          <w:hyperlink w:anchor="_Toc494899775" w:history="1">
            <w:r w:rsidR="00F346DE">
              <w:rPr>
                <w:rStyle w:val="Hyperlink"/>
                <w:noProof/>
              </w:rPr>
              <w:t>5.2.1.</w:t>
            </w:r>
            <w:r w:rsidR="00F346DE">
              <w:rPr>
                <w:rFonts w:asciiTheme="minorHAnsi" w:eastAsiaTheme="minorEastAsia" w:hAnsiTheme="minorHAnsi" w:cstheme="minorBidi"/>
                <w:noProof/>
                <w:sz w:val="22"/>
                <w:szCs w:val="22"/>
                <w:lang w:eastAsia="en-GB"/>
              </w:rPr>
              <w:tab/>
            </w:r>
            <w:r w:rsidR="00F346DE">
              <w:rPr>
                <w:rStyle w:val="Hyperlink"/>
                <w:noProof/>
              </w:rPr>
              <w:t>Overview of funding allocation during 2014-2017</w:t>
            </w:r>
            <w:r w:rsidR="00F346DE">
              <w:rPr>
                <w:noProof/>
                <w:webHidden/>
              </w:rPr>
              <w:tab/>
            </w:r>
            <w:r w:rsidR="00F346DE">
              <w:rPr>
                <w:noProof/>
                <w:webHidden/>
              </w:rPr>
              <w:fldChar w:fldCharType="begin"/>
            </w:r>
            <w:r w:rsidR="00F346DE">
              <w:rPr>
                <w:noProof/>
                <w:webHidden/>
              </w:rPr>
              <w:instrText xml:space="preserve"> PAGEREF _Toc494899775 \h </w:instrText>
            </w:r>
            <w:r w:rsidR="00F346DE">
              <w:rPr>
                <w:noProof/>
                <w:webHidden/>
              </w:rPr>
            </w:r>
            <w:r w:rsidR="00F346DE">
              <w:rPr>
                <w:noProof/>
                <w:webHidden/>
              </w:rPr>
              <w:fldChar w:fldCharType="separate"/>
            </w:r>
            <w:r w:rsidR="00E13DD6">
              <w:rPr>
                <w:noProof/>
                <w:webHidden/>
              </w:rPr>
              <w:t>14</w:t>
            </w:r>
            <w:r w:rsidR="00F346DE">
              <w:rPr>
                <w:noProof/>
                <w:webHidden/>
              </w:rPr>
              <w:fldChar w:fldCharType="end"/>
            </w:r>
          </w:hyperlink>
        </w:p>
        <w:p w:rsidR="00EC06FD" w:rsidRDefault="00C162EC">
          <w:pPr>
            <w:pStyle w:val="TOC3"/>
            <w:tabs>
              <w:tab w:val="left" w:pos="1916"/>
            </w:tabs>
            <w:rPr>
              <w:rFonts w:asciiTheme="minorHAnsi" w:eastAsiaTheme="minorEastAsia" w:hAnsiTheme="minorHAnsi" w:cstheme="minorBidi"/>
              <w:noProof/>
              <w:sz w:val="22"/>
              <w:szCs w:val="22"/>
              <w:lang w:eastAsia="en-GB"/>
            </w:rPr>
          </w:pPr>
          <w:hyperlink w:anchor="_Toc494899776" w:history="1">
            <w:r w:rsidR="00F346DE">
              <w:rPr>
                <w:rStyle w:val="Hyperlink"/>
                <w:noProof/>
              </w:rPr>
              <w:t>5.2.2.</w:t>
            </w:r>
            <w:r w:rsidR="00F346DE">
              <w:rPr>
                <w:rFonts w:asciiTheme="minorHAnsi" w:eastAsiaTheme="minorEastAsia" w:hAnsiTheme="minorHAnsi" w:cstheme="minorBidi"/>
                <w:noProof/>
                <w:sz w:val="22"/>
                <w:szCs w:val="22"/>
                <w:lang w:eastAsia="en-GB"/>
              </w:rPr>
              <w:tab/>
            </w:r>
            <w:r w:rsidR="00F346DE">
              <w:rPr>
                <w:rStyle w:val="Hyperlink"/>
                <w:noProof/>
              </w:rPr>
              <w:t>Results of three calls for proposals in the fission research</w:t>
            </w:r>
            <w:r w:rsidR="00F346DE">
              <w:rPr>
                <w:noProof/>
                <w:webHidden/>
              </w:rPr>
              <w:tab/>
            </w:r>
            <w:r w:rsidR="00F346DE">
              <w:rPr>
                <w:noProof/>
                <w:webHidden/>
              </w:rPr>
              <w:fldChar w:fldCharType="begin"/>
            </w:r>
            <w:r w:rsidR="00F346DE">
              <w:rPr>
                <w:noProof/>
                <w:webHidden/>
              </w:rPr>
              <w:instrText xml:space="preserve"> PAGEREF _Toc494899776 \h </w:instrText>
            </w:r>
            <w:r w:rsidR="00F346DE">
              <w:rPr>
                <w:noProof/>
                <w:webHidden/>
              </w:rPr>
            </w:r>
            <w:r w:rsidR="00F346DE">
              <w:rPr>
                <w:noProof/>
                <w:webHidden/>
              </w:rPr>
              <w:fldChar w:fldCharType="separate"/>
            </w:r>
            <w:r w:rsidR="00E13DD6">
              <w:rPr>
                <w:noProof/>
                <w:webHidden/>
              </w:rPr>
              <w:t>15</w:t>
            </w:r>
            <w:r w:rsidR="00F346DE">
              <w:rPr>
                <w:noProof/>
                <w:webHidden/>
              </w:rPr>
              <w:fldChar w:fldCharType="end"/>
            </w:r>
          </w:hyperlink>
        </w:p>
        <w:p w:rsidR="00EC06FD" w:rsidRDefault="00C162EC">
          <w:pPr>
            <w:pStyle w:val="TOC3"/>
            <w:tabs>
              <w:tab w:val="left" w:pos="1916"/>
            </w:tabs>
            <w:rPr>
              <w:rFonts w:asciiTheme="minorHAnsi" w:eastAsiaTheme="minorEastAsia" w:hAnsiTheme="minorHAnsi" w:cstheme="minorBidi"/>
              <w:noProof/>
              <w:sz w:val="22"/>
              <w:szCs w:val="22"/>
              <w:lang w:eastAsia="en-GB"/>
            </w:rPr>
          </w:pPr>
          <w:hyperlink w:anchor="_Toc494899777" w:history="1">
            <w:r w:rsidR="00F346DE">
              <w:rPr>
                <w:rStyle w:val="Hyperlink"/>
                <w:noProof/>
              </w:rPr>
              <w:t>5.2.3.</w:t>
            </w:r>
            <w:r w:rsidR="00F346DE">
              <w:rPr>
                <w:rFonts w:asciiTheme="minorHAnsi" w:eastAsiaTheme="minorEastAsia" w:hAnsiTheme="minorHAnsi" w:cstheme="minorBidi"/>
                <w:noProof/>
                <w:sz w:val="22"/>
                <w:szCs w:val="22"/>
                <w:lang w:eastAsia="en-GB"/>
              </w:rPr>
              <w:tab/>
            </w:r>
            <w:r w:rsidR="00F346DE">
              <w:rPr>
                <w:rStyle w:val="Hyperlink"/>
                <w:noProof/>
              </w:rPr>
              <w:t>Fusion energy research actions</w:t>
            </w:r>
            <w:r w:rsidR="00F346DE">
              <w:rPr>
                <w:noProof/>
                <w:webHidden/>
              </w:rPr>
              <w:tab/>
            </w:r>
            <w:r w:rsidR="00F346DE">
              <w:rPr>
                <w:noProof/>
                <w:webHidden/>
              </w:rPr>
              <w:fldChar w:fldCharType="begin"/>
            </w:r>
            <w:r w:rsidR="00F346DE">
              <w:rPr>
                <w:noProof/>
                <w:webHidden/>
              </w:rPr>
              <w:instrText xml:space="preserve"> PAGEREF _Toc494899777 \h </w:instrText>
            </w:r>
            <w:r w:rsidR="00F346DE">
              <w:rPr>
                <w:noProof/>
                <w:webHidden/>
              </w:rPr>
            </w:r>
            <w:r w:rsidR="00F346DE">
              <w:rPr>
                <w:noProof/>
                <w:webHidden/>
              </w:rPr>
              <w:fldChar w:fldCharType="separate"/>
            </w:r>
            <w:r w:rsidR="00E13DD6">
              <w:rPr>
                <w:noProof/>
                <w:webHidden/>
              </w:rPr>
              <w:t>16</w:t>
            </w:r>
            <w:r w:rsidR="00F346DE">
              <w:rPr>
                <w:noProof/>
                <w:webHidden/>
              </w:rPr>
              <w:fldChar w:fldCharType="end"/>
            </w:r>
          </w:hyperlink>
        </w:p>
        <w:p w:rsidR="00EC06FD" w:rsidRDefault="00C162EC">
          <w:pPr>
            <w:pStyle w:val="TOC3"/>
            <w:tabs>
              <w:tab w:val="left" w:pos="1916"/>
            </w:tabs>
            <w:rPr>
              <w:rFonts w:asciiTheme="minorHAnsi" w:eastAsiaTheme="minorEastAsia" w:hAnsiTheme="minorHAnsi" w:cstheme="minorBidi"/>
              <w:noProof/>
              <w:sz w:val="22"/>
              <w:szCs w:val="22"/>
              <w:lang w:eastAsia="en-GB"/>
            </w:rPr>
          </w:pPr>
          <w:hyperlink w:anchor="_Toc494899778" w:history="1">
            <w:r w:rsidR="00F346DE">
              <w:rPr>
                <w:rStyle w:val="Hyperlink"/>
                <w:noProof/>
              </w:rPr>
              <w:t>5.2.4.</w:t>
            </w:r>
            <w:r w:rsidR="00F346DE">
              <w:rPr>
                <w:rFonts w:asciiTheme="minorHAnsi" w:eastAsiaTheme="minorEastAsia" w:hAnsiTheme="minorHAnsi" w:cstheme="minorBidi"/>
                <w:noProof/>
                <w:sz w:val="22"/>
                <w:szCs w:val="22"/>
                <w:lang w:eastAsia="en-GB"/>
              </w:rPr>
              <w:tab/>
            </w:r>
            <w:r w:rsidR="00F346DE">
              <w:rPr>
                <w:rStyle w:val="Hyperlink"/>
                <w:noProof/>
              </w:rPr>
              <w:t>Progress towards the Euratom programme's objectives</w:t>
            </w:r>
            <w:r w:rsidR="00F346DE">
              <w:rPr>
                <w:noProof/>
                <w:webHidden/>
              </w:rPr>
              <w:tab/>
            </w:r>
            <w:r w:rsidR="00F346DE">
              <w:rPr>
                <w:noProof/>
                <w:webHidden/>
              </w:rPr>
              <w:fldChar w:fldCharType="begin"/>
            </w:r>
            <w:r w:rsidR="00F346DE">
              <w:rPr>
                <w:noProof/>
                <w:webHidden/>
              </w:rPr>
              <w:instrText xml:space="preserve"> PAGEREF _Toc494899778 \h </w:instrText>
            </w:r>
            <w:r w:rsidR="00F346DE">
              <w:rPr>
                <w:noProof/>
                <w:webHidden/>
              </w:rPr>
            </w:r>
            <w:r w:rsidR="00F346DE">
              <w:rPr>
                <w:noProof/>
                <w:webHidden/>
              </w:rPr>
              <w:fldChar w:fldCharType="separate"/>
            </w:r>
            <w:r w:rsidR="00E13DD6">
              <w:rPr>
                <w:noProof/>
                <w:webHidden/>
              </w:rPr>
              <w:t>17</w:t>
            </w:r>
            <w:r w:rsidR="00F346DE">
              <w:rPr>
                <w:noProof/>
                <w:webHidden/>
              </w:rPr>
              <w:fldChar w:fldCharType="end"/>
            </w:r>
          </w:hyperlink>
        </w:p>
        <w:p w:rsidR="00EC06FD" w:rsidRDefault="00C162EC">
          <w:pPr>
            <w:pStyle w:val="TOC1"/>
            <w:rPr>
              <w:rFonts w:asciiTheme="minorHAnsi" w:eastAsiaTheme="minorEastAsia" w:hAnsiTheme="minorHAnsi" w:cstheme="minorBidi"/>
              <w:caps w:val="0"/>
              <w:noProof/>
              <w:sz w:val="22"/>
              <w:szCs w:val="22"/>
              <w:lang w:eastAsia="en-GB"/>
            </w:rPr>
          </w:pPr>
          <w:hyperlink w:anchor="_Toc494899779" w:history="1">
            <w:r w:rsidR="00F346DE">
              <w:rPr>
                <w:rStyle w:val="Hyperlink"/>
                <w:noProof/>
              </w:rPr>
              <w:t>6.</w:t>
            </w:r>
            <w:r w:rsidR="00F346DE">
              <w:rPr>
                <w:rFonts w:asciiTheme="minorHAnsi" w:eastAsiaTheme="minorEastAsia" w:hAnsiTheme="minorHAnsi" w:cstheme="minorBidi"/>
                <w:caps w:val="0"/>
                <w:noProof/>
                <w:sz w:val="22"/>
                <w:szCs w:val="22"/>
                <w:lang w:eastAsia="en-GB"/>
              </w:rPr>
              <w:tab/>
            </w:r>
            <w:r w:rsidR="00F346DE">
              <w:rPr>
                <w:rStyle w:val="Hyperlink"/>
                <w:noProof/>
              </w:rPr>
              <w:t>RELEVANCE OF THE EURATOM PROGRAMME</w:t>
            </w:r>
            <w:r w:rsidR="00F346DE">
              <w:rPr>
                <w:noProof/>
                <w:webHidden/>
              </w:rPr>
              <w:tab/>
            </w:r>
            <w:r w:rsidR="00F346DE">
              <w:rPr>
                <w:noProof/>
                <w:webHidden/>
              </w:rPr>
              <w:fldChar w:fldCharType="begin"/>
            </w:r>
            <w:r w:rsidR="00F346DE">
              <w:rPr>
                <w:noProof/>
                <w:webHidden/>
              </w:rPr>
              <w:instrText xml:space="preserve"> PAGEREF _Toc494899779 \h </w:instrText>
            </w:r>
            <w:r w:rsidR="00F346DE">
              <w:rPr>
                <w:noProof/>
                <w:webHidden/>
              </w:rPr>
            </w:r>
            <w:r w:rsidR="00F346DE">
              <w:rPr>
                <w:noProof/>
                <w:webHidden/>
              </w:rPr>
              <w:fldChar w:fldCharType="separate"/>
            </w:r>
            <w:r w:rsidR="00E13DD6">
              <w:rPr>
                <w:noProof/>
                <w:webHidden/>
              </w:rPr>
              <w:t>19</w:t>
            </w:r>
            <w:r w:rsidR="00F346DE">
              <w:rPr>
                <w:noProof/>
                <w:webHidden/>
              </w:rPr>
              <w:fldChar w:fldCharType="end"/>
            </w:r>
          </w:hyperlink>
        </w:p>
        <w:p w:rsidR="00EC06FD" w:rsidRDefault="00C162EC">
          <w:pPr>
            <w:pStyle w:val="TOC2"/>
            <w:tabs>
              <w:tab w:val="left" w:pos="1077"/>
            </w:tabs>
            <w:rPr>
              <w:rFonts w:asciiTheme="minorHAnsi" w:eastAsiaTheme="minorEastAsia" w:hAnsiTheme="minorHAnsi" w:cstheme="minorBidi"/>
              <w:noProof/>
              <w:sz w:val="22"/>
              <w:szCs w:val="22"/>
              <w:lang w:eastAsia="en-GB"/>
            </w:rPr>
          </w:pPr>
          <w:hyperlink w:anchor="_Toc494899780" w:history="1">
            <w:r w:rsidR="00F346DE">
              <w:rPr>
                <w:rStyle w:val="Hyperlink"/>
                <w:iCs/>
                <w:noProof/>
              </w:rPr>
              <w:t>6.1.</w:t>
            </w:r>
            <w:r w:rsidR="00F346DE">
              <w:rPr>
                <w:rFonts w:asciiTheme="minorHAnsi" w:eastAsiaTheme="minorEastAsia" w:hAnsiTheme="minorHAnsi" w:cstheme="minorBidi"/>
                <w:noProof/>
                <w:sz w:val="22"/>
                <w:szCs w:val="22"/>
                <w:lang w:eastAsia="en-GB"/>
              </w:rPr>
              <w:tab/>
            </w:r>
            <w:r w:rsidR="00F346DE">
              <w:rPr>
                <w:rStyle w:val="Hyperlink"/>
                <w:noProof/>
              </w:rPr>
              <w:t>Is the Euratom Programme tackling the right issues?</w:t>
            </w:r>
            <w:r w:rsidR="00F346DE">
              <w:rPr>
                <w:noProof/>
                <w:webHidden/>
              </w:rPr>
              <w:tab/>
            </w:r>
            <w:r w:rsidR="00F346DE">
              <w:rPr>
                <w:noProof/>
                <w:webHidden/>
              </w:rPr>
              <w:fldChar w:fldCharType="begin"/>
            </w:r>
            <w:r w:rsidR="00F346DE">
              <w:rPr>
                <w:noProof/>
                <w:webHidden/>
              </w:rPr>
              <w:instrText xml:space="preserve"> PAGEREF _Toc494899780 \h </w:instrText>
            </w:r>
            <w:r w:rsidR="00F346DE">
              <w:rPr>
                <w:noProof/>
                <w:webHidden/>
              </w:rPr>
            </w:r>
            <w:r w:rsidR="00F346DE">
              <w:rPr>
                <w:noProof/>
                <w:webHidden/>
              </w:rPr>
              <w:fldChar w:fldCharType="separate"/>
            </w:r>
            <w:r w:rsidR="00E13DD6">
              <w:rPr>
                <w:noProof/>
                <w:webHidden/>
              </w:rPr>
              <w:t>19</w:t>
            </w:r>
            <w:r w:rsidR="00F346DE">
              <w:rPr>
                <w:noProof/>
                <w:webHidden/>
              </w:rPr>
              <w:fldChar w:fldCharType="end"/>
            </w:r>
          </w:hyperlink>
        </w:p>
        <w:p w:rsidR="00EC06FD" w:rsidRDefault="00C162EC">
          <w:pPr>
            <w:pStyle w:val="TOC2"/>
            <w:tabs>
              <w:tab w:val="left" w:pos="1077"/>
            </w:tabs>
            <w:rPr>
              <w:rFonts w:asciiTheme="minorHAnsi" w:eastAsiaTheme="minorEastAsia" w:hAnsiTheme="minorHAnsi" w:cstheme="minorBidi"/>
              <w:noProof/>
              <w:sz w:val="22"/>
              <w:szCs w:val="22"/>
              <w:lang w:eastAsia="en-GB"/>
            </w:rPr>
          </w:pPr>
          <w:hyperlink w:anchor="_Toc494899781" w:history="1">
            <w:r w:rsidR="00F346DE">
              <w:rPr>
                <w:rStyle w:val="Hyperlink"/>
                <w:noProof/>
              </w:rPr>
              <w:t>6.2.</w:t>
            </w:r>
            <w:r w:rsidR="00F346DE">
              <w:rPr>
                <w:rFonts w:asciiTheme="minorHAnsi" w:eastAsiaTheme="minorEastAsia" w:hAnsiTheme="minorHAnsi" w:cstheme="minorBidi"/>
                <w:noProof/>
                <w:sz w:val="22"/>
                <w:szCs w:val="22"/>
                <w:lang w:eastAsia="en-GB"/>
              </w:rPr>
              <w:tab/>
            </w:r>
            <w:r w:rsidR="00F346DE">
              <w:rPr>
                <w:rStyle w:val="Hyperlink"/>
                <w:noProof/>
              </w:rPr>
              <w:t>Relevance of Euratom programme in addressing European objectives</w:t>
            </w:r>
            <w:r w:rsidR="00F346DE">
              <w:rPr>
                <w:noProof/>
                <w:webHidden/>
              </w:rPr>
              <w:tab/>
            </w:r>
            <w:r w:rsidR="00F346DE">
              <w:rPr>
                <w:noProof/>
                <w:webHidden/>
              </w:rPr>
              <w:fldChar w:fldCharType="begin"/>
            </w:r>
            <w:r w:rsidR="00F346DE">
              <w:rPr>
                <w:noProof/>
                <w:webHidden/>
              </w:rPr>
              <w:instrText xml:space="preserve"> PAGEREF _Toc494899781 \h </w:instrText>
            </w:r>
            <w:r w:rsidR="00F346DE">
              <w:rPr>
                <w:noProof/>
                <w:webHidden/>
              </w:rPr>
            </w:r>
            <w:r w:rsidR="00F346DE">
              <w:rPr>
                <w:noProof/>
                <w:webHidden/>
              </w:rPr>
              <w:fldChar w:fldCharType="separate"/>
            </w:r>
            <w:r w:rsidR="00E13DD6">
              <w:rPr>
                <w:noProof/>
                <w:webHidden/>
              </w:rPr>
              <w:t>20</w:t>
            </w:r>
            <w:r w:rsidR="00F346DE">
              <w:rPr>
                <w:noProof/>
                <w:webHidden/>
              </w:rPr>
              <w:fldChar w:fldCharType="end"/>
            </w:r>
          </w:hyperlink>
        </w:p>
        <w:p w:rsidR="00EC06FD" w:rsidRDefault="00C162EC">
          <w:pPr>
            <w:pStyle w:val="TOC2"/>
            <w:tabs>
              <w:tab w:val="left" w:pos="1077"/>
            </w:tabs>
            <w:rPr>
              <w:rFonts w:asciiTheme="minorHAnsi" w:eastAsiaTheme="minorEastAsia" w:hAnsiTheme="minorHAnsi" w:cstheme="minorBidi"/>
              <w:noProof/>
              <w:sz w:val="22"/>
              <w:szCs w:val="22"/>
              <w:lang w:eastAsia="en-GB"/>
            </w:rPr>
          </w:pPr>
          <w:hyperlink w:anchor="_Toc494899782" w:history="1">
            <w:r w:rsidR="00F346DE">
              <w:rPr>
                <w:rStyle w:val="Hyperlink"/>
                <w:noProof/>
              </w:rPr>
              <w:t>6.3.</w:t>
            </w:r>
            <w:r w:rsidR="00F346DE">
              <w:rPr>
                <w:rFonts w:asciiTheme="minorHAnsi" w:eastAsiaTheme="minorEastAsia" w:hAnsiTheme="minorHAnsi" w:cstheme="minorBidi"/>
                <w:noProof/>
                <w:sz w:val="22"/>
                <w:szCs w:val="22"/>
                <w:lang w:eastAsia="en-GB"/>
              </w:rPr>
              <w:tab/>
            </w:r>
            <w:r w:rsidR="00F346DE">
              <w:rPr>
                <w:rStyle w:val="Hyperlink"/>
                <w:noProof/>
              </w:rPr>
              <w:t>Is the Euratom Programme responding to stakeholder needs?</w:t>
            </w:r>
            <w:r w:rsidR="00F346DE">
              <w:rPr>
                <w:noProof/>
                <w:webHidden/>
              </w:rPr>
              <w:tab/>
            </w:r>
            <w:r w:rsidR="00F346DE">
              <w:rPr>
                <w:noProof/>
                <w:webHidden/>
              </w:rPr>
              <w:fldChar w:fldCharType="begin"/>
            </w:r>
            <w:r w:rsidR="00F346DE">
              <w:rPr>
                <w:noProof/>
                <w:webHidden/>
              </w:rPr>
              <w:instrText xml:space="preserve"> PAGEREF _Toc494899782 \h </w:instrText>
            </w:r>
            <w:r w:rsidR="00F346DE">
              <w:rPr>
                <w:noProof/>
                <w:webHidden/>
              </w:rPr>
            </w:r>
            <w:r w:rsidR="00F346DE">
              <w:rPr>
                <w:noProof/>
                <w:webHidden/>
              </w:rPr>
              <w:fldChar w:fldCharType="separate"/>
            </w:r>
            <w:r w:rsidR="00E13DD6">
              <w:rPr>
                <w:noProof/>
                <w:webHidden/>
              </w:rPr>
              <w:t>20</w:t>
            </w:r>
            <w:r w:rsidR="00F346DE">
              <w:rPr>
                <w:noProof/>
                <w:webHidden/>
              </w:rPr>
              <w:fldChar w:fldCharType="end"/>
            </w:r>
          </w:hyperlink>
        </w:p>
        <w:p w:rsidR="00EC06FD" w:rsidRDefault="00C162EC">
          <w:pPr>
            <w:pStyle w:val="TOC2"/>
            <w:tabs>
              <w:tab w:val="left" w:pos="1077"/>
            </w:tabs>
            <w:rPr>
              <w:rFonts w:asciiTheme="minorHAnsi" w:eastAsiaTheme="minorEastAsia" w:hAnsiTheme="minorHAnsi" w:cstheme="minorBidi"/>
              <w:noProof/>
              <w:sz w:val="22"/>
              <w:szCs w:val="22"/>
              <w:lang w:eastAsia="en-GB"/>
            </w:rPr>
          </w:pPr>
          <w:hyperlink w:anchor="_Toc494899783" w:history="1">
            <w:r w:rsidR="00F346DE">
              <w:rPr>
                <w:rStyle w:val="Hyperlink"/>
                <w:noProof/>
              </w:rPr>
              <w:t>6.4.</w:t>
            </w:r>
            <w:r w:rsidR="00F346DE">
              <w:rPr>
                <w:rFonts w:asciiTheme="minorHAnsi" w:eastAsiaTheme="minorEastAsia" w:hAnsiTheme="minorHAnsi" w:cstheme="minorBidi"/>
                <w:noProof/>
                <w:sz w:val="22"/>
                <w:szCs w:val="22"/>
                <w:lang w:eastAsia="en-GB"/>
              </w:rPr>
              <w:tab/>
            </w:r>
            <w:r w:rsidR="00F346DE">
              <w:rPr>
                <w:rStyle w:val="Hyperlink"/>
                <w:noProof/>
              </w:rPr>
              <w:t>Programme attractiveness and take-up</w:t>
            </w:r>
            <w:r w:rsidR="00F346DE">
              <w:rPr>
                <w:noProof/>
                <w:webHidden/>
              </w:rPr>
              <w:tab/>
            </w:r>
            <w:r w:rsidR="00F346DE">
              <w:rPr>
                <w:noProof/>
                <w:webHidden/>
              </w:rPr>
              <w:fldChar w:fldCharType="begin"/>
            </w:r>
            <w:r w:rsidR="00F346DE">
              <w:rPr>
                <w:noProof/>
                <w:webHidden/>
              </w:rPr>
              <w:instrText xml:space="preserve"> PAGEREF _Toc494899783 \h </w:instrText>
            </w:r>
            <w:r w:rsidR="00F346DE">
              <w:rPr>
                <w:noProof/>
                <w:webHidden/>
              </w:rPr>
            </w:r>
            <w:r w:rsidR="00F346DE">
              <w:rPr>
                <w:noProof/>
                <w:webHidden/>
              </w:rPr>
              <w:fldChar w:fldCharType="separate"/>
            </w:r>
            <w:r w:rsidR="00E13DD6">
              <w:rPr>
                <w:noProof/>
                <w:webHidden/>
              </w:rPr>
              <w:t>21</w:t>
            </w:r>
            <w:r w:rsidR="00F346DE">
              <w:rPr>
                <w:noProof/>
                <w:webHidden/>
              </w:rPr>
              <w:fldChar w:fldCharType="end"/>
            </w:r>
          </w:hyperlink>
        </w:p>
        <w:p w:rsidR="00EC06FD" w:rsidRDefault="00C162EC">
          <w:pPr>
            <w:pStyle w:val="TOC2"/>
            <w:tabs>
              <w:tab w:val="left" w:pos="1077"/>
            </w:tabs>
            <w:rPr>
              <w:rFonts w:asciiTheme="minorHAnsi" w:eastAsiaTheme="minorEastAsia" w:hAnsiTheme="minorHAnsi" w:cstheme="minorBidi"/>
              <w:noProof/>
              <w:sz w:val="22"/>
              <w:szCs w:val="22"/>
              <w:lang w:eastAsia="en-GB"/>
            </w:rPr>
          </w:pPr>
          <w:hyperlink w:anchor="_Toc494899784" w:history="1">
            <w:r w:rsidR="00F346DE">
              <w:rPr>
                <w:rStyle w:val="Hyperlink"/>
                <w:noProof/>
              </w:rPr>
              <w:t>6.5.</w:t>
            </w:r>
            <w:r w:rsidR="00F346DE">
              <w:rPr>
                <w:rFonts w:asciiTheme="minorHAnsi" w:eastAsiaTheme="minorEastAsia" w:hAnsiTheme="minorHAnsi" w:cstheme="minorBidi"/>
                <w:noProof/>
                <w:sz w:val="22"/>
                <w:szCs w:val="22"/>
                <w:lang w:eastAsia="en-GB"/>
              </w:rPr>
              <w:tab/>
            </w:r>
            <w:r w:rsidR="00F346DE">
              <w:rPr>
                <w:rStyle w:val="Hyperlink"/>
                <w:noProof/>
              </w:rPr>
              <w:t>End-users in the Euratom research and training programme</w:t>
            </w:r>
            <w:r w:rsidR="00F346DE">
              <w:rPr>
                <w:noProof/>
                <w:webHidden/>
              </w:rPr>
              <w:tab/>
            </w:r>
            <w:r w:rsidR="00F346DE">
              <w:rPr>
                <w:noProof/>
                <w:webHidden/>
              </w:rPr>
              <w:fldChar w:fldCharType="begin"/>
            </w:r>
            <w:r w:rsidR="00F346DE">
              <w:rPr>
                <w:noProof/>
                <w:webHidden/>
              </w:rPr>
              <w:instrText xml:space="preserve"> PAGEREF _Toc494899784 \h </w:instrText>
            </w:r>
            <w:r w:rsidR="00F346DE">
              <w:rPr>
                <w:noProof/>
                <w:webHidden/>
              </w:rPr>
            </w:r>
            <w:r w:rsidR="00F346DE">
              <w:rPr>
                <w:noProof/>
                <w:webHidden/>
              </w:rPr>
              <w:fldChar w:fldCharType="separate"/>
            </w:r>
            <w:r w:rsidR="00E13DD6">
              <w:rPr>
                <w:noProof/>
                <w:webHidden/>
              </w:rPr>
              <w:t>22</w:t>
            </w:r>
            <w:r w:rsidR="00F346DE">
              <w:rPr>
                <w:noProof/>
                <w:webHidden/>
              </w:rPr>
              <w:fldChar w:fldCharType="end"/>
            </w:r>
          </w:hyperlink>
        </w:p>
        <w:p w:rsidR="00EC06FD" w:rsidRDefault="00C162EC">
          <w:pPr>
            <w:pStyle w:val="TOC2"/>
            <w:tabs>
              <w:tab w:val="left" w:pos="1077"/>
            </w:tabs>
            <w:rPr>
              <w:rFonts w:asciiTheme="minorHAnsi" w:eastAsiaTheme="minorEastAsia" w:hAnsiTheme="minorHAnsi" w:cstheme="minorBidi"/>
              <w:noProof/>
              <w:sz w:val="22"/>
              <w:szCs w:val="22"/>
              <w:lang w:eastAsia="en-GB"/>
            </w:rPr>
          </w:pPr>
          <w:hyperlink w:anchor="_Toc494899785" w:history="1">
            <w:r w:rsidR="00F346DE">
              <w:rPr>
                <w:rStyle w:val="Hyperlink"/>
                <w:noProof/>
              </w:rPr>
              <w:t>6.6.</w:t>
            </w:r>
            <w:r w:rsidR="00F346DE">
              <w:rPr>
                <w:rFonts w:asciiTheme="minorHAnsi" w:eastAsiaTheme="minorEastAsia" w:hAnsiTheme="minorHAnsi" w:cstheme="minorBidi"/>
                <w:noProof/>
                <w:sz w:val="22"/>
                <w:szCs w:val="22"/>
                <w:lang w:eastAsia="en-GB"/>
              </w:rPr>
              <w:tab/>
            </w:r>
            <w:r w:rsidR="00F346DE">
              <w:rPr>
                <w:rStyle w:val="Hyperlink"/>
                <w:noProof/>
              </w:rPr>
              <w:t>Geographical dimensions</w:t>
            </w:r>
            <w:r w:rsidR="00F346DE">
              <w:rPr>
                <w:noProof/>
                <w:webHidden/>
              </w:rPr>
              <w:tab/>
            </w:r>
            <w:r w:rsidR="00F346DE">
              <w:rPr>
                <w:noProof/>
                <w:webHidden/>
              </w:rPr>
              <w:fldChar w:fldCharType="begin"/>
            </w:r>
            <w:r w:rsidR="00F346DE">
              <w:rPr>
                <w:noProof/>
                <w:webHidden/>
              </w:rPr>
              <w:instrText xml:space="preserve"> PAGEREF _Toc494899785 \h </w:instrText>
            </w:r>
            <w:r w:rsidR="00F346DE">
              <w:rPr>
                <w:noProof/>
                <w:webHidden/>
              </w:rPr>
            </w:r>
            <w:r w:rsidR="00F346DE">
              <w:rPr>
                <w:noProof/>
                <w:webHidden/>
              </w:rPr>
              <w:fldChar w:fldCharType="separate"/>
            </w:r>
            <w:r w:rsidR="00E13DD6">
              <w:rPr>
                <w:noProof/>
                <w:webHidden/>
              </w:rPr>
              <w:t>24</w:t>
            </w:r>
            <w:r w:rsidR="00F346DE">
              <w:rPr>
                <w:noProof/>
                <w:webHidden/>
              </w:rPr>
              <w:fldChar w:fldCharType="end"/>
            </w:r>
          </w:hyperlink>
        </w:p>
        <w:p w:rsidR="00EC06FD" w:rsidRDefault="00C162EC">
          <w:pPr>
            <w:pStyle w:val="TOC1"/>
            <w:rPr>
              <w:rFonts w:asciiTheme="minorHAnsi" w:eastAsiaTheme="minorEastAsia" w:hAnsiTheme="minorHAnsi" w:cstheme="minorBidi"/>
              <w:caps w:val="0"/>
              <w:noProof/>
              <w:sz w:val="22"/>
              <w:szCs w:val="22"/>
              <w:lang w:eastAsia="en-GB"/>
            </w:rPr>
          </w:pPr>
          <w:hyperlink w:anchor="_Toc494899786" w:history="1">
            <w:r w:rsidR="00F346DE">
              <w:rPr>
                <w:rStyle w:val="Hyperlink"/>
                <w:noProof/>
              </w:rPr>
              <w:t>7.</w:t>
            </w:r>
            <w:r w:rsidR="00F346DE">
              <w:rPr>
                <w:rFonts w:asciiTheme="minorHAnsi" w:eastAsiaTheme="minorEastAsia" w:hAnsiTheme="minorHAnsi" w:cstheme="minorBidi"/>
                <w:caps w:val="0"/>
                <w:noProof/>
                <w:sz w:val="22"/>
                <w:szCs w:val="22"/>
                <w:lang w:eastAsia="en-GB"/>
              </w:rPr>
              <w:tab/>
            </w:r>
            <w:r w:rsidR="00F346DE">
              <w:rPr>
                <w:rStyle w:val="Hyperlink"/>
                <w:noProof/>
              </w:rPr>
              <w:t>EFFECTIVENESS OF THE EURATOM PROGRAMME</w:t>
            </w:r>
            <w:r w:rsidR="00F346DE">
              <w:rPr>
                <w:noProof/>
                <w:webHidden/>
              </w:rPr>
              <w:tab/>
            </w:r>
            <w:r w:rsidR="00F346DE">
              <w:rPr>
                <w:noProof/>
                <w:webHidden/>
              </w:rPr>
              <w:fldChar w:fldCharType="begin"/>
            </w:r>
            <w:r w:rsidR="00F346DE">
              <w:rPr>
                <w:noProof/>
                <w:webHidden/>
              </w:rPr>
              <w:instrText xml:space="preserve"> PAGEREF _Toc494899786 \h </w:instrText>
            </w:r>
            <w:r w:rsidR="00F346DE">
              <w:rPr>
                <w:noProof/>
                <w:webHidden/>
              </w:rPr>
            </w:r>
            <w:r w:rsidR="00F346DE">
              <w:rPr>
                <w:noProof/>
                <w:webHidden/>
              </w:rPr>
              <w:fldChar w:fldCharType="separate"/>
            </w:r>
            <w:r w:rsidR="00E13DD6">
              <w:rPr>
                <w:noProof/>
                <w:webHidden/>
              </w:rPr>
              <w:t>26</w:t>
            </w:r>
            <w:r w:rsidR="00F346DE">
              <w:rPr>
                <w:noProof/>
                <w:webHidden/>
              </w:rPr>
              <w:fldChar w:fldCharType="end"/>
            </w:r>
          </w:hyperlink>
        </w:p>
        <w:p w:rsidR="00EC06FD" w:rsidRDefault="00C162EC">
          <w:pPr>
            <w:pStyle w:val="TOC2"/>
            <w:tabs>
              <w:tab w:val="left" w:pos="1077"/>
            </w:tabs>
            <w:rPr>
              <w:rFonts w:asciiTheme="minorHAnsi" w:eastAsiaTheme="minorEastAsia" w:hAnsiTheme="minorHAnsi" w:cstheme="minorBidi"/>
              <w:noProof/>
              <w:sz w:val="22"/>
              <w:szCs w:val="22"/>
              <w:lang w:eastAsia="en-GB"/>
            </w:rPr>
          </w:pPr>
          <w:hyperlink w:anchor="_Toc494899787" w:history="1">
            <w:r w:rsidR="00F346DE">
              <w:rPr>
                <w:rStyle w:val="Hyperlink"/>
                <w:noProof/>
              </w:rPr>
              <w:t>7.1.</w:t>
            </w:r>
            <w:r w:rsidR="00F346DE">
              <w:rPr>
                <w:rFonts w:asciiTheme="minorHAnsi" w:eastAsiaTheme="minorEastAsia" w:hAnsiTheme="minorHAnsi" w:cstheme="minorBidi"/>
                <w:noProof/>
                <w:sz w:val="22"/>
                <w:szCs w:val="22"/>
                <w:lang w:eastAsia="en-GB"/>
              </w:rPr>
              <w:tab/>
            </w:r>
            <w:r w:rsidR="00F346DE">
              <w:rPr>
                <w:rStyle w:val="Hyperlink"/>
                <w:noProof/>
              </w:rPr>
              <w:t>Effectiveness of Euratom supported fusion research</w:t>
            </w:r>
            <w:r w:rsidR="00F346DE">
              <w:rPr>
                <w:noProof/>
                <w:webHidden/>
              </w:rPr>
              <w:tab/>
            </w:r>
            <w:r w:rsidR="00F346DE">
              <w:rPr>
                <w:noProof/>
                <w:webHidden/>
              </w:rPr>
              <w:fldChar w:fldCharType="begin"/>
            </w:r>
            <w:r w:rsidR="00F346DE">
              <w:rPr>
                <w:noProof/>
                <w:webHidden/>
              </w:rPr>
              <w:instrText xml:space="preserve"> PAGEREF _Toc494899787 \h </w:instrText>
            </w:r>
            <w:r w:rsidR="00F346DE">
              <w:rPr>
                <w:noProof/>
                <w:webHidden/>
              </w:rPr>
            </w:r>
            <w:r w:rsidR="00F346DE">
              <w:rPr>
                <w:noProof/>
                <w:webHidden/>
              </w:rPr>
              <w:fldChar w:fldCharType="separate"/>
            </w:r>
            <w:r w:rsidR="00E13DD6">
              <w:rPr>
                <w:noProof/>
                <w:webHidden/>
              </w:rPr>
              <w:t>26</w:t>
            </w:r>
            <w:r w:rsidR="00F346DE">
              <w:rPr>
                <w:noProof/>
                <w:webHidden/>
              </w:rPr>
              <w:fldChar w:fldCharType="end"/>
            </w:r>
          </w:hyperlink>
        </w:p>
        <w:p w:rsidR="00EC06FD" w:rsidRDefault="00C162EC">
          <w:pPr>
            <w:pStyle w:val="TOC3"/>
            <w:tabs>
              <w:tab w:val="left" w:pos="1916"/>
            </w:tabs>
            <w:rPr>
              <w:rFonts w:asciiTheme="minorHAnsi" w:eastAsiaTheme="minorEastAsia" w:hAnsiTheme="minorHAnsi" w:cstheme="minorBidi"/>
              <w:noProof/>
              <w:sz w:val="22"/>
              <w:szCs w:val="22"/>
              <w:lang w:eastAsia="en-GB"/>
            </w:rPr>
          </w:pPr>
          <w:hyperlink w:anchor="_Toc494899788" w:history="1">
            <w:r w:rsidR="00F346DE">
              <w:rPr>
                <w:rStyle w:val="Hyperlink"/>
                <w:noProof/>
              </w:rPr>
              <w:t>7.1.1.</w:t>
            </w:r>
            <w:r w:rsidR="00F346DE">
              <w:rPr>
                <w:rFonts w:asciiTheme="minorHAnsi" w:eastAsiaTheme="minorEastAsia" w:hAnsiTheme="minorHAnsi" w:cstheme="minorBidi"/>
                <w:noProof/>
                <w:sz w:val="22"/>
                <w:szCs w:val="22"/>
                <w:lang w:eastAsia="en-GB"/>
              </w:rPr>
              <w:tab/>
            </w:r>
            <w:r w:rsidR="00F346DE">
              <w:rPr>
                <w:rStyle w:val="Hyperlink"/>
                <w:noProof/>
              </w:rPr>
              <w:t>Implementation of fusion roadmap</w:t>
            </w:r>
            <w:r w:rsidR="00F346DE">
              <w:rPr>
                <w:noProof/>
                <w:webHidden/>
              </w:rPr>
              <w:tab/>
            </w:r>
            <w:r w:rsidR="00F346DE">
              <w:rPr>
                <w:noProof/>
                <w:webHidden/>
              </w:rPr>
              <w:fldChar w:fldCharType="begin"/>
            </w:r>
            <w:r w:rsidR="00F346DE">
              <w:rPr>
                <w:noProof/>
                <w:webHidden/>
              </w:rPr>
              <w:instrText xml:space="preserve"> PAGEREF _Toc494899788 \h </w:instrText>
            </w:r>
            <w:r w:rsidR="00F346DE">
              <w:rPr>
                <w:noProof/>
                <w:webHidden/>
              </w:rPr>
            </w:r>
            <w:r w:rsidR="00F346DE">
              <w:rPr>
                <w:noProof/>
                <w:webHidden/>
              </w:rPr>
              <w:fldChar w:fldCharType="separate"/>
            </w:r>
            <w:r w:rsidR="00E13DD6">
              <w:rPr>
                <w:noProof/>
                <w:webHidden/>
              </w:rPr>
              <w:t>26</w:t>
            </w:r>
            <w:r w:rsidR="00F346DE">
              <w:rPr>
                <w:noProof/>
                <w:webHidden/>
              </w:rPr>
              <w:fldChar w:fldCharType="end"/>
            </w:r>
          </w:hyperlink>
        </w:p>
        <w:p w:rsidR="00EC06FD" w:rsidRDefault="00C162EC">
          <w:pPr>
            <w:pStyle w:val="TOC3"/>
            <w:tabs>
              <w:tab w:val="left" w:pos="1916"/>
            </w:tabs>
            <w:rPr>
              <w:rFonts w:asciiTheme="minorHAnsi" w:eastAsiaTheme="minorEastAsia" w:hAnsiTheme="minorHAnsi" w:cstheme="minorBidi"/>
              <w:noProof/>
              <w:sz w:val="22"/>
              <w:szCs w:val="22"/>
              <w:lang w:eastAsia="en-GB"/>
            </w:rPr>
          </w:pPr>
          <w:hyperlink w:anchor="_Toc494899789" w:history="1">
            <w:r w:rsidR="00F346DE">
              <w:rPr>
                <w:rStyle w:val="Hyperlink"/>
                <w:noProof/>
              </w:rPr>
              <w:t>7.1.2.</w:t>
            </w:r>
            <w:r w:rsidR="00F346DE">
              <w:rPr>
                <w:rFonts w:asciiTheme="minorHAnsi" w:eastAsiaTheme="minorEastAsia" w:hAnsiTheme="minorHAnsi" w:cstheme="minorBidi"/>
                <w:noProof/>
                <w:sz w:val="22"/>
                <w:szCs w:val="22"/>
                <w:lang w:eastAsia="en-GB"/>
              </w:rPr>
              <w:tab/>
            </w:r>
            <w:r w:rsidR="00F346DE">
              <w:rPr>
                <w:rStyle w:val="Hyperlink"/>
                <w:noProof/>
              </w:rPr>
              <w:t>Publications in peer-reviewed journals</w:t>
            </w:r>
            <w:r w:rsidR="00F346DE">
              <w:rPr>
                <w:noProof/>
                <w:webHidden/>
              </w:rPr>
              <w:tab/>
            </w:r>
            <w:r w:rsidR="00F346DE">
              <w:rPr>
                <w:noProof/>
                <w:webHidden/>
              </w:rPr>
              <w:fldChar w:fldCharType="begin"/>
            </w:r>
            <w:r w:rsidR="00F346DE">
              <w:rPr>
                <w:noProof/>
                <w:webHidden/>
              </w:rPr>
              <w:instrText xml:space="preserve"> PAGEREF _Toc494899789 \h </w:instrText>
            </w:r>
            <w:r w:rsidR="00F346DE">
              <w:rPr>
                <w:noProof/>
                <w:webHidden/>
              </w:rPr>
            </w:r>
            <w:r w:rsidR="00F346DE">
              <w:rPr>
                <w:noProof/>
                <w:webHidden/>
              </w:rPr>
              <w:fldChar w:fldCharType="separate"/>
            </w:r>
            <w:r w:rsidR="00E13DD6">
              <w:rPr>
                <w:noProof/>
                <w:webHidden/>
              </w:rPr>
              <w:t>27</w:t>
            </w:r>
            <w:r w:rsidR="00F346DE">
              <w:rPr>
                <w:noProof/>
                <w:webHidden/>
              </w:rPr>
              <w:fldChar w:fldCharType="end"/>
            </w:r>
          </w:hyperlink>
        </w:p>
        <w:p w:rsidR="00EC06FD" w:rsidRDefault="00C162EC">
          <w:pPr>
            <w:pStyle w:val="TOC3"/>
            <w:tabs>
              <w:tab w:val="left" w:pos="1916"/>
            </w:tabs>
            <w:rPr>
              <w:rFonts w:asciiTheme="minorHAnsi" w:eastAsiaTheme="minorEastAsia" w:hAnsiTheme="minorHAnsi" w:cstheme="minorBidi"/>
              <w:noProof/>
              <w:sz w:val="22"/>
              <w:szCs w:val="22"/>
              <w:lang w:eastAsia="en-GB"/>
            </w:rPr>
          </w:pPr>
          <w:hyperlink w:anchor="_Toc494899790" w:history="1">
            <w:r w:rsidR="00F346DE">
              <w:rPr>
                <w:rStyle w:val="Hyperlink"/>
                <w:noProof/>
              </w:rPr>
              <w:t>7.1.3.</w:t>
            </w:r>
            <w:r w:rsidR="00F346DE">
              <w:rPr>
                <w:rFonts w:asciiTheme="minorHAnsi" w:eastAsiaTheme="minorEastAsia" w:hAnsiTheme="minorHAnsi" w:cstheme="minorBidi"/>
                <w:noProof/>
                <w:sz w:val="22"/>
                <w:szCs w:val="22"/>
                <w:lang w:eastAsia="en-GB"/>
              </w:rPr>
              <w:tab/>
            </w:r>
            <w:r w:rsidR="00F346DE">
              <w:rPr>
                <w:rStyle w:val="Hyperlink"/>
                <w:noProof/>
              </w:rPr>
              <w:t>Joint exploitation of European fusion research infrastructures</w:t>
            </w:r>
            <w:r w:rsidR="00F346DE">
              <w:rPr>
                <w:noProof/>
                <w:webHidden/>
              </w:rPr>
              <w:tab/>
            </w:r>
            <w:r w:rsidR="00F346DE">
              <w:rPr>
                <w:noProof/>
                <w:webHidden/>
              </w:rPr>
              <w:fldChar w:fldCharType="begin"/>
            </w:r>
            <w:r w:rsidR="00F346DE">
              <w:rPr>
                <w:noProof/>
                <w:webHidden/>
              </w:rPr>
              <w:instrText xml:space="preserve"> PAGEREF _Toc494899790 \h </w:instrText>
            </w:r>
            <w:r w:rsidR="00F346DE">
              <w:rPr>
                <w:noProof/>
                <w:webHidden/>
              </w:rPr>
            </w:r>
            <w:r w:rsidR="00F346DE">
              <w:rPr>
                <w:noProof/>
                <w:webHidden/>
              </w:rPr>
              <w:fldChar w:fldCharType="separate"/>
            </w:r>
            <w:r w:rsidR="00E13DD6">
              <w:rPr>
                <w:noProof/>
                <w:webHidden/>
              </w:rPr>
              <w:t>28</w:t>
            </w:r>
            <w:r w:rsidR="00F346DE">
              <w:rPr>
                <w:noProof/>
                <w:webHidden/>
              </w:rPr>
              <w:fldChar w:fldCharType="end"/>
            </w:r>
          </w:hyperlink>
        </w:p>
        <w:p w:rsidR="00EC06FD" w:rsidRDefault="00C162EC">
          <w:pPr>
            <w:pStyle w:val="TOC3"/>
            <w:tabs>
              <w:tab w:val="left" w:pos="1916"/>
            </w:tabs>
            <w:rPr>
              <w:rFonts w:asciiTheme="minorHAnsi" w:eastAsiaTheme="minorEastAsia" w:hAnsiTheme="minorHAnsi" w:cstheme="minorBidi"/>
              <w:noProof/>
              <w:sz w:val="22"/>
              <w:szCs w:val="22"/>
              <w:lang w:eastAsia="en-GB"/>
            </w:rPr>
          </w:pPr>
          <w:hyperlink w:anchor="_Toc494899791" w:history="1">
            <w:r w:rsidR="00F346DE">
              <w:rPr>
                <w:rStyle w:val="Hyperlink"/>
                <w:noProof/>
              </w:rPr>
              <w:t>7.1.4.</w:t>
            </w:r>
            <w:r w:rsidR="00F346DE">
              <w:rPr>
                <w:rFonts w:asciiTheme="minorHAnsi" w:eastAsiaTheme="minorEastAsia" w:hAnsiTheme="minorHAnsi" w:cstheme="minorBidi"/>
                <w:noProof/>
                <w:sz w:val="22"/>
                <w:szCs w:val="22"/>
                <w:lang w:eastAsia="en-GB"/>
              </w:rPr>
              <w:tab/>
            </w:r>
            <w:r w:rsidR="00F346DE">
              <w:rPr>
                <w:rStyle w:val="Hyperlink"/>
                <w:noProof/>
              </w:rPr>
              <w:t>Fusion education, training and mobility</w:t>
            </w:r>
            <w:r w:rsidR="00F346DE">
              <w:rPr>
                <w:noProof/>
                <w:webHidden/>
              </w:rPr>
              <w:tab/>
            </w:r>
            <w:r w:rsidR="00F346DE">
              <w:rPr>
                <w:noProof/>
                <w:webHidden/>
              </w:rPr>
              <w:fldChar w:fldCharType="begin"/>
            </w:r>
            <w:r w:rsidR="00F346DE">
              <w:rPr>
                <w:noProof/>
                <w:webHidden/>
              </w:rPr>
              <w:instrText xml:space="preserve"> PAGEREF _Toc494899791 \h </w:instrText>
            </w:r>
            <w:r w:rsidR="00F346DE">
              <w:rPr>
                <w:noProof/>
                <w:webHidden/>
              </w:rPr>
            </w:r>
            <w:r w:rsidR="00F346DE">
              <w:rPr>
                <w:noProof/>
                <w:webHidden/>
              </w:rPr>
              <w:fldChar w:fldCharType="separate"/>
            </w:r>
            <w:r w:rsidR="00E13DD6">
              <w:rPr>
                <w:noProof/>
                <w:webHidden/>
              </w:rPr>
              <w:t>29</w:t>
            </w:r>
            <w:r w:rsidR="00F346DE">
              <w:rPr>
                <w:noProof/>
                <w:webHidden/>
              </w:rPr>
              <w:fldChar w:fldCharType="end"/>
            </w:r>
          </w:hyperlink>
        </w:p>
        <w:p w:rsidR="00EC06FD" w:rsidRDefault="00C162EC">
          <w:pPr>
            <w:pStyle w:val="TOC3"/>
            <w:tabs>
              <w:tab w:val="left" w:pos="1916"/>
            </w:tabs>
            <w:rPr>
              <w:rFonts w:asciiTheme="minorHAnsi" w:eastAsiaTheme="minorEastAsia" w:hAnsiTheme="minorHAnsi" w:cstheme="minorBidi"/>
              <w:noProof/>
              <w:sz w:val="22"/>
              <w:szCs w:val="22"/>
              <w:lang w:eastAsia="en-GB"/>
            </w:rPr>
          </w:pPr>
          <w:hyperlink w:anchor="_Toc494899792" w:history="1">
            <w:r w:rsidR="00F346DE">
              <w:rPr>
                <w:rStyle w:val="Hyperlink"/>
                <w:noProof/>
              </w:rPr>
              <w:t>7.1.5.</w:t>
            </w:r>
            <w:r w:rsidR="00F346DE">
              <w:rPr>
                <w:rFonts w:asciiTheme="minorHAnsi" w:eastAsiaTheme="minorEastAsia" w:hAnsiTheme="minorHAnsi" w:cstheme="minorBidi"/>
                <w:noProof/>
                <w:sz w:val="22"/>
                <w:szCs w:val="22"/>
                <w:lang w:eastAsia="en-GB"/>
              </w:rPr>
              <w:tab/>
            </w:r>
            <w:r w:rsidR="00F346DE">
              <w:rPr>
                <w:rStyle w:val="Hyperlink"/>
                <w:noProof/>
              </w:rPr>
              <w:t>Spin offs and patents from Euratom fusion programme</w:t>
            </w:r>
            <w:r w:rsidR="00F346DE">
              <w:rPr>
                <w:noProof/>
                <w:webHidden/>
              </w:rPr>
              <w:tab/>
            </w:r>
            <w:r w:rsidR="00F346DE">
              <w:rPr>
                <w:noProof/>
                <w:webHidden/>
              </w:rPr>
              <w:fldChar w:fldCharType="begin"/>
            </w:r>
            <w:r w:rsidR="00F346DE">
              <w:rPr>
                <w:noProof/>
                <w:webHidden/>
              </w:rPr>
              <w:instrText xml:space="preserve"> PAGEREF _Toc494899792 \h </w:instrText>
            </w:r>
            <w:r w:rsidR="00F346DE">
              <w:rPr>
                <w:noProof/>
                <w:webHidden/>
              </w:rPr>
            </w:r>
            <w:r w:rsidR="00F346DE">
              <w:rPr>
                <w:noProof/>
                <w:webHidden/>
              </w:rPr>
              <w:fldChar w:fldCharType="separate"/>
            </w:r>
            <w:r w:rsidR="00E13DD6">
              <w:rPr>
                <w:noProof/>
                <w:webHidden/>
              </w:rPr>
              <w:t>32</w:t>
            </w:r>
            <w:r w:rsidR="00F346DE">
              <w:rPr>
                <w:noProof/>
                <w:webHidden/>
              </w:rPr>
              <w:fldChar w:fldCharType="end"/>
            </w:r>
          </w:hyperlink>
        </w:p>
        <w:p w:rsidR="00EC06FD" w:rsidRDefault="00C162EC">
          <w:pPr>
            <w:pStyle w:val="TOC3"/>
            <w:tabs>
              <w:tab w:val="left" w:pos="1916"/>
            </w:tabs>
            <w:rPr>
              <w:rFonts w:asciiTheme="minorHAnsi" w:eastAsiaTheme="minorEastAsia" w:hAnsiTheme="minorHAnsi" w:cstheme="minorBidi"/>
              <w:noProof/>
              <w:sz w:val="22"/>
              <w:szCs w:val="22"/>
              <w:lang w:eastAsia="en-GB"/>
            </w:rPr>
          </w:pPr>
          <w:hyperlink w:anchor="_Toc494899793" w:history="1">
            <w:r w:rsidR="00F346DE">
              <w:rPr>
                <w:rStyle w:val="Hyperlink"/>
                <w:noProof/>
              </w:rPr>
              <w:t>7.1.6.</w:t>
            </w:r>
            <w:r w:rsidR="00F346DE">
              <w:rPr>
                <w:rFonts w:asciiTheme="minorHAnsi" w:eastAsiaTheme="minorEastAsia" w:hAnsiTheme="minorHAnsi" w:cstheme="minorBidi"/>
                <w:noProof/>
                <w:sz w:val="22"/>
                <w:szCs w:val="22"/>
                <w:lang w:eastAsia="en-GB"/>
              </w:rPr>
              <w:tab/>
            </w:r>
            <w:r w:rsidR="00F346DE">
              <w:rPr>
                <w:rStyle w:val="Hyperlink"/>
                <w:noProof/>
              </w:rPr>
              <w:t>The European Prize for Innovation in Fusion Research (SOFT Innovation Prize)</w:t>
            </w:r>
            <w:r w:rsidR="00F346DE">
              <w:rPr>
                <w:noProof/>
                <w:webHidden/>
              </w:rPr>
              <w:tab/>
            </w:r>
            <w:r w:rsidR="00F346DE">
              <w:rPr>
                <w:noProof/>
                <w:webHidden/>
              </w:rPr>
              <w:fldChar w:fldCharType="begin"/>
            </w:r>
            <w:r w:rsidR="00F346DE">
              <w:rPr>
                <w:noProof/>
                <w:webHidden/>
              </w:rPr>
              <w:instrText xml:space="preserve"> PAGEREF _Toc494899793 \h </w:instrText>
            </w:r>
            <w:r w:rsidR="00F346DE">
              <w:rPr>
                <w:noProof/>
                <w:webHidden/>
              </w:rPr>
            </w:r>
            <w:r w:rsidR="00F346DE">
              <w:rPr>
                <w:noProof/>
                <w:webHidden/>
              </w:rPr>
              <w:fldChar w:fldCharType="separate"/>
            </w:r>
            <w:r w:rsidR="00E13DD6">
              <w:rPr>
                <w:noProof/>
                <w:webHidden/>
              </w:rPr>
              <w:t>32</w:t>
            </w:r>
            <w:r w:rsidR="00F346DE">
              <w:rPr>
                <w:noProof/>
                <w:webHidden/>
              </w:rPr>
              <w:fldChar w:fldCharType="end"/>
            </w:r>
          </w:hyperlink>
        </w:p>
        <w:p w:rsidR="00EC06FD" w:rsidRDefault="00C162EC">
          <w:pPr>
            <w:pStyle w:val="TOC2"/>
            <w:tabs>
              <w:tab w:val="left" w:pos="1077"/>
            </w:tabs>
            <w:rPr>
              <w:rFonts w:asciiTheme="minorHAnsi" w:eastAsiaTheme="minorEastAsia" w:hAnsiTheme="minorHAnsi" w:cstheme="minorBidi"/>
              <w:noProof/>
              <w:sz w:val="22"/>
              <w:szCs w:val="22"/>
              <w:lang w:eastAsia="en-GB"/>
            </w:rPr>
          </w:pPr>
          <w:hyperlink w:anchor="_Toc494899794" w:history="1">
            <w:r w:rsidR="00F346DE">
              <w:rPr>
                <w:rStyle w:val="Hyperlink"/>
                <w:noProof/>
              </w:rPr>
              <w:t>7.2.</w:t>
            </w:r>
            <w:r w:rsidR="00F346DE">
              <w:rPr>
                <w:rFonts w:asciiTheme="minorHAnsi" w:eastAsiaTheme="minorEastAsia" w:hAnsiTheme="minorHAnsi" w:cstheme="minorBidi"/>
                <w:noProof/>
                <w:sz w:val="22"/>
                <w:szCs w:val="22"/>
                <w:lang w:eastAsia="en-GB"/>
              </w:rPr>
              <w:tab/>
            </w:r>
            <w:r w:rsidR="00F346DE">
              <w:rPr>
                <w:rStyle w:val="Hyperlink"/>
                <w:noProof/>
              </w:rPr>
              <w:t>Effectiveness of Euratom supported fission research</w:t>
            </w:r>
            <w:r w:rsidR="00F346DE">
              <w:rPr>
                <w:noProof/>
                <w:webHidden/>
              </w:rPr>
              <w:tab/>
            </w:r>
            <w:r w:rsidR="00F346DE">
              <w:rPr>
                <w:noProof/>
                <w:webHidden/>
              </w:rPr>
              <w:fldChar w:fldCharType="begin"/>
            </w:r>
            <w:r w:rsidR="00F346DE">
              <w:rPr>
                <w:noProof/>
                <w:webHidden/>
              </w:rPr>
              <w:instrText xml:space="preserve"> PAGEREF _Toc494899794 \h </w:instrText>
            </w:r>
            <w:r w:rsidR="00F346DE">
              <w:rPr>
                <w:noProof/>
                <w:webHidden/>
              </w:rPr>
            </w:r>
            <w:r w:rsidR="00F346DE">
              <w:rPr>
                <w:noProof/>
                <w:webHidden/>
              </w:rPr>
              <w:fldChar w:fldCharType="separate"/>
            </w:r>
            <w:r w:rsidR="00E13DD6">
              <w:rPr>
                <w:noProof/>
                <w:webHidden/>
              </w:rPr>
              <w:t>36</w:t>
            </w:r>
            <w:r w:rsidR="00F346DE">
              <w:rPr>
                <w:noProof/>
                <w:webHidden/>
              </w:rPr>
              <w:fldChar w:fldCharType="end"/>
            </w:r>
          </w:hyperlink>
        </w:p>
        <w:p w:rsidR="00EC06FD" w:rsidRDefault="00C162EC">
          <w:pPr>
            <w:pStyle w:val="TOC2"/>
            <w:tabs>
              <w:tab w:val="left" w:pos="1077"/>
            </w:tabs>
            <w:rPr>
              <w:rFonts w:asciiTheme="minorHAnsi" w:eastAsiaTheme="minorEastAsia" w:hAnsiTheme="minorHAnsi" w:cstheme="minorBidi"/>
              <w:noProof/>
              <w:sz w:val="22"/>
              <w:szCs w:val="22"/>
              <w:lang w:eastAsia="en-GB"/>
            </w:rPr>
          </w:pPr>
          <w:hyperlink w:anchor="_Toc494899795" w:history="1">
            <w:r w:rsidR="00F346DE">
              <w:rPr>
                <w:rStyle w:val="Hyperlink"/>
                <w:noProof/>
              </w:rPr>
              <w:t>7.3.</w:t>
            </w:r>
            <w:r w:rsidR="00F346DE">
              <w:rPr>
                <w:rFonts w:asciiTheme="minorHAnsi" w:eastAsiaTheme="minorEastAsia" w:hAnsiTheme="minorHAnsi" w:cstheme="minorBidi"/>
                <w:noProof/>
                <w:sz w:val="22"/>
                <w:szCs w:val="22"/>
                <w:lang w:eastAsia="en-GB"/>
              </w:rPr>
              <w:tab/>
            </w:r>
            <w:r w:rsidR="00F346DE">
              <w:rPr>
                <w:rStyle w:val="Hyperlink"/>
                <w:noProof/>
              </w:rPr>
              <w:t>Impacts of the previous research and training programme – Euratom FP7 and comparison with the expected impacts of Euratom programme 2014-2018</w:t>
            </w:r>
            <w:r w:rsidR="00F346DE">
              <w:rPr>
                <w:noProof/>
                <w:webHidden/>
              </w:rPr>
              <w:tab/>
            </w:r>
            <w:r w:rsidR="00F346DE">
              <w:rPr>
                <w:noProof/>
                <w:webHidden/>
              </w:rPr>
              <w:fldChar w:fldCharType="begin"/>
            </w:r>
            <w:r w:rsidR="00F346DE">
              <w:rPr>
                <w:noProof/>
                <w:webHidden/>
              </w:rPr>
              <w:instrText xml:space="preserve"> PAGEREF _Toc494899795 \h </w:instrText>
            </w:r>
            <w:r w:rsidR="00F346DE">
              <w:rPr>
                <w:noProof/>
                <w:webHidden/>
              </w:rPr>
            </w:r>
            <w:r w:rsidR="00F346DE">
              <w:rPr>
                <w:noProof/>
                <w:webHidden/>
              </w:rPr>
              <w:fldChar w:fldCharType="separate"/>
            </w:r>
            <w:r w:rsidR="00E13DD6">
              <w:rPr>
                <w:noProof/>
                <w:webHidden/>
              </w:rPr>
              <w:t>41</w:t>
            </w:r>
            <w:r w:rsidR="00F346DE">
              <w:rPr>
                <w:noProof/>
                <w:webHidden/>
              </w:rPr>
              <w:fldChar w:fldCharType="end"/>
            </w:r>
          </w:hyperlink>
        </w:p>
        <w:p w:rsidR="00EC06FD" w:rsidRDefault="00C162EC">
          <w:pPr>
            <w:pStyle w:val="TOC3"/>
            <w:tabs>
              <w:tab w:val="left" w:pos="1916"/>
            </w:tabs>
            <w:rPr>
              <w:rFonts w:asciiTheme="minorHAnsi" w:eastAsiaTheme="minorEastAsia" w:hAnsiTheme="minorHAnsi" w:cstheme="minorBidi"/>
              <w:noProof/>
              <w:sz w:val="22"/>
              <w:szCs w:val="22"/>
              <w:lang w:eastAsia="en-GB"/>
            </w:rPr>
          </w:pPr>
          <w:hyperlink w:anchor="_Toc494899796" w:history="1">
            <w:r w:rsidR="00F346DE">
              <w:rPr>
                <w:rStyle w:val="Hyperlink"/>
                <w:noProof/>
              </w:rPr>
              <w:t>7.3.1.</w:t>
            </w:r>
            <w:r w:rsidR="00F346DE">
              <w:rPr>
                <w:rFonts w:asciiTheme="minorHAnsi" w:eastAsiaTheme="minorEastAsia" w:hAnsiTheme="minorHAnsi" w:cstheme="minorBidi"/>
                <w:noProof/>
                <w:sz w:val="22"/>
                <w:szCs w:val="22"/>
                <w:lang w:eastAsia="en-GB"/>
              </w:rPr>
              <w:tab/>
            </w:r>
            <w:r w:rsidR="00F346DE">
              <w:rPr>
                <w:rStyle w:val="Hyperlink"/>
                <w:noProof/>
              </w:rPr>
              <w:t>Impacts of Euratom FP7</w:t>
            </w:r>
            <w:r w:rsidR="00F346DE">
              <w:rPr>
                <w:noProof/>
                <w:webHidden/>
              </w:rPr>
              <w:tab/>
            </w:r>
            <w:r w:rsidR="00F346DE">
              <w:rPr>
                <w:noProof/>
                <w:webHidden/>
              </w:rPr>
              <w:fldChar w:fldCharType="begin"/>
            </w:r>
            <w:r w:rsidR="00F346DE">
              <w:rPr>
                <w:noProof/>
                <w:webHidden/>
              </w:rPr>
              <w:instrText xml:space="preserve"> PAGEREF _Toc494899796 \h </w:instrText>
            </w:r>
            <w:r w:rsidR="00F346DE">
              <w:rPr>
                <w:noProof/>
                <w:webHidden/>
              </w:rPr>
            </w:r>
            <w:r w:rsidR="00F346DE">
              <w:rPr>
                <w:noProof/>
                <w:webHidden/>
              </w:rPr>
              <w:fldChar w:fldCharType="separate"/>
            </w:r>
            <w:r w:rsidR="00E13DD6">
              <w:rPr>
                <w:noProof/>
                <w:webHidden/>
              </w:rPr>
              <w:t>41</w:t>
            </w:r>
            <w:r w:rsidR="00F346DE">
              <w:rPr>
                <w:noProof/>
                <w:webHidden/>
              </w:rPr>
              <w:fldChar w:fldCharType="end"/>
            </w:r>
          </w:hyperlink>
        </w:p>
        <w:p w:rsidR="00EC06FD" w:rsidRDefault="00C162EC">
          <w:pPr>
            <w:pStyle w:val="TOC3"/>
            <w:tabs>
              <w:tab w:val="left" w:pos="1916"/>
            </w:tabs>
            <w:rPr>
              <w:rFonts w:asciiTheme="minorHAnsi" w:eastAsiaTheme="minorEastAsia" w:hAnsiTheme="minorHAnsi" w:cstheme="minorBidi"/>
              <w:noProof/>
              <w:sz w:val="22"/>
              <w:szCs w:val="22"/>
              <w:lang w:eastAsia="en-GB"/>
            </w:rPr>
          </w:pPr>
          <w:hyperlink w:anchor="_Toc494899797" w:history="1">
            <w:r w:rsidR="00F346DE">
              <w:rPr>
                <w:rStyle w:val="Hyperlink"/>
                <w:noProof/>
              </w:rPr>
              <w:t>7.3.2.</w:t>
            </w:r>
            <w:r w:rsidR="00F346DE">
              <w:rPr>
                <w:rFonts w:asciiTheme="minorHAnsi" w:eastAsiaTheme="minorEastAsia" w:hAnsiTheme="minorHAnsi" w:cstheme="minorBidi"/>
                <w:noProof/>
                <w:sz w:val="22"/>
                <w:szCs w:val="22"/>
                <w:lang w:eastAsia="en-GB"/>
              </w:rPr>
              <w:tab/>
            </w:r>
            <w:r w:rsidR="00F346DE">
              <w:rPr>
                <w:rStyle w:val="Hyperlink"/>
                <w:noProof/>
              </w:rPr>
              <w:t>Comparison of Euratom FP7 and Euratom programme 2014-2018</w:t>
            </w:r>
            <w:r w:rsidR="00F346DE">
              <w:rPr>
                <w:noProof/>
                <w:webHidden/>
              </w:rPr>
              <w:tab/>
            </w:r>
            <w:r w:rsidR="00F346DE">
              <w:rPr>
                <w:noProof/>
                <w:webHidden/>
              </w:rPr>
              <w:fldChar w:fldCharType="begin"/>
            </w:r>
            <w:r w:rsidR="00F346DE">
              <w:rPr>
                <w:noProof/>
                <w:webHidden/>
              </w:rPr>
              <w:instrText xml:space="preserve"> PAGEREF _Toc494899797 \h </w:instrText>
            </w:r>
            <w:r w:rsidR="00F346DE">
              <w:rPr>
                <w:noProof/>
                <w:webHidden/>
              </w:rPr>
            </w:r>
            <w:r w:rsidR="00F346DE">
              <w:rPr>
                <w:noProof/>
                <w:webHidden/>
              </w:rPr>
              <w:fldChar w:fldCharType="separate"/>
            </w:r>
            <w:r w:rsidR="00E13DD6">
              <w:rPr>
                <w:noProof/>
                <w:webHidden/>
              </w:rPr>
              <w:t>44</w:t>
            </w:r>
            <w:r w:rsidR="00F346DE">
              <w:rPr>
                <w:noProof/>
                <w:webHidden/>
              </w:rPr>
              <w:fldChar w:fldCharType="end"/>
            </w:r>
          </w:hyperlink>
        </w:p>
        <w:p w:rsidR="00EC06FD" w:rsidRDefault="00C162EC">
          <w:pPr>
            <w:pStyle w:val="TOC1"/>
            <w:rPr>
              <w:rFonts w:asciiTheme="minorHAnsi" w:eastAsiaTheme="minorEastAsia" w:hAnsiTheme="minorHAnsi" w:cstheme="minorBidi"/>
              <w:caps w:val="0"/>
              <w:noProof/>
              <w:sz w:val="22"/>
              <w:szCs w:val="22"/>
              <w:lang w:eastAsia="en-GB"/>
            </w:rPr>
          </w:pPr>
          <w:hyperlink w:anchor="_Toc494899798" w:history="1">
            <w:r w:rsidR="00F346DE">
              <w:rPr>
                <w:rStyle w:val="Hyperlink"/>
                <w:noProof/>
              </w:rPr>
              <w:t>8.</w:t>
            </w:r>
            <w:r w:rsidR="00F346DE">
              <w:rPr>
                <w:rFonts w:asciiTheme="minorHAnsi" w:eastAsiaTheme="minorEastAsia" w:hAnsiTheme="minorHAnsi" w:cstheme="minorBidi"/>
                <w:caps w:val="0"/>
                <w:noProof/>
                <w:sz w:val="22"/>
                <w:szCs w:val="22"/>
                <w:lang w:eastAsia="en-GB"/>
              </w:rPr>
              <w:tab/>
            </w:r>
            <w:r w:rsidR="00F346DE">
              <w:rPr>
                <w:rStyle w:val="Hyperlink"/>
                <w:noProof/>
              </w:rPr>
              <w:t>Efficiency of Euratom Programme</w:t>
            </w:r>
            <w:r w:rsidR="00F346DE">
              <w:rPr>
                <w:noProof/>
                <w:webHidden/>
              </w:rPr>
              <w:tab/>
            </w:r>
            <w:r w:rsidR="00F346DE">
              <w:rPr>
                <w:noProof/>
                <w:webHidden/>
              </w:rPr>
              <w:fldChar w:fldCharType="begin"/>
            </w:r>
            <w:r w:rsidR="00F346DE">
              <w:rPr>
                <w:noProof/>
                <w:webHidden/>
              </w:rPr>
              <w:instrText xml:space="preserve"> PAGEREF _Toc494899798 \h </w:instrText>
            </w:r>
            <w:r w:rsidR="00F346DE">
              <w:rPr>
                <w:noProof/>
                <w:webHidden/>
              </w:rPr>
            </w:r>
            <w:r w:rsidR="00F346DE">
              <w:rPr>
                <w:noProof/>
                <w:webHidden/>
              </w:rPr>
              <w:fldChar w:fldCharType="separate"/>
            </w:r>
            <w:r w:rsidR="00E13DD6">
              <w:rPr>
                <w:noProof/>
                <w:webHidden/>
              </w:rPr>
              <w:t>45</w:t>
            </w:r>
            <w:r w:rsidR="00F346DE">
              <w:rPr>
                <w:noProof/>
                <w:webHidden/>
              </w:rPr>
              <w:fldChar w:fldCharType="end"/>
            </w:r>
          </w:hyperlink>
        </w:p>
        <w:p w:rsidR="00EC06FD" w:rsidRDefault="00C162EC">
          <w:pPr>
            <w:pStyle w:val="TOC2"/>
            <w:tabs>
              <w:tab w:val="left" w:pos="1077"/>
            </w:tabs>
            <w:rPr>
              <w:rFonts w:asciiTheme="minorHAnsi" w:eastAsiaTheme="minorEastAsia" w:hAnsiTheme="minorHAnsi" w:cstheme="minorBidi"/>
              <w:noProof/>
              <w:sz w:val="22"/>
              <w:szCs w:val="22"/>
              <w:lang w:eastAsia="en-GB"/>
            </w:rPr>
          </w:pPr>
          <w:hyperlink w:anchor="_Toc494899799" w:history="1">
            <w:r w:rsidR="00F346DE">
              <w:rPr>
                <w:rStyle w:val="Hyperlink"/>
                <w:noProof/>
              </w:rPr>
              <w:t>8.1.</w:t>
            </w:r>
            <w:r w:rsidR="00F346DE">
              <w:rPr>
                <w:rFonts w:asciiTheme="minorHAnsi" w:eastAsiaTheme="minorEastAsia" w:hAnsiTheme="minorHAnsi" w:cstheme="minorBidi"/>
                <w:noProof/>
                <w:sz w:val="22"/>
                <w:szCs w:val="22"/>
                <w:lang w:eastAsia="en-GB"/>
              </w:rPr>
              <w:tab/>
            </w:r>
            <w:r w:rsidR="00F346DE">
              <w:rPr>
                <w:rStyle w:val="Hyperlink"/>
                <w:noProof/>
              </w:rPr>
              <w:t>Efficiency of European Joint Programmes</w:t>
            </w:r>
            <w:r w:rsidR="00F346DE">
              <w:rPr>
                <w:noProof/>
                <w:webHidden/>
              </w:rPr>
              <w:tab/>
            </w:r>
            <w:r w:rsidR="00F346DE">
              <w:rPr>
                <w:noProof/>
                <w:webHidden/>
              </w:rPr>
              <w:fldChar w:fldCharType="begin"/>
            </w:r>
            <w:r w:rsidR="00F346DE">
              <w:rPr>
                <w:noProof/>
                <w:webHidden/>
              </w:rPr>
              <w:instrText xml:space="preserve"> PAGEREF _Toc494899799 \h </w:instrText>
            </w:r>
            <w:r w:rsidR="00F346DE">
              <w:rPr>
                <w:noProof/>
                <w:webHidden/>
              </w:rPr>
            </w:r>
            <w:r w:rsidR="00F346DE">
              <w:rPr>
                <w:noProof/>
                <w:webHidden/>
              </w:rPr>
              <w:fldChar w:fldCharType="separate"/>
            </w:r>
            <w:r w:rsidR="00E13DD6">
              <w:rPr>
                <w:noProof/>
                <w:webHidden/>
              </w:rPr>
              <w:t>45</w:t>
            </w:r>
            <w:r w:rsidR="00F346DE">
              <w:rPr>
                <w:noProof/>
                <w:webHidden/>
              </w:rPr>
              <w:fldChar w:fldCharType="end"/>
            </w:r>
          </w:hyperlink>
        </w:p>
        <w:p w:rsidR="00EC06FD" w:rsidRDefault="00C162EC">
          <w:pPr>
            <w:pStyle w:val="TOC2"/>
            <w:tabs>
              <w:tab w:val="left" w:pos="1077"/>
            </w:tabs>
            <w:rPr>
              <w:rFonts w:asciiTheme="minorHAnsi" w:eastAsiaTheme="minorEastAsia" w:hAnsiTheme="minorHAnsi" w:cstheme="minorBidi"/>
              <w:noProof/>
              <w:sz w:val="22"/>
              <w:szCs w:val="22"/>
              <w:lang w:eastAsia="en-GB"/>
            </w:rPr>
          </w:pPr>
          <w:hyperlink w:anchor="_Toc494899800" w:history="1">
            <w:r w:rsidR="00F346DE">
              <w:rPr>
                <w:rStyle w:val="Hyperlink"/>
                <w:noProof/>
              </w:rPr>
              <w:t>8.2.</w:t>
            </w:r>
            <w:r w:rsidR="00F346DE">
              <w:rPr>
                <w:rFonts w:asciiTheme="minorHAnsi" w:eastAsiaTheme="minorEastAsia" w:hAnsiTheme="minorHAnsi" w:cstheme="minorBidi"/>
                <w:noProof/>
                <w:sz w:val="22"/>
                <w:szCs w:val="22"/>
                <w:lang w:eastAsia="en-GB"/>
              </w:rPr>
              <w:tab/>
            </w:r>
            <w:r w:rsidR="00F346DE">
              <w:rPr>
                <w:rStyle w:val="Hyperlink"/>
                <w:noProof/>
              </w:rPr>
              <w:t>Efficiency of the Euratom Programme management structures</w:t>
            </w:r>
            <w:r w:rsidR="00F346DE">
              <w:rPr>
                <w:noProof/>
                <w:webHidden/>
              </w:rPr>
              <w:tab/>
            </w:r>
            <w:r w:rsidR="00F346DE">
              <w:rPr>
                <w:noProof/>
                <w:webHidden/>
              </w:rPr>
              <w:fldChar w:fldCharType="begin"/>
            </w:r>
            <w:r w:rsidR="00F346DE">
              <w:rPr>
                <w:noProof/>
                <w:webHidden/>
              </w:rPr>
              <w:instrText xml:space="preserve"> PAGEREF _Toc494899800 \h </w:instrText>
            </w:r>
            <w:r w:rsidR="00F346DE">
              <w:rPr>
                <w:noProof/>
                <w:webHidden/>
              </w:rPr>
            </w:r>
            <w:r w:rsidR="00F346DE">
              <w:rPr>
                <w:noProof/>
                <w:webHidden/>
              </w:rPr>
              <w:fldChar w:fldCharType="separate"/>
            </w:r>
            <w:r w:rsidR="00E13DD6">
              <w:rPr>
                <w:noProof/>
                <w:webHidden/>
              </w:rPr>
              <w:t>47</w:t>
            </w:r>
            <w:r w:rsidR="00F346DE">
              <w:rPr>
                <w:noProof/>
                <w:webHidden/>
              </w:rPr>
              <w:fldChar w:fldCharType="end"/>
            </w:r>
          </w:hyperlink>
        </w:p>
        <w:p w:rsidR="00EC06FD" w:rsidRDefault="00C162EC">
          <w:pPr>
            <w:pStyle w:val="TOC3"/>
            <w:tabs>
              <w:tab w:val="left" w:pos="1916"/>
            </w:tabs>
            <w:rPr>
              <w:rFonts w:asciiTheme="minorHAnsi" w:eastAsiaTheme="minorEastAsia" w:hAnsiTheme="minorHAnsi" w:cstheme="minorBidi"/>
              <w:noProof/>
              <w:sz w:val="22"/>
              <w:szCs w:val="22"/>
              <w:lang w:eastAsia="en-GB"/>
            </w:rPr>
          </w:pPr>
          <w:hyperlink w:anchor="_Toc494899801" w:history="1">
            <w:r w:rsidR="00F346DE">
              <w:rPr>
                <w:rStyle w:val="Hyperlink"/>
                <w:noProof/>
              </w:rPr>
              <w:t>8.2.1.</w:t>
            </w:r>
            <w:r w:rsidR="00F346DE">
              <w:rPr>
                <w:rFonts w:asciiTheme="minorHAnsi" w:eastAsiaTheme="minorEastAsia" w:hAnsiTheme="minorHAnsi" w:cstheme="minorBidi"/>
                <w:noProof/>
                <w:sz w:val="22"/>
                <w:szCs w:val="22"/>
                <w:lang w:eastAsia="en-GB"/>
              </w:rPr>
              <w:tab/>
            </w:r>
            <w:r w:rsidR="00F346DE">
              <w:rPr>
                <w:rStyle w:val="Hyperlink"/>
                <w:noProof/>
              </w:rPr>
              <w:t>Administrative costs</w:t>
            </w:r>
            <w:r w:rsidR="00F346DE">
              <w:rPr>
                <w:noProof/>
                <w:webHidden/>
              </w:rPr>
              <w:tab/>
            </w:r>
            <w:r w:rsidR="00F346DE">
              <w:rPr>
                <w:noProof/>
                <w:webHidden/>
              </w:rPr>
              <w:fldChar w:fldCharType="begin"/>
            </w:r>
            <w:r w:rsidR="00F346DE">
              <w:rPr>
                <w:noProof/>
                <w:webHidden/>
              </w:rPr>
              <w:instrText xml:space="preserve"> PAGEREF _Toc494899801 \h </w:instrText>
            </w:r>
            <w:r w:rsidR="00F346DE">
              <w:rPr>
                <w:noProof/>
                <w:webHidden/>
              </w:rPr>
            </w:r>
            <w:r w:rsidR="00F346DE">
              <w:rPr>
                <w:noProof/>
                <w:webHidden/>
              </w:rPr>
              <w:fldChar w:fldCharType="separate"/>
            </w:r>
            <w:r w:rsidR="00E13DD6">
              <w:rPr>
                <w:noProof/>
                <w:webHidden/>
              </w:rPr>
              <w:t>47</w:t>
            </w:r>
            <w:r w:rsidR="00F346DE">
              <w:rPr>
                <w:noProof/>
                <w:webHidden/>
              </w:rPr>
              <w:fldChar w:fldCharType="end"/>
            </w:r>
          </w:hyperlink>
        </w:p>
        <w:p w:rsidR="00EC06FD" w:rsidRDefault="00C162EC">
          <w:pPr>
            <w:pStyle w:val="TOC3"/>
            <w:tabs>
              <w:tab w:val="left" w:pos="1916"/>
            </w:tabs>
            <w:rPr>
              <w:rFonts w:asciiTheme="minorHAnsi" w:eastAsiaTheme="minorEastAsia" w:hAnsiTheme="minorHAnsi" w:cstheme="minorBidi"/>
              <w:noProof/>
              <w:sz w:val="22"/>
              <w:szCs w:val="22"/>
              <w:lang w:eastAsia="en-GB"/>
            </w:rPr>
          </w:pPr>
          <w:hyperlink w:anchor="_Toc494899802" w:history="1">
            <w:r w:rsidR="00F346DE">
              <w:rPr>
                <w:rStyle w:val="Hyperlink"/>
                <w:noProof/>
              </w:rPr>
              <w:t>8.2.2.</w:t>
            </w:r>
            <w:r w:rsidR="00F346DE">
              <w:rPr>
                <w:rFonts w:asciiTheme="minorHAnsi" w:eastAsiaTheme="minorEastAsia" w:hAnsiTheme="minorHAnsi" w:cstheme="minorBidi"/>
                <w:noProof/>
                <w:sz w:val="22"/>
                <w:szCs w:val="22"/>
                <w:lang w:eastAsia="en-GB"/>
              </w:rPr>
              <w:tab/>
            </w:r>
            <w:r w:rsidR="00F346DE">
              <w:rPr>
                <w:rStyle w:val="Hyperlink"/>
                <w:noProof/>
              </w:rPr>
              <w:t>Management of application and evaluation process</w:t>
            </w:r>
            <w:r w:rsidR="00F346DE">
              <w:rPr>
                <w:noProof/>
                <w:webHidden/>
              </w:rPr>
              <w:tab/>
            </w:r>
            <w:r w:rsidR="00F346DE">
              <w:rPr>
                <w:noProof/>
                <w:webHidden/>
              </w:rPr>
              <w:fldChar w:fldCharType="begin"/>
            </w:r>
            <w:r w:rsidR="00F346DE">
              <w:rPr>
                <w:noProof/>
                <w:webHidden/>
              </w:rPr>
              <w:instrText xml:space="preserve"> PAGEREF _Toc494899802 \h </w:instrText>
            </w:r>
            <w:r w:rsidR="00F346DE">
              <w:rPr>
                <w:noProof/>
                <w:webHidden/>
              </w:rPr>
            </w:r>
            <w:r w:rsidR="00F346DE">
              <w:rPr>
                <w:noProof/>
                <w:webHidden/>
              </w:rPr>
              <w:fldChar w:fldCharType="separate"/>
            </w:r>
            <w:r w:rsidR="00E13DD6">
              <w:rPr>
                <w:noProof/>
                <w:webHidden/>
              </w:rPr>
              <w:t>47</w:t>
            </w:r>
            <w:r w:rsidR="00F346DE">
              <w:rPr>
                <w:noProof/>
                <w:webHidden/>
              </w:rPr>
              <w:fldChar w:fldCharType="end"/>
            </w:r>
          </w:hyperlink>
        </w:p>
        <w:p w:rsidR="00EC06FD" w:rsidRDefault="00C162EC">
          <w:pPr>
            <w:pStyle w:val="TOC3"/>
            <w:tabs>
              <w:tab w:val="left" w:pos="1916"/>
            </w:tabs>
            <w:rPr>
              <w:rFonts w:asciiTheme="minorHAnsi" w:eastAsiaTheme="minorEastAsia" w:hAnsiTheme="minorHAnsi" w:cstheme="minorBidi"/>
              <w:noProof/>
              <w:sz w:val="22"/>
              <w:szCs w:val="22"/>
              <w:lang w:eastAsia="en-GB"/>
            </w:rPr>
          </w:pPr>
          <w:hyperlink w:anchor="_Toc494899803" w:history="1">
            <w:r w:rsidR="00F346DE">
              <w:rPr>
                <w:rStyle w:val="Hyperlink"/>
                <w:noProof/>
              </w:rPr>
              <w:t>8.2.3.</w:t>
            </w:r>
            <w:r w:rsidR="00F346DE">
              <w:rPr>
                <w:rFonts w:asciiTheme="minorHAnsi" w:eastAsiaTheme="minorEastAsia" w:hAnsiTheme="minorHAnsi" w:cstheme="minorBidi"/>
                <w:noProof/>
                <w:sz w:val="22"/>
                <w:szCs w:val="22"/>
                <w:lang w:eastAsia="en-GB"/>
              </w:rPr>
              <w:tab/>
            </w:r>
            <w:r w:rsidR="00F346DE">
              <w:rPr>
                <w:rStyle w:val="Hyperlink"/>
                <w:noProof/>
              </w:rPr>
              <w:t>Ethics and ethics appraisal of proposals</w:t>
            </w:r>
            <w:r w:rsidR="00F346DE">
              <w:rPr>
                <w:noProof/>
                <w:webHidden/>
              </w:rPr>
              <w:tab/>
            </w:r>
            <w:r w:rsidR="00F346DE">
              <w:rPr>
                <w:noProof/>
                <w:webHidden/>
              </w:rPr>
              <w:fldChar w:fldCharType="begin"/>
            </w:r>
            <w:r w:rsidR="00F346DE">
              <w:rPr>
                <w:noProof/>
                <w:webHidden/>
              </w:rPr>
              <w:instrText xml:space="preserve"> PAGEREF _Toc494899803 \h </w:instrText>
            </w:r>
            <w:r w:rsidR="00F346DE">
              <w:rPr>
                <w:noProof/>
                <w:webHidden/>
              </w:rPr>
            </w:r>
            <w:r w:rsidR="00F346DE">
              <w:rPr>
                <w:noProof/>
                <w:webHidden/>
              </w:rPr>
              <w:fldChar w:fldCharType="separate"/>
            </w:r>
            <w:r w:rsidR="00E13DD6">
              <w:rPr>
                <w:noProof/>
                <w:webHidden/>
              </w:rPr>
              <w:t>48</w:t>
            </w:r>
            <w:r w:rsidR="00F346DE">
              <w:rPr>
                <w:noProof/>
                <w:webHidden/>
              </w:rPr>
              <w:fldChar w:fldCharType="end"/>
            </w:r>
          </w:hyperlink>
        </w:p>
        <w:p w:rsidR="00EC06FD" w:rsidRDefault="00C162EC">
          <w:pPr>
            <w:pStyle w:val="TOC3"/>
            <w:tabs>
              <w:tab w:val="left" w:pos="1916"/>
            </w:tabs>
            <w:rPr>
              <w:rFonts w:asciiTheme="minorHAnsi" w:eastAsiaTheme="minorEastAsia" w:hAnsiTheme="minorHAnsi" w:cstheme="minorBidi"/>
              <w:noProof/>
              <w:sz w:val="22"/>
              <w:szCs w:val="22"/>
              <w:lang w:eastAsia="en-GB"/>
            </w:rPr>
          </w:pPr>
          <w:hyperlink w:anchor="_Toc494899804" w:history="1">
            <w:r w:rsidR="00F346DE">
              <w:rPr>
                <w:rStyle w:val="Hyperlink"/>
                <w:noProof/>
              </w:rPr>
              <w:t>8.2.4.</w:t>
            </w:r>
            <w:r w:rsidR="00F346DE">
              <w:rPr>
                <w:rFonts w:asciiTheme="minorHAnsi" w:eastAsiaTheme="minorEastAsia" w:hAnsiTheme="minorHAnsi" w:cstheme="minorBidi"/>
                <w:noProof/>
                <w:sz w:val="22"/>
                <w:szCs w:val="22"/>
                <w:lang w:eastAsia="en-GB"/>
              </w:rPr>
              <w:tab/>
            </w:r>
            <w:r w:rsidR="00F346DE">
              <w:rPr>
                <w:rStyle w:val="Hyperlink"/>
                <w:noProof/>
              </w:rPr>
              <w:t>Euratom Programme simplification</w:t>
            </w:r>
            <w:r w:rsidR="00F346DE">
              <w:rPr>
                <w:noProof/>
                <w:webHidden/>
              </w:rPr>
              <w:tab/>
            </w:r>
            <w:r w:rsidR="00F346DE">
              <w:rPr>
                <w:noProof/>
                <w:webHidden/>
              </w:rPr>
              <w:fldChar w:fldCharType="begin"/>
            </w:r>
            <w:r w:rsidR="00F346DE">
              <w:rPr>
                <w:noProof/>
                <w:webHidden/>
              </w:rPr>
              <w:instrText xml:space="preserve"> PAGEREF _Toc494899804 \h </w:instrText>
            </w:r>
            <w:r w:rsidR="00F346DE">
              <w:rPr>
                <w:noProof/>
                <w:webHidden/>
              </w:rPr>
            </w:r>
            <w:r w:rsidR="00F346DE">
              <w:rPr>
                <w:noProof/>
                <w:webHidden/>
              </w:rPr>
              <w:fldChar w:fldCharType="separate"/>
            </w:r>
            <w:r w:rsidR="00E13DD6">
              <w:rPr>
                <w:noProof/>
                <w:webHidden/>
              </w:rPr>
              <w:t>49</w:t>
            </w:r>
            <w:r w:rsidR="00F346DE">
              <w:rPr>
                <w:noProof/>
                <w:webHidden/>
              </w:rPr>
              <w:fldChar w:fldCharType="end"/>
            </w:r>
          </w:hyperlink>
        </w:p>
        <w:p w:rsidR="00EC06FD" w:rsidRDefault="00C162EC">
          <w:pPr>
            <w:pStyle w:val="TOC2"/>
            <w:tabs>
              <w:tab w:val="left" w:pos="1077"/>
            </w:tabs>
            <w:rPr>
              <w:rFonts w:asciiTheme="minorHAnsi" w:eastAsiaTheme="minorEastAsia" w:hAnsiTheme="minorHAnsi" w:cstheme="minorBidi"/>
              <w:noProof/>
              <w:sz w:val="22"/>
              <w:szCs w:val="22"/>
              <w:lang w:eastAsia="en-GB"/>
            </w:rPr>
          </w:pPr>
          <w:hyperlink w:anchor="_Toc494899805" w:history="1">
            <w:r w:rsidR="00F346DE">
              <w:rPr>
                <w:rStyle w:val="Hyperlink"/>
                <w:rFonts w:eastAsia="Calibri"/>
                <w:noProof/>
              </w:rPr>
              <w:t>8.3.</w:t>
            </w:r>
            <w:r w:rsidR="00F346DE">
              <w:rPr>
                <w:rFonts w:asciiTheme="minorHAnsi" w:eastAsiaTheme="minorEastAsia" w:hAnsiTheme="minorHAnsi" w:cstheme="minorBidi"/>
                <w:noProof/>
                <w:sz w:val="22"/>
                <w:szCs w:val="22"/>
                <w:lang w:eastAsia="en-GB"/>
              </w:rPr>
              <w:tab/>
            </w:r>
            <w:r w:rsidR="00F346DE">
              <w:rPr>
                <w:rStyle w:val="Hyperlink"/>
                <w:rFonts w:eastAsia="Calibri"/>
                <w:noProof/>
              </w:rPr>
              <w:t>How efficient are the communication and application processes?</w:t>
            </w:r>
            <w:r w:rsidR="00F346DE">
              <w:rPr>
                <w:noProof/>
                <w:webHidden/>
              </w:rPr>
              <w:tab/>
            </w:r>
            <w:r w:rsidR="00F346DE">
              <w:rPr>
                <w:noProof/>
                <w:webHidden/>
              </w:rPr>
              <w:fldChar w:fldCharType="begin"/>
            </w:r>
            <w:r w:rsidR="00F346DE">
              <w:rPr>
                <w:noProof/>
                <w:webHidden/>
              </w:rPr>
              <w:instrText xml:space="preserve"> PAGEREF _Toc494899805 \h </w:instrText>
            </w:r>
            <w:r w:rsidR="00F346DE">
              <w:rPr>
                <w:noProof/>
                <w:webHidden/>
              </w:rPr>
            </w:r>
            <w:r w:rsidR="00F346DE">
              <w:rPr>
                <w:noProof/>
                <w:webHidden/>
              </w:rPr>
              <w:fldChar w:fldCharType="separate"/>
            </w:r>
            <w:r w:rsidR="00E13DD6">
              <w:rPr>
                <w:noProof/>
                <w:webHidden/>
              </w:rPr>
              <w:t>50</w:t>
            </w:r>
            <w:r w:rsidR="00F346DE">
              <w:rPr>
                <w:noProof/>
                <w:webHidden/>
              </w:rPr>
              <w:fldChar w:fldCharType="end"/>
            </w:r>
          </w:hyperlink>
        </w:p>
        <w:p w:rsidR="00EC06FD" w:rsidRDefault="00C162EC">
          <w:pPr>
            <w:pStyle w:val="TOC2"/>
            <w:tabs>
              <w:tab w:val="left" w:pos="1077"/>
            </w:tabs>
            <w:rPr>
              <w:rFonts w:asciiTheme="minorHAnsi" w:eastAsiaTheme="minorEastAsia" w:hAnsiTheme="minorHAnsi" w:cstheme="minorBidi"/>
              <w:noProof/>
              <w:sz w:val="22"/>
              <w:szCs w:val="22"/>
              <w:lang w:eastAsia="en-GB"/>
            </w:rPr>
          </w:pPr>
          <w:hyperlink w:anchor="_Toc494899806" w:history="1">
            <w:r w:rsidR="00F346DE">
              <w:rPr>
                <w:rStyle w:val="Hyperlink"/>
                <w:noProof/>
              </w:rPr>
              <w:t>8.4.</w:t>
            </w:r>
            <w:r w:rsidR="00F346DE">
              <w:rPr>
                <w:rFonts w:asciiTheme="minorHAnsi" w:eastAsiaTheme="minorEastAsia" w:hAnsiTheme="minorHAnsi" w:cstheme="minorBidi"/>
                <w:noProof/>
                <w:sz w:val="22"/>
                <w:szCs w:val="22"/>
                <w:lang w:eastAsia="en-GB"/>
              </w:rPr>
              <w:tab/>
            </w:r>
            <w:r w:rsidR="00F346DE">
              <w:rPr>
                <w:rStyle w:val="Hyperlink"/>
                <w:noProof/>
              </w:rPr>
              <w:t>How efficient is the distribution of funding?</w:t>
            </w:r>
            <w:r w:rsidR="00F346DE">
              <w:rPr>
                <w:noProof/>
                <w:webHidden/>
              </w:rPr>
              <w:tab/>
            </w:r>
            <w:r w:rsidR="00F346DE">
              <w:rPr>
                <w:noProof/>
                <w:webHidden/>
              </w:rPr>
              <w:fldChar w:fldCharType="begin"/>
            </w:r>
            <w:r w:rsidR="00F346DE">
              <w:rPr>
                <w:noProof/>
                <w:webHidden/>
              </w:rPr>
              <w:instrText xml:space="preserve"> PAGEREF _Toc494899806 \h </w:instrText>
            </w:r>
            <w:r w:rsidR="00F346DE">
              <w:rPr>
                <w:noProof/>
                <w:webHidden/>
              </w:rPr>
            </w:r>
            <w:r w:rsidR="00F346DE">
              <w:rPr>
                <w:noProof/>
                <w:webHidden/>
              </w:rPr>
              <w:fldChar w:fldCharType="separate"/>
            </w:r>
            <w:r w:rsidR="00E13DD6">
              <w:rPr>
                <w:noProof/>
                <w:webHidden/>
              </w:rPr>
              <w:t>51</w:t>
            </w:r>
            <w:r w:rsidR="00F346DE">
              <w:rPr>
                <w:noProof/>
                <w:webHidden/>
              </w:rPr>
              <w:fldChar w:fldCharType="end"/>
            </w:r>
          </w:hyperlink>
        </w:p>
        <w:p w:rsidR="00EC06FD" w:rsidRDefault="00C162EC">
          <w:pPr>
            <w:pStyle w:val="TOC3"/>
            <w:tabs>
              <w:tab w:val="left" w:pos="1916"/>
            </w:tabs>
            <w:rPr>
              <w:rFonts w:asciiTheme="minorHAnsi" w:eastAsiaTheme="minorEastAsia" w:hAnsiTheme="minorHAnsi" w:cstheme="minorBidi"/>
              <w:noProof/>
              <w:sz w:val="22"/>
              <w:szCs w:val="22"/>
              <w:lang w:eastAsia="en-GB"/>
            </w:rPr>
          </w:pPr>
          <w:hyperlink w:anchor="_Toc494899807" w:history="1">
            <w:r w:rsidR="00F346DE">
              <w:rPr>
                <w:rStyle w:val="Hyperlink"/>
                <w:noProof/>
              </w:rPr>
              <w:t>8.4.1.</w:t>
            </w:r>
            <w:r w:rsidR="00F346DE">
              <w:rPr>
                <w:rFonts w:asciiTheme="minorHAnsi" w:eastAsiaTheme="minorEastAsia" w:hAnsiTheme="minorHAnsi" w:cstheme="minorBidi"/>
                <w:noProof/>
                <w:sz w:val="22"/>
                <w:szCs w:val="22"/>
                <w:lang w:eastAsia="en-GB"/>
              </w:rPr>
              <w:tab/>
            </w:r>
            <w:r w:rsidR="00F346DE">
              <w:rPr>
                <w:rStyle w:val="Hyperlink"/>
                <w:noProof/>
              </w:rPr>
              <w:t>Success rates</w:t>
            </w:r>
            <w:r w:rsidR="00F346DE">
              <w:rPr>
                <w:noProof/>
                <w:webHidden/>
              </w:rPr>
              <w:tab/>
            </w:r>
            <w:r w:rsidR="00F346DE">
              <w:rPr>
                <w:noProof/>
                <w:webHidden/>
              </w:rPr>
              <w:fldChar w:fldCharType="begin"/>
            </w:r>
            <w:r w:rsidR="00F346DE">
              <w:rPr>
                <w:noProof/>
                <w:webHidden/>
              </w:rPr>
              <w:instrText xml:space="preserve"> PAGEREF _Toc494899807 \h </w:instrText>
            </w:r>
            <w:r w:rsidR="00F346DE">
              <w:rPr>
                <w:noProof/>
                <w:webHidden/>
              </w:rPr>
            </w:r>
            <w:r w:rsidR="00F346DE">
              <w:rPr>
                <w:noProof/>
                <w:webHidden/>
              </w:rPr>
              <w:fldChar w:fldCharType="separate"/>
            </w:r>
            <w:r w:rsidR="00E13DD6">
              <w:rPr>
                <w:noProof/>
                <w:webHidden/>
              </w:rPr>
              <w:t>51</w:t>
            </w:r>
            <w:r w:rsidR="00F346DE">
              <w:rPr>
                <w:noProof/>
                <w:webHidden/>
              </w:rPr>
              <w:fldChar w:fldCharType="end"/>
            </w:r>
          </w:hyperlink>
        </w:p>
        <w:p w:rsidR="00EC06FD" w:rsidRDefault="00C162EC">
          <w:pPr>
            <w:pStyle w:val="TOC3"/>
            <w:tabs>
              <w:tab w:val="left" w:pos="1916"/>
            </w:tabs>
            <w:rPr>
              <w:rFonts w:asciiTheme="minorHAnsi" w:eastAsiaTheme="minorEastAsia" w:hAnsiTheme="minorHAnsi" w:cstheme="minorBidi"/>
              <w:noProof/>
              <w:sz w:val="22"/>
              <w:szCs w:val="22"/>
              <w:lang w:eastAsia="en-GB"/>
            </w:rPr>
          </w:pPr>
          <w:hyperlink w:anchor="_Toc494899808" w:history="1">
            <w:r w:rsidR="00F346DE">
              <w:rPr>
                <w:rStyle w:val="Hyperlink"/>
                <w:noProof/>
              </w:rPr>
              <w:t>8.4.2.</w:t>
            </w:r>
            <w:r w:rsidR="00F346DE">
              <w:rPr>
                <w:rFonts w:asciiTheme="minorHAnsi" w:eastAsiaTheme="minorEastAsia" w:hAnsiTheme="minorHAnsi" w:cstheme="minorBidi"/>
                <w:noProof/>
                <w:sz w:val="22"/>
                <w:szCs w:val="22"/>
                <w:lang w:eastAsia="en-GB"/>
              </w:rPr>
              <w:tab/>
            </w:r>
            <w:r w:rsidR="00F346DE">
              <w:rPr>
                <w:rStyle w:val="Hyperlink"/>
                <w:noProof/>
              </w:rPr>
              <w:t>Distribution of funding</w:t>
            </w:r>
            <w:r w:rsidR="00F346DE">
              <w:rPr>
                <w:noProof/>
                <w:webHidden/>
              </w:rPr>
              <w:tab/>
            </w:r>
            <w:r w:rsidR="00F346DE">
              <w:rPr>
                <w:noProof/>
                <w:webHidden/>
              </w:rPr>
              <w:fldChar w:fldCharType="begin"/>
            </w:r>
            <w:r w:rsidR="00F346DE">
              <w:rPr>
                <w:noProof/>
                <w:webHidden/>
              </w:rPr>
              <w:instrText xml:space="preserve"> PAGEREF _Toc494899808 \h </w:instrText>
            </w:r>
            <w:r w:rsidR="00F346DE">
              <w:rPr>
                <w:noProof/>
                <w:webHidden/>
              </w:rPr>
            </w:r>
            <w:r w:rsidR="00F346DE">
              <w:rPr>
                <w:noProof/>
                <w:webHidden/>
              </w:rPr>
              <w:fldChar w:fldCharType="separate"/>
            </w:r>
            <w:r w:rsidR="00E13DD6">
              <w:rPr>
                <w:noProof/>
                <w:webHidden/>
              </w:rPr>
              <w:t>52</w:t>
            </w:r>
            <w:r w:rsidR="00F346DE">
              <w:rPr>
                <w:noProof/>
                <w:webHidden/>
              </w:rPr>
              <w:fldChar w:fldCharType="end"/>
            </w:r>
          </w:hyperlink>
        </w:p>
        <w:p w:rsidR="00EC06FD" w:rsidRDefault="00C162EC">
          <w:pPr>
            <w:pStyle w:val="TOC1"/>
            <w:rPr>
              <w:rFonts w:asciiTheme="minorHAnsi" w:eastAsiaTheme="minorEastAsia" w:hAnsiTheme="minorHAnsi" w:cstheme="minorBidi"/>
              <w:caps w:val="0"/>
              <w:noProof/>
              <w:sz w:val="22"/>
              <w:szCs w:val="22"/>
              <w:lang w:eastAsia="en-GB"/>
            </w:rPr>
          </w:pPr>
          <w:hyperlink w:anchor="_Toc494899809" w:history="1">
            <w:r w:rsidR="00F346DE">
              <w:rPr>
                <w:rStyle w:val="Hyperlink"/>
                <w:noProof/>
              </w:rPr>
              <w:t>9.</w:t>
            </w:r>
            <w:r w:rsidR="00F346DE">
              <w:rPr>
                <w:rFonts w:asciiTheme="minorHAnsi" w:eastAsiaTheme="minorEastAsia" w:hAnsiTheme="minorHAnsi" w:cstheme="minorBidi"/>
                <w:caps w:val="0"/>
                <w:noProof/>
                <w:sz w:val="22"/>
                <w:szCs w:val="22"/>
                <w:lang w:eastAsia="en-GB"/>
              </w:rPr>
              <w:tab/>
            </w:r>
            <w:r w:rsidR="00F346DE">
              <w:rPr>
                <w:rStyle w:val="Hyperlink"/>
                <w:noProof/>
              </w:rPr>
              <w:t>COMPLEMENTARITY AND COHERENCE OF THE EURATOM PROGRAMME</w:t>
            </w:r>
            <w:r w:rsidR="00F346DE">
              <w:rPr>
                <w:noProof/>
                <w:webHidden/>
              </w:rPr>
              <w:tab/>
            </w:r>
            <w:r w:rsidR="00F346DE">
              <w:rPr>
                <w:noProof/>
                <w:webHidden/>
              </w:rPr>
              <w:fldChar w:fldCharType="begin"/>
            </w:r>
            <w:r w:rsidR="00F346DE">
              <w:rPr>
                <w:noProof/>
                <w:webHidden/>
              </w:rPr>
              <w:instrText xml:space="preserve"> PAGEREF _Toc494899809 \h </w:instrText>
            </w:r>
            <w:r w:rsidR="00F346DE">
              <w:rPr>
                <w:noProof/>
                <w:webHidden/>
              </w:rPr>
            </w:r>
            <w:r w:rsidR="00F346DE">
              <w:rPr>
                <w:noProof/>
                <w:webHidden/>
              </w:rPr>
              <w:fldChar w:fldCharType="separate"/>
            </w:r>
            <w:r w:rsidR="00E13DD6">
              <w:rPr>
                <w:noProof/>
                <w:webHidden/>
              </w:rPr>
              <w:t>54</w:t>
            </w:r>
            <w:r w:rsidR="00F346DE">
              <w:rPr>
                <w:noProof/>
                <w:webHidden/>
              </w:rPr>
              <w:fldChar w:fldCharType="end"/>
            </w:r>
          </w:hyperlink>
        </w:p>
        <w:p w:rsidR="00EC06FD" w:rsidRDefault="00C162EC">
          <w:pPr>
            <w:pStyle w:val="TOC2"/>
            <w:tabs>
              <w:tab w:val="left" w:pos="1077"/>
            </w:tabs>
            <w:rPr>
              <w:rFonts w:asciiTheme="minorHAnsi" w:eastAsiaTheme="minorEastAsia" w:hAnsiTheme="minorHAnsi" w:cstheme="minorBidi"/>
              <w:noProof/>
              <w:sz w:val="22"/>
              <w:szCs w:val="22"/>
              <w:lang w:eastAsia="en-GB"/>
            </w:rPr>
          </w:pPr>
          <w:hyperlink w:anchor="_Toc494899810" w:history="1">
            <w:r w:rsidR="00F346DE">
              <w:rPr>
                <w:rStyle w:val="Hyperlink"/>
                <w:noProof/>
              </w:rPr>
              <w:t>9.1.</w:t>
            </w:r>
            <w:r w:rsidR="00F346DE">
              <w:rPr>
                <w:rFonts w:asciiTheme="minorHAnsi" w:eastAsiaTheme="minorEastAsia" w:hAnsiTheme="minorHAnsi" w:cstheme="minorBidi"/>
                <w:noProof/>
                <w:sz w:val="22"/>
                <w:szCs w:val="22"/>
                <w:lang w:eastAsia="en-GB"/>
              </w:rPr>
              <w:tab/>
            </w:r>
            <w:r w:rsidR="00F346DE">
              <w:rPr>
                <w:rStyle w:val="Hyperlink"/>
                <w:noProof/>
              </w:rPr>
              <w:t>Complementarity of the Euratom programme with national (public and private) research priorities and activities</w:t>
            </w:r>
            <w:r w:rsidR="00F346DE">
              <w:rPr>
                <w:noProof/>
                <w:webHidden/>
              </w:rPr>
              <w:tab/>
            </w:r>
            <w:r w:rsidR="00F346DE">
              <w:rPr>
                <w:noProof/>
                <w:webHidden/>
              </w:rPr>
              <w:fldChar w:fldCharType="begin"/>
            </w:r>
            <w:r w:rsidR="00F346DE">
              <w:rPr>
                <w:noProof/>
                <w:webHidden/>
              </w:rPr>
              <w:instrText xml:space="preserve"> PAGEREF _Toc494899810 \h </w:instrText>
            </w:r>
            <w:r w:rsidR="00F346DE">
              <w:rPr>
                <w:noProof/>
                <w:webHidden/>
              </w:rPr>
            </w:r>
            <w:r w:rsidR="00F346DE">
              <w:rPr>
                <w:noProof/>
                <w:webHidden/>
              </w:rPr>
              <w:fldChar w:fldCharType="separate"/>
            </w:r>
            <w:r w:rsidR="00E13DD6">
              <w:rPr>
                <w:noProof/>
                <w:webHidden/>
              </w:rPr>
              <w:t>54</w:t>
            </w:r>
            <w:r w:rsidR="00F346DE">
              <w:rPr>
                <w:noProof/>
                <w:webHidden/>
              </w:rPr>
              <w:fldChar w:fldCharType="end"/>
            </w:r>
          </w:hyperlink>
        </w:p>
        <w:p w:rsidR="00EC06FD" w:rsidRDefault="00C162EC">
          <w:pPr>
            <w:pStyle w:val="TOC2"/>
            <w:tabs>
              <w:tab w:val="left" w:pos="1077"/>
            </w:tabs>
            <w:rPr>
              <w:rFonts w:asciiTheme="minorHAnsi" w:eastAsiaTheme="minorEastAsia" w:hAnsiTheme="minorHAnsi" w:cstheme="minorBidi"/>
              <w:noProof/>
              <w:sz w:val="22"/>
              <w:szCs w:val="22"/>
              <w:lang w:eastAsia="en-GB"/>
            </w:rPr>
          </w:pPr>
          <w:hyperlink w:anchor="_Toc494899811" w:history="1">
            <w:r w:rsidR="00F346DE">
              <w:rPr>
                <w:rStyle w:val="Hyperlink"/>
                <w:noProof/>
              </w:rPr>
              <w:t>9.2.</w:t>
            </w:r>
            <w:r w:rsidR="00F346DE">
              <w:rPr>
                <w:rFonts w:asciiTheme="minorHAnsi" w:eastAsiaTheme="minorEastAsia" w:hAnsiTheme="minorHAnsi" w:cstheme="minorBidi"/>
                <w:noProof/>
                <w:sz w:val="22"/>
                <w:szCs w:val="22"/>
                <w:lang w:eastAsia="en-GB"/>
              </w:rPr>
              <w:tab/>
            </w:r>
            <w:r w:rsidR="00F346DE">
              <w:rPr>
                <w:rStyle w:val="Hyperlink"/>
                <w:noProof/>
              </w:rPr>
              <w:t>External and internal coherence of the Euratom programme</w:t>
            </w:r>
            <w:r w:rsidR="00F346DE">
              <w:rPr>
                <w:noProof/>
                <w:webHidden/>
              </w:rPr>
              <w:tab/>
            </w:r>
            <w:r w:rsidR="00F346DE">
              <w:rPr>
                <w:noProof/>
                <w:webHidden/>
              </w:rPr>
              <w:fldChar w:fldCharType="begin"/>
            </w:r>
            <w:r w:rsidR="00F346DE">
              <w:rPr>
                <w:noProof/>
                <w:webHidden/>
              </w:rPr>
              <w:instrText xml:space="preserve"> PAGEREF _Toc494899811 \h </w:instrText>
            </w:r>
            <w:r w:rsidR="00F346DE">
              <w:rPr>
                <w:noProof/>
                <w:webHidden/>
              </w:rPr>
            </w:r>
            <w:r w:rsidR="00F346DE">
              <w:rPr>
                <w:noProof/>
                <w:webHidden/>
              </w:rPr>
              <w:fldChar w:fldCharType="separate"/>
            </w:r>
            <w:r w:rsidR="00E13DD6">
              <w:rPr>
                <w:noProof/>
                <w:webHidden/>
              </w:rPr>
              <w:t>55</w:t>
            </w:r>
            <w:r w:rsidR="00F346DE">
              <w:rPr>
                <w:noProof/>
                <w:webHidden/>
              </w:rPr>
              <w:fldChar w:fldCharType="end"/>
            </w:r>
          </w:hyperlink>
        </w:p>
        <w:p w:rsidR="00EC06FD" w:rsidRDefault="00C162EC">
          <w:pPr>
            <w:pStyle w:val="TOC1"/>
            <w:rPr>
              <w:rFonts w:asciiTheme="minorHAnsi" w:eastAsiaTheme="minorEastAsia" w:hAnsiTheme="minorHAnsi" w:cstheme="minorBidi"/>
              <w:caps w:val="0"/>
              <w:noProof/>
              <w:sz w:val="22"/>
              <w:szCs w:val="22"/>
              <w:lang w:eastAsia="en-GB"/>
            </w:rPr>
          </w:pPr>
          <w:hyperlink w:anchor="_Toc494899812" w:history="1">
            <w:r w:rsidR="00F346DE">
              <w:rPr>
                <w:rStyle w:val="Hyperlink"/>
                <w:noProof/>
              </w:rPr>
              <w:t>10.</w:t>
            </w:r>
            <w:r w:rsidR="00F346DE">
              <w:rPr>
                <w:rFonts w:asciiTheme="minorHAnsi" w:eastAsiaTheme="minorEastAsia" w:hAnsiTheme="minorHAnsi" w:cstheme="minorBidi"/>
                <w:caps w:val="0"/>
                <w:noProof/>
                <w:sz w:val="22"/>
                <w:szCs w:val="22"/>
                <w:lang w:eastAsia="en-GB"/>
              </w:rPr>
              <w:tab/>
            </w:r>
            <w:r w:rsidR="00F346DE">
              <w:rPr>
                <w:rStyle w:val="Hyperlink"/>
                <w:noProof/>
              </w:rPr>
              <w:t>EU ADDED VALUE OF THE EURATOM PROGRAMME</w:t>
            </w:r>
            <w:r w:rsidR="00F346DE">
              <w:rPr>
                <w:noProof/>
                <w:webHidden/>
              </w:rPr>
              <w:tab/>
            </w:r>
            <w:r w:rsidR="00F346DE">
              <w:rPr>
                <w:noProof/>
                <w:webHidden/>
              </w:rPr>
              <w:fldChar w:fldCharType="begin"/>
            </w:r>
            <w:r w:rsidR="00F346DE">
              <w:rPr>
                <w:noProof/>
                <w:webHidden/>
              </w:rPr>
              <w:instrText xml:space="preserve"> PAGEREF _Toc494899812 \h </w:instrText>
            </w:r>
            <w:r w:rsidR="00F346DE">
              <w:rPr>
                <w:noProof/>
                <w:webHidden/>
              </w:rPr>
            </w:r>
            <w:r w:rsidR="00F346DE">
              <w:rPr>
                <w:noProof/>
                <w:webHidden/>
              </w:rPr>
              <w:fldChar w:fldCharType="separate"/>
            </w:r>
            <w:r w:rsidR="00E13DD6">
              <w:rPr>
                <w:noProof/>
                <w:webHidden/>
              </w:rPr>
              <w:t>55</w:t>
            </w:r>
            <w:r w:rsidR="00F346DE">
              <w:rPr>
                <w:noProof/>
                <w:webHidden/>
              </w:rPr>
              <w:fldChar w:fldCharType="end"/>
            </w:r>
          </w:hyperlink>
        </w:p>
        <w:p w:rsidR="00EC06FD" w:rsidRDefault="00C162EC">
          <w:pPr>
            <w:pStyle w:val="TOC1"/>
            <w:rPr>
              <w:rFonts w:asciiTheme="minorHAnsi" w:eastAsiaTheme="minorEastAsia" w:hAnsiTheme="minorHAnsi" w:cstheme="minorBidi"/>
              <w:caps w:val="0"/>
              <w:noProof/>
              <w:sz w:val="22"/>
              <w:szCs w:val="22"/>
              <w:lang w:eastAsia="en-GB"/>
            </w:rPr>
          </w:pPr>
          <w:hyperlink w:anchor="_Toc494899813" w:history="1">
            <w:r w:rsidR="00F346DE">
              <w:rPr>
                <w:rStyle w:val="Hyperlink"/>
                <w:noProof/>
              </w:rPr>
              <w:t>11.</w:t>
            </w:r>
            <w:r w:rsidR="00F346DE">
              <w:rPr>
                <w:rFonts w:asciiTheme="minorHAnsi" w:eastAsiaTheme="minorEastAsia" w:hAnsiTheme="minorHAnsi" w:cstheme="minorBidi"/>
                <w:caps w:val="0"/>
                <w:noProof/>
                <w:sz w:val="22"/>
                <w:szCs w:val="22"/>
                <w:lang w:eastAsia="en-GB"/>
              </w:rPr>
              <w:tab/>
            </w:r>
            <w:r w:rsidR="00F346DE">
              <w:rPr>
                <w:rStyle w:val="Hyperlink"/>
                <w:noProof/>
              </w:rPr>
              <w:t>CONCLUSIONS</w:t>
            </w:r>
            <w:r w:rsidR="00F346DE">
              <w:rPr>
                <w:noProof/>
                <w:webHidden/>
              </w:rPr>
              <w:tab/>
            </w:r>
            <w:r w:rsidR="00F346DE">
              <w:rPr>
                <w:noProof/>
                <w:webHidden/>
              </w:rPr>
              <w:fldChar w:fldCharType="begin"/>
            </w:r>
            <w:r w:rsidR="00F346DE">
              <w:rPr>
                <w:noProof/>
                <w:webHidden/>
              </w:rPr>
              <w:instrText xml:space="preserve"> PAGEREF _Toc494899813 \h </w:instrText>
            </w:r>
            <w:r w:rsidR="00F346DE">
              <w:rPr>
                <w:noProof/>
                <w:webHidden/>
              </w:rPr>
            </w:r>
            <w:r w:rsidR="00F346DE">
              <w:rPr>
                <w:noProof/>
                <w:webHidden/>
              </w:rPr>
              <w:fldChar w:fldCharType="separate"/>
            </w:r>
            <w:r w:rsidR="00E13DD6">
              <w:rPr>
                <w:noProof/>
                <w:webHidden/>
              </w:rPr>
              <w:t>58</w:t>
            </w:r>
            <w:r w:rsidR="00F346DE">
              <w:rPr>
                <w:noProof/>
                <w:webHidden/>
              </w:rPr>
              <w:fldChar w:fldCharType="end"/>
            </w:r>
          </w:hyperlink>
        </w:p>
        <w:p w:rsidR="00EC06FD" w:rsidRDefault="00C162EC">
          <w:pPr>
            <w:pStyle w:val="TOC1"/>
            <w:rPr>
              <w:rFonts w:asciiTheme="minorHAnsi" w:eastAsiaTheme="minorEastAsia" w:hAnsiTheme="minorHAnsi" w:cstheme="minorBidi"/>
              <w:caps w:val="0"/>
              <w:noProof/>
              <w:sz w:val="22"/>
              <w:szCs w:val="22"/>
              <w:lang w:eastAsia="en-GB"/>
            </w:rPr>
          </w:pPr>
          <w:hyperlink w:anchor="_Toc494899814" w:history="1">
            <w:r w:rsidR="00F346DE">
              <w:rPr>
                <w:rStyle w:val="Hyperlink"/>
                <w:noProof/>
              </w:rPr>
              <w:t>Annex 1: Procedural information concerning the process to prepare the interim evaluation of indirect actions of the Euratom research and training programme 2014-2018.</w:t>
            </w:r>
            <w:r w:rsidR="00F346DE">
              <w:rPr>
                <w:noProof/>
                <w:webHidden/>
              </w:rPr>
              <w:tab/>
            </w:r>
            <w:r w:rsidR="00F346DE">
              <w:rPr>
                <w:noProof/>
                <w:webHidden/>
              </w:rPr>
              <w:fldChar w:fldCharType="begin"/>
            </w:r>
            <w:r w:rsidR="00F346DE">
              <w:rPr>
                <w:noProof/>
                <w:webHidden/>
              </w:rPr>
              <w:instrText xml:space="preserve"> PAGEREF _Toc494899814 \h </w:instrText>
            </w:r>
            <w:r w:rsidR="00F346DE">
              <w:rPr>
                <w:noProof/>
                <w:webHidden/>
              </w:rPr>
            </w:r>
            <w:r w:rsidR="00F346DE">
              <w:rPr>
                <w:noProof/>
                <w:webHidden/>
              </w:rPr>
              <w:fldChar w:fldCharType="separate"/>
            </w:r>
            <w:r w:rsidR="00E13DD6">
              <w:rPr>
                <w:noProof/>
                <w:webHidden/>
              </w:rPr>
              <w:t>59</w:t>
            </w:r>
            <w:r w:rsidR="00F346DE">
              <w:rPr>
                <w:noProof/>
                <w:webHidden/>
              </w:rPr>
              <w:fldChar w:fldCharType="end"/>
            </w:r>
          </w:hyperlink>
        </w:p>
        <w:p w:rsidR="00EC06FD" w:rsidRDefault="00C162EC">
          <w:pPr>
            <w:pStyle w:val="TOC1"/>
            <w:rPr>
              <w:rFonts w:asciiTheme="minorHAnsi" w:eastAsiaTheme="minorEastAsia" w:hAnsiTheme="minorHAnsi" w:cstheme="minorBidi"/>
              <w:caps w:val="0"/>
              <w:noProof/>
              <w:sz w:val="22"/>
              <w:szCs w:val="22"/>
              <w:lang w:eastAsia="en-GB"/>
            </w:rPr>
          </w:pPr>
          <w:hyperlink w:anchor="_Toc494899815" w:history="1">
            <w:r w:rsidR="00F346DE">
              <w:rPr>
                <w:rStyle w:val="Hyperlink"/>
                <w:noProof/>
              </w:rPr>
              <w:t>Annex 2: Stakeholder consultation</w:t>
            </w:r>
            <w:r w:rsidR="00F346DE">
              <w:rPr>
                <w:noProof/>
                <w:webHidden/>
              </w:rPr>
              <w:tab/>
            </w:r>
            <w:r w:rsidR="00F346DE">
              <w:rPr>
                <w:noProof/>
                <w:webHidden/>
              </w:rPr>
              <w:fldChar w:fldCharType="begin"/>
            </w:r>
            <w:r w:rsidR="00F346DE">
              <w:rPr>
                <w:noProof/>
                <w:webHidden/>
              </w:rPr>
              <w:instrText xml:space="preserve"> PAGEREF _Toc494899815 \h </w:instrText>
            </w:r>
            <w:r w:rsidR="00F346DE">
              <w:rPr>
                <w:noProof/>
                <w:webHidden/>
              </w:rPr>
            </w:r>
            <w:r w:rsidR="00F346DE">
              <w:rPr>
                <w:noProof/>
                <w:webHidden/>
              </w:rPr>
              <w:fldChar w:fldCharType="separate"/>
            </w:r>
            <w:r w:rsidR="00E13DD6">
              <w:rPr>
                <w:noProof/>
                <w:webHidden/>
              </w:rPr>
              <w:t>60</w:t>
            </w:r>
            <w:r w:rsidR="00F346DE">
              <w:rPr>
                <w:noProof/>
                <w:webHidden/>
              </w:rPr>
              <w:fldChar w:fldCharType="end"/>
            </w:r>
          </w:hyperlink>
        </w:p>
        <w:p w:rsidR="00EC06FD" w:rsidRDefault="00C162EC">
          <w:pPr>
            <w:pStyle w:val="TOC1"/>
            <w:rPr>
              <w:rFonts w:asciiTheme="minorHAnsi" w:eastAsiaTheme="minorEastAsia" w:hAnsiTheme="minorHAnsi" w:cstheme="minorBidi"/>
              <w:caps w:val="0"/>
              <w:noProof/>
              <w:sz w:val="22"/>
              <w:szCs w:val="22"/>
              <w:lang w:eastAsia="en-GB"/>
            </w:rPr>
          </w:pPr>
          <w:hyperlink w:anchor="_Toc494899816" w:history="1">
            <w:r w:rsidR="00F346DE">
              <w:rPr>
                <w:rStyle w:val="Hyperlink"/>
                <w:noProof/>
              </w:rPr>
              <w:t>Annex 3: Summary of SOFT Innovation Prizes awarded by the Euratom programme (2014-2016)</w:t>
            </w:r>
            <w:r w:rsidR="00F346DE">
              <w:rPr>
                <w:noProof/>
                <w:webHidden/>
              </w:rPr>
              <w:tab/>
            </w:r>
            <w:r w:rsidR="00F346DE">
              <w:rPr>
                <w:noProof/>
                <w:webHidden/>
              </w:rPr>
              <w:fldChar w:fldCharType="begin"/>
            </w:r>
            <w:r w:rsidR="00F346DE">
              <w:rPr>
                <w:noProof/>
                <w:webHidden/>
              </w:rPr>
              <w:instrText xml:space="preserve"> PAGEREF _Toc494899816 \h </w:instrText>
            </w:r>
            <w:r w:rsidR="00F346DE">
              <w:rPr>
                <w:noProof/>
                <w:webHidden/>
              </w:rPr>
            </w:r>
            <w:r w:rsidR="00F346DE">
              <w:rPr>
                <w:noProof/>
                <w:webHidden/>
              </w:rPr>
              <w:fldChar w:fldCharType="separate"/>
            </w:r>
            <w:r w:rsidR="00E13DD6">
              <w:rPr>
                <w:noProof/>
                <w:webHidden/>
              </w:rPr>
              <w:t>65</w:t>
            </w:r>
            <w:r w:rsidR="00F346DE">
              <w:rPr>
                <w:noProof/>
                <w:webHidden/>
              </w:rPr>
              <w:fldChar w:fldCharType="end"/>
            </w:r>
          </w:hyperlink>
        </w:p>
        <w:p w:rsidR="00EC06FD" w:rsidRDefault="00C162EC">
          <w:pPr>
            <w:pStyle w:val="TOC1"/>
            <w:rPr>
              <w:rFonts w:asciiTheme="minorHAnsi" w:eastAsiaTheme="minorEastAsia" w:hAnsiTheme="minorHAnsi" w:cstheme="minorBidi"/>
              <w:caps w:val="0"/>
              <w:noProof/>
              <w:sz w:val="22"/>
              <w:szCs w:val="22"/>
              <w:lang w:eastAsia="en-GB"/>
            </w:rPr>
          </w:pPr>
          <w:hyperlink w:anchor="_Toc494899817" w:history="1">
            <w:r w:rsidR="00F346DE">
              <w:rPr>
                <w:rStyle w:val="Hyperlink"/>
                <w:noProof/>
              </w:rPr>
              <w:t>Annex 4: An overview of important scientific results in fusion research (highlights on the basis of 2016 annual report of EUROfusion)</w:t>
            </w:r>
            <w:r w:rsidR="00F346DE">
              <w:rPr>
                <w:noProof/>
                <w:webHidden/>
              </w:rPr>
              <w:tab/>
            </w:r>
            <w:r w:rsidR="00F346DE">
              <w:rPr>
                <w:noProof/>
                <w:webHidden/>
              </w:rPr>
              <w:fldChar w:fldCharType="begin"/>
            </w:r>
            <w:r w:rsidR="00F346DE">
              <w:rPr>
                <w:noProof/>
                <w:webHidden/>
              </w:rPr>
              <w:instrText xml:space="preserve"> PAGEREF _Toc494899817 \h </w:instrText>
            </w:r>
            <w:r w:rsidR="00F346DE">
              <w:rPr>
                <w:noProof/>
                <w:webHidden/>
              </w:rPr>
            </w:r>
            <w:r w:rsidR="00F346DE">
              <w:rPr>
                <w:noProof/>
                <w:webHidden/>
              </w:rPr>
              <w:fldChar w:fldCharType="separate"/>
            </w:r>
            <w:r w:rsidR="00E13DD6">
              <w:rPr>
                <w:noProof/>
                <w:webHidden/>
              </w:rPr>
              <w:t>68</w:t>
            </w:r>
            <w:r w:rsidR="00F346DE">
              <w:rPr>
                <w:noProof/>
                <w:webHidden/>
              </w:rPr>
              <w:fldChar w:fldCharType="end"/>
            </w:r>
          </w:hyperlink>
        </w:p>
        <w:p w:rsidR="00EC06FD" w:rsidRDefault="00F346DE">
          <w:pPr>
            <w:suppressAutoHyphens/>
            <w:spacing w:line="276" w:lineRule="auto"/>
            <w:jc w:val="both"/>
            <w:rPr>
              <w:noProof/>
            </w:rPr>
          </w:pPr>
          <w:r>
            <w:rPr>
              <w:b/>
              <w:bCs/>
              <w:noProof/>
            </w:rPr>
            <w:fldChar w:fldCharType="end"/>
          </w:r>
        </w:p>
      </w:sdtContent>
    </w:sdt>
    <w:p w:rsidR="00EC06FD" w:rsidRDefault="00F346DE">
      <w:pPr>
        <w:suppressAutoHyphens/>
        <w:spacing w:line="276" w:lineRule="auto"/>
        <w:jc w:val="both"/>
        <w:rPr>
          <w:noProof/>
        </w:rPr>
      </w:pPr>
      <w:r>
        <w:rPr>
          <w:noProof/>
        </w:rPr>
        <w:br w:type="page"/>
      </w:r>
    </w:p>
    <w:p w:rsidR="00EC06FD" w:rsidRDefault="00F346DE">
      <w:pPr>
        <w:pStyle w:val="Heading1"/>
        <w:suppressAutoHyphens/>
        <w:spacing w:line="276" w:lineRule="auto"/>
        <w:rPr>
          <w:noProof/>
        </w:rPr>
      </w:pPr>
      <w:bookmarkStart w:id="2" w:name="_Toc494899763"/>
      <w:r>
        <w:rPr>
          <w:noProof/>
        </w:rPr>
        <w:lastRenderedPageBreak/>
        <w:t>EXECUTIVE SUMMARY</w:t>
      </w:r>
      <w:bookmarkEnd w:id="2"/>
    </w:p>
    <w:p w:rsidR="00EC06FD" w:rsidRDefault="00F346DE">
      <w:pPr>
        <w:spacing w:after="120"/>
        <w:jc w:val="both"/>
        <w:rPr>
          <w:noProof/>
        </w:rPr>
      </w:pPr>
      <w:r>
        <w:rPr>
          <w:noProof/>
        </w:rPr>
        <w:t xml:space="preserve">This Commission staff working document (SWD) presents the interim evaluation of indirect actions funded through the Euratom research and training programme 2014-2018 (the 'Euratom programme', or the 'programme'). A separate SWD presents the interim evaluation of direct actions. These two documents accompany the Commission report which </w:t>
      </w:r>
      <w:r>
        <w:rPr>
          <w:noProof/>
          <w:color w:val="000000" w:themeColor="text1"/>
        </w:rPr>
        <w:t>sets out the Commission’s observations and the findings and recommendations from independent expert groups assisting the Commission in carrying out this evaluation.</w:t>
      </w:r>
    </w:p>
    <w:p w:rsidR="00EC06FD" w:rsidRDefault="00F346DE">
      <w:pPr>
        <w:spacing w:after="120"/>
        <w:jc w:val="both"/>
        <w:rPr>
          <w:noProof/>
        </w:rPr>
      </w:pPr>
      <w:r>
        <w:rPr>
          <w:noProof/>
        </w:rPr>
        <w:t xml:space="preserve">In accordance with Council Regulation 1314/2013, the general objective of the Euratom programme is to pursue nuclear research and training activities with an emphasis on continuously improving nuclear safety, security and radiation protection. The programme's scope and objectives are based on the compromise reached by the Council following the Fukushima nuclear accident. As a result, the Euratom programme contains objectives allowing coordination of nuclear research in some specific areas. The compromise is also reflected in the budget allocated for the fission part of the programme. The Commission notes that for the moment a high level of expertise in nuclear research is still available in Europe, and one of the aims of a European research and training programme is to maintain this potential for the future. </w:t>
      </w:r>
    </w:p>
    <w:p w:rsidR="00EC06FD" w:rsidRDefault="00F346DE">
      <w:pPr>
        <w:spacing w:after="120"/>
        <w:jc w:val="both"/>
        <w:rPr>
          <w:noProof/>
        </w:rPr>
      </w:pPr>
      <w:r>
        <w:rPr>
          <w:noProof/>
        </w:rPr>
        <w:t xml:space="preserve">The interim evaluation finds that the programme’s original rationale for intervention and its objectives are highly </w:t>
      </w:r>
      <w:r>
        <w:rPr>
          <w:b/>
          <w:noProof/>
        </w:rPr>
        <w:t>relevant</w:t>
      </w:r>
      <w:r>
        <w:rPr>
          <w:noProof/>
        </w:rPr>
        <w:t xml:space="preserve">. As confirmed by the Commission Expert Group, Euratom research focuses on challenges of importance to the public. The programme provides a balance between the need to support the safety of nuclear technology in Europe and the need to underpin safety in the future. Euratom waste management projects help to better understand the issues relevant to the effective management of radioactive waste in the EU. These are issues, such as the safety of future geological disposal facilities, the conditioning of radioactive waste, the long-term behaviour of spent fuel in a repository and the clean-up of decommissioned sites. Euratom research on radiation protection will lead to an improved knowledge of the effects of low doses of ionising radiation on the human biota. This will translate into a more effective and safer use of radiation and radionuclides in medical diagnostic and therapeutic practices. Public consultation revealed that the programme is also important for research stakeholders and end-users of nuclear research – the nuclear industry, operators of power plants and safety authorities. The programme's relevance is also shown by the sustained interest in the competitive calls issued under the fission part of the programme. </w:t>
      </w:r>
    </w:p>
    <w:p w:rsidR="00EC06FD" w:rsidRDefault="00F346DE">
      <w:pPr>
        <w:spacing w:after="120"/>
        <w:jc w:val="both"/>
        <w:rPr>
          <w:noProof/>
        </w:rPr>
      </w:pPr>
      <w:r>
        <w:rPr>
          <w:noProof/>
        </w:rPr>
        <w:t>On effectiveness, after three years of implementation of the Euratom programme (2014-2016), evidence indicates that progress is being made in delivering on all Euratom objectives in indirect actions, as set by the Council Regulation. In fusion there is significant progress on the agreed roadmap toward demonstrating the feasibility of fusion as a future energy source (47% of the research milestones for 2014-2018 were achieved by 2016). In particular, the programme is delivering key information and data of relevance for the future operation of ITER, the ground-breaking global research facility under construction in France. By confirming appropriate ITER design options and/or investigating relevant plasma scenarios and optimising plasma operation and control measures, Euratom research reduces costs and associated ITER construction and operation risks</w:t>
      </w:r>
      <w:r>
        <w:rPr>
          <w:noProof/>
          <w:color w:val="1F497D"/>
        </w:rPr>
        <w:t xml:space="preserve">. </w:t>
      </w:r>
      <w:r>
        <w:rPr>
          <w:noProof/>
        </w:rPr>
        <w:t xml:space="preserve">The EUROfusion consortium coordinated the joint exploitation of three research tokamaks and supporting facilities, and Euratom supported access to these infrastructures for more than 1000 researchers in 2016. As a result, European researchers submitted about 1000 articles in high-impact peer-reviewed scientific journals. </w:t>
      </w:r>
    </w:p>
    <w:p w:rsidR="00EC06FD" w:rsidRDefault="00F346DE">
      <w:pPr>
        <w:spacing w:after="120"/>
        <w:jc w:val="both"/>
        <w:rPr>
          <w:noProof/>
        </w:rPr>
      </w:pPr>
      <w:r>
        <w:rPr>
          <w:noProof/>
        </w:rPr>
        <w:lastRenderedPageBreak/>
        <w:t xml:space="preserve">First reports show progress by fission projects in the three key areas of research (safety, waste management and radiation protection) with half of them having a safety focus. While the number of publications is understandably low at what is only the start of project implementation, Euratom projects have already set up substantial teams of researchers (almost 1200 people) and are reporting progress in reaching milestones. </w:t>
      </w:r>
    </w:p>
    <w:p w:rsidR="00EC06FD" w:rsidRDefault="00F346DE">
      <w:pPr>
        <w:spacing w:after="120"/>
        <w:jc w:val="both"/>
        <w:rPr>
          <w:noProof/>
        </w:rPr>
      </w:pPr>
      <w:r>
        <w:rPr>
          <w:noProof/>
        </w:rPr>
        <w:t xml:space="preserve">Euratom is also at the forefront in implementing the new instruments in the area of </w:t>
      </w:r>
      <w:r>
        <w:rPr>
          <w:b/>
          <w:noProof/>
        </w:rPr>
        <w:t>joint programming of research</w:t>
      </w:r>
      <w:r>
        <w:rPr>
          <w:noProof/>
        </w:rPr>
        <w:t xml:space="preserve">. In 2014, the Euratom programme successfully pioneered the first use of the European Joint Programme (EJP) co-fund action with the major EUROfusion grant agreement for fusion energy research. Since then, in 2015, Euratom introduced another Joint Programme co-fund action (CONCERT) for radiation protection focused on achieving breakthroughs in understanding the effects of low doses of ionising radiation. </w:t>
      </w:r>
    </w:p>
    <w:p w:rsidR="00EC06FD" w:rsidRDefault="00F346DE">
      <w:pPr>
        <w:spacing w:after="120"/>
        <w:jc w:val="both"/>
        <w:rPr>
          <w:noProof/>
        </w:rPr>
      </w:pPr>
      <w:r>
        <w:rPr>
          <w:noProof/>
        </w:rPr>
        <w:t xml:space="preserve">The results of the interim evaluation show a good overall level of </w:t>
      </w:r>
      <w:r>
        <w:rPr>
          <w:b/>
          <w:noProof/>
        </w:rPr>
        <w:t>efficiency</w:t>
      </w:r>
      <w:r>
        <w:rPr>
          <w:noProof/>
        </w:rPr>
        <w:t xml:space="preserve"> in programme management (in particular, grant management and proposal evaluation in the case of indirect actions) and implementation by the Commission. The Commission is keeping its own administrative expenditure for indirect actions below the target of an average of 7% of the operational budget for 2014-2018, and available data shows that the planned target of 6% for 2018 will be met. Simplification measures introduced since the start of the programme have greatly improved efficiency, notably for the time-to-grant (TTG). The average TTG for the Euratom 7th Framework Programme was 315 days, whereas it was 261 days for the 23 projects launched following the 2014-2015 call, and decreased further to only 229 days for the 25 projects from the 2016-17 call. </w:t>
      </w:r>
    </w:p>
    <w:p w:rsidR="00EC06FD" w:rsidRDefault="00F346DE">
      <w:pPr>
        <w:spacing w:after="120"/>
        <w:jc w:val="both"/>
        <w:rPr>
          <w:noProof/>
        </w:rPr>
      </w:pPr>
      <w:r>
        <w:rPr>
          <w:noProof/>
        </w:rPr>
        <w:t xml:space="preserve">A key part of the </w:t>
      </w:r>
      <w:r>
        <w:rPr>
          <w:b/>
          <w:noProof/>
        </w:rPr>
        <w:t>European added value</w:t>
      </w:r>
      <w:r>
        <w:rPr>
          <w:noProof/>
        </w:rPr>
        <w:t xml:space="preserve"> of Euratom indirect actions, as underlined by stakeholders, is the EU's ability to mobilise a wider pool of excellence, expertise and multi-disciplinarity in nuclear research than individual Member States could. Through cooperative research and innovation, the Euratom programme also enables a Europe-wide approach to the improvement of nuclear safety and radiation protection in all areas of application. This complements the Euratom Directives on nuclear safety, radioactive waste management and basic safety standards and involves demonstrable scientific and technological progress in all areas that would not have been possible without a collaborative pan-European approach. The Euratom programme also enables a much more broad-based coordination throughout Europe of education and training, the use of research infrastructures and international cooperation. This is of particular benefit to smaller Member States, which can then take advantage of economies of scale afforded by the Europe-wide pooling effect. </w:t>
      </w:r>
    </w:p>
    <w:p w:rsidR="00EC06FD" w:rsidRDefault="00F346DE">
      <w:pPr>
        <w:spacing w:after="120"/>
        <w:jc w:val="both"/>
        <w:rPr>
          <w:noProof/>
        </w:rPr>
      </w:pPr>
      <w:r>
        <w:rPr>
          <w:noProof/>
        </w:rPr>
        <w:br w:type="page"/>
      </w:r>
    </w:p>
    <w:p w:rsidR="00EC06FD" w:rsidRDefault="00EC06FD">
      <w:pPr>
        <w:suppressAutoHyphens/>
        <w:jc w:val="both"/>
        <w:rPr>
          <w:noProof/>
          <w:color w:val="000000" w:themeColor="text1"/>
        </w:rPr>
      </w:pPr>
    </w:p>
    <w:p w:rsidR="00EC06FD" w:rsidRDefault="00F346DE">
      <w:pPr>
        <w:pStyle w:val="Heading1"/>
        <w:suppressAutoHyphens/>
        <w:spacing w:line="276" w:lineRule="auto"/>
        <w:rPr>
          <w:noProof/>
        </w:rPr>
      </w:pPr>
      <w:bookmarkStart w:id="3" w:name="_Toc494899764"/>
      <w:r>
        <w:rPr>
          <w:noProof/>
        </w:rPr>
        <w:t>ACRONYMS AND GLOSSARY</w:t>
      </w:r>
      <w:bookmarkEnd w:id="3"/>
      <w:r>
        <w:rPr>
          <w:noProof/>
        </w:rPr>
        <w:t xml:space="preserve"> </w:t>
      </w:r>
    </w:p>
    <w:tbl>
      <w:tblPr>
        <w:tblStyle w:val="TableGrid"/>
        <w:tblpPr w:leftFromText="180" w:rightFromText="180" w:vertAnchor="text" w:horzAnchor="margin" w:tblpXSpec="center" w:tblpY="1"/>
        <w:tblOverlap w:val="never"/>
        <w:tblW w:w="889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DBE5F1" w:themeFill="accent1" w:themeFillTint="33"/>
        <w:tblLayout w:type="fixed"/>
        <w:tblLook w:val="04A0" w:firstRow="1" w:lastRow="0" w:firstColumn="1" w:lastColumn="0" w:noHBand="0" w:noVBand="1"/>
      </w:tblPr>
      <w:tblGrid>
        <w:gridCol w:w="538"/>
        <w:gridCol w:w="1271"/>
        <w:gridCol w:w="7088"/>
      </w:tblGrid>
      <w:tr w:rsidR="00EC06FD">
        <w:trPr>
          <w:trHeight w:val="461"/>
          <w:jc w:val="center"/>
        </w:trPr>
        <w:tc>
          <w:tcPr>
            <w:tcW w:w="538" w:type="dxa"/>
            <w:tcBorders>
              <w:top w:val="single" w:sz="4" w:space="0" w:color="FFFFFF" w:themeColor="background1"/>
              <w:bottom w:val="single" w:sz="12" w:space="0" w:color="FFFFFF" w:themeColor="background1"/>
            </w:tcBorders>
            <w:shd w:val="clear" w:color="auto" w:fill="C6D9F1" w:themeFill="text2" w:themeFillTint="33"/>
            <w:vAlign w:val="center"/>
          </w:tcPr>
          <w:p w:rsidR="00EC06FD" w:rsidRDefault="00F346DE">
            <w:pPr>
              <w:pStyle w:val="Caption"/>
              <w:keepNext/>
              <w:suppressAutoHyphens/>
              <w:spacing w:before="0" w:after="0" w:line="276" w:lineRule="auto"/>
              <w:contextualSpacing/>
              <w:rPr>
                <w:rFonts w:asciiTheme="minorHAnsi" w:hAnsiTheme="minorHAnsi" w:cstheme="minorHAnsi"/>
                <w:noProof/>
                <w:sz w:val="16"/>
                <w:szCs w:val="16"/>
              </w:rPr>
            </w:pPr>
            <w:r>
              <w:rPr>
                <w:rFonts w:asciiTheme="minorHAnsi" w:hAnsiTheme="minorHAnsi" w:cstheme="minorHAnsi"/>
                <w:noProof/>
                <w:sz w:val="16"/>
                <w:szCs w:val="16"/>
              </w:rPr>
              <w:t>Type</w:t>
            </w:r>
          </w:p>
        </w:tc>
        <w:tc>
          <w:tcPr>
            <w:tcW w:w="1271" w:type="dxa"/>
            <w:tcBorders>
              <w:top w:val="single" w:sz="4" w:space="0" w:color="FFFFFF" w:themeColor="background1"/>
              <w:bottom w:val="single" w:sz="12" w:space="0" w:color="FFFFFF" w:themeColor="background1"/>
            </w:tcBorders>
            <w:shd w:val="clear" w:color="auto" w:fill="C6D9F1" w:themeFill="text2" w:themeFillTint="33"/>
            <w:vAlign w:val="center"/>
          </w:tcPr>
          <w:p w:rsidR="00EC06FD" w:rsidRDefault="00F346DE">
            <w:pPr>
              <w:pStyle w:val="Caption"/>
              <w:keepNext/>
              <w:suppressAutoHyphens/>
              <w:spacing w:before="0" w:after="0" w:line="276" w:lineRule="auto"/>
              <w:contextualSpacing/>
              <w:jc w:val="left"/>
              <w:rPr>
                <w:rFonts w:asciiTheme="minorHAnsi" w:hAnsiTheme="minorHAnsi" w:cstheme="minorHAnsi"/>
                <w:noProof/>
                <w:sz w:val="16"/>
                <w:szCs w:val="16"/>
              </w:rPr>
            </w:pPr>
            <w:r>
              <w:rPr>
                <w:rFonts w:asciiTheme="minorHAnsi" w:hAnsiTheme="minorHAnsi" w:cstheme="minorHAnsi"/>
                <w:noProof/>
                <w:sz w:val="16"/>
                <w:szCs w:val="16"/>
              </w:rPr>
              <w:t>Name or abbreviation</w:t>
            </w:r>
          </w:p>
        </w:tc>
        <w:tc>
          <w:tcPr>
            <w:tcW w:w="7088" w:type="dxa"/>
            <w:tcBorders>
              <w:top w:val="single" w:sz="4" w:space="0" w:color="FFFFFF" w:themeColor="background1"/>
              <w:bottom w:val="single" w:sz="12" w:space="0" w:color="FFFFFF" w:themeColor="background1"/>
            </w:tcBorders>
            <w:shd w:val="clear" w:color="auto" w:fill="C6D9F1" w:themeFill="text2" w:themeFillTint="33"/>
            <w:vAlign w:val="center"/>
          </w:tcPr>
          <w:p w:rsidR="00EC06FD" w:rsidRDefault="00F346DE">
            <w:pPr>
              <w:suppressAutoHyphens/>
              <w:spacing w:line="276" w:lineRule="auto"/>
              <w:contextualSpacing/>
              <w:jc w:val="both"/>
              <w:rPr>
                <w:rFonts w:asciiTheme="minorHAnsi" w:eastAsia="Calibri" w:hAnsiTheme="minorHAnsi"/>
                <w:b/>
                <w:noProof/>
                <w:sz w:val="16"/>
                <w:szCs w:val="16"/>
              </w:rPr>
            </w:pPr>
            <w:r>
              <w:rPr>
                <w:rFonts w:asciiTheme="minorHAnsi" w:eastAsia="Calibri" w:hAnsiTheme="minorHAnsi"/>
                <w:b/>
                <w:noProof/>
                <w:sz w:val="16"/>
                <w:szCs w:val="16"/>
              </w:rPr>
              <w:t>Description</w:t>
            </w:r>
          </w:p>
        </w:tc>
      </w:tr>
      <w:tr w:rsidR="00EC06FD">
        <w:trPr>
          <w:trHeight w:val="113"/>
          <w:jc w:val="center"/>
        </w:trPr>
        <w:tc>
          <w:tcPr>
            <w:tcW w:w="538" w:type="dxa"/>
            <w:vMerge w:val="restart"/>
            <w:tcBorders>
              <w:top w:val="single" w:sz="12" w:space="0" w:color="FFFFFF" w:themeColor="background1"/>
              <w:bottom w:val="single" w:sz="6" w:space="0" w:color="FFFFFF" w:themeColor="background1"/>
            </w:tcBorders>
            <w:shd w:val="clear" w:color="auto" w:fill="C6D9F1" w:themeFill="text2" w:themeFillTint="33"/>
            <w:textDirection w:val="btLr"/>
            <w:vAlign w:val="center"/>
          </w:tcPr>
          <w:p w:rsidR="00EC06FD" w:rsidRDefault="00F346DE">
            <w:pPr>
              <w:pStyle w:val="Caption"/>
              <w:keepNext/>
              <w:suppressAutoHyphens/>
              <w:spacing w:before="0" w:after="0" w:line="276" w:lineRule="auto"/>
              <w:ind w:left="113" w:right="113"/>
              <w:contextualSpacing/>
              <w:jc w:val="center"/>
              <w:rPr>
                <w:rFonts w:asciiTheme="minorHAnsi" w:eastAsia="Calibri" w:hAnsiTheme="minorHAnsi"/>
                <w:noProof/>
                <w:sz w:val="16"/>
                <w:szCs w:val="16"/>
                <w:lang w:eastAsia="en-GB"/>
              </w:rPr>
            </w:pPr>
            <w:r>
              <w:rPr>
                <w:rFonts w:asciiTheme="minorHAnsi" w:eastAsia="Calibri" w:hAnsiTheme="minorHAnsi"/>
                <w:noProof/>
                <w:sz w:val="16"/>
                <w:szCs w:val="16"/>
                <w:lang w:eastAsia="en-GB"/>
              </w:rPr>
              <w:t>Nuclear</w:t>
            </w:r>
          </w:p>
        </w:tc>
        <w:tc>
          <w:tcPr>
            <w:tcW w:w="1271" w:type="dxa"/>
            <w:tcBorders>
              <w:top w:val="single" w:sz="12" w:space="0" w:color="FFFFFF" w:themeColor="background1"/>
            </w:tcBorders>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eastAsia="Calibri" w:hAnsiTheme="minorHAnsi"/>
                <w:noProof/>
                <w:sz w:val="14"/>
                <w:szCs w:val="14"/>
                <w:lang w:eastAsia="en-GB"/>
              </w:rPr>
            </w:pPr>
            <w:r>
              <w:rPr>
                <w:rFonts w:asciiTheme="minorHAnsi" w:eastAsia="Calibri" w:hAnsiTheme="minorHAnsi"/>
                <w:noProof/>
                <w:sz w:val="14"/>
                <w:szCs w:val="14"/>
                <w:lang w:eastAsia="en-GB"/>
              </w:rPr>
              <w:t xml:space="preserve">ALLIANCE </w:t>
            </w:r>
          </w:p>
        </w:tc>
        <w:tc>
          <w:tcPr>
            <w:tcW w:w="7088" w:type="dxa"/>
            <w:tcBorders>
              <w:top w:val="single" w:sz="12" w:space="0" w:color="FFFFFF" w:themeColor="background1"/>
            </w:tcBorders>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Research Platform to coordinate and promote European research on Radioecology (</w:t>
            </w:r>
            <w:hyperlink r:id="rId16" w:history="1">
              <w:r>
                <w:rPr>
                  <w:rFonts w:asciiTheme="minorHAnsi" w:eastAsia="Calibri" w:hAnsiTheme="minorHAnsi"/>
                  <w:noProof/>
                  <w:sz w:val="14"/>
                  <w:szCs w:val="14"/>
                </w:rPr>
                <w:t>http://www.er-alliance.org/</w:t>
              </w:r>
            </w:hyperlink>
            <w:r>
              <w:rPr>
                <w:rFonts w:asciiTheme="minorHAnsi" w:eastAsia="Calibri" w:hAnsiTheme="minorHAnsi"/>
                <w:noProof/>
                <w:sz w:val="14"/>
                <w:szCs w:val="14"/>
              </w:rPr>
              <w:t>)</w:t>
            </w:r>
          </w:p>
        </w:tc>
      </w:tr>
      <w:tr w:rsidR="00EC06FD">
        <w:trPr>
          <w:trHeight w:val="113"/>
          <w:jc w:val="center"/>
        </w:trPr>
        <w:tc>
          <w:tcPr>
            <w:tcW w:w="538" w:type="dxa"/>
            <w:vMerge/>
            <w:tcBorders>
              <w:top w:val="single" w:sz="6" w:space="0" w:color="FFFFFF" w:themeColor="background1"/>
              <w:bottom w:val="single" w:sz="6" w:space="0" w:color="FFFFFF" w:themeColor="background1"/>
            </w:tcBorders>
            <w:shd w:val="clear" w:color="auto" w:fill="C6D9F1" w:themeFill="text2" w:themeFillTint="33"/>
          </w:tcPr>
          <w:p w:rsidR="00EC06FD" w:rsidRDefault="00EC06FD">
            <w:pPr>
              <w:pStyle w:val="Caption"/>
              <w:keepNext/>
              <w:suppressAutoHyphens/>
              <w:spacing w:before="0" w:after="0" w:line="276" w:lineRule="auto"/>
              <w:contextualSpacing/>
              <w:rPr>
                <w:rFonts w:asciiTheme="minorHAnsi" w:eastAsia="Calibri" w:hAnsiTheme="minorHAnsi"/>
                <w:noProof/>
                <w:sz w:val="16"/>
                <w:szCs w:val="16"/>
                <w:lang w:eastAsia="en-GB"/>
              </w:rPr>
            </w:pPr>
          </w:p>
        </w:tc>
        <w:tc>
          <w:tcPr>
            <w:tcW w:w="1271" w:type="dxa"/>
            <w:tcBorders>
              <w:top w:val="single" w:sz="6" w:space="0" w:color="FFFFFF" w:themeColor="background1"/>
              <w:bottom w:val="single" w:sz="6" w:space="0" w:color="FFFFFF" w:themeColor="background1"/>
            </w:tcBorders>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eastAsia="Calibri" w:hAnsiTheme="minorHAnsi"/>
                <w:noProof/>
                <w:sz w:val="14"/>
                <w:szCs w:val="14"/>
                <w:lang w:eastAsia="en-GB"/>
              </w:rPr>
            </w:pPr>
            <w:r>
              <w:rPr>
                <w:rFonts w:asciiTheme="minorHAnsi" w:eastAsia="Calibri" w:hAnsiTheme="minorHAnsi"/>
                <w:noProof/>
                <w:sz w:val="14"/>
                <w:szCs w:val="14"/>
                <w:lang w:eastAsia="en-GB"/>
              </w:rPr>
              <w:t xml:space="preserve">EFDA </w:t>
            </w:r>
          </w:p>
        </w:tc>
        <w:tc>
          <w:tcPr>
            <w:tcW w:w="7088" w:type="dxa"/>
            <w:tcBorders>
              <w:top w:val="single" w:sz="6" w:space="0" w:color="FFFFFF" w:themeColor="background1"/>
              <w:bottom w:val="single" w:sz="6" w:space="0" w:color="FFFFFF" w:themeColor="background1"/>
            </w:tcBorders>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European Fusion Development Agreement</w:t>
            </w:r>
          </w:p>
        </w:tc>
      </w:tr>
      <w:tr w:rsidR="00EC06FD">
        <w:trPr>
          <w:trHeight w:val="113"/>
          <w:jc w:val="center"/>
        </w:trPr>
        <w:tc>
          <w:tcPr>
            <w:tcW w:w="538" w:type="dxa"/>
            <w:vMerge/>
            <w:tcBorders>
              <w:top w:val="single" w:sz="6" w:space="0" w:color="FFFFFF" w:themeColor="background1"/>
              <w:bottom w:val="single" w:sz="6" w:space="0" w:color="FFFFFF" w:themeColor="background1"/>
            </w:tcBorders>
            <w:shd w:val="clear" w:color="auto" w:fill="C6D9F1" w:themeFill="text2" w:themeFillTint="33"/>
          </w:tcPr>
          <w:p w:rsidR="00EC06FD" w:rsidRDefault="00EC06FD">
            <w:pPr>
              <w:pStyle w:val="Caption"/>
              <w:keepNext/>
              <w:suppressAutoHyphens/>
              <w:spacing w:before="0" w:after="0" w:line="276" w:lineRule="auto"/>
              <w:contextualSpacing/>
              <w:rPr>
                <w:rFonts w:asciiTheme="minorHAnsi" w:eastAsia="Calibri" w:hAnsiTheme="minorHAnsi"/>
                <w:noProof/>
                <w:sz w:val="16"/>
                <w:szCs w:val="16"/>
                <w:lang w:eastAsia="en-GB"/>
              </w:rPr>
            </w:pPr>
          </w:p>
        </w:tc>
        <w:tc>
          <w:tcPr>
            <w:tcW w:w="1271" w:type="dxa"/>
            <w:tcBorders>
              <w:top w:val="single" w:sz="6" w:space="0" w:color="FFFFFF" w:themeColor="background1"/>
              <w:bottom w:val="single" w:sz="6" w:space="0" w:color="FFFFFF" w:themeColor="background1"/>
            </w:tcBorders>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eastAsia="Calibri" w:hAnsiTheme="minorHAnsi"/>
                <w:noProof/>
                <w:sz w:val="14"/>
                <w:szCs w:val="14"/>
                <w:lang w:eastAsia="en-GB"/>
              </w:rPr>
            </w:pPr>
            <w:r>
              <w:rPr>
                <w:rFonts w:asciiTheme="minorHAnsi" w:eastAsia="Calibri" w:hAnsiTheme="minorHAnsi"/>
                <w:noProof/>
                <w:sz w:val="14"/>
                <w:szCs w:val="14"/>
                <w:lang w:eastAsia="en-GB"/>
              </w:rPr>
              <w:t>ENEN</w:t>
            </w:r>
          </w:p>
        </w:tc>
        <w:tc>
          <w:tcPr>
            <w:tcW w:w="7088" w:type="dxa"/>
            <w:tcBorders>
              <w:top w:val="single" w:sz="6" w:space="0" w:color="FFFFFF" w:themeColor="background1"/>
              <w:bottom w:val="single" w:sz="6" w:space="0" w:color="FFFFFF" w:themeColor="background1"/>
            </w:tcBorders>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European Nuclear Education Network</w:t>
            </w:r>
          </w:p>
        </w:tc>
      </w:tr>
      <w:tr w:rsidR="00EC06FD">
        <w:trPr>
          <w:trHeight w:val="113"/>
          <w:jc w:val="center"/>
        </w:trPr>
        <w:tc>
          <w:tcPr>
            <w:tcW w:w="538" w:type="dxa"/>
            <w:vMerge/>
            <w:tcBorders>
              <w:top w:val="single" w:sz="6" w:space="0" w:color="FFFFFF" w:themeColor="background1"/>
              <w:bottom w:val="single" w:sz="6" w:space="0" w:color="FFFFFF" w:themeColor="background1"/>
            </w:tcBorders>
            <w:shd w:val="clear" w:color="auto" w:fill="C6D9F1" w:themeFill="text2" w:themeFillTint="33"/>
          </w:tcPr>
          <w:p w:rsidR="00EC06FD" w:rsidRDefault="00EC06FD">
            <w:pPr>
              <w:pStyle w:val="Caption"/>
              <w:keepNext/>
              <w:suppressAutoHyphens/>
              <w:spacing w:before="0" w:after="0" w:line="276" w:lineRule="auto"/>
              <w:contextualSpacing/>
              <w:rPr>
                <w:rFonts w:asciiTheme="minorHAnsi" w:eastAsia="Calibri" w:hAnsiTheme="minorHAnsi"/>
                <w:noProof/>
                <w:sz w:val="16"/>
                <w:szCs w:val="16"/>
                <w:lang w:eastAsia="en-GB"/>
              </w:rPr>
            </w:pPr>
          </w:p>
        </w:tc>
        <w:tc>
          <w:tcPr>
            <w:tcW w:w="1271" w:type="dxa"/>
            <w:tcBorders>
              <w:top w:val="single" w:sz="6" w:space="0" w:color="FFFFFF" w:themeColor="background1"/>
              <w:bottom w:val="single" w:sz="6" w:space="0" w:color="FFFFFF" w:themeColor="background1"/>
            </w:tcBorders>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eastAsia="Calibri" w:hAnsiTheme="minorHAnsi"/>
                <w:noProof/>
                <w:sz w:val="14"/>
                <w:szCs w:val="14"/>
                <w:lang w:eastAsia="en-GB"/>
              </w:rPr>
            </w:pPr>
            <w:r>
              <w:rPr>
                <w:rFonts w:asciiTheme="minorHAnsi" w:eastAsia="Calibri" w:hAnsiTheme="minorHAnsi"/>
                <w:noProof/>
                <w:sz w:val="14"/>
                <w:szCs w:val="14"/>
                <w:lang w:eastAsia="en-GB"/>
              </w:rPr>
              <w:t>ESNII</w:t>
            </w:r>
          </w:p>
        </w:tc>
        <w:tc>
          <w:tcPr>
            <w:tcW w:w="7088" w:type="dxa"/>
            <w:tcBorders>
              <w:top w:val="single" w:sz="6" w:space="0" w:color="FFFFFF" w:themeColor="background1"/>
              <w:bottom w:val="single" w:sz="6" w:space="0" w:color="FFFFFF" w:themeColor="background1"/>
            </w:tcBorders>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European Sustainable Nuclear Industrial Initiative</w:t>
            </w:r>
          </w:p>
        </w:tc>
      </w:tr>
      <w:tr w:rsidR="00EC06FD">
        <w:trPr>
          <w:trHeight w:val="113"/>
          <w:jc w:val="center"/>
        </w:trPr>
        <w:tc>
          <w:tcPr>
            <w:tcW w:w="538" w:type="dxa"/>
            <w:vMerge/>
            <w:tcBorders>
              <w:top w:val="single" w:sz="6" w:space="0" w:color="FFFFFF" w:themeColor="background1"/>
              <w:bottom w:val="single" w:sz="6" w:space="0" w:color="FFFFFF" w:themeColor="background1"/>
            </w:tcBorders>
            <w:shd w:val="clear" w:color="auto" w:fill="C6D9F1" w:themeFill="text2" w:themeFillTint="33"/>
          </w:tcPr>
          <w:p w:rsidR="00EC06FD" w:rsidRDefault="00EC06FD">
            <w:pPr>
              <w:pStyle w:val="Caption"/>
              <w:keepNext/>
              <w:suppressAutoHyphens/>
              <w:spacing w:before="0" w:after="0" w:line="276" w:lineRule="auto"/>
              <w:contextualSpacing/>
              <w:rPr>
                <w:rFonts w:asciiTheme="minorHAnsi" w:eastAsia="Calibri" w:hAnsiTheme="minorHAnsi"/>
                <w:noProof/>
                <w:sz w:val="16"/>
                <w:szCs w:val="16"/>
                <w:lang w:eastAsia="en-GB"/>
              </w:rPr>
            </w:pPr>
          </w:p>
        </w:tc>
        <w:tc>
          <w:tcPr>
            <w:tcW w:w="1271" w:type="dxa"/>
            <w:tcBorders>
              <w:top w:val="single" w:sz="6" w:space="0" w:color="FFFFFF" w:themeColor="background1"/>
              <w:bottom w:val="single" w:sz="6" w:space="0" w:color="FFFFFF" w:themeColor="background1"/>
            </w:tcBorders>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eastAsia="Calibri" w:hAnsiTheme="minorHAnsi"/>
                <w:noProof/>
                <w:sz w:val="14"/>
                <w:szCs w:val="14"/>
                <w:lang w:eastAsia="en-GB"/>
              </w:rPr>
            </w:pPr>
            <w:r>
              <w:rPr>
                <w:rFonts w:asciiTheme="minorHAnsi" w:eastAsia="Calibri" w:hAnsiTheme="minorHAnsi"/>
                <w:noProof/>
                <w:sz w:val="14"/>
                <w:szCs w:val="14"/>
                <w:lang w:eastAsia="en-GB"/>
              </w:rPr>
              <w:t>EUROfusion</w:t>
            </w:r>
          </w:p>
        </w:tc>
        <w:tc>
          <w:tcPr>
            <w:tcW w:w="7088" w:type="dxa"/>
            <w:tcBorders>
              <w:top w:val="single" w:sz="6" w:space="0" w:color="FFFFFF" w:themeColor="background1"/>
              <w:bottom w:val="single" w:sz="6" w:space="0" w:color="FFFFFF" w:themeColor="background1"/>
            </w:tcBorders>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European Consortium implementing a comprehensive joint programme in line with the fusion roadmap</w:t>
            </w:r>
          </w:p>
        </w:tc>
      </w:tr>
      <w:tr w:rsidR="00EC06FD">
        <w:trPr>
          <w:trHeight w:val="113"/>
          <w:jc w:val="center"/>
        </w:trPr>
        <w:tc>
          <w:tcPr>
            <w:tcW w:w="538" w:type="dxa"/>
            <w:vMerge/>
            <w:tcBorders>
              <w:top w:val="single" w:sz="6" w:space="0" w:color="FFFFFF" w:themeColor="background1"/>
              <w:bottom w:val="single" w:sz="6" w:space="0" w:color="FFFFFF" w:themeColor="background1"/>
            </w:tcBorders>
            <w:shd w:val="clear" w:color="auto" w:fill="C6D9F1" w:themeFill="text2" w:themeFillTint="33"/>
          </w:tcPr>
          <w:p w:rsidR="00EC06FD" w:rsidRDefault="00EC06FD">
            <w:pPr>
              <w:pStyle w:val="Caption"/>
              <w:keepNext/>
              <w:suppressAutoHyphens/>
              <w:spacing w:before="0" w:after="0" w:line="276" w:lineRule="auto"/>
              <w:contextualSpacing/>
              <w:rPr>
                <w:rFonts w:asciiTheme="minorHAnsi" w:eastAsia="Calibri" w:hAnsiTheme="minorHAnsi"/>
                <w:noProof/>
                <w:sz w:val="16"/>
                <w:szCs w:val="16"/>
                <w:lang w:eastAsia="en-GB"/>
              </w:rPr>
            </w:pPr>
          </w:p>
        </w:tc>
        <w:tc>
          <w:tcPr>
            <w:tcW w:w="1271" w:type="dxa"/>
            <w:tcBorders>
              <w:top w:val="single" w:sz="6" w:space="0" w:color="FFFFFF" w:themeColor="background1"/>
              <w:bottom w:val="single" w:sz="6" w:space="0" w:color="FFFFFF" w:themeColor="background1"/>
            </w:tcBorders>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eastAsia="Calibri" w:hAnsiTheme="minorHAnsi"/>
                <w:noProof/>
                <w:sz w:val="14"/>
                <w:szCs w:val="14"/>
                <w:lang w:eastAsia="en-GB"/>
              </w:rPr>
            </w:pPr>
            <w:r>
              <w:rPr>
                <w:rFonts w:asciiTheme="minorHAnsi" w:eastAsia="Calibri" w:hAnsiTheme="minorHAnsi"/>
                <w:noProof/>
                <w:sz w:val="14"/>
                <w:szCs w:val="14"/>
                <w:lang w:eastAsia="en-GB"/>
              </w:rPr>
              <w:t>Generation- II/-III</w:t>
            </w:r>
          </w:p>
        </w:tc>
        <w:tc>
          <w:tcPr>
            <w:tcW w:w="7088" w:type="dxa"/>
            <w:tcBorders>
              <w:top w:val="single" w:sz="6" w:space="0" w:color="FFFFFF" w:themeColor="background1"/>
              <w:bottom w:val="single" w:sz="6" w:space="0" w:color="FFFFFF" w:themeColor="background1"/>
            </w:tcBorders>
            <w:shd w:val="clear" w:color="auto" w:fill="DBE5F1" w:themeFill="accent1" w:themeFillTint="33"/>
          </w:tcPr>
          <w:p w:rsidR="00EC06FD" w:rsidRDefault="00F346DE">
            <w:pPr>
              <w:tabs>
                <w:tab w:val="left" w:pos="2268"/>
              </w:tabs>
              <w:spacing w:before="60"/>
              <w:rPr>
                <w:rFonts w:asciiTheme="minorHAnsi" w:eastAsia="Calibri" w:hAnsiTheme="minorHAnsi"/>
                <w:noProof/>
                <w:sz w:val="14"/>
                <w:szCs w:val="14"/>
              </w:rPr>
            </w:pPr>
            <w:r>
              <w:rPr>
                <w:rFonts w:asciiTheme="minorHAnsi" w:eastAsia="Calibri" w:hAnsiTheme="minorHAnsi"/>
                <w:noProof/>
                <w:sz w:val="14"/>
                <w:szCs w:val="14"/>
              </w:rPr>
              <w:t>Current generations of nuclear power plants</w:t>
            </w:r>
          </w:p>
        </w:tc>
      </w:tr>
      <w:tr w:rsidR="00EC06FD">
        <w:trPr>
          <w:trHeight w:val="113"/>
          <w:jc w:val="center"/>
        </w:trPr>
        <w:tc>
          <w:tcPr>
            <w:tcW w:w="538" w:type="dxa"/>
            <w:vMerge/>
            <w:tcBorders>
              <w:top w:val="single" w:sz="6" w:space="0" w:color="FFFFFF" w:themeColor="background1"/>
              <w:bottom w:val="single" w:sz="6" w:space="0" w:color="FFFFFF" w:themeColor="background1"/>
            </w:tcBorders>
            <w:shd w:val="clear" w:color="auto" w:fill="C6D9F1" w:themeFill="text2" w:themeFillTint="33"/>
          </w:tcPr>
          <w:p w:rsidR="00EC06FD" w:rsidRDefault="00EC06FD">
            <w:pPr>
              <w:pStyle w:val="Caption"/>
              <w:keepNext/>
              <w:suppressAutoHyphens/>
              <w:spacing w:before="0" w:after="0" w:line="276" w:lineRule="auto"/>
              <w:contextualSpacing/>
              <w:rPr>
                <w:rFonts w:asciiTheme="minorHAnsi" w:eastAsia="Calibri" w:hAnsiTheme="minorHAnsi"/>
                <w:noProof/>
                <w:sz w:val="16"/>
                <w:szCs w:val="16"/>
                <w:lang w:eastAsia="en-GB"/>
              </w:rPr>
            </w:pPr>
          </w:p>
        </w:tc>
        <w:tc>
          <w:tcPr>
            <w:tcW w:w="1271" w:type="dxa"/>
            <w:tcBorders>
              <w:top w:val="single" w:sz="6" w:space="0" w:color="FFFFFF" w:themeColor="background1"/>
              <w:bottom w:val="single" w:sz="6" w:space="0" w:color="FFFFFF" w:themeColor="background1"/>
            </w:tcBorders>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eastAsia="Calibri" w:hAnsiTheme="minorHAnsi"/>
                <w:noProof/>
                <w:sz w:val="14"/>
                <w:szCs w:val="14"/>
                <w:lang w:eastAsia="en-GB"/>
              </w:rPr>
            </w:pPr>
            <w:r>
              <w:rPr>
                <w:rFonts w:asciiTheme="minorHAnsi" w:eastAsia="Calibri" w:hAnsiTheme="minorHAnsi"/>
                <w:noProof/>
                <w:sz w:val="14"/>
                <w:szCs w:val="14"/>
                <w:lang w:eastAsia="en-GB"/>
              </w:rPr>
              <w:t>Generation- IV</w:t>
            </w:r>
          </w:p>
        </w:tc>
        <w:tc>
          <w:tcPr>
            <w:tcW w:w="7088" w:type="dxa"/>
            <w:tcBorders>
              <w:top w:val="single" w:sz="6" w:space="0" w:color="FFFFFF" w:themeColor="background1"/>
              <w:bottom w:val="single" w:sz="6" w:space="0" w:color="FFFFFF" w:themeColor="background1"/>
            </w:tcBorders>
            <w:shd w:val="clear" w:color="auto" w:fill="DBE5F1" w:themeFill="accent1" w:themeFillTint="33"/>
          </w:tcPr>
          <w:p w:rsidR="00EC06FD" w:rsidRDefault="00F346DE">
            <w:pPr>
              <w:tabs>
                <w:tab w:val="left" w:pos="2268"/>
              </w:tabs>
              <w:spacing w:before="60"/>
              <w:rPr>
                <w:rFonts w:asciiTheme="minorHAnsi" w:eastAsia="Calibri" w:hAnsiTheme="minorHAnsi"/>
                <w:noProof/>
                <w:sz w:val="14"/>
                <w:szCs w:val="14"/>
              </w:rPr>
            </w:pPr>
            <w:r>
              <w:rPr>
                <w:rFonts w:asciiTheme="minorHAnsi" w:eastAsia="Calibri" w:hAnsiTheme="minorHAnsi"/>
                <w:noProof/>
                <w:sz w:val="14"/>
                <w:szCs w:val="14"/>
              </w:rPr>
              <w:t>Generation IV (advanced fission nuclear systems)</w:t>
            </w:r>
          </w:p>
        </w:tc>
      </w:tr>
      <w:tr w:rsidR="00EC06FD">
        <w:trPr>
          <w:trHeight w:val="113"/>
          <w:jc w:val="center"/>
        </w:trPr>
        <w:tc>
          <w:tcPr>
            <w:tcW w:w="538" w:type="dxa"/>
            <w:vMerge/>
            <w:tcBorders>
              <w:top w:val="single" w:sz="6" w:space="0" w:color="FFFFFF" w:themeColor="background1"/>
              <w:bottom w:val="single" w:sz="6" w:space="0" w:color="FFFFFF" w:themeColor="background1"/>
            </w:tcBorders>
            <w:shd w:val="clear" w:color="auto" w:fill="C6D9F1" w:themeFill="text2" w:themeFillTint="33"/>
          </w:tcPr>
          <w:p w:rsidR="00EC06FD" w:rsidRDefault="00EC06FD">
            <w:pPr>
              <w:pStyle w:val="Caption"/>
              <w:keepNext/>
              <w:suppressAutoHyphens/>
              <w:spacing w:before="0" w:after="0" w:line="276" w:lineRule="auto"/>
              <w:contextualSpacing/>
              <w:rPr>
                <w:rFonts w:asciiTheme="minorHAnsi" w:eastAsia="Calibri" w:hAnsiTheme="minorHAnsi"/>
                <w:noProof/>
                <w:sz w:val="16"/>
                <w:szCs w:val="16"/>
                <w:lang w:eastAsia="en-GB"/>
              </w:rPr>
            </w:pPr>
          </w:p>
        </w:tc>
        <w:tc>
          <w:tcPr>
            <w:tcW w:w="1271" w:type="dxa"/>
            <w:tcBorders>
              <w:top w:val="single" w:sz="6" w:space="0" w:color="FFFFFF" w:themeColor="background1"/>
              <w:bottom w:val="single" w:sz="6" w:space="0" w:color="FFFFFF" w:themeColor="background1"/>
            </w:tcBorders>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eastAsia="Calibri" w:hAnsiTheme="minorHAnsi"/>
                <w:noProof/>
                <w:sz w:val="14"/>
                <w:szCs w:val="14"/>
                <w:lang w:eastAsia="en-GB"/>
              </w:rPr>
            </w:pPr>
            <w:r>
              <w:rPr>
                <w:rFonts w:asciiTheme="minorHAnsi" w:eastAsia="Calibri" w:hAnsiTheme="minorHAnsi"/>
                <w:noProof/>
                <w:sz w:val="14"/>
                <w:szCs w:val="14"/>
                <w:lang w:eastAsia="en-GB"/>
              </w:rPr>
              <w:t>HLW</w:t>
            </w:r>
          </w:p>
        </w:tc>
        <w:tc>
          <w:tcPr>
            <w:tcW w:w="7088" w:type="dxa"/>
            <w:tcBorders>
              <w:top w:val="single" w:sz="6" w:space="0" w:color="FFFFFF" w:themeColor="background1"/>
              <w:bottom w:val="single" w:sz="6" w:space="0" w:color="FFFFFF" w:themeColor="background1"/>
            </w:tcBorders>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High-Level (radioactive) Waste</w:t>
            </w:r>
          </w:p>
        </w:tc>
      </w:tr>
      <w:tr w:rsidR="00EC06FD">
        <w:trPr>
          <w:trHeight w:val="113"/>
          <w:jc w:val="center"/>
        </w:trPr>
        <w:tc>
          <w:tcPr>
            <w:tcW w:w="538" w:type="dxa"/>
            <w:vMerge/>
            <w:tcBorders>
              <w:top w:val="single" w:sz="6" w:space="0" w:color="FFFFFF" w:themeColor="background1"/>
              <w:bottom w:val="single" w:sz="6" w:space="0" w:color="FFFFFF" w:themeColor="background1"/>
            </w:tcBorders>
            <w:shd w:val="clear" w:color="auto" w:fill="C6D9F1" w:themeFill="text2" w:themeFillTint="33"/>
          </w:tcPr>
          <w:p w:rsidR="00EC06FD" w:rsidRDefault="00EC06FD">
            <w:pPr>
              <w:pStyle w:val="Caption"/>
              <w:keepNext/>
              <w:suppressAutoHyphens/>
              <w:spacing w:before="0" w:after="0" w:line="276" w:lineRule="auto"/>
              <w:contextualSpacing/>
              <w:rPr>
                <w:rFonts w:asciiTheme="minorHAnsi" w:eastAsia="Calibri" w:hAnsiTheme="minorHAnsi"/>
                <w:noProof/>
                <w:sz w:val="16"/>
                <w:szCs w:val="16"/>
                <w:lang w:eastAsia="en-GB"/>
              </w:rPr>
            </w:pPr>
          </w:p>
        </w:tc>
        <w:tc>
          <w:tcPr>
            <w:tcW w:w="1271" w:type="dxa"/>
            <w:tcBorders>
              <w:top w:val="single" w:sz="6" w:space="0" w:color="FFFFFF" w:themeColor="background1"/>
            </w:tcBorders>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eastAsia="Calibri" w:hAnsiTheme="minorHAnsi"/>
                <w:noProof/>
                <w:sz w:val="14"/>
                <w:szCs w:val="14"/>
                <w:lang w:eastAsia="en-GB"/>
              </w:rPr>
            </w:pPr>
            <w:r>
              <w:rPr>
                <w:rFonts w:asciiTheme="minorHAnsi" w:eastAsia="Calibri" w:hAnsiTheme="minorHAnsi"/>
                <w:noProof/>
                <w:sz w:val="14"/>
                <w:szCs w:val="14"/>
                <w:lang w:eastAsia="en-GB"/>
              </w:rPr>
              <w:t>MELODI</w:t>
            </w:r>
          </w:p>
        </w:tc>
        <w:tc>
          <w:tcPr>
            <w:tcW w:w="7088" w:type="dxa"/>
            <w:tcBorders>
              <w:top w:val="single" w:sz="6" w:space="0" w:color="FFFFFF" w:themeColor="background1"/>
            </w:tcBorders>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Multidisciplinary European Low-Dose Initiative (http://www.melodi-online.eu/)</w:t>
            </w:r>
          </w:p>
        </w:tc>
      </w:tr>
      <w:tr w:rsidR="00EC06FD">
        <w:trPr>
          <w:trHeight w:val="113"/>
          <w:jc w:val="center"/>
        </w:trPr>
        <w:tc>
          <w:tcPr>
            <w:tcW w:w="538" w:type="dxa"/>
            <w:vMerge w:val="restart"/>
            <w:tcBorders>
              <w:top w:val="single" w:sz="12" w:space="0" w:color="FFFFFF" w:themeColor="background1"/>
            </w:tcBorders>
            <w:shd w:val="clear" w:color="auto" w:fill="C6D9F1" w:themeFill="text2" w:themeFillTint="33"/>
            <w:textDirection w:val="btLr"/>
            <w:vAlign w:val="center"/>
          </w:tcPr>
          <w:p w:rsidR="00EC06FD" w:rsidRDefault="00F346DE">
            <w:pPr>
              <w:pStyle w:val="Caption"/>
              <w:keepNext/>
              <w:suppressAutoHyphens/>
              <w:spacing w:before="0" w:after="0" w:line="276" w:lineRule="auto"/>
              <w:ind w:left="113" w:right="113"/>
              <w:contextualSpacing/>
              <w:jc w:val="center"/>
              <w:rPr>
                <w:rFonts w:asciiTheme="minorHAnsi" w:hAnsiTheme="minorHAnsi" w:cstheme="minorHAnsi"/>
                <w:noProof/>
                <w:sz w:val="16"/>
                <w:szCs w:val="16"/>
              </w:rPr>
            </w:pPr>
            <w:r>
              <w:rPr>
                <w:rFonts w:asciiTheme="minorHAnsi" w:eastAsia="Calibri" w:hAnsiTheme="minorHAnsi"/>
                <w:noProof/>
                <w:sz w:val="16"/>
                <w:szCs w:val="16"/>
                <w:lang w:eastAsia="en-GB"/>
              </w:rPr>
              <w:t>Implementation and monitoring</w:t>
            </w:r>
          </w:p>
        </w:tc>
        <w:tc>
          <w:tcPr>
            <w:tcW w:w="1271" w:type="dxa"/>
            <w:tcBorders>
              <w:top w:val="single" w:sz="12" w:space="0" w:color="FFFFFF" w:themeColor="background1"/>
            </w:tcBorders>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hAnsiTheme="minorHAnsi" w:cstheme="minorHAnsi"/>
                <w:noProof/>
                <w:sz w:val="14"/>
                <w:szCs w:val="14"/>
              </w:rPr>
            </w:pPr>
            <w:r>
              <w:rPr>
                <w:rFonts w:asciiTheme="minorHAnsi" w:eastAsia="Calibri" w:hAnsiTheme="minorHAnsi"/>
                <w:noProof/>
                <w:sz w:val="14"/>
                <w:szCs w:val="14"/>
                <w:lang w:eastAsia="en-GB"/>
              </w:rPr>
              <w:t>Applicant</w:t>
            </w:r>
          </w:p>
        </w:tc>
        <w:tc>
          <w:tcPr>
            <w:tcW w:w="7088" w:type="dxa"/>
            <w:tcBorders>
              <w:top w:val="single" w:sz="12" w:space="0" w:color="FFFFFF" w:themeColor="background1"/>
            </w:tcBorders>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Legal entity submitting an application for a call for proposals.</w:t>
            </w:r>
          </w:p>
        </w:tc>
      </w:tr>
      <w:tr w:rsidR="00EC06FD">
        <w:trPr>
          <w:trHeight w:val="113"/>
          <w:jc w:val="center"/>
        </w:trPr>
        <w:tc>
          <w:tcPr>
            <w:tcW w:w="538" w:type="dxa"/>
            <w:vMerge/>
            <w:shd w:val="clear" w:color="auto" w:fill="C6D9F1" w:themeFill="text2" w:themeFillTint="33"/>
          </w:tcPr>
          <w:p w:rsidR="00EC06FD" w:rsidRDefault="00EC06FD">
            <w:pPr>
              <w:pStyle w:val="Caption"/>
              <w:keepNext/>
              <w:suppressAutoHyphens/>
              <w:spacing w:before="0" w:after="0" w:line="276" w:lineRule="auto"/>
              <w:contextualSpacing/>
              <w:rPr>
                <w:rFonts w:asciiTheme="minorHAnsi" w:hAnsiTheme="minorHAnsi" w:cstheme="minorHAnsi"/>
                <w:noProof/>
                <w:sz w:val="16"/>
                <w:szCs w:val="16"/>
              </w:rPr>
            </w:pPr>
          </w:p>
        </w:tc>
        <w:tc>
          <w:tcPr>
            <w:tcW w:w="1271" w:type="dxa"/>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hAnsiTheme="minorHAnsi" w:cstheme="minorHAnsi"/>
                <w:noProof/>
                <w:sz w:val="14"/>
                <w:szCs w:val="14"/>
              </w:rPr>
            </w:pPr>
            <w:r>
              <w:rPr>
                <w:rFonts w:asciiTheme="minorHAnsi" w:eastAsia="Calibri" w:hAnsiTheme="minorHAnsi"/>
                <w:noProof/>
                <w:sz w:val="14"/>
                <w:szCs w:val="14"/>
                <w:lang w:eastAsia="en-GB"/>
              </w:rPr>
              <w:t>Application</w:t>
            </w:r>
          </w:p>
        </w:tc>
        <w:tc>
          <w:tcPr>
            <w:tcW w:w="7088" w:type="dxa"/>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The act of involvement of a legal entity in a Proposal. A single Applicant can apply in different proposals.</w:t>
            </w:r>
          </w:p>
        </w:tc>
      </w:tr>
      <w:tr w:rsidR="00EC06FD">
        <w:trPr>
          <w:trHeight w:val="113"/>
          <w:jc w:val="center"/>
        </w:trPr>
        <w:tc>
          <w:tcPr>
            <w:tcW w:w="538" w:type="dxa"/>
            <w:vMerge/>
            <w:shd w:val="clear" w:color="auto" w:fill="C6D9F1" w:themeFill="text2" w:themeFillTint="33"/>
          </w:tcPr>
          <w:p w:rsidR="00EC06FD" w:rsidRDefault="00EC06FD">
            <w:pPr>
              <w:pStyle w:val="Caption"/>
              <w:keepNext/>
              <w:suppressAutoHyphens/>
              <w:spacing w:before="0" w:after="0" w:line="276" w:lineRule="auto"/>
              <w:contextualSpacing/>
              <w:rPr>
                <w:rFonts w:asciiTheme="minorHAnsi" w:hAnsiTheme="minorHAnsi" w:cstheme="minorHAnsi"/>
                <w:noProof/>
                <w:sz w:val="16"/>
                <w:szCs w:val="16"/>
              </w:rPr>
            </w:pPr>
          </w:p>
        </w:tc>
        <w:tc>
          <w:tcPr>
            <w:tcW w:w="1271" w:type="dxa"/>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hAnsiTheme="minorHAnsi" w:cstheme="minorHAnsi"/>
                <w:noProof/>
                <w:sz w:val="14"/>
                <w:szCs w:val="14"/>
              </w:rPr>
            </w:pPr>
            <w:r>
              <w:rPr>
                <w:rFonts w:asciiTheme="minorHAnsi" w:eastAsia="Calibri" w:hAnsiTheme="minorHAnsi"/>
                <w:noProof/>
                <w:sz w:val="14"/>
                <w:szCs w:val="14"/>
                <w:lang w:eastAsia="en-GB"/>
              </w:rPr>
              <w:t>High Quality Proposal</w:t>
            </w:r>
          </w:p>
        </w:tc>
        <w:tc>
          <w:tcPr>
            <w:tcW w:w="7088" w:type="dxa"/>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A proposal that scores above set evaluation threshold, making it eligible for funding.</w:t>
            </w:r>
          </w:p>
        </w:tc>
      </w:tr>
      <w:tr w:rsidR="00EC06FD">
        <w:trPr>
          <w:trHeight w:val="113"/>
          <w:jc w:val="center"/>
        </w:trPr>
        <w:tc>
          <w:tcPr>
            <w:tcW w:w="538" w:type="dxa"/>
            <w:vMerge/>
            <w:shd w:val="clear" w:color="auto" w:fill="C6D9F1" w:themeFill="text2" w:themeFillTint="33"/>
          </w:tcPr>
          <w:p w:rsidR="00EC06FD" w:rsidRDefault="00EC06FD">
            <w:pPr>
              <w:pStyle w:val="Caption"/>
              <w:keepNext/>
              <w:suppressAutoHyphens/>
              <w:spacing w:before="0" w:after="0" w:line="276" w:lineRule="auto"/>
              <w:contextualSpacing/>
              <w:rPr>
                <w:rFonts w:asciiTheme="minorHAnsi" w:hAnsiTheme="minorHAnsi" w:cstheme="minorHAnsi"/>
                <w:noProof/>
                <w:sz w:val="16"/>
                <w:szCs w:val="16"/>
              </w:rPr>
            </w:pPr>
          </w:p>
        </w:tc>
        <w:tc>
          <w:tcPr>
            <w:tcW w:w="1271" w:type="dxa"/>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hAnsiTheme="minorHAnsi" w:cstheme="minorHAnsi"/>
                <w:noProof/>
                <w:sz w:val="14"/>
                <w:szCs w:val="14"/>
              </w:rPr>
            </w:pPr>
            <w:r>
              <w:rPr>
                <w:rFonts w:asciiTheme="minorHAnsi" w:eastAsia="Calibri" w:hAnsiTheme="minorHAnsi"/>
                <w:noProof/>
                <w:sz w:val="14"/>
                <w:szCs w:val="14"/>
                <w:lang w:eastAsia="en-GB"/>
              </w:rPr>
              <w:t>KPI</w:t>
            </w:r>
          </w:p>
        </w:tc>
        <w:tc>
          <w:tcPr>
            <w:tcW w:w="7088" w:type="dxa"/>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 xml:space="preserve">Key Performance Indicators in the legal basis of Euratom Programme </w:t>
            </w:r>
          </w:p>
        </w:tc>
      </w:tr>
      <w:tr w:rsidR="00EC06FD">
        <w:trPr>
          <w:trHeight w:val="113"/>
          <w:jc w:val="center"/>
        </w:trPr>
        <w:tc>
          <w:tcPr>
            <w:tcW w:w="538" w:type="dxa"/>
            <w:vMerge/>
            <w:shd w:val="clear" w:color="auto" w:fill="C6D9F1" w:themeFill="text2" w:themeFillTint="33"/>
          </w:tcPr>
          <w:p w:rsidR="00EC06FD" w:rsidRDefault="00EC06FD">
            <w:pPr>
              <w:pStyle w:val="Caption"/>
              <w:keepNext/>
              <w:suppressAutoHyphens/>
              <w:spacing w:before="0" w:after="0" w:line="276" w:lineRule="auto"/>
              <w:contextualSpacing/>
              <w:rPr>
                <w:rFonts w:asciiTheme="minorHAnsi" w:hAnsiTheme="minorHAnsi" w:cstheme="minorHAnsi"/>
                <w:noProof/>
                <w:sz w:val="16"/>
                <w:szCs w:val="16"/>
              </w:rPr>
            </w:pPr>
          </w:p>
        </w:tc>
        <w:tc>
          <w:tcPr>
            <w:tcW w:w="1271" w:type="dxa"/>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eastAsia="Calibri" w:hAnsiTheme="minorHAnsi"/>
                <w:noProof/>
                <w:sz w:val="14"/>
                <w:szCs w:val="14"/>
                <w:lang w:eastAsia="en-GB"/>
              </w:rPr>
            </w:pPr>
            <w:r>
              <w:rPr>
                <w:rFonts w:asciiTheme="minorHAnsi" w:eastAsia="Calibri" w:hAnsiTheme="minorHAnsi"/>
                <w:noProof/>
                <w:sz w:val="14"/>
                <w:szCs w:val="14"/>
                <w:lang w:eastAsia="en-GB"/>
              </w:rPr>
              <w:t>Newcomer</w:t>
            </w:r>
          </w:p>
        </w:tc>
        <w:tc>
          <w:tcPr>
            <w:tcW w:w="7088" w:type="dxa"/>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 xml:space="preserve">A participant in Euratom Programme who was not involved in Euratom FP7 Project </w:t>
            </w:r>
          </w:p>
        </w:tc>
      </w:tr>
      <w:tr w:rsidR="00EC06FD">
        <w:trPr>
          <w:trHeight w:val="113"/>
          <w:jc w:val="center"/>
        </w:trPr>
        <w:tc>
          <w:tcPr>
            <w:tcW w:w="538" w:type="dxa"/>
            <w:vMerge/>
            <w:shd w:val="clear" w:color="auto" w:fill="C6D9F1" w:themeFill="text2" w:themeFillTint="33"/>
          </w:tcPr>
          <w:p w:rsidR="00EC06FD" w:rsidRDefault="00EC06FD">
            <w:pPr>
              <w:pStyle w:val="Caption"/>
              <w:keepNext/>
              <w:suppressAutoHyphens/>
              <w:spacing w:before="0" w:after="0" w:line="276" w:lineRule="auto"/>
              <w:contextualSpacing/>
              <w:rPr>
                <w:rFonts w:asciiTheme="minorHAnsi" w:hAnsiTheme="minorHAnsi" w:cstheme="minorHAnsi"/>
                <w:noProof/>
                <w:sz w:val="16"/>
                <w:szCs w:val="16"/>
              </w:rPr>
            </w:pPr>
          </w:p>
        </w:tc>
        <w:tc>
          <w:tcPr>
            <w:tcW w:w="1271" w:type="dxa"/>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eastAsia="Calibri" w:hAnsiTheme="minorHAnsi"/>
                <w:noProof/>
                <w:sz w:val="14"/>
                <w:szCs w:val="14"/>
                <w:lang w:eastAsia="en-GB"/>
              </w:rPr>
            </w:pPr>
            <w:r>
              <w:rPr>
                <w:rFonts w:asciiTheme="minorHAnsi" w:eastAsia="Calibri" w:hAnsiTheme="minorHAnsi"/>
                <w:noProof/>
                <w:sz w:val="14"/>
                <w:szCs w:val="14"/>
                <w:lang w:eastAsia="en-GB"/>
              </w:rPr>
              <w:t>Participant</w:t>
            </w:r>
          </w:p>
        </w:tc>
        <w:tc>
          <w:tcPr>
            <w:tcW w:w="7088" w:type="dxa"/>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Any legal entity carrying out an action or part of an action under Euratom Programme 2014-2018.</w:t>
            </w:r>
          </w:p>
        </w:tc>
      </w:tr>
      <w:tr w:rsidR="00EC06FD">
        <w:trPr>
          <w:trHeight w:val="113"/>
          <w:jc w:val="center"/>
        </w:trPr>
        <w:tc>
          <w:tcPr>
            <w:tcW w:w="538" w:type="dxa"/>
            <w:vMerge/>
            <w:shd w:val="clear" w:color="auto" w:fill="C6D9F1" w:themeFill="text2" w:themeFillTint="33"/>
          </w:tcPr>
          <w:p w:rsidR="00EC06FD" w:rsidRDefault="00EC06FD">
            <w:pPr>
              <w:pStyle w:val="Caption"/>
              <w:keepNext/>
              <w:suppressAutoHyphens/>
              <w:spacing w:before="0" w:after="0" w:line="276" w:lineRule="auto"/>
              <w:contextualSpacing/>
              <w:rPr>
                <w:rFonts w:asciiTheme="minorHAnsi" w:hAnsiTheme="minorHAnsi" w:cstheme="minorHAnsi"/>
                <w:noProof/>
                <w:sz w:val="16"/>
                <w:szCs w:val="16"/>
              </w:rPr>
            </w:pPr>
          </w:p>
        </w:tc>
        <w:tc>
          <w:tcPr>
            <w:tcW w:w="1271" w:type="dxa"/>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eastAsia="Calibri" w:hAnsiTheme="minorHAnsi"/>
                <w:noProof/>
                <w:sz w:val="14"/>
                <w:szCs w:val="14"/>
                <w:lang w:eastAsia="en-GB"/>
              </w:rPr>
            </w:pPr>
            <w:r>
              <w:rPr>
                <w:rFonts w:asciiTheme="minorHAnsi" w:eastAsia="Calibri" w:hAnsiTheme="minorHAnsi"/>
                <w:noProof/>
                <w:sz w:val="14"/>
                <w:szCs w:val="14"/>
                <w:lang w:eastAsia="en-GB"/>
              </w:rPr>
              <w:t>Participation</w:t>
            </w:r>
          </w:p>
        </w:tc>
        <w:tc>
          <w:tcPr>
            <w:tcW w:w="7088" w:type="dxa"/>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The act of involvement of a legal entity in a Project. A single Participant can be involved in multiple Projects.</w:t>
            </w:r>
          </w:p>
        </w:tc>
      </w:tr>
      <w:tr w:rsidR="00EC06FD">
        <w:trPr>
          <w:trHeight w:val="113"/>
          <w:jc w:val="center"/>
        </w:trPr>
        <w:tc>
          <w:tcPr>
            <w:tcW w:w="538" w:type="dxa"/>
            <w:vMerge/>
            <w:shd w:val="clear" w:color="auto" w:fill="C6D9F1" w:themeFill="text2" w:themeFillTint="33"/>
          </w:tcPr>
          <w:p w:rsidR="00EC06FD" w:rsidRDefault="00EC06FD">
            <w:pPr>
              <w:pStyle w:val="Caption"/>
              <w:keepNext/>
              <w:suppressAutoHyphens/>
              <w:spacing w:before="0" w:after="0" w:line="276" w:lineRule="auto"/>
              <w:contextualSpacing/>
              <w:rPr>
                <w:rFonts w:asciiTheme="minorHAnsi" w:hAnsiTheme="minorHAnsi" w:cstheme="minorHAnsi"/>
                <w:noProof/>
                <w:sz w:val="16"/>
                <w:szCs w:val="16"/>
              </w:rPr>
            </w:pPr>
          </w:p>
        </w:tc>
        <w:tc>
          <w:tcPr>
            <w:tcW w:w="1271" w:type="dxa"/>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eastAsia="Calibri" w:hAnsiTheme="minorHAnsi"/>
                <w:noProof/>
                <w:sz w:val="14"/>
                <w:szCs w:val="14"/>
                <w:lang w:eastAsia="en-GB"/>
              </w:rPr>
            </w:pPr>
            <w:r>
              <w:rPr>
                <w:rFonts w:asciiTheme="minorHAnsi" w:eastAsia="Calibri" w:hAnsiTheme="minorHAnsi"/>
                <w:noProof/>
                <w:sz w:val="14"/>
                <w:szCs w:val="14"/>
                <w:lang w:eastAsia="en-GB"/>
              </w:rPr>
              <w:t>Project</w:t>
            </w:r>
          </w:p>
        </w:tc>
        <w:tc>
          <w:tcPr>
            <w:tcW w:w="7088" w:type="dxa"/>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Successful proposals for which a Grant Agreement is "signed".</w:t>
            </w:r>
          </w:p>
        </w:tc>
      </w:tr>
      <w:tr w:rsidR="00EC06FD">
        <w:trPr>
          <w:trHeight w:val="113"/>
          <w:jc w:val="center"/>
        </w:trPr>
        <w:tc>
          <w:tcPr>
            <w:tcW w:w="538" w:type="dxa"/>
            <w:vMerge/>
            <w:shd w:val="clear" w:color="auto" w:fill="C6D9F1" w:themeFill="text2" w:themeFillTint="33"/>
          </w:tcPr>
          <w:p w:rsidR="00EC06FD" w:rsidRDefault="00EC06FD">
            <w:pPr>
              <w:pStyle w:val="Caption"/>
              <w:keepNext/>
              <w:suppressAutoHyphens/>
              <w:spacing w:before="0" w:after="0" w:line="276" w:lineRule="auto"/>
              <w:contextualSpacing/>
              <w:rPr>
                <w:rFonts w:asciiTheme="minorHAnsi" w:hAnsiTheme="minorHAnsi" w:cstheme="minorHAnsi"/>
                <w:noProof/>
                <w:sz w:val="16"/>
                <w:szCs w:val="16"/>
              </w:rPr>
            </w:pPr>
          </w:p>
        </w:tc>
        <w:tc>
          <w:tcPr>
            <w:tcW w:w="1271" w:type="dxa"/>
            <w:shd w:val="clear" w:color="auto" w:fill="C6D9F1" w:themeFill="text2" w:themeFillTint="33"/>
            <w:vAlign w:val="center"/>
          </w:tcPr>
          <w:p w:rsidR="00EC06FD" w:rsidRDefault="00F346DE">
            <w:pPr>
              <w:pStyle w:val="Caption"/>
              <w:keepNext/>
              <w:suppressAutoHyphens/>
              <w:spacing w:before="0" w:after="0" w:line="276" w:lineRule="auto"/>
              <w:contextualSpacing/>
              <w:jc w:val="left"/>
              <w:rPr>
                <w:rFonts w:asciiTheme="minorHAnsi" w:eastAsia="Calibri" w:hAnsiTheme="minorHAnsi"/>
                <w:noProof/>
                <w:sz w:val="14"/>
                <w:szCs w:val="14"/>
                <w:lang w:eastAsia="en-GB"/>
              </w:rPr>
            </w:pPr>
            <w:r>
              <w:rPr>
                <w:rFonts w:asciiTheme="minorHAnsi" w:eastAsia="Calibri" w:hAnsiTheme="minorHAnsi"/>
                <w:noProof/>
                <w:sz w:val="14"/>
                <w:szCs w:val="14"/>
                <w:lang w:eastAsia="en-GB"/>
              </w:rPr>
              <w:t>SME</w:t>
            </w:r>
          </w:p>
        </w:tc>
        <w:tc>
          <w:tcPr>
            <w:tcW w:w="7088" w:type="dxa"/>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 xml:space="preserve">Small or Medium-Sized Enterprise. </w:t>
            </w:r>
          </w:p>
        </w:tc>
      </w:tr>
      <w:tr w:rsidR="00EC06FD">
        <w:trPr>
          <w:trHeight w:val="113"/>
          <w:jc w:val="center"/>
        </w:trPr>
        <w:tc>
          <w:tcPr>
            <w:tcW w:w="538" w:type="dxa"/>
            <w:vMerge/>
            <w:shd w:val="clear" w:color="auto" w:fill="C6D9F1" w:themeFill="text2" w:themeFillTint="33"/>
          </w:tcPr>
          <w:p w:rsidR="00EC06FD" w:rsidRDefault="00EC06FD">
            <w:pPr>
              <w:pStyle w:val="Caption"/>
              <w:keepNext/>
              <w:suppressAutoHyphens/>
              <w:spacing w:before="0" w:after="0" w:line="276" w:lineRule="auto"/>
              <w:contextualSpacing/>
              <w:rPr>
                <w:rFonts w:asciiTheme="minorHAnsi" w:hAnsiTheme="minorHAnsi" w:cstheme="minorHAnsi"/>
                <w:noProof/>
                <w:sz w:val="16"/>
                <w:szCs w:val="16"/>
              </w:rPr>
            </w:pPr>
          </w:p>
        </w:tc>
        <w:tc>
          <w:tcPr>
            <w:tcW w:w="1271" w:type="dxa"/>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eastAsia="Calibri" w:hAnsiTheme="minorHAnsi"/>
                <w:noProof/>
                <w:sz w:val="14"/>
                <w:szCs w:val="14"/>
                <w:lang w:eastAsia="en-GB"/>
              </w:rPr>
            </w:pPr>
            <w:r>
              <w:rPr>
                <w:rFonts w:asciiTheme="minorHAnsi" w:eastAsia="Calibri" w:hAnsiTheme="minorHAnsi"/>
                <w:noProof/>
                <w:sz w:val="14"/>
                <w:szCs w:val="14"/>
                <w:lang w:eastAsia="en-GB"/>
              </w:rPr>
              <w:t xml:space="preserve">Success rate </w:t>
            </w:r>
          </w:p>
        </w:tc>
        <w:tc>
          <w:tcPr>
            <w:tcW w:w="7088" w:type="dxa"/>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 xml:space="preserve">The number of proposals that are retained for funding over the number of eligible proposals. </w:t>
            </w:r>
          </w:p>
        </w:tc>
      </w:tr>
      <w:tr w:rsidR="00EC06FD">
        <w:trPr>
          <w:trHeight w:val="113"/>
          <w:jc w:val="center"/>
        </w:trPr>
        <w:tc>
          <w:tcPr>
            <w:tcW w:w="538" w:type="dxa"/>
            <w:vMerge/>
            <w:shd w:val="clear" w:color="auto" w:fill="C6D9F1" w:themeFill="text2" w:themeFillTint="33"/>
          </w:tcPr>
          <w:p w:rsidR="00EC06FD" w:rsidRDefault="00EC06FD">
            <w:pPr>
              <w:pStyle w:val="Caption"/>
              <w:keepNext/>
              <w:suppressAutoHyphens/>
              <w:spacing w:before="0" w:after="0" w:line="276" w:lineRule="auto"/>
              <w:contextualSpacing/>
              <w:rPr>
                <w:rFonts w:asciiTheme="minorHAnsi" w:hAnsiTheme="minorHAnsi" w:cstheme="minorHAnsi"/>
                <w:noProof/>
                <w:sz w:val="16"/>
                <w:szCs w:val="16"/>
              </w:rPr>
            </w:pPr>
          </w:p>
        </w:tc>
        <w:tc>
          <w:tcPr>
            <w:tcW w:w="1271" w:type="dxa"/>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hAnsiTheme="minorHAnsi" w:cstheme="minorHAnsi"/>
                <w:noProof/>
                <w:sz w:val="14"/>
                <w:szCs w:val="14"/>
              </w:rPr>
            </w:pPr>
            <w:r>
              <w:rPr>
                <w:rFonts w:asciiTheme="minorHAnsi" w:eastAsia="Calibri" w:hAnsiTheme="minorHAnsi"/>
                <w:noProof/>
                <w:sz w:val="14"/>
                <w:szCs w:val="14"/>
                <w:lang w:eastAsia="en-GB"/>
              </w:rPr>
              <w:t>Time to grant</w:t>
            </w:r>
          </w:p>
        </w:tc>
        <w:tc>
          <w:tcPr>
            <w:tcW w:w="7088" w:type="dxa"/>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 xml:space="preserve">The elapsed time between the call closing date and the signing of the grant agreement, which marks the official start of the project. </w:t>
            </w:r>
          </w:p>
        </w:tc>
      </w:tr>
      <w:tr w:rsidR="00EC06FD">
        <w:trPr>
          <w:trHeight w:val="113"/>
          <w:jc w:val="center"/>
        </w:trPr>
        <w:tc>
          <w:tcPr>
            <w:tcW w:w="538" w:type="dxa"/>
            <w:vMerge/>
            <w:shd w:val="clear" w:color="auto" w:fill="C6D9F1" w:themeFill="text2" w:themeFillTint="33"/>
          </w:tcPr>
          <w:p w:rsidR="00EC06FD" w:rsidRDefault="00EC06FD">
            <w:pPr>
              <w:pStyle w:val="Caption"/>
              <w:keepNext/>
              <w:suppressAutoHyphens/>
              <w:spacing w:before="0" w:after="0" w:line="276" w:lineRule="auto"/>
              <w:contextualSpacing/>
              <w:rPr>
                <w:rFonts w:asciiTheme="minorHAnsi" w:hAnsiTheme="minorHAnsi" w:cstheme="minorHAnsi"/>
                <w:noProof/>
                <w:sz w:val="16"/>
                <w:szCs w:val="16"/>
              </w:rPr>
            </w:pPr>
          </w:p>
        </w:tc>
        <w:tc>
          <w:tcPr>
            <w:tcW w:w="1271" w:type="dxa"/>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eastAsia="Calibri" w:hAnsiTheme="minorHAnsi"/>
                <w:noProof/>
                <w:sz w:val="14"/>
                <w:szCs w:val="14"/>
                <w:lang w:eastAsia="en-GB"/>
              </w:rPr>
            </w:pPr>
            <w:r>
              <w:rPr>
                <w:rFonts w:asciiTheme="minorHAnsi" w:eastAsia="Calibri" w:hAnsiTheme="minorHAnsi"/>
                <w:noProof/>
                <w:sz w:val="14"/>
                <w:szCs w:val="14"/>
                <w:lang w:eastAsia="en-GB"/>
              </w:rPr>
              <w:t>TRL</w:t>
            </w:r>
          </w:p>
        </w:tc>
        <w:tc>
          <w:tcPr>
            <w:tcW w:w="7088" w:type="dxa"/>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Technology Readiness Levels</w:t>
            </w:r>
            <w:r>
              <w:rPr>
                <w:noProof/>
              </w:rPr>
              <w:t xml:space="preserve"> </w:t>
            </w:r>
            <w:r>
              <w:rPr>
                <w:rFonts w:asciiTheme="minorHAnsi" w:eastAsia="Calibri" w:hAnsiTheme="minorHAnsi"/>
                <w:noProof/>
                <w:sz w:val="14"/>
                <w:szCs w:val="14"/>
              </w:rPr>
              <w:t>are indicators of the maturity level of particular technologies. This measurement system provides a common understanding of technology status and addresses the entire innovation chain: TRL 1 – basic principles observed; TRL 2 – technology concept formulate; TRL 3 – experimental proof of concept; TRL 4 – technology validated in lab; TRL 5 – technology validated in relevant environment; TRL 6 – technology demonstrated in relevant environment; TRL 7 – system prototype demonstration in operational environment; TRL 8 – system complete and qualified; TRL 9 – actual system proven in operational environment</w:t>
            </w:r>
          </w:p>
        </w:tc>
      </w:tr>
      <w:tr w:rsidR="00EC06FD">
        <w:trPr>
          <w:trHeight w:val="423"/>
          <w:jc w:val="center"/>
        </w:trPr>
        <w:tc>
          <w:tcPr>
            <w:tcW w:w="538" w:type="dxa"/>
            <w:vMerge w:val="restart"/>
            <w:tcBorders>
              <w:top w:val="single" w:sz="12" w:space="0" w:color="FFFFFF" w:themeColor="background1"/>
              <w:bottom w:val="single" w:sz="6" w:space="0" w:color="FFFFFF" w:themeColor="background1"/>
            </w:tcBorders>
            <w:shd w:val="clear" w:color="auto" w:fill="C6D9F1" w:themeFill="text2" w:themeFillTint="33"/>
            <w:textDirection w:val="btLr"/>
          </w:tcPr>
          <w:p w:rsidR="00EC06FD" w:rsidRDefault="00F346DE">
            <w:pPr>
              <w:pStyle w:val="Caption"/>
              <w:keepNext/>
              <w:suppressAutoHyphens/>
              <w:spacing w:before="0" w:after="0" w:line="276" w:lineRule="auto"/>
              <w:ind w:left="113" w:right="113"/>
              <w:contextualSpacing/>
              <w:jc w:val="left"/>
              <w:rPr>
                <w:rFonts w:asciiTheme="minorHAnsi" w:hAnsiTheme="minorHAnsi" w:cstheme="minorHAnsi"/>
                <w:noProof/>
                <w:sz w:val="16"/>
                <w:szCs w:val="16"/>
              </w:rPr>
            </w:pPr>
            <w:r>
              <w:rPr>
                <w:rFonts w:asciiTheme="minorHAnsi" w:hAnsiTheme="minorHAnsi" w:cstheme="minorHAnsi"/>
                <w:noProof/>
                <w:sz w:val="16"/>
                <w:szCs w:val="16"/>
              </w:rPr>
              <w:t>Types of action</w:t>
            </w:r>
          </w:p>
        </w:tc>
        <w:tc>
          <w:tcPr>
            <w:tcW w:w="1271" w:type="dxa"/>
            <w:tcBorders>
              <w:top w:val="single" w:sz="12" w:space="0" w:color="FFFFFF" w:themeColor="background1"/>
            </w:tcBorders>
            <w:shd w:val="clear" w:color="auto" w:fill="C6D9F1" w:themeFill="text2" w:themeFillTint="33"/>
          </w:tcPr>
          <w:p w:rsidR="00EC06FD" w:rsidRDefault="00EC06FD">
            <w:pPr>
              <w:pStyle w:val="Caption"/>
              <w:keepNext/>
              <w:suppressAutoHyphens/>
              <w:spacing w:before="0" w:after="0" w:line="276" w:lineRule="auto"/>
              <w:contextualSpacing/>
              <w:jc w:val="left"/>
              <w:rPr>
                <w:rFonts w:asciiTheme="minorHAnsi" w:eastAsia="Calibri" w:hAnsiTheme="minorHAnsi"/>
                <w:noProof/>
                <w:sz w:val="14"/>
                <w:szCs w:val="14"/>
                <w:lang w:eastAsia="en-GB"/>
              </w:rPr>
            </w:pPr>
          </w:p>
          <w:p w:rsidR="00EC06FD" w:rsidRDefault="00F346DE">
            <w:pPr>
              <w:pStyle w:val="Caption"/>
              <w:keepNext/>
              <w:suppressAutoHyphens/>
              <w:spacing w:before="0" w:after="0" w:line="276" w:lineRule="auto"/>
              <w:contextualSpacing/>
              <w:jc w:val="left"/>
              <w:rPr>
                <w:rFonts w:asciiTheme="minorHAnsi" w:eastAsia="Calibri" w:hAnsiTheme="minorHAnsi"/>
                <w:noProof/>
                <w:sz w:val="14"/>
                <w:szCs w:val="14"/>
                <w:lang w:eastAsia="en-GB"/>
              </w:rPr>
            </w:pPr>
            <w:r>
              <w:rPr>
                <w:rFonts w:asciiTheme="minorHAnsi" w:eastAsia="Calibri" w:hAnsiTheme="minorHAnsi"/>
                <w:noProof/>
                <w:sz w:val="14"/>
                <w:szCs w:val="14"/>
                <w:lang w:eastAsia="en-GB"/>
              </w:rPr>
              <w:t>CSA</w:t>
            </w:r>
          </w:p>
        </w:tc>
        <w:tc>
          <w:tcPr>
            <w:tcW w:w="7088" w:type="dxa"/>
            <w:tcBorders>
              <w:top w:val="single" w:sz="12" w:space="0" w:color="FFFFFF" w:themeColor="background1"/>
            </w:tcBorders>
            <w:shd w:val="clear" w:color="auto" w:fill="DBE5F1" w:themeFill="accent1" w:themeFillTint="33"/>
          </w:tcPr>
          <w:p w:rsidR="00EC06FD" w:rsidRDefault="00EC06FD">
            <w:pPr>
              <w:suppressAutoHyphens/>
              <w:spacing w:line="276" w:lineRule="auto"/>
              <w:contextualSpacing/>
              <w:jc w:val="both"/>
              <w:rPr>
                <w:rFonts w:asciiTheme="minorHAnsi" w:eastAsia="Calibri" w:hAnsiTheme="minorHAnsi"/>
                <w:noProof/>
                <w:sz w:val="14"/>
                <w:szCs w:val="14"/>
              </w:rPr>
            </w:pPr>
          </w:p>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 xml:space="preserve">Coordination and Support Action </w:t>
            </w:r>
          </w:p>
        </w:tc>
      </w:tr>
      <w:tr w:rsidR="00EC06FD">
        <w:trPr>
          <w:trHeight w:val="113"/>
          <w:jc w:val="center"/>
        </w:trPr>
        <w:tc>
          <w:tcPr>
            <w:tcW w:w="538" w:type="dxa"/>
            <w:vMerge/>
            <w:tcBorders>
              <w:top w:val="single" w:sz="6" w:space="0" w:color="FFFFFF" w:themeColor="background1"/>
              <w:bottom w:val="single" w:sz="6" w:space="0" w:color="FFFFFF" w:themeColor="background1"/>
            </w:tcBorders>
            <w:shd w:val="clear" w:color="auto" w:fill="C6D9F1" w:themeFill="text2" w:themeFillTint="33"/>
          </w:tcPr>
          <w:p w:rsidR="00EC06FD" w:rsidRDefault="00EC06FD">
            <w:pPr>
              <w:pStyle w:val="Caption"/>
              <w:keepNext/>
              <w:suppressAutoHyphens/>
              <w:spacing w:before="0" w:after="0" w:line="276" w:lineRule="auto"/>
              <w:contextualSpacing/>
              <w:rPr>
                <w:rFonts w:asciiTheme="minorHAnsi" w:hAnsiTheme="minorHAnsi" w:cstheme="minorHAnsi"/>
                <w:noProof/>
                <w:sz w:val="16"/>
                <w:szCs w:val="16"/>
              </w:rPr>
            </w:pPr>
          </w:p>
        </w:tc>
        <w:tc>
          <w:tcPr>
            <w:tcW w:w="1271" w:type="dxa"/>
            <w:tcBorders>
              <w:top w:val="single" w:sz="6" w:space="0" w:color="FFFFFF" w:themeColor="background1"/>
              <w:bottom w:val="single" w:sz="6" w:space="0" w:color="FFFFFF" w:themeColor="background1"/>
            </w:tcBorders>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eastAsia="Calibri" w:hAnsiTheme="minorHAnsi"/>
                <w:noProof/>
                <w:sz w:val="14"/>
                <w:szCs w:val="14"/>
                <w:lang w:eastAsia="en-GB"/>
              </w:rPr>
            </w:pPr>
            <w:r>
              <w:rPr>
                <w:rFonts w:asciiTheme="minorHAnsi" w:eastAsia="Calibri" w:hAnsiTheme="minorHAnsi"/>
                <w:noProof/>
                <w:sz w:val="14"/>
                <w:szCs w:val="14"/>
                <w:lang w:eastAsia="en-GB"/>
              </w:rPr>
              <w:t>IA</w:t>
            </w:r>
          </w:p>
        </w:tc>
        <w:tc>
          <w:tcPr>
            <w:tcW w:w="7088" w:type="dxa"/>
            <w:tcBorders>
              <w:top w:val="single" w:sz="6" w:space="0" w:color="FFFFFF" w:themeColor="background1"/>
              <w:bottom w:val="single" w:sz="6" w:space="0" w:color="FFFFFF" w:themeColor="background1"/>
            </w:tcBorders>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 xml:space="preserve">Innovation Action </w:t>
            </w:r>
          </w:p>
        </w:tc>
      </w:tr>
      <w:tr w:rsidR="00EC06FD">
        <w:trPr>
          <w:trHeight w:val="308"/>
          <w:jc w:val="center"/>
        </w:trPr>
        <w:tc>
          <w:tcPr>
            <w:tcW w:w="538" w:type="dxa"/>
            <w:vMerge/>
            <w:tcBorders>
              <w:top w:val="single" w:sz="6" w:space="0" w:color="FFFFFF" w:themeColor="background1"/>
              <w:bottom w:val="single" w:sz="6" w:space="0" w:color="FFFFFF" w:themeColor="background1"/>
            </w:tcBorders>
            <w:shd w:val="clear" w:color="auto" w:fill="C6D9F1" w:themeFill="text2" w:themeFillTint="33"/>
          </w:tcPr>
          <w:p w:rsidR="00EC06FD" w:rsidRDefault="00EC06FD">
            <w:pPr>
              <w:pStyle w:val="Caption"/>
              <w:keepNext/>
              <w:suppressAutoHyphens/>
              <w:spacing w:before="0" w:after="0" w:line="276" w:lineRule="auto"/>
              <w:contextualSpacing/>
              <w:rPr>
                <w:rFonts w:asciiTheme="minorHAnsi" w:hAnsiTheme="minorHAnsi" w:cstheme="minorHAnsi"/>
                <w:noProof/>
                <w:sz w:val="16"/>
                <w:szCs w:val="16"/>
              </w:rPr>
            </w:pPr>
          </w:p>
        </w:tc>
        <w:tc>
          <w:tcPr>
            <w:tcW w:w="1271" w:type="dxa"/>
            <w:tcBorders>
              <w:top w:val="single" w:sz="6" w:space="0" w:color="FFFFFF" w:themeColor="background1"/>
              <w:bottom w:val="single" w:sz="6" w:space="0" w:color="FFFFFF" w:themeColor="background1"/>
            </w:tcBorders>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eastAsia="Calibri" w:hAnsiTheme="minorHAnsi"/>
                <w:noProof/>
                <w:sz w:val="14"/>
                <w:szCs w:val="14"/>
                <w:lang w:eastAsia="en-GB"/>
              </w:rPr>
            </w:pPr>
            <w:r>
              <w:rPr>
                <w:rFonts w:asciiTheme="minorHAnsi" w:eastAsia="Calibri" w:hAnsiTheme="minorHAnsi"/>
                <w:noProof/>
                <w:sz w:val="14"/>
                <w:szCs w:val="14"/>
                <w:lang w:eastAsia="en-GB"/>
              </w:rPr>
              <w:t>EJP-COFUND</w:t>
            </w:r>
          </w:p>
        </w:tc>
        <w:tc>
          <w:tcPr>
            <w:tcW w:w="7088" w:type="dxa"/>
            <w:tcBorders>
              <w:top w:val="single" w:sz="6" w:space="0" w:color="FFFFFF" w:themeColor="background1"/>
              <w:bottom w:val="single" w:sz="6" w:space="0" w:color="FFFFFF" w:themeColor="background1"/>
            </w:tcBorders>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European Joint Programme Cofund Action</w:t>
            </w:r>
          </w:p>
        </w:tc>
      </w:tr>
      <w:tr w:rsidR="00EC06FD">
        <w:trPr>
          <w:trHeight w:val="266"/>
          <w:jc w:val="center"/>
        </w:trPr>
        <w:tc>
          <w:tcPr>
            <w:tcW w:w="538" w:type="dxa"/>
            <w:vMerge/>
            <w:tcBorders>
              <w:top w:val="single" w:sz="6" w:space="0" w:color="FFFFFF" w:themeColor="background1"/>
              <w:bottom w:val="single" w:sz="6" w:space="0" w:color="FFFFFF" w:themeColor="background1"/>
            </w:tcBorders>
            <w:shd w:val="clear" w:color="auto" w:fill="C6D9F1" w:themeFill="text2" w:themeFillTint="33"/>
          </w:tcPr>
          <w:p w:rsidR="00EC06FD" w:rsidRDefault="00EC06FD">
            <w:pPr>
              <w:pStyle w:val="Caption"/>
              <w:keepNext/>
              <w:suppressAutoHyphens/>
              <w:spacing w:before="0" w:after="0" w:line="276" w:lineRule="auto"/>
              <w:contextualSpacing/>
              <w:rPr>
                <w:rFonts w:asciiTheme="minorHAnsi" w:hAnsiTheme="minorHAnsi" w:cstheme="minorHAnsi"/>
                <w:noProof/>
                <w:sz w:val="16"/>
                <w:szCs w:val="16"/>
              </w:rPr>
            </w:pPr>
          </w:p>
        </w:tc>
        <w:tc>
          <w:tcPr>
            <w:tcW w:w="1271" w:type="dxa"/>
            <w:tcBorders>
              <w:top w:val="single" w:sz="6" w:space="0" w:color="FFFFFF" w:themeColor="background1"/>
              <w:bottom w:val="single" w:sz="6" w:space="0" w:color="FFFFFF" w:themeColor="background1"/>
            </w:tcBorders>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eastAsia="Calibri" w:hAnsiTheme="minorHAnsi"/>
                <w:noProof/>
                <w:sz w:val="14"/>
                <w:szCs w:val="14"/>
                <w:lang w:eastAsia="en-GB"/>
              </w:rPr>
            </w:pPr>
            <w:r>
              <w:rPr>
                <w:rFonts w:asciiTheme="minorHAnsi" w:eastAsia="Calibri" w:hAnsiTheme="minorHAnsi"/>
                <w:noProof/>
                <w:sz w:val="14"/>
                <w:szCs w:val="14"/>
                <w:lang w:eastAsia="en-GB"/>
              </w:rPr>
              <w:t>RIA</w:t>
            </w:r>
          </w:p>
        </w:tc>
        <w:tc>
          <w:tcPr>
            <w:tcW w:w="7088" w:type="dxa"/>
            <w:tcBorders>
              <w:top w:val="single" w:sz="6" w:space="0" w:color="FFFFFF" w:themeColor="background1"/>
              <w:bottom w:val="single" w:sz="6" w:space="0" w:color="FFFFFF" w:themeColor="background1"/>
            </w:tcBorders>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 xml:space="preserve">Research and Innovation Action </w:t>
            </w:r>
          </w:p>
        </w:tc>
      </w:tr>
      <w:tr w:rsidR="00EC06FD">
        <w:trPr>
          <w:trHeight w:val="113"/>
          <w:jc w:val="center"/>
        </w:trPr>
        <w:tc>
          <w:tcPr>
            <w:tcW w:w="538" w:type="dxa"/>
            <w:vMerge w:val="restart"/>
            <w:tcBorders>
              <w:top w:val="single" w:sz="12" w:space="0" w:color="FFFFFF" w:themeColor="background1"/>
            </w:tcBorders>
            <w:shd w:val="clear" w:color="auto" w:fill="C6D9F1" w:themeFill="text2" w:themeFillTint="33"/>
            <w:textDirection w:val="btLr"/>
            <w:vAlign w:val="center"/>
          </w:tcPr>
          <w:p w:rsidR="00EC06FD" w:rsidRDefault="00F346DE">
            <w:pPr>
              <w:pStyle w:val="Caption"/>
              <w:keepNext/>
              <w:suppressAutoHyphens/>
              <w:spacing w:before="0" w:after="0" w:line="276" w:lineRule="auto"/>
              <w:ind w:left="113" w:right="113"/>
              <w:contextualSpacing/>
              <w:jc w:val="center"/>
              <w:rPr>
                <w:rFonts w:asciiTheme="minorHAnsi" w:eastAsia="Calibri" w:hAnsiTheme="minorHAnsi"/>
                <w:noProof/>
                <w:sz w:val="16"/>
                <w:szCs w:val="16"/>
                <w:lang w:eastAsia="en-GB"/>
              </w:rPr>
            </w:pPr>
            <w:r>
              <w:rPr>
                <w:rFonts w:asciiTheme="minorHAnsi" w:eastAsia="Calibri" w:hAnsiTheme="minorHAnsi"/>
                <w:noProof/>
                <w:sz w:val="16"/>
                <w:szCs w:val="16"/>
                <w:lang w:eastAsia="en-GB"/>
              </w:rPr>
              <w:t>Country group</w:t>
            </w:r>
          </w:p>
        </w:tc>
        <w:tc>
          <w:tcPr>
            <w:tcW w:w="1271" w:type="dxa"/>
            <w:tcBorders>
              <w:top w:val="single" w:sz="12" w:space="0" w:color="FFFFFF" w:themeColor="background1"/>
            </w:tcBorders>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hAnsiTheme="minorHAnsi" w:cstheme="minorHAnsi"/>
                <w:noProof/>
                <w:sz w:val="14"/>
                <w:szCs w:val="14"/>
              </w:rPr>
            </w:pPr>
            <w:r>
              <w:rPr>
                <w:rFonts w:asciiTheme="minorHAnsi" w:eastAsia="Calibri" w:hAnsiTheme="minorHAnsi"/>
                <w:noProof/>
                <w:sz w:val="14"/>
                <w:szCs w:val="14"/>
                <w:lang w:eastAsia="en-GB"/>
              </w:rPr>
              <w:t>Third Country</w:t>
            </w:r>
          </w:p>
        </w:tc>
        <w:tc>
          <w:tcPr>
            <w:tcW w:w="7088" w:type="dxa"/>
            <w:tcBorders>
              <w:top w:val="single" w:sz="12" w:space="0" w:color="FFFFFF" w:themeColor="background1"/>
            </w:tcBorders>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A state that is not a Member State of the EU. “Third Countries” do not include Associated Countries.</w:t>
            </w:r>
          </w:p>
        </w:tc>
      </w:tr>
      <w:tr w:rsidR="00EC06FD">
        <w:trPr>
          <w:trHeight w:val="113"/>
          <w:jc w:val="center"/>
        </w:trPr>
        <w:tc>
          <w:tcPr>
            <w:tcW w:w="538" w:type="dxa"/>
            <w:vMerge/>
            <w:shd w:val="clear" w:color="auto" w:fill="C6D9F1" w:themeFill="text2" w:themeFillTint="33"/>
          </w:tcPr>
          <w:p w:rsidR="00EC06FD" w:rsidRDefault="00EC06FD">
            <w:pPr>
              <w:pStyle w:val="Caption"/>
              <w:keepNext/>
              <w:suppressAutoHyphens/>
              <w:spacing w:before="0" w:after="0" w:line="276" w:lineRule="auto"/>
              <w:contextualSpacing/>
              <w:rPr>
                <w:rFonts w:asciiTheme="minorHAnsi" w:eastAsia="Calibri" w:hAnsiTheme="minorHAnsi"/>
                <w:noProof/>
                <w:sz w:val="16"/>
                <w:szCs w:val="16"/>
                <w:lang w:eastAsia="en-GB"/>
              </w:rPr>
            </w:pPr>
          </w:p>
        </w:tc>
        <w:tc>
          <w:tcPr>
            <w:tcW w:w="1271" w:type="dxa"/>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hAnsiTheme="minorHAnsi" w:cstheme="minorHAnsi"/>
                <w:noProof/>
                <w:sz w:val="14"/>
                <w:szCs w:val="14"/>
              </w:rPr>
            </w:pPr>
            <w:r>
              <w:rPr>
                <w:rFonts w:asciiTheme="minorHAnsi" w:eastAsia="Calibri" w:hAnsiTheme="minorHAnsi"/>
                <w:noProof/>
                <w:sz w:val="14"/>
                <w:szCs w:val="14"/>
                <w:lang w:eastAsia="en-GB"/>
              </w:rPr>
              <w:t>Associated Country</w:t>
            </w:r>
          </w:p>
        </w:tc>
        <w:tc>
          <w:tcPr>
            <w:tcW w:w="7088" w:type="dxa"/>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Third Countries that are party to an association agreement with the Euratom Research and Training Programme. They participate in Euratom Programme under the same conditions as EU Member States. 2 countries are associated to Euratom Programme: Switzerland (since 1979) and Ukraine (since 2016)</w:t>
            </w:r>
          </w:p>
        </w:tc>
      </w:tr>
      <w:tr w:rsidR="00EC06FD">
        <w:trPr>
          <w:trHeight w:val="267"/>
          <w:jc w:val="center"/>
        </w:trPr>
        <w:tc>
          <w:tcPr>
            <w:tcW w:w="538" w:type="dxa"/>
            <w:vMerge/>
            <w:shd w:val="clear" w:color="auto" w:fill="C6D9F1" w:themeFill="text2" w:themeFillTint="33"/>
          </w:tcPr>
          <w:p w:rsidR="00EC06FD" w:rsidRDefault="00EC06FD">
            <w:pPr>
              <w:pStyle w:val="Caption"/>
              <w:keepNext/>
              <w:suppressAutoHyphens/>
              <w:spacing w:before="0" w:after="0" w:line="276" w:lineRule="auto"/>
              <w:contextualSpacing/>
              <w:rPr>
                <w:rFonts w:asciiTheme="minorHAnsi" w:eastAsia="Calibri" w:hAnsiTheme="minorHAnsi"/>
                <w:noProof/>
                <w:sz w:val="16"/>
                <w:szCs w:val="16"/>
                <w:lang w:eastAsia="en-GB"/>
              </w:rPr>
            </w:pPr>
          </w:p>
        </w:tc>
        <w:tc>
          <w:tcPr>
            <w:tcW w:w="1271" w:type="dxa"/>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hAnsiTheme="minorHAnsi" w:cstheme="minorHAnsi"/>
                <w:noProof/>
                <w:sz w:val="14"/>
                <w:szCs w:val="14"/>
              </w:rPr>
            </w:pPr>
            <w:r>
              <w:rPr>
                <w:rFonts w:asciiTheme="minorHAnsi" w:hAnsiTheme="minorHAnsi" w:cstheme="minorHAnsi"/>
                <w:noProof/>
                <w:sz w:val="14"/>
                <w:szCs w:val="14"/>
              </w:rPr>
              <w:t>EU13</w:t>
            </w:r>
          </w:p>
        </w:tc>
        <w:tc>
          <w:tcPr>
            <w:tcW w:w="7088" w:type="dxa"/>
            <w:shd w:val="clear" w:color="auto" w:fill="DBE5F1" w:themeFill="accent1" w:themeFillTint="33"/>
          </w:tcPr>
          <w:p w:rsidR="00EC06FD" w:rsidRDefault="00F346DE">
            <w:pPr>
              <w:suppressAutoHyphens/>
              <w:spacing w:line="276" w:lineRule="auto"/>
              <w:jc w:val="both"/>
              <w:rPr>
                <w:rFonts w:asciiTheme="minorHAnsi" w:hAnsiTheme="minorHAnsi"/>
                <w:noProof/>
                <w:sz w:val="14"/>
                <w:szCs w:val="14"/>
              </w:rPr>
            </w:pPr>
            <w:r>
              <w:rPr>
                <w:rFonts w:asciiTheme="minorHAnsi" w:hAnsiTheme="minorHAnsi"/>
                <w:noProof/>
                <w:sz w:val="14"/>
                <w:szCs w:val="14"/>
              </w:rPr>
              <w:t>BG - Bulgaria, LT - Lithuania, SK - Slovakia, CY - Cyprus, LV - Latvia, CZ - Czech Republic, MT - Malta, EE - Estonia, PL - Poland, HR - Croatia, RO - Romania, HU - Hungary and SI – Slovenia</w:t>
            </w:r>
          </w:p>
        </w:tc>
      </w:tr>
      <w:tr w:rsidR="00EC06FD">
        <w:trPr>
          <w:trHeight w:val="201"/>
          <w:jc w:val="center"/>
        </w:trPr>
        <w:tc>
          <w:tcPr>
            <w:tcW w:w="538" w:type="dxa"/>
            <w:vMerge/>
            <w:shd w:val="clear" w:color="auto" w:fill="C6D9F1" w:themeFill="text2" w:themeFillTint="33"/>
          </w:tcPr>
          <w:p w:rsidR="00EC06FD" w:rsidRDefault="00EC06FD">
            <w:pPr>
              <w:pStyle w:val="Caption"/>
              <w:keepNext/>
              <w:suppressAutoHyphens/>
              <w:spacing w:before="0" w:after="0" w:line="276" w:lineRule="auto"/>
              <w:contextualSpacing/>
              <w:rPr>
                <w:rFonts w:asciiTheme="minorHAnsi" w:eastAsia="Calibri" w:hAnsiTheme="minorHAnsi"/>
                <w:noProof/>
                <w:sz w:val="16"/>
                <w:szCs w:val="16"/>
                <w:lang w:eastAsia="en-GB"/>
              </w:rPr>
            </w:pPr>
          </w:p>
        </w:tc>
        <w:tc>
          <w:tcPr>
            <w:tcW w:w="1271" w:type="dxa"/>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hAnsiTheme="minorHAnsi" w:cstheme="minorHAnsi"/>
                <w:noProof/>
                <w:sz w:val="14"/>
                <w:szCs w:val="14"/>
              </w:rPr>
            </w:pPr>
            <w:r>
              <w:rPr>
                <w:rFonts w:asciiTheme="minorHAnsi" w:hAnsiTheme="minorHAnsi" w:cstheme="minorHAnsi"/>
                <w:noProof/>
                <w:sz w:val="14"/>
                <w:szCs w:val="14"/>
              </w:rPr>
              <w:t>EU15</w:t>
            </w:r>
          </w:p>
        </w:tc>
        <w:tc>
          <w:tcPr>
            <w:tcW w:w="7088" w:type="dxa"/>
            <w:shd w:val="clear" w:color="auto" w:fill="DBE5F1" w:themeFill="accent1" w:themeFillTint="33"/>
          </w:tcPr>
          <w:p w:rsidR="00EC06FD" w:rsidRDefault="00F346DE">
            <w:pPr>
              <w:suppressAutoHyphens/>
              <w:spacing w:line="276" w:lineRule="auto"/>
              <w:jc w:val="both"/>
              <w:rPr>
                <w:rFonts w:asciiTheme="minorHAnsi" w:hAnsiTheme="minorHAnsi"/>
                <w:noProof/>
                <w:sz w:val="14"/>
                <w:szCs w:val="14"/>
              </w:rPr>
            </w:pPr>
            <w:r>
              <w:rPr>
                <w:rFonts w:asciiTheme="minorHAnsi" w:hAnsiTheme="minorHAnsi"/>
                <w:noProof/>
                <w:sz w:val="14"/>
                <w:szCs w:val="14"/>
              </w:rPr>
              <w:t>AT- Austria, BE - Belgium, DE - Germany, DK - Denmark, EL - Greece, ES - Spain, FI- Finland, FR - France, IE - Ireland, IT - Italy, LU - Luxembourg, NL - Netherlands, PT - Portugal, SE - Sweden and UK - United Kingdom</w:t>
            </w:r>
          </w:p>
        </w:tc>
      </w:tr>
      <w:tr w:rsidR="00EC06FD">
        <w:trPr>
          <w:trHeight w:val="201"/>
          <w:jc w:val="center"/>
        </w:trPr>
        <w:tc>
          <w:tcPr>
            <w:tcW w:w="538" w:type="dxa"/>
            <w:vMerge/>
            <w:shd w:val="clear" w:color="auto" w:fill="C6D9F1" w:themeFill="text2" w:themeFillTint="33"/>
          </w:tcPr>
          <w:p w:rsidR="00EC06FD" w:rsidRDefault="00EC06FD">
            <w:pPr>
              <w:pStyle w:val="Caption"/>
              <w:keepNext/>
              <w:suppressAutoHyphens/>
              <w:spacing w:before="0" w:after="0" w:line="276" w:lineRule="auto"/>
              <w:contextualSpacing/>
              <w:rPr>
                <w:rFonts w:asciiTheme="minorHAnsi" w:eastAsia="Calibri" w:hAnsiTheme="minorHAnsi"/>
                <w:noProof/>
                <w:sz w:val="16"/>
                <w:szCs w:val="16"/>
                <w:lang w:eastAsia="en-GB"/>
              </w:rPr>
            </w:pPr>
          </w:p>
        </w:tc>
        <w:tc>
          <w:tcPr>
            <w:tcW w:w="1271" w:type="dxa"/>
            <w:shd w:val="clear" w:color="auto" w:fill="C6D9F1" w:themeFill="text2" w:themeFillTint="33"/>
          </w:tcPr>
          <w:p w:rsidR="00EC06FD" w:rsidRDefault="00F346DE">
            <w:pPr>
              <w:pStyle w:val="Caption"/>
              <w:keepNext/>
              <w:suppressAutoHyphens/>
              <w:spacing w:before="0" w:after="0" w:line="276" w:lineRule="auto"/>
              <w:contextualSpacing/>
              <w:jc w:val="left"/>
              <w:rPr>
                <w:rFonts w:asciiTheme="minorHAnsi" w:hAnsiTheme="minorHAnsi" w:cstheme="minorHAnsi"/>
                <w:noProof/>
                <w:sz w:val="14"/>
                <w:szCs w:val="14"/>
              </w:rPr>
            </w:pPr>
            <w:r>
              <w:rPr>
                <w:rFonts w:asciiTheme="minorHAnsi" w:hAnsiTheme="minorHAnsi" w:cstheme="minorHAnsi"/>
                <w:noProof/>
                <w:sz w:val="14"/>
                <w:szCs w:val="14"/>
              </w:rPr>
              <w:t>NMS</w:t>
            </w:r>
          </w:p>
        </w:tc>
        <w:tc>
          <w:tcPr>
            <w:tcW w:w="7088" w:type="dxa"/>
            <w:shd w:val="clear" w:color="auto" w:fill="DBE5F1" w:themeFill="accent1" w:themeFillTint="33"/>
          </w:tcPr>
          <w:p w:rsidR="00EC06FD" w:rsidRDefault="00F346DE">
            <w:pPr>
              <w:suppressAutoHyphens/>
              <w:spacing w:line="276" w:lineRule="auto"/>
              <w:jc w:val="both"/>
              <w:rPr>
                <w:rFonts w:asciiTheme="minorHAnsi" w:hAnsiTheme="minorHAnsi"/>
                <w:noProof/>
                <w:sz w:val="14"/>
                <w:szCs w:val="14"/>
              </w:rPr>
            </w:pPr>
            <w:r>
              <w:rPr>
                <w:rFonts w:asciiTheme="minorHAnsi" w:hAnsiTheme="minorHAnsi"/>
                <w:noProof/>
                <w:sz w:val="14"/>
                <w:szCs w:val="14"/>
              </w:rPr>
              <w:t>EU New Member States (since 2004)</w:t>
            </w:r>
          </w:p>
        </w:tc>
      </w:tr>
    </w:tbl>
    <w:tbl>
      <w:tblPr>
        <w:tblStyle w:val="TableGrid"/>
        <w:tblW w:w="889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DBE5F1" w:themeFill="accent1" w:themeFillTint="33"/>
        <w:tblLayout w:type="fixed"/>
        <w:tblLook w:val="04A0" w:firstRow="1" w:lastRow="0" w:firstColumn="1" w:lastColumn="0" w:noHBand="0" w:noVBand="1"/>
      </w:tblPr>
      <w:tblGrid>
        <w:gridCol w:w="538"/>
        <w:gridCol w:w="1271"/>
        <w:gridCol w:w="7088"/>
      </w:tblGrid>
      <w:tr w:rsidR="00EC06FD">
        <w:trPr>
          <w:trHeight w:val="113"/>
          <w:jc w:val="center"/>
        </w:trPr>
        <w:tc>
          <w:tcPr>
            <w:tcW w:w="538" w:type="dxa"/>
            <w:vMerge w:val="restart"/>
            <w:shd w:val="clear" w:color="auto" w:fill="C6D9F1" w:themeFill="text2" w:themeFillTint="33"/>
            <w:textDirection w:val="btLr"/>
            <w:vAlign w:val="center"/>
          </w:tcPr>
          <w:p w:rsidR="00EC06FD" w:rsidRDefault="00F346DE">
            <w:pPr>
              <w:pStyle w:val="Caption"/>
              <w:keepNext/>
              <w:suppressAutoHyphens/>
              <w:spacing w:before="0" w:after="0" w:line="276" w:lineRule="auto"/>
              <w:ind w:left="113" w:right="113"/>
              <w:contextualSpacing/>
              <w:jc w:val="center"/>
              <w:rPr>
                <w:rFonts w:asciiTheme="minorHAnsi" w:hAnsiTheme="minorHAnsi" w:cstheme="minorHAnsi"/>
                <w:noProof/>
                <w:sz w:val="16"/>
                <w:szCs w:val="16"/>
              </w:rPr>
            </w:pPr>
            <w:r>
              <w:rPr>
                <w:rFonts w:asciiTheme="minorHAnsi" w:hAnsiTheme="minorHAnsi" w:cstheme="minorHAnsi"/>
                <w:noProof/>
                <w:sz w:val="16"/>
                <w:szCs w:val="16"/>
              </w:rPr>
              <w:t>Other</w:t>
            </w:r>
          </w:p>
        </w:tc>
        <w:tc>
          <w:tcPr>
            <w:tcW w:w="1271" w:type="dxa"/>
            <w:shd w:val="clear" w:color="auto" w:fill="C6D9F1" w:themeFill="text2" w:themeFillTint="33"/>
          </w:tcPr>
          <w:p w:rsidR="00EC06FD" w:rsidRDefault="00F346DE">
            <w:pPr>
              <w:suppressAutoHyphens/>
              <w:spacing w:line="276" w:lineRule="auto"/>
              <w:contextualSpacing/>
              <w:jc w:val="both"/>
              <w:rPr>
                <w:rFonts w:asciiTheme="minorHAnsi" w:eastAsia="Calibri" w:hAnsiTheme="minorHAnsi"/>
                <w:b/>
                <w:noProof/>
                <w:sz w:val="14"/>
                <w:szCs w:val="14"/>
              </w:rPr>
            </w:pPr>
            <w:r>
              <w:rPr>
                <w:rFonts w:asciiTheme="minorHAnsi" w:eastAsia="Calibri" w:hAnsiTheme="minorHAnsi"/>
                <w:b/>
                <w:noProof/>
                <w:sz w:val="14"/>
                <w:szCs w:val="14"/>
              </w:rPr>
              <w:t>DG RTD</w:t>
            </w:r>
          </w:p>
        </w:tc>
        <w:tc>
          <w:tcPr>
            <w:tcW w:w="7088" w:type="dxa"/>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European Commission's Directorate-General for Research and Innovation</w:t>
            </w:r>
          </w:p>
        </w:tc>
      </w:tr>
      <w:tr w:rsidR="00EC06FD">
        <w:trPr>
          <w:trHeight w:val="113"/>
          <w:jc w:val="center"/>
        </w:trPr>
        <w:tc>
          <w:tcPr>
            <w:tcW w:w="538" w:type="dxa"/>
            <w:vMerge/>
            <w:shd w:val="clear" w:color="auto" w:fill="C6D9F1" w:themeFill="text2" w:themeFillTint="33"/>
          </w:tcPr>
          <w:p w:rsidR="00EC06FD" w:rsidRDefault="00EC06FD">
            <w:pPr>
              <w:pStyle w:val="Caption"/>
              <w:keepNext/>
              <w:suppressAutoHyphens/>
              <w:spacing w:before="0" w:after="0" w:line="276" w:lineRule="auto"/>
              <w:contextualSpacing/>
              <w:rPr>
                <w:rFonts w:asciiTheme="minorHAnsi" w:hAnsiTheme="minorHAnsi" w:cstheme="minorHAnsi"/>
                <w:noProof/>
                <w:sz w:val="16"/>
                <w:szCs w:val="16"/>
              </w:rPr>
            </w:pPr>
          </w:p>
        </w:tc>
        <w:tc>
          <w:tcPr>
            <w:tcW w:w="1271" w:type="dxa"/>
            <w:shd w:val="clear" w:color="auto" w:fill="C6D9F1" w:themeFill="text2" w:themeFillTint="33"/>
          </w:tcPr>
          <w:p w:rsidR="00EC06FD" w:rsidRDefault="00F346DE">
            <w:pPr>
              <w:suppressAutoHyphens/>
              <w:spacing w:line="276" w:lineRule="auto"/>
              <w:contextualSpacing/>
              <w:jc w:val="both"/>
              <w:rPr>
                <w:rFonts w:asciiTheme="minorHAnsi" w:eastAsia="Calibri" w:hAnsiTheme="minorHAnsi"/>
                <w:b/>
                <w:noProof/>
                <w:sz w:val="14"/>
                <w:szCs w:val="14"/>
              </w:rPr>
            </w:pPr>
            <w:r>
              <w:rPr>
                <w:rFonts w:asciiTheme="minorHAnsi" w:eastAsia="Calibri" w:hAnsiTheme="minorHAnsi"/>
                <w:b/>
                <w:noProof/>
                <w:sz w:val="14"/>
                <w:szCs w:val="14"/>
              </w:rPr>
              <w:t>DG JRC</w:t>
            </w:r>
          </w:p>
        </w:tc>
        <w:tc>
          <w:tcPr>
            <w:tcW w:w="7088" w:type="dxa"/>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European Commission's Joint Research Centre</w:t>
            </w:r>
          </w:p>
        </w:tc>
      </w:tr>
      <w:tr w:rsidR="00EC06FD">
        <w:trPr>
          <w:trHeight w:val="113"/>
          <w:jc w:val="center"/>
        </w:trPr>
        <w:tc>
          <w:tcPr>
            <w:tcW w:w="538" w:type="dxa"/>
            <w:vMerge/>
            <w:shd w:val="clear" w:color="auto" w:fill="C6D9F1" w:themeFill="text2" w:themeFillTint="33"/>
          </w:tcPr>
          <w:p w:rsidR="00EC06FD" w:rsidRDefault="00EC06FD">
            <w:pPr>
              <w:pStyle w:val="Caption"/>
              <w:keepNext/>
              <w:suppressAutoHyphens/>
              <w:spacing w:before="0" w:after="0" w:line="276" w:lineRule="auto"/>
              <w:contextualSpacing/>
              <w:rPr>
                <w:rFonts w:asciiTheme="minorHAnsi" w:hAnsiTheme="minorHAnsi" w:cstheme="minorHAnsi"/>
                <w:noProof/>
                <w:sz w:val="16"/>
                <w:szCs w:val="16"/>
              </w:rPr>
            </w:pPr>
          </w:p>
        </w:tc>
        <w:tc>
          <w:tcPr>
            <w:tcW w:w="1271" w:type="dxa"/>
            <w:shd w:val="clear" w:color="auto" w:fill="C6D9F1" w:themeFill="text2" w:themeFillTint="33"/>
          </w:tcPr>
          <w:p w:rsidR="00EC06FD" w:rsidRDefault="00F346DE">
            <w:pPr>
              <w:suppressAutoHyphens/>
              <w:spacing w:line="276" w:lineRule="auto"/>
              <w:contextualSpacing/>
              <w:jc w:val="both"/>
              <w:rPr>
                <w:rFonts w:asciiTheme="minorHAnsi" w:eastAsia="Calibri" w:hAnsiTheme="minorHAnsi"/>
                <w:b/>
                <w:noProof/>
                <w:sz w:val="14"/>
                <w:szCs w:val="14"/>
              </w:rPr>
            </w:pPr>
            <w:r>
              <w:rPr>
                <w:rFonts w:asciiTheme="minorHAnsi" w:eastAsia="Calibri" w:hAnsiTheme="minorHAnsi"/>
                <w:b/>
                <w:noProof/>
                <w:sz w:val="14"/>
                <w:szCs w:val="14"/>
              </w:rPr>
              <w:t>EESC</w:t>
            </w:r>
          </w:p>
        </w:tc>
        <w:tc>
          <w:tcPr>
            <w:tcW w:w="7088" w:type="dxa"/>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European Economic and Social Committee</w:t>
            </w:r>
          </w:p>
        </w:tc>
      </w:tr>
      <w:tr w:rsidR="00EC06FD">
        <w:trPr>
          <w:trHeight w:val="113"/>
          <w:jc w:val="center"/>
        </w:trPr>
        <w:tc>
          <w:tcPr>
            <w:tcW w:w="538" w:type="dxa"/>
            <w:vMerge/>
            <w:shd w:val="clear" w:color="auto" w:fill="C6D9F1" w:themeFill="text2" w:themeFillTint="33"/>
          </w:tcPr>
          <w:p w:rsidR="00EC06FD" w:rsidRDefault="00EC06FD">
            <w:pPr>
              <w:pStyle w:val="Caption"/>
              <w:keepNext/>
              <w:suppressAutoHyphens/>
              <w:spacing w:before="0" w:after="0" w:line="276" w:lineRule="auto"/>
              <w:contextualSpacing/>
              <w:rPr>
                <w:rFonts w:asciiTheme="minorHAnsi" w:hAnsiTheme="minorHAnsi" w:cstheme="minorHAnsi"/>
                <w:noProof/>
                <w:sz w:val="16"/>
                <w:szCs w:val="16"/>
              </w:rPr>
            </w:pPr>
          </w:p>
        </w:tc>
        <w:tc>
          <w:tcPr>
            <w:tcW w:w="1271" w:type="dxa"/>
            <w:shd w:val="clear" w:color="auto" w:fill="C6D9F1" w:themeFill="text2" w:themeFillTint="33"/>
          </w:tcPr>
          <w:p w:rsidR="00EC06FD" w:rsidRDefault="00F346DE">
            <w:pPr>
              <w:suppressAutoHyphens/>
              <w:spacing w:line="276" w:lineRule="auto"/>
              <w:contextualSpacing/>
              <w:jc w:val="both"/>
              <w:rPr>
                <w:rFonts w:asciiTheme="minorHAnsi" w:eastAsia="Calibri" w:hAnsiTheme="minorHAnsi"/>
                <w:b/>
                <w:noProof/>
                <w:sz w:val="14"/>
                <w:szCs w:val="14"/>
              </w:rPr>
            </w:pPr>
            <w:r>
              <w:rPr>
                <w:rFonts w:asciiTheme="minorHAnsi" w:eastAsia="Calibri" w:hAnsiTheme="minorHAnsi"/>
                <w:b/>
                <w:noProof/>
                <w:sz w:val="14"/>
                <w:szCs w:val="14"/>
              </w:rPr>
              <w:t>ESIF</w:t>
            </w:r>
          </w:p>
        </w:tc>
        <w:tc>
          <w:tcPr>
            <w:tcW w:w="7088" w:type="dxa"/>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European Structural Investment Funds</w:t>
            </w:r>
          </w:p>
        </w:tc>
      </w:tr>
      <w:tr w:rsidR="00EC06FD">
        <w:trPr>
          <w:trHeight w:val="113"/>
          <w:jc w:val="center"/>
        </w:trPr>
        <w:tc>
          <w:tcPr>
            <w:tcW w:w="538" w:type="dxa"/>
            <w:vMerge/>
            <w:shd w:val="clear" w:color="auto" w:fill="C6D9F1" w:themeFill="text2" w:themeFillTint="33"/>
          </w:tcPr>
          <w:p w:rsidR="00EC06FD" w:rsidRDefault="00EC06FD">
            <w:pPr>
              <w:pStyle w:val="Caption"/>
              <w:keepNext/>
              <w:suppressAutoHyphens/>
              <w:spacing w:before="0" w:after="0" w:line="276" w:lineRule="auto"/>
              <w:contextualSpacing/>
              <w:rPr>
                <w:rFonts w:asciiTheme="minorHAnsi" w:hAnsiTheme="minorHAnsi" w:cstheme="minorHAnsi"/>
                <w:noProof/>
                <w:sz w:val="16"/>
                <w:szCs w:val="16"/>
              </w:rPr>
            </w:pPr>
          </w:p>
        </w:tc>
        <w:tc>
          <w:tcPr>
            <w:tcW w:w="1271" w:type="dxa"/>
            <w:shd w:val="clear" w:color="auto" w:fill="C6D9F1" w:themeFill="text2" w:themeFillTint="33"/>
          </w:tcPr>
          <w:p w:rsidR="00EC06FD" w:rsidRDefault="00F346DE">
            <w:pPr>
              <w:pStyle w:val="Caption"/>
              <w:keepNext/>
              <w:suppressAutoHyphens/>
              <w:spacing w:before="0" w:after="0" w:line="276" w:lineRule="auto"/>
              <w:contextualSpacing/>
              <w:rPr>
                <w:rFonts w:asciiTheme="minorHAnsi" w:eastAsia="Calibri" w:hAnsiTheme="minorHAnsi"/>
                <w:noProof/>
                <w:sz w:val="14"/>
                <w:szCs w:val="14"/>
                <w:lang w:eastAsia="en-GB"/>
              </w:rPr>
            </w:pPr>
            <w:r>
              <w:rPr>
                <w:rFonts w:asciiTheme="minorHAnsi" w:eastAsia="Calibri" w:hAnsiTheme="minorHAnsi"/>
                <w:noProof/>
                <w:sz w:val="14"/>
                <w:szCs w:val="14"/>
                <w:lang w:eastAsia="en-GB"/>
              </w:rPr>
              <w:t>EFSI</w:t>
            </w:r>
          </w:p>
        </w:tc>
        <w:tc>
          <w:tcPr>
            <w:tcW w:w="7088" w:type="dxa"/>
            <w:shd w:val="clear" w:color="auto" w:fill="DBE5F1" w:themeFill="accent1" w:themeFillTint="33"/>
          </w:tcPr>
          <w:p w:rsidR="00EC06FD" w:rsidRDefault="00F346DE">
            <w:pPr>
              <w:suppressAutoHyphens/>
              <w:spacing w:line="276" w:lineRule="auto"/>
              <w:contextualSpacing/>
              <w:jc w:val="both"/>
              <w:rPr>
                <w:rFonts w:asciiTheme="minorHAnsi" w:eastAsia="Calibri" w:hAnsiTheme="minorHAnsi"/>
                <w:noProof/>
                <w:sz w:val="14"/>
                <w:szCs w:val="14"/>
              </w:rPr>
            </w:pPr>
            <w:r>
              <w:rPr>
                <w:rFonts w:asciiTheme="minorHAnsi" w:eastAsia="Calibri" w:hAnsiTheme="minorHAnsi"/>
                <w:noProof/>
                <w:sz w:val="14"/>
                <w:szCs w:val="14"/>
              </w:rPr>
              <w:t>European Fund for Strategic Investments</w:t>
            </w:r>
          </w:p>
        </w:tc>
      </w:tr>
      <w:tr w:rsidR="00EC06FD">
        <w:trPr>
          <w:trHeight w:val="245"/>
          <w:jc w:val="center"/>
        </w:trPr>
        <w:tc>
          <w:tcPr>
            <w:tcW w:w="538" w:type="dxa"/>
            <w:vMerge/>
            <w:shd w:val="clear" w:color="auto" w:fill="C6D9F1" w:themeFill="text2" w:themeFillTint="33"/>
          </w:tcPr>
          <w:p w:rsidR="00EC06FD" w:rsidRDefault="00EC06FD">
            <w:pPr>
              <w:pStyle w:val="Caption"/>
              <w:keepNext/>
              <w:suppressAutoHyphens/>
              <w:spacing w:before="0" w:after="0" w:line="276" w:lineRule="auto"/>
              <w:contextualSpacing/>
              <w:rPr>
                <w:rFonts w:asciiTheme="minorHAnsi" w:hAnsiTheme="minorHAnsi" w:cstheme="minorHAnsi"/>
                <w:noProof/>
                <w:sz w:val="16"/>
                <w:szCs w:val="16"/>
              </w:rPr>
            </w:pPr>
          </w:p>
        </w:tc>
        <w:tc>
          <w:tcPr>
            <w:tcW w:w="1271" w:type="dxa"/>
            <w:shd w:val="clear" w:color="auto" w:fill="C6D9F1" w:themeFill="text2" w:themeFillTint="33"/>
          </w:tcPr>
          <w:p w:rsidR="00EC06FD" w:rsidRDefault="00F346DE">
            <w:pPr>
              <w:pStyle w:val="Caption"/>
              <w:keepNext/>
              <w:suppressAutoHyphens/>
              <w:spacing w:before="0" w:after="0" w:line="276" w:lineRule="auto"/>
              <w:contextualSpacing/>
              <w:rPr>
                <w:rFonts w:asciiTheme="minorHAnsi" w:eastAsia="Calibri" w:hAnsiTheme="minorHAnsi"/>
                <w:noProof/>
                <w:sz w:val="14"/>
                <w:szCs w:val="14"/>
                <w:lang w:eastAsia="en-GB"/>
              </w:rPr>
            </w:pPr>
            <w:r>
              <w:rPr>
                <w:rFonts w:asciiTheme="minorHAnsi" w:eastAsia="Calibri" w:hAnsiTheme="minorHAnsi"/>
                <w:noProof/>
                <w:sz w:val="14"/>
                <w:szCs w:val="14"/>
                <w:lang w:eastAsia="en-GB"/>
              </w:rPr>
              <w:t xml:space="preserve">EAV </w:t>
            </w:r>
          </w:p>
        </w:tc>
        <w:tc>
          <w:tcPr>
            <w:tcW w:w="7088" w:type="dxa"/>
            <w:shd w:val="clear" w:color="auto" w:fill="DBE5F1" w:themeFill="accent1" w:themeFillTint="33"/>
          </w:tcPr>
          <w:p w:rsidR="00EC06FD" w:rsidRDefault="00F346DE">
            <w:pPr>
              <w:suppressAutoHyphens/>
              <w:spacing w:line="276" w:lineRule="auto"/>
              <w:jc w:val="both"/>
              <w:rPr>
                <w:rFonts w:asciiTheme="minorHAnsi" w:eastAsia="Calibri" w:hAnsiTheme="minorHAnsi"/>
                <w:noProof/>
                <w:sz w:val="14"/>
                <w:szCs w:val="14"/>
              </w:rPr>
            </w:pPr>
            <w:r>
              <w:rPr>
                <w:rFonts w:asciiTheme="minorHAnsi" w:hAnsiTheme="minorHAnsi"/>
                <w:noProof/>
                <w:sz w:val="14"/>
                <w:szCs w:val="14"/>
              </w:rPr>
              <w:t>European Added Value</w:t>
            </w:r>
          </w:p>
        </w:tc>
      </w:tr>
    </w:tbl>
    <w:p w:rsidR="00EC06FD" w:rsidRDefault="00F346DE">
      <w:pPr>
        <w:suppressAutoHyphens/>
        <w:spacing w:before="120" w:line="276" w:lineRule="auto"/>
        <w:jc w:val="both"/>
        <w:rPr>
          <w:noProof/>
        </w:rPr>
      </w:pPr>
      <w:r>
        <w:rPr>
          <w:noProof/>
        </w:rPr>
        <w:br w:type="page"/>
      </w:r>
    </w:p>
    <w:p w:rsidR="00EC06FD" w:rsidRDefault="00F346DE">
      <w:pPr>
        <w:pStyle w:val="Heading1"/>
        <w:suppressAutoHyphens/>
        <w:spacing w:line="276" w:lineRule="auto"/>
        <w:rPr>
          <w:noProof/>
        </w:rPr>
      </w:pPr>
      <w:bookmarkStart w:id="4" w:name="_Toc474513210"/>
      <w:bookmarkStart w:id="5" w:name="_Toc474513358"/>
      <w:bookmarkStart w:id="6" w:name="_Toc474521022"/>
      <w:bookmarkStart w:id="7" w:name="_Toc474531711"/>
      <w:bookmarkStart w:id="8" w:name="_Toc474859273"/>
      <w:bookmarkStart w:id="9" w:name="_Toc474865004"/>
      <w:bookmarkStart w:id="10" w:name="_Toc474919025"/>
      <w:bookmarkStart w:id="11" w:name="_Toc474942452"/>
      <w:bookmarkStart w:id="12" w:name="_Toc474943448"/>
      <w:bookmarkStart w:id="13" w:name="_Toc474945809"/>
      <w:bookmarkStart w:id="14" w:name="_Toc474860740"/>
      <w:bookmarkStart w:id="15" w:name="_Toc474872367"/>
      <w:bookmarkStart w:id="16" w:name="_Toc475011613"/>
      <w:bookmarkStart w:id="17" w:name="_Toc475016260"/>
      <w:bookmarkStart w:id="18" w:name="_Toc475020117"/>
      <w:bookmarkStart w:id="19" w:name="_Toc475022814"/>
      <w:bookmarkStart w:id="20" w:name="_Toc475031256"/>
      <w:bookmarkStart w:id="21" w:name="_Toc475031580"/>
      <w:bookmarkStart w:id="22" w:name="_Toc475031654"/>
      <w:bookmarkStart w:id="23" w:name="_Toc475036590"/>
      <w:bookmarkStart w:id="24" w:name="_Toc475038457"/>
      <w:bookmarkStart w:id="25" w:name="_Toc475041851"/>
      <w:bookmarkStart w:id="26" w:name="_Toc475113627"/>
      <w:bookmarkStart w:id="27" w:name="_Toc475478946"/>
      <w:bookmarkStart w:id="28" w:name="_Toc475546796"/>
      <w:bookmarkStart w:id="29" w:name="_Toc475547928"/>
      <w:bookmarkStart w:id="30" w:name="_Toc494899765"/>
      <w:r>
        <w:rPr>
          <w:noProof/>
        </w:rPr>
        <w:lastRenderedPageBreak/>
        <w:t>INTRODUCTION</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EC06FD" w:rsidRDefault="00F346DE">
      <w:pPr>
        <w:pStyle w:val="Heading2"/>
        <w:suppressAutoHyphens/>
        <w:spacing w:line="276" w:lineRule="auto"/>
        <w:ind w:left="720"/>
        <w:rPr>
          <w:noProof/>
        </w:rPr>
      </w:pPr>
      <w:bookmarkStart w:id="31" w:name="_Toc474513211"/>
      <w:bookmarkStart w:id="32" w:name="_Toc474513359"/>
      <w:bookmarkStart w:id="33" w:name="_Toc474521023"/>
      <w:bookmarkStart w:id="34" w:name="_Toc474531712"/>
      <w:bookmarkStart w:id="35" w:name="_Toc474859274"/>
      <w:bookmarkStart w:id="36" w:name="_Toc474865005"/>
      <w:bookmarkStart w:id="37" w:name="_Toc474919026"/>
      <w:bookmarkStart w:id="38" w:name="_Toc474942453"/>
      <w:bookmarkStart w:id="39" w:name="_Toc474943449"/>
      <w:bookmarkStart w:id="40" w:name="_Toc474945810"/>
      <w:bookmarkStart w:id="41" w:name="_Toc474860741"/>
      <w:bookmarkStart w:id="42" w:name="_Toc474872368"/>
      <w:bookmarkStart w:id="43" w:name="_Toc475011614"/>
      <w:bookmarkStart w:id="44" w:name="_Toc475016261"/>
      <w:bookmarkStart w:id="45" w:name="_Toc475020118"/>
      <w:bookmarkStart w:id="46" w:name="_Toc475022815"/>
      <w:bookmarkStart w:id="47" w:name="_Toc475031257"/>
      <w:bookmarkStart w:id="48" w:name="_Toc475031581"/>
      <w:bookmarkStart w:id="49" w:name="_Toc475031655"/>
      <w:bookmarkStart w:id="50" w:name="_Toc475036591"/>
      <w:bookmarkStart w:id="51" w:name="_Toc475038458"/>
      <w:bookmarkStart w:id="52" w:name="_Toc475041852"/>
      <w:bookmarkStart w:id="53" w:name="_Toc475113628"/>
      <w:bookmarkStart w:id="54" w:name="_Toc475478947"/>
      <w:bookmarkStart w:id="55" w:name="_Toc475546797"/>
      <w:bookmarkStart w:id="56" w:name="_Toc475547929"/>
      <w:bookmarkStart w:id="57" w:name="_Toc494899766"/>
      <w:r>
        <w:rPr>
          <w:noProof/>
        </w:rPr>
        <w:t>Purpose of the evaluation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EC06FD" w:rsidRDefault="00F346DE">
      <w:pPr>
        <w:suppressAutoHyphens/>
        <w:spacing w:line="276" w:lineRule="auto"/>
        <w:jc w:val="both"/>
        <w:rPr>
          <w:noProof/>
        </w:rPr>
      </w:pPr>
      <w:r>
        <w:rPr>
          <w:noProof/>
        </w:rPr>
        <w:t>This Commission Staff Working Document provides support and evidence for the Commission report on the interim evaluation of the Euratom Research and Training Programme 2014-2018, in line with Article 22 of Regulation 1314/2013</w:t>
      </w:r>
      <w:r>
        <w:rPr>
          <w:rStyle w:val="FootnoteReference"/>
          <w:noProof/>
        </w:rPr>
        <w:footnoteReference w:id="1"/>
      </w:r>
      <w:r>
        <w:rPr>
          <w:noProof/>
        </w:rPr>
        <w:t xml:space="preserve"> and Commission's Better Regulation Guidelines</w:t>
      </w:r>
      <w:r>
        <w:rPr>
          <w:rStyle w:val="FootnoteReference"/>
          <w:noProof/>
        </w:rPr>
        <w:footnoteReference w:id="2"/>
      </w:r>
      <w:r>
        <w:rPr>
          <w:noProof/>
        </w:rPr>
        <w:t>.</w:t>
      </w:r>
      <w:r>
        <w:rPr>
          <w:rStyle w:val="FootnoteReference"/>
          <w:noProof/>
        </w:rPr>
        <w:t xml:space="preserve"> </w:t>
      </w:r>
      <w:r>
        <w:rPr>
          <w:noProof/>
        </w:rPr>
        <w:t>The evaluation aims at improving the implementation of the Euratom programme by already drawing some lessons for the Work Programme for the year 2018, and by informing the design of the proposal for the extension of the Programme for 2019-2020 and future Euratom Programmes. It assesses progress made towards achieving the objectives of the Euratom Programme, the efficiency and use of resources, its continued relevance, the coherence within the Programme and with other instruments, and its EU added-value.</w:t>
      </w:r>
    </w:p>
    <w:p w:rsidR="00EC06FD" w:rsidRDefault="00EC06FD">
      <w:pPr>
        <w:suppressAutoHyphens/>
        <w:spacing w:line="276" w:lineRule="auto"/>
        <w:jc w:val="both"/>
        <w:rPr>
          <w:noProof/>
        </w:rPr>
      </w:pPr>
    </w:p>
    <w:p w:rsidR="00EC06FD" w:rsidRDefault="00F346DE">
      <w:pPr>
        <w:pStyle w:val="Heading2"/>
        <w:suppressAutoHyphens/>
        <w:spacing w:line="276" w:lineRule="auto"/>
        <w:ind w:left="720"/>
        <w:rPr>
          <w:noProof/>
        </w:rPr>
      </w:pPr>
      <w:bookmarkStart w:id="58" w:name="_Toc494899767"/>
      <w:r>
        <w:rPr>
          <w:noProof/>
        </w:rPr>
        <w:t>Scope of the evaluation</w:t>
      </w:r>
      <w:bookmarkEnd w:id="58"/>
    </w:p>
    <w:p w:rsidR="00EC06FD" w:rsidRDefault="00F346DE">
      <w:pPr>
        <w:suppressAutoHyphens/>
        <w:spacing w:line="276" w:lineRule="auto"/>
        <w:jc w:val="both"/>
        <w:rPr>
          <w:noProof/>
        </w:rPr>
      </w:pPr>
      <w:r>
        <w:rPr>
          <w:noProof/>
        </w:rPr>
        <w:t>This interim evaluation covers the implementation of indirect actions during approximately the first half of the current Euratom Programme (2014 to 2016). The direct actions implemented by the Joint Research Centre have been evaluated separately and are covered in a separate Staff Working Document. Furthermore, it reports on the wider impacts of previous Euratom Programmes.</w:t>
      </w:r>
    </w:p>
    <w:p w:rsidR="00EC06FD" w:rsidRDefault="00F346DE">
      <w:pPr>
        <w:spacing w:after="200" w:line="276" w:lineRule="auto"/>
        <w:rPr>
          <w:b/>
          <w:smallCaps/>
          <w:noProof/>
          <w:szCs w:val="20"/>
          <w:lang w:eastAsia="en-US"/>
        </w:rPr>
      </w:pPr>
      <w:bookmarkStart w:id="59" w:name="_Toc474513212"/>
      <w:bookmarkStart w:id="60" w:name="_Toc474513360"/>
      <w:bookmarkStart w:id="61" w:name="_Toc474521024"/>
      <w:bookmarkStart w:id="62" w:name="_Toc474531713"/>
      <w:bookmarkStart w:id="63" w:name="_Toc474859275"/>
      <w:bookmarkStart w:id="64" w:name="_Toc474865006"/>
      <w:bookmarkStart w:id="65" w:name="_Toc474919027"/>
      <w:bookmarkStart w:id="66" w:name="_Toc474942454"/>
      <w:bookmarkStart w:id="67" w:name="_Toc474943450"/>
      <w:bookmarkStart w:id="68" w:name="_Toc474945811"/>
      <w:bookmarkStart w:id="69" w:name="_Toc474860742"/>
      <w:bookmarkStart w:id="70" w:name="_Toc474872369"/>
      <w:bookmarkStart w:id="71" w:name="_Toc475011615"/>
      <w:bookmarkStart w:id="72" w:name="_Toc475016262"/>
      <w:bookmarkStart w:id="73" w:name="_Toc475020119"/>
      <w:bookmarkStart w:id="74" w:name="_Toc475022816"/>
      <w:bookmarkStart w:id="75" w:name="_Toc475031258"/>
      <w:bookmarkStart w:id="76" w:name="_Toc475031582"/>
      <w:bookmarkStart w:id="77" w:name="_Toc475031656"/>
      <w:bookmarkStart w:id="78" w:name="_Toc475036592"/>
      <w:bookmarkStart w:id="79" w:name="_Toc475038459"/>
      <w:bookmarkStart w:id="80" w:name="_Toc475041853"/>
      <w:bookmarkStart w:id="81" w:name="_Toc475113629"/>
      <w:bookmarkStart w:id="82" w:name="_Toc475478948"/>
      <w:bookmarkStart w:id="83" w:name="_Toc475546798"/>
      <w:bookmarkStart w:id="84" w:name="_Toc475547930"/>
      <w:r>
        <w:rPr>
          <w:noProof/>
        </w:rPr>
        <w:br w:type="page"/>
      </w:r>
    </w:p>
    <w:p w:rsidR="00EC06FD" w:rsidRDefault="00F346DE">
      <w:pPr>
        <w:pStyle w:val="Heading1"/>
        <w:suppressAutoHyphens/>
        <w:spacing w:line="276" w:lineRule="auto"/>
        <w:rPr>
          <w:noProof/>
        </w:rPr>
      </w:pPr>
      <w:bookmarkStart w:id="85" w:name="_Toc494899768"/>
      <w:r>
        <w:rPr>
          <w:noProof/>
        </w:rPr>
        <w:lastRenderedPageBreak/>
        <w:t>BACKGROUND TO THE INITIATIVE</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EC06FD" w:rsidRDefault="00F346DE">
      <w:pPr>
        <w:pStyle w:val="Heading2"/>
        <w:suppressAutoHyphens/>
        <w:spacing w:line="276" w:lineRule="auto"/>
        <w:ind w:left="1276" w:hanging="709"/>
        <w:rPr>
          <w:noProof/>
        </w:rPr>
      </w:pPr>
      <w:bookmarkStart w:id="86" w:name="_Toc494899769"/>
      <w:bookmarkStart w:id="87" w:name="_Toc474513213"/>
      <w:bookmarkStart w:id="88" w:name="_Toc474513361"/>
      <w:bookmarkStart w:id="89" w:name="_Toc474521025"/>
      <w:bookmarkStart w:id="90" w:name="_Toc474531714"/>
      <w:bookmarkStart w:id="91" w:name="_Toc474859276"/>
      <w:bookmarkStart w:id="92" w:name="_Toc474865007"/>
      <w:bookmarkStart w:id="93" w:name="_Toc474919028"/>
      <w:bookmarkStart w:id="94" w:name="_Toc474942455"/>
      <w:bookmarkStart w:id="95" w:name="_Toc474943451"/>
      <w:bookmarkStart w:id="96" w:name="_Toc474945812"/>
      <w:bookmarkStart w:id="97" w:name="_Toc474860743"/>
      <w:bookmarkStart w:id="98" w:name="_Toc474872370"/>
      <w:bookmarkStart w:id="99" w:name="_Toc475011616"/>
      <w:bookmarkStart w:id="100" w:name="_Toc475016263"/>
      <w:bookmarkStart w:id="101" w:name="_Toc475020120"/>
      <w:bookmarkStart w:id="102" w:name="_Toc475022817"/>
      <w:bookmarkStart w:id="103" w:name="_Toc475031259"/>
      <w:bookmarkStart w:id="104" w:name="_Toc475031583"/>
      <w:bookmarkStart w:id="105" w:name="_Toc475031657"/>
      <w:bookmarkStart w:id="106" w:name="_Toc475036593"/>
      <w:bookmarkStart w:id="107" w:name="_Toc475038460"/>
      <w:bookmarkStart w:id="108" w:name="_Toc475041854"/>
      <w:bookmarkStart w:id="109" w:name="_Toc475113630"/>
      <w:bookmarkStart w:id="110" w:name="_Toc475478949"/>
      <w:bookmarkStart w:id="111" w:name="_Toc475546799"/>
      <w:bookmarkStart w:id="112" w:name="_Toc475547931"/>
      <w:r>
        <w:rPr>
          <w:noProof/>
        </w:rPr>
        <w:t>Description of the initiative and its objectives</w:t>
      </w:r>
      <w:bookmarkEnd w:id="86"/>
      <w:r>
        <w:rPr>
          <w:noProof/>
        </w:rPr>
        <w:t xml:space="preserve"> </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EC06FD" w:rsidRDefault="00F346DE">
      <w:pPr>
        <w:suppressAutoHyphens/>
        <w:spacing w:line="276" w:lineRule="auto"/>
        <w:jc w:val="both"/>
        <w:rPr>
          <w:noProof/>
        </w:rPr>
      </w:pPr>
      <w:r>
        <w:rPr>
          <w:noProof/>
        </w:rPr>
        <w:t>In accordance with the Euratom Treaty, nuclear research is a competence shared between Euratom and Member States</w:t>
      </w:r>
      <w:r>
        <w:rPr>
          <w:noProof/>
          <w:vertAlign w:val="superscript"/>
        </w:rPr>
        <w:footnoteReference w:id="3"/>
      </w:r>
      <w:r>
        <w:rPr>
          <w:noProof/>
        </w:rPr>
        <w:t>. The Euratom Programme is the EU’s main instruments for the funding of nuclear research in Europe, with a budget of EUR 1.6 billion for the period 2014-2018.</w:t>
      </w:r>
      <w:r>
        <w:rPr>
          <w:rStyle w:val="FootnoteReference"/>
          <w:noProof/>
        </w:rPr>
        <w:footnoteReference w:id="4"/>
      </w:r>
      <w:r>
        <w:rPr>
          <w:noProof/>
        </w:rPr>
        <w:t xml:space="preserve"> </w:t>
      </w:r>
    </w:p>
    <w:p w:rsidR="00EC06FD" w:rsidRDefault="00F346DE">
      <w:pPr>
        <w:pStyle w:val="CM3"/>
        <w:suppressAutoHyphens/>
        <w:spacing w:before="60" w:after="60" w:line="276" w:lineRule="auto"/>
        <w:jc w:val="both"/>
        <w:rPr>
          <w:rFonts w:ascii="Times New Roman" w:hAnsi="Times New Roman"/>
          <w:noProof/>
          <w:color w:val="000000"/>
        </w:rPr>
      </w:pPr>
      <w:r>
        <w:rPr>
          <w:rFonts w:ascii="Times New Roman" w:hAnsi="Times New Roman"/>
          <w:noProof/>
          <w:color w:val="000000"/>
        </w:rPr>
        <w:t>The objectives of the Euratom Programme are established by Article 3 of t</w:t>
      </w:r>
      <w:r>
        <w:rPr>
          <w:rFonts w:ascii="Times New Roman" w:hAnsi="Times New Roman"/>
          <w:noProof/>
        </w:rPr>
        <w:t>he Council Regulation (Euratom) No. 1314/2013:</w:t>
      </w:r>
    </w:p>
    <w:p w:rsidR="00EC06FD" w:rsidRDefault="00F346DE">
      <w:pPr>
        <w:pStyle w:val="CM4"/>
        <w:suppressAutoHyphens/>
        <w:spacing w:before="60" w:after="60" w:line="276" w:lineRule="auto"/>
        <w:ind w:left="426"/>
        <w:jc w:val="both"/>
        <w:rPr>
          <w:rFonts w:ascii="Times New Roman" w:hAnsi="Times New Roman"/>
          <w:i/>
          <w:noProof/>
          <w:color w:val="000000"/>
        </w:rPr>
      </w:pPr>
      <w:r>
        <w:rPr>
          <w:rFonts w:ascii="Times New Roman" w:hAnsi="Times New Roman"/>
          <w:i/>
          <w:noProof/>
          <w:color w:val="000000"/>
        </w:rPr>
        <w:t xml:space="preserve">1. The general objective of the Euratom Programme is to pursue nuclear research and training activities with an emphasis on continuous improvement of nuclear safety, security and radiation protection, notably to potentially contribute to the long-term decarbonisation of the energy system in a safe, efficient and secure way. The general objective shall be implemented […] in the form of direct and indirect actions which pursue the specific objectives set out in paragraphs 2 and 3 of this Article. </w:t>
      </w:r>
    </w:p>
    <w:p w:rsidR="00EC06FD" w:rsidRDefault="00F346DE">
      <w:pPr>
        <w:pStyle w:val="CM4"/>
        <w:suppressAutoHyphens/>
        <w:spacing w:before="60" w:after="60" w:line="276" w:lineRule="auto"/>
        <w:ind w:left="426"/>
        <w:jc w:val="both"/>
        <w:rPr>
          <w:rFonts w:ascii="Times New Roman" w:hAnsi="Times New Roman"/>
          <w:i/>
          <w:noProof/>
          <w:color w:val="000000"/>
        </w:rPr>
      </w:pPr>
      <w:r>
        <w:rPr>
          <w:rFonts w:ascii="Times New Roman" w:hAnsi="Times New Roman"/>
          <w:i/>
          <w:noProof/>
          <w:color w:val="000000"/>
        </w:rPr>
        <w:t xml:space="preserve">2. The Euratom Programme indirect actions shall have the following specific objectives: </w:t>
      </w:r>
    </w:p>
    <w:p w:rsidR="00EC06FD" w:rsidRDefault="00F346DE">
      <w:pPr>
        <w:pStyle w:val="CM4"/>
        <w:suppressAutoHyphens/>
        <w:spacing w:before="60" w:after="60" w:line="276" w:lineRule="auto"/>
        <w:ind w:left="426"/>
        <w:jc w:val="both"/>
        <w:rPr>
          <w:rFonts w:ascii="Times New Roman" w:hAnsi="Times New Roman"/>
          <w:i/>
          <w:noProof/>
          <w:color w:val="000000"/>
        </w:rPr>
      </w:pPr>
      <w:r>
        <w:rPr>
          <w:rFonts w:ascii="Times New Roman" w:hAnsi="Times New Roman"/>
          <w:i/>
          <w:noProof/>
          <w:color w:val="000000"/>
        </w:rPr>
        <w:t xml:space="preserve">(a) supporting safety of nuclear systems; </w:t>
      </w:r>
    </w:p>
    <w:p w:rsidR="00EC06FD" w:rsidRDefault="00F346DE">
      <w:pPr>
        <w:pStyle w:val="CM4"/>
        <w:suppressAutoHyphens/>
        <w:spacing w:before="60" w:after="60" w:line="276" w:lineRule="auto"/>
        <w:ind w:left="426"/>
        <w:jc w:val="both"/>
        <w:rPr>
          <w:rFonts w:ascii="Times New Roman" w:hAnsi="Times New Roman"/>
          <w:i/>
          <w:noProof/>
          <w:color w:val="000000"/>
        </w:rPr>
      </w:pPr>
      <w:r>
        <w:rPr>
          <w:rFonts w:ascii="Times New Roman" w:hAnsi="Times New Roman"/>
          <w:i/>
          <w:noProof/>
          <w:color w:val="000000"/>
        </w:rPr>
        <w:t xml:space="preserve">(b) contributing to the development of safe, longer term solutions for the management of ultimate nuclear waste, including final geological disposal as well as partitioning and transmutation; </w:t>
      </w:r>
    </w:p>
    <w:p w:rsidR="00EC06FD" w:rsidRDefault="00F346DE">
      <w:pPr>
        <w:pStyle w:val="CM4"/>
        <w:suppressAutoHyphens/>
        <w:spacing w:before="60" w:after="60" w:line="276" w:lineRule="auto"/>
        <w:ind w:left="426"/>
        <w:jc w:val="both"/>
        <w:rPr>
          <w:rFonts w:ascii="Times New Roman" w:hAnsi="Times New Roman"/>
          <w:i/>
          <w:noProof/>
          <w:color w:val="000000"/>
        </w:rPr>
      </w:pPr>
      <w:r>
        <w:rPr>
          <w:rFonts w:ascii="Times New Roman" w:hAnsi="Times New Roman"/>
          <w:i/>
          <w:noProof/>
          <w:color w:val="000000"/>
        </w:rPr>
        <w:t xml:space="preserve">(c) supporting the development and sustainability of nuclear expertise and excellence in the Union; </w:t>
      </w:r>
    </w:p>
    <w:p w:rsidR="00EC06FD" w:rsidRDefault="00F346DE">
      <w:pPr>
        <w:pStyle w:val="CM4"/>
        <w:suppressAutoHyphens/>
        <w:spacing w:before="60" w:after="60" w:line="276" w:lineRule="auto"/>
        <w:ind w:left="426"/>
        <w:jc w:val="both"/>
        <w:rPr>
          <w:rFonts w:ascii="Times New Roman" w:hAnsi="Times New Roman"/>
          <w:i/>
          <w:noProof/>
          <w:color w:val="000000"/>
        </w:rPr>
      </w:pPr>
      <w:r>
        <w:rPr>
          <w:rFonts w:ascii="Times New Roman" w:hAnsi="Times New Roman"/>
          <w:i/>
          <w:noProof/>
          <w:color w:val="000000"/>
        </w:rPr>
        <w:t xml:space="preserve">(d) supporting radiation protection and development of medical applications of radiation, including, inter alia, the secure and safe supply and use of radioisotopes; </w:t>
      </w:r>
    </w:p>
    <w:p w:rsidR="00EC06FD" w:rsidRDefault="00F346DE">
      <w:pPr>
        <w:pStyle w:val="CM4"/>
        <w:suppressAutoHyphens/>
        <w:spacing w:before="60" w:after="60" w:line="276" w:lineRule="auto"/>
        <w:ind w:left="426"/>
        <w:jc w:val="both"/>
        <w:rPr>
          <w:rFonts w:ascii="Times New Roman" w:hAnsi="Times New Roman"/>
          <w:i/>
          <w:noProof/>
          <w:color w:val="000000"/>
        </w:rPr>
      </w:pPr>
      <w:r>
        <w:rPr>
          <w:rFonts w:ascii="Times New Roman" w:hAnsi="Times New Roman"/>
          <w:i/>
          <w:noProof/>
          <w:color w:val="000000"/>
        </w:rPr>
        <w:t xml:space="preserve">(e) moving towards demonstration of feasibility of fusion as a power source by exploiting existing and future fusion facilities; </w:t>
      </w:r>
    </w:p>
    <w:p w:rsidR="00EC06FD" w:rsidRDefault="00F346DE">
      <w:pPr>
        <w:pStyle w:val="CM4"/>
        <w:suppressAutoHyphens/>
        <w:spacing w:before="60" w:after="60" w:line="276" w:lineRule="auto"/>
        <w:ind w:left="426"/>
        <w:jc w:val="both"/>
        <w:rPr>
          <w:rFonts w:ascii="Times New Roman" w:hAnsi="Times New Roman"/>
          <w:i/>
          <w:noProof/>
          <w:color w:val="000000"/>
        </w:rPr>
      </w:pPr>
      <w:r>
        <w:rPr>
          <w:rFonts w:ascii="Times New Roman" w:hAnsi="Times New Roman"/>
          <w:i/>
          <w:noProof/>
          <w:color w:val="000000"/>
        </w:rPr>
        <w:t xml:space="preserve">(f) laying the foundations for future fusion power plants by developing materials, technologies and conceptual design; </w:t>
      </w:r>
    </w:p>
    <w:p w:rsidR="00EC06FD" w:rsidRDefault="00F346DE">
      <w:pPr>
        <w:pStyle w:val="CM4"/>
        <w:suppressAutoHyphens/>
        <w:spacing w:before="60" w:after="60" w:line="276" w:lineRule="auto"/>
        <w:ind w:left="426"/>
        <w:jc w:val="both"/>
        <w:rPr>
          <w:rFonts w:ascii="Times New Roman" w:hAnsi="Times New Roman"/>
          <w:i/>
          <w:noProof/>
          <w:color w:val="000000"/>
        </w:rPr>
      </w:pPr>
      <w:r>
        <w:rPr>
          <w:rFonts w:ascii="Times New Roman" w:hAnsi="Times New Roman"/>
          <w:i/>
          <w:noProof/>
          <w:color w:val="000000"/>
        </w:rPr>
        <w:t xml:space="preserve">(g) promoting innovation and industrial competitiveness; </w:t>
      </w:r>
    </w:p>
    <w:p w:rsidR="00EC06FD" w:rsidRDefault="00F346DE">
      <w:pPr>
        <w:pStyle w:val="CM4"/>
        <w:suppressAutoHyphens/>
        <w:spacing w:before="60" w:after="60" w:line="276" w:lineRule="auto"/>
        <w:ind w:left="426"/>
        <w:jc w:val="both"/>
        <w:rPr>
          <w:rFonts w:ascii="Times New Roman" w:hAnsi="Times New Roman"/>
          <w:noProof/>
          <w:color w:val="000000"/>
        </w:rPr>
      </w:pPr>
      <w:r>
        <w:rPr>
          <w:rFonts w:ascii="Times New Roman" w:hAnsi="Times New Roman"/>
          <w:i/>
          <w:noProof/>
          <w:color w:val="000000"/>
        </w:rPr>
        <w:t>(h) ensuring availability and use of research infrastructures of pan-European relevance.</w:t>
      </w:r>
      <w:r>
        <w:rPr>
          <w:rFonts w:ascii="Times New Roman" w:hAnsi="Times New Roman"/>
          <w:noProof/>
          <w:color w:val="000000"/>
        </w:rPr>
        <w:t xml:space="preserve"> </w:t>
      </w:r>
    </w:p>
    <w:p w:rsidR="00EC06FD" w:rsidRDefault="00EC06FD">
      <w:pPr>
        <w:suppressAutoHyphens/>
        <w:spacing w:line="276" w:lineRule="auto"/>
        <w:ind w:left="426"/>
        <w:jc w:val="both"/>
        <w:rPr>
          <w:rFonts w:ascii="Tahoma" w:hAnsi="Tahoma" w:cs="Tahoma"/>
          <w:i/>
          <w:noProof/>
          <w:color w:val="A6A6A6"/>
          <w:sz w:val="20"/>
        </w:rPr>
      </w:pPr>
    </w:p>
    <w:p w:rsidR="00EC06FD" w:rsidRDefault="00F346DE">
      <w:pPr>
        <w:spacing w:line="276" w:lineRule="auto"/>
        <w:jc w:val="both"/>
        <w:rPr>
          <w:noProof/>
        </w:rPr>
      </w:pPr>
      <w:r>
        <w:rPr>
          <w:noProof/>
        </w:rPr>
        <w:t xml:space="preserve">For the purpose of the interim evaluation, the intervention logic of the Euratom Programme has been reconstructed based on the programming documentation (see Figure 1). </w:t>
      </w:r>
      <w:r>
        <w:rPr>
          <w:rFonts w:eastAsiaTheme="minorHAnsi"/>
          <w:noProof/>
        </w:rPr>
        <w:t xml:space="preserve">It describes </w:t>
      </w:r>
      <w:r>
        <w:rPr>
          <w:noProof/>
        </w:rPr>
        <w:t>the links between the problems to be tackled, the objectives to be achieved, the activities and the expected impacts</w:t>
      </w:r>
      <w:r>
        <w:rPr>
          <w:rStyle w:val="FootnoteReference"/>
          <w:noProof/>
        </w:rPr>
        <w:footnoteReference w:id="5"/>
      </w:r>
      <w:r>
        <w:rPr>
          <w:noProof/>
        </w:rPr>
        <w:t xml:space="preserve">. It distinguishes between outputs (the direct products from the actions, </w:t>
      </w:r>
      <w:r>
        <w:rPr>
          <w:noProof/>
        </w:rPr>
        <w:lastRenderedPageBreak/>
        <w:t xml:space="preserve">such as reports, trained researchers, prototypes, new infrastructures), results (that relate to benefits for direct beneficiaries from their participation) and impacts (the wider long-term effects of the Euratom Programme). </w:t>
      </w:r>
    </w:p>
    <w:p w:rsidR="00EC06FD" w:rsidRDefault="00EC06FD">
      <w:pPr>
        <w:spacing w:line="276" w:lineRule="auto"/>
        <w:jc w:val="both"/>
        <w:rPr>
          <w:noProof/>
          <w:sz w:val="20"/>
        </w:rPr>
      </w:pPr>
    </w:p>
    <w:p w:rsidR="00EC06FD" w:rsidRDefault="00F346DE">
      <w:pPr>
        <w:suppressAutoHyphens/>
        <w:spacing w:line="276" w:lineRule="auto"/>
        <w:jc w:val="both"/>
        <w:rPr>
          <w:noProof/>
        </w:rPr>
      </w:pPr>
      <w:r>
        <w:rPr>
          <w:noProof/>
        </w:rPr>
        <w:t>Where possible, the previous Euratom Framework Programme (FP7, 2007-2013) and the related ex-post evaluation have been used as a baseline for this interim evaluation.</w:t>
      </w:r>
      <w:r>
        <w:rPr>
          <w:rFonts w:eastAsiaTheme="minorHAnsi"/>
          <w:noProof/>
        </w:rPr>
        <w:t xml:space="preserve"> </w:t>
      </w:r>
      <w:r>
        <w:rPr>
          <w:noProof/>
        </w:rPr>
        <w:t xml:space="preserve">An overview of the results and impacts generated through Euratom FP7 is provided in Section 7.3. </w:t>
      </w:r>
    </w:p>
    <w:p w:rsidR="00EC06FD" w:rsidRDefault="00F346DE">
      <w:pPr>
        <w:suppressAutoHyphens/>
        <w:spacing w:line="276" w:lineRule="auto"/>
        <w:jc w:val="both"/>
        <w:rPr>
          <w:noProof/>
        </w:rPr>
      </w:pPr>
      <w:r>
        <w:rPr>
          <w:noProof/>
        </w:rPr>
        <w:t>In fusion research this evaluation considers the transition from the FP7 instruments such as the many bi-lateral contracts between Euratom and Member States' laboratories, and the multilateral instrument under the European Fusion Development Agreement. In passing from Euratom FP7 to the current Euratom Programme, the approach to fusion research has undergone a major transition with the creation of EUROfusion. Research activities are now managed within this consortium.</w:t>
      </w:r>
    </w:p>
    <w:p w:rsidR="00EC06FD" w:rsidRDefault="00EC06FD">
      <w:pPr>
        <w:suppressAutoHyphens/>
        <w:spacing w:line="276" w:lineRule="auto"/>
        <w:jc w:val="both"/>
        <w:rPr>
          <w:noProof/>
          <w:sz w:val="20"/>
        </w:rPr>
        <w:sectPr w:rsidR="00EC06FD">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601" w:footer="1077" w:gutter="0"/>
          <w:pgNumType w:start="2"/>
          <w:cols w:space="720"/>
          <w:titlePg/>
        </w:sectPr>
      </w:pPr>
    </w:p>
    <w:p w:rsidR="00EC06FD" w:rsidRDefault="00F346DE">
      <w:pPr>
        <w:suppressAutoHyphens/>
        <w:spacing w:line="276" w:lineRule="auto"/>
        <w:rPr>
          <w:noProof/>
          <w:highlight w:val="yellow"/>
        </w:rPr>
      </w:pPr>
      <w:r>
        <w:rPr>
          <w:noProof/>
          <w:highlight w:val="yellow"/>
        </w:rPr>
        <w:lastRenderedPageBreak/>
        <mc:AlternateContent>
          <mc:Choice Requires="wps">
            <w:drawing>
              <wp:anchor distT="0" distB="0" distL="114300" distR="114300" simplePos="0" relativeHeight="251663360" behindDoc="0" locked="0" layoutInCell="1" allowOverlap="1" wp14:anchorId="1E22BE14" wp14:editId="35E2B9F1">
                <wp:simplePos x="0" y="0"/>
                <wp:positionH relativeFrom="column">
                  <wp:posOffset>-572135</wp:posOffset>
                </wp:positionH>
                <wp:positionV relativeFrom="paragraph">
                  <wp:posOffset>22225</wp:posOffset>
                </wp:positionV>
                <wp:extent cx="9951720" cy="5607050"/>
                <wp:effectExtent l="0" t="0" r="1143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1720" cy="5607050"/>
                        </a:xfrm>
                        <a:prstGeom prst="rect">
                          <a:avLst/>
                        </a:prstGeom>
                        <a:solidFill>
                          <a:srgbClr val="FFFFFF"/>
                        </a:solidFill>
                        <a:ln w="9525">
                          <a:solidFill>
                            <a:srgbClr val="000000"/>
                          </a:solidFill>
                          <a:miter lim="800000"/>
                          <a:headEnd/>
                          <a:tailEnd/>
                        </a:ln>
                      </wps:spPr>
                      <wps:txbx>
                        <w:txbxContent>
                          <w:p w:rsidR="00726F91" w:rsidRDefault="00726F91">
                            <w:pPr>
                              <w:jc w:val="right"/>
                            </w:pPr>
                            <w:r>
                              <w:rPr>
                                <w:noProof/>
                              </w:rPr>
                              <w:drawing>
                                <wp:inline distT="0" distB="0" distL="0" distR="0" wp14:anchorId="37E4F003" wp14:editId="64D874E9">
                                  <wp:extent cx="9786212" cy="55245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90496" cy="55269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05pt;margin-top:1.75pt;width:783.6pt;height:4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">
                <v:textbox>
                  <w:txbxContent>
                    <w:p w:rsidR="00726F91" w:rsidRDefault="00726F91">
                      <w:pPr>
                        <w:jc w:val="right"/>
                      </w:pPr>
                      <w:r>
                        <w:rPr>
                          <w:noProof/>
                        </w:rPr>
                        <w:drawing>
                          <wp:inline distT="0" distB="0" distL="0" distR="0" wp14:anchorId="37E4F003" wp14:editId="64D874E9">
                            <wp:extent cx="9786212" cy="55245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90496" cy="5526919"/>
                                    </a:xfrm>
                                    <a:prstGeom prst="rect">
                                      <a:avLst/>
                                    </a:prstGeom>
                                    <a:noFill/>
                                    <a:ln>
                                      <a:noFill/>
                                    </a:ln>
                                  </pic:spPr>
                                </pic:pic>
                              </a:graphicData>
                            </a:graphic>
                          </wp:inline>
                        </w:drawing>
                      </w:r>
                    </w:p>
                  </w:txbxContent>
                </v:textbox>
              </v:shape>
            </w:pict>
          </mc:Fallback>
        </mc:AlternateContent>
      </w: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highlight w:val="yellow"/>
        </w:rPr>
      </w:pPr>
    </w:p>
    <w:p w:rsidR="00EC06FD" w:rsidRDefault="00EC06FD">
      <w:pPr>
        <w:suppressAutoHyphens/>
        <w:spacing w:line="276" w:lineRule="auto"/>
        <w:jc w:val="both"/>
        <w:rPr>
          <w:noProof/>
        </w:rPr>
        <w:sectPr w:rsidR="00EC06FD">
          <w:headerReference w:type="even" r:id="rId25"/>
          <w:headerReference w:type="default" r:id="rId26"/>
          <w:footerReference w:type="even" r:id="rId27"/>
          <w:footerReference w:type="default" r:id="rId28"/>
          <w:headerReference w:type="first" r:id="rId29"/>
          <w:footerReference w:type="first" r:id="rId30"/>
          <w:pgSz w:w="16838" w:h="11906" w:orient="landscape"/>
          <w:pgMar w:top="1417" w:right="1417" w:bottom="1417" w:left="1417" w:header="601" w:footer="387" w:gutter="0"/>
          <w:cols w:space="720"/>
          <w:titlePg/>
          <w:docGrid w:linePitch="326"/>
        </w:sectPr>
      </w:pPr>
    </w:p>
    <w:p w:rsidR="00EC06FD" w:rsidRDefault="00F346DE">
      <w:pPr>
        <w:pStyle w:val="Heading2"/>
        <w:suppressAutoHyphens/>
        <w:spacing w:line="276" w:lineRule="auto"/>
        <w:rPr>
          <w:noProof/>
        </w:rPr>
      </w:pPr>
      <w:bookmarkStart w:id="113" w:name="_Toc474942623"/>
      <w:bookmarkStart w:id="114" w:name="_Toc474942624"/>
      <w:bookmarkStart w:id="115" w:name="_Toc474942625"/>
      <w:bookmarkStart w:id="116" w:name="_Toc474942626"/>
      <w:bookmarkStart w:id="117" w:name="_Toc474942627"/>
      <w:bookmarkStart w:id="118" w:name="_Toc474942628"/>
      <w:bookmarkStart w:id="119" w:name="_Toc474942629"/>
      <w:bookmarkStart w:id="120" w:name="_Toc474942630"/>
      <w:bookmarkStart w:id="121" w:name="_Toc474942631"/>
      <w:bookmarkStart w:id="122" w:name="_Toc474942632"/>
      <w:bookmarkStart w:id="123" w:name="_Toc474942633"/>
      <w:bookmarkStart w:id="124" w:name="_Toc474942634"/>
      <w:bookmarkStart w:id="125" w:name="_Toc474942635"/>
      <w:bookmarkStart w:id="126" w:name="_Toc474942636"/>
      <w:bookmarkStart w:id="127" w:name="_Toc474942637"/>
      <w:bookmarkStart w:id="128" w:name="_Toc474942638"/>
      <w:bookmarkStart w:id="129" w:name="_Toc494899770"/>
      <w:bookmarkStart w:id="130" w:name="_Toc457579321"/>
      <w:bookmarkStart w:id="131" w:name="_Toc474513215"/>
      <w:bookmarkStart w:id="132" w:name="_Toc474513363"/>
      <w:bookmarkStart w:id="133" w:name="_Toc474521027"/>
      <w:bookmarkStart w:id="134" w:name="_Toc474531716"/>
      <w:bookmarkStart w:id="135" w:name="_Toc474859278"/>
      <w:bookmarkStart w:id="136" w:name="_Toc474865009"/>
      <w:bookmarkStart w:id="137" w:name="_Toc474919030"/>
      <w:bookmarkStart w:id="138" w:name="_Toc474942457"/>
      <w:bookmarkStart w:id="139" w:name="_Toc474943453"/>
      <w:bookmarkStart w:id="140" w:name="_Toc474945814"/>
      <w:bookmarkStart w:id="141" w:name="_Toc474860745"/>
      <w:bookmarkStart w:id="142" w:name="_Toc474872372"/>
      <w:bookmarkStart w:id="143" w:name="_Toc475011618"/>
      <w:bookmarkStart w:id="144" w:name="_Toc475016265"/>
      <w:bookmarkStart w:id="145" w:name="_Toc475020122"/>
      <w:bookmarkStart w:id="146" w:name="_Toc475022819"/>
      <w:bookmarkStart w:id="147" w:name="_Toc475031261"/>
      <w:bookmarkStart w:id="148" w:name="_Toc475031585"/>
      <w:bookmarkStart w:id="149" w:name="_Toc475031659"/>
      <w:bookmarkStart w:id="150" w:name="_Toc475036595"/>
      <w:bookmarkStart w:id="151" w:name="_Toc475038462"/>
      <w:bookmarkStart w:id="152" w:name="_Toc475041856"/>
      <w:bookmarkStart w:id="153" w:name="_Toc475113632"/>
      <w:bookmarkStart w:id="154" w:name="_Toc475478951"/>
      <w:bookmarkStart w:id="155" w:name="_Toc475546801"/>
      <w:bookmarkStart w:id="156" w:name="_Toc475547933"/>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Pr>
          <w:noProof/>
        </w:rPr>
        <w:lastRenderedPageBreak/>
        <w:t>Evaluation questions</w:t>
      </w:r>
      <w:bookmarkEnd w:id="129"/>
      <w:r>
        <w:rPr>
          <w:noProof/>
        </w:rPr>
        <w:t xml:space="preserve"> </w:t>
      </w:r>
    </w:p>
    <w:p w:rsidR="00EC06FD" w:rsidRDefault="00F346DE">
      <w:pPr>
        <w:suppressAutoHyphens/>
        <w:spacing w:line="276" w:lineRule="auto"/>
        <w:jc w:val="both"/>
        <w:rPr>
          <w:noProof/>
        </w:rPr>
      </w:pPr>
      <w:r>
        <w:rPr>
          <w:noProof/>
        </w:rPr>
        <w:t>This interim evaluation is structured around five evaluation criteria of relevance, efficiency, effectiveness, coherence and EU added value</w:t>
      </w:r>
      <w:r>
        <w:rPr>
          <w:rStyle w:val="FootnoteReference"/>
          <w:noProof/>
        </w:rPr>
        <w:footnoteReference w:id="6"/>
      </w:r>
      <w:r>
        <w:rPr>
          <w:noProof/>
        </w:rPr>
        <w:t>.</w:t>
      </w:r>
    </w:p>
    <w:p w:rsidR="00EC06FD" w:rsidRDefault="00EC06FD">
      <w:pPr>
        <w:suppressAutoHyphens/>
        <w:spacing w:line="276" w:lineRule="auto"/>
        <w:jc w:val="both"/>
        <w:rPr>
          <w:noProof/>
        </w:rPr>
      </w:pPr>
    </w:p>
    <w:p w:rsidR="00EC06FD" w:rsidRDefault="00F346DE">
      <w:pPr>
        <w:pStyle w:val="Heading2"/>
        <w:suppressAutoHyphens/>
        <w:spacing w:line="276" w:lineRule="auto"/>
        <w:rPr>
          <w:noProof/>
        </w:rPr>
      </w:pPr>
      <w:bookmarkStart w:id="157" w:name="_Toc494899771"/>
      <w:r>
        <w:rPr>
          <w:noProof/>
        </w:rPr>
        <w:t>Method</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EC06FD" w:rsidRDefault="00F346DE">
      <w:pPr>
        <w:suppressAutoHyphens/>
        <w:spacing w:line="276" w:lineRule="auto"/>
        <w:jc w:val="both"/>
        <w:rPr>
          <w:noProof/>
        </w:rPr>
      </w:pPr>
      <w:r>
        <w:rPr>
          <w:noProof/>
        </w:rPr>
        <w:t>In line with the Council Regulation, the interim evaluation was carried out by the Commission with the assistance of the Commission group of independent experts (CEG). The interim evaluation started in June 2016. Work of the expert group has been guided by Terms of Reference adopted by the Commission</w:t>
      </w:r>
      <w:r>
        <w:rPr>
          <w:rStyle w:val="FootnoteReference"/>
          <w:noProof/>
        </w:rPr>
        <w:footnoteReference w:id="7"/>
      </w:r>
      <w:r>
        <w:rPr>
          <w:noProof/>
        </w:rPr>
        <w:t>. The exercise has been based on the following data sources:</w:t>
      </w:r>
      <w:r>
        <w:rPr>
          <w:noProof/>
          <w:vertAlign w:val="superscript"/>
        </w:rPr>
        <w:t xml:space="preserve"> </w:t>
      </w:r>
      <w:r>
        <w:rPr>
          <w:noProof/>
          <w:vertAlign w:val="superscript"/>
        </w:rPr>
        <w:footnoteReference w:id="8"/>
      </w:r>
    </w:p>
    <w:p w:rsidR="00EC06FD" w:rsidRDefault="00F346DE">
      <w:pPr>
        <w:pStyle w:val="ListParagraph"/>
        <w:numPr>
          <w:ilvl w:val="0"/>
          <w:numId w:val="25"/>
        </w:numPr>
        <w:suppressAutoHyphens/>
        <w:spacing w:line="276" w:lineRule="auto"/>
        <w:rPr>
          <w:noProof/>
        </w:rPr>
      </w:pPr>
      <w:r>
        <w:rPr>
          <w:noProof/>
        </w:rPr>
        <w:t>Commission's statistics concerning the implementation and results of Euratom calls for proposals (2014/15, and 2016/17)</w:t>
      </w:r>
      <w:r>
        <w:rPr>
          <w:rStyle w:val="FootnoteReference"/>
          <w:noProof/>
        </w:rPr>
        <w:footnoteReference w:id="9"/>
      </w:r>
      <w:r>
        <w:rPr>
          <w:noProof/>
        </w:rPr>
        <w:t>;</w:t>
      </w:r>
    </w:p>
    <w:p w:rsidR="00EC06FD" w:rsidRDefault="00F346DE">
      <w:pPr>
        <w:pStyle w:val="ListParagraph"/>
        <w:numPr>
          <w:ilvl w:val="0"/>
          <w:numId w:val="25"/>
        </w:numPr>
        <w:suppressAutoHyphens/>
        <w:spacing w:line="276" w:lineRule="auto"/>
        <w:rPr>
          <w:noProof/>
        </w:rPr>
      </w:pPr>
      <w:r>
        <w:rPr>
          <w:noProof/>
        </w:rPr>
        <w:t>2014-2016 periodic reports from EUROfusion and fission projects</w:t>
      </w:r>
      <w:r>
        <w:rPr>
          <w:rStyle w:val="FootnoteReference"/>
          <w:noProof/>
        </w:rPr>
        <w:footnoteReference w:id="10"/>
      </w:r>
      <w:r>
        <w:rPr>
          <w:noProof/>
        </w:rPr>
        <w:t xml:space="preserve"> </w:t>
      </w:r>
    </w:p>
    <w:p w:rsidR="00EC06FD" w:rsidRDefault="00F346DE">
      <w:pPr>
        <w:pStyle w:val="ListParagraph"/>
        <w:numPr>
          <w:ilvl w:val="0"/>
          <w:numId w:val="25"/>
        </w:numPr>
        <w:suppressAutoHyphens/>
        <w:spacing w:line="276" w:lineRule="auto"/>
        <w:rPr>
          <w:noProof/>
        </w:rPr>
      </w:pPr>
      <w:r>
        <w:rPr>
          <w:noProof/>
        </w:rPr>
        <w:t>Report from the Commission Expert Group for interim evaluation of indirect actions of Euratom Programme 2014-2018;</w:t>
      </w:r>
    </w:p>
    <w:p w:rsidR="00EC06FD" w:rsidRDefault="00F346DE">
      <w:pPr>
        <w:pStyle w:val="ListParagraph"/>
        <w:numPr>
          <w:ilvl w:val="0"/>
          <w:numId w:val="25"/>
        </w:numPr>
        <w:suppressAutoHyphens/>
        <w:spacing w:line="276" w:lineRule="auto"/>
        <w:rPr>
          <w:noProof/>
        </w:rPr>
      </w:pPr>
      <w:r>
        <w:rPr>
          <w:noProof/>
        </w:rPr>
        <w:t>Study by E&amp;Y consultancy on governance and management of EUROfusion, and on fission research.</w:t>
      </w:r>
    </w:p>
    <w:p w:rsidR="00EC06FD" w:rsidRDefault="00F346DE">
      <w:pPr>
        <w:suppressAutoHyphens/>
        <w:spacing w:after="120" w:line="276" w:lineRule="auto"/>
        <w:jc w:val="both"/>
        <w:rPr>
          <w:noProof/>
        </w:rPr>
      </w:pPr>
      <w:r>
        <w:rPr>
          <w:noProof/>
        </w:rPr>
        <w:t>The feedback from an on-line public stakeholder consultation carried out in the context of this interim evaluation has also been used. More than 320 stakeholders replied and 10 stakeholder position papers were submitted.</w:t>
      </w:r>
      <w:r>
        <w:rPr>
          <w:rStyle w:val="FootnoteReference"/>
          <w:noProof/>
        </w:rPr>
        <w:footnoteReference w:id="11"/>
      </w:r>
      <w:r>
        <w:rPr>
          <w:noProof/>
        </w:rPr>
        <w:t xml:space="preserve"> </w:t>
      </w:r>
    </w:p>
    <w:p w:rsidR="00EC06FD" w:rsidRDefault="00F346DE">
      <w:pPr>
        <w:suppressAutoHyphens/>
        <w:spacing w:line="276" w:lineRule="auto"/>
        <w:jc w:val="both"/>
        <w:rPr>
          <w:noProof/>
        </w:rPr>
      </w:pPr>
      <w:r>
        <w:rPr>
          <w:noProof/>
        </w:rPr>
        <w:t xml:space="preserve">The main limitation of this interim evaluation concerns its timing: it is taking place only three years after the beginning of the Euratom Programme, whereas most projects (i.e. fission projects following open calls for proposals) have only just started and it is too early to present a complete picture of results and impacts. Though some results may be expected within such a period of time, it would require more time for more significant impacts to emerge, such as influence on the regulatory framework, or development of new materials and/or techniques. </w:t>
      </w:r>
      <w:r>
        <w:rPr>
          <w:noProof/>
        </w:rPr>
        <w:lastRenderedPageBreak/>
        <w:t>Some 'lower risk' actions have incremental and short-term effects, which are easier to capture and to report on, though 'high risk' actions (such as fundamental research) would result in more profound impacts only in the longer term (e.g. 10-20 years, and even beyond). These latter effects are also more difficult to capture through usual indicator systems, and often need complex investigative work to match outputs from projects carried out in the past with eventual impacts many years later, sometimes in different technical areas.</w:t>
      </w:r>
    </w:p>
    <w:p w:rsidR="00EC06FD" w:rsidRDefault="00EC06FD">
      <w:pPr>
        <w:suppressAutoHyphens/>
        <w:spacing w:line="276" w:lineRule="auto"/>
        <w:jc w:val="both"/>
        <w:rPr>
          <w:noProof/>
        </w:rPr>
      </w:pPr>
    </w:p>
    <w:p w:rsidR="00EC06FD" w:rsidRDefault="00F346DE">
      <w:pPr>
        <w:suppressAutoHyphens/>
        <w:spacing w:after="120" w:line="276" w:lineRule="auto"/>
        <w:jc w:val="both"/>
        <w:rPr>
          <w:noProof/>
        </w:rPr>
      </w:pPr>
      <w:r>
        <w:rPr>
          <w:noProof/>
        </w:rPr>
        <w:t xml:space="preserve">Data limitations include issues related to data availability and measurability of outcomes (e.g. most Euratom Key Performance Indicators (KPI) focus on outputs from research projects such as publications and patents), aggregation (e.g. difficulty in aggregating data covering the whole spectrum of programme coming from various data sources) and reliability of certain data (e.g. data on patents and publications are based on self-reporting by project coordinators). </w:t>
      </w:r>
    </w:p>
    <w:p w:rsidR="00EC06FD" w:rsidRDefault="00F346DE">
      <w:pPr>
        <w:suppressAutoHyphens/>
        <w:spacing w:line="276" w:lineRule="auto"/>
        <w:jc w:val="both"/>
        <w:rPr>
          <w:noProof/>
        </w:rPr>
      </w:pPr>
      <w:r>
        <w:rPr>
          <w:noProof/>
        </w:rPr>
        <w:t>Another limitation is the</w:t>
      </w:r>
      <w:r>
        <w:rPr>
          <w:b/>
          <w:noProof/>
        </w:rPr>
        <w:t xml:space="preserve"> </w:t>
      </w:r>
      <w:r>
        <w:rPr>
          <w:noProof/>
        </w:rPr>
        <w:t xml:space="preserve">lack of benchmarks to compare performance. Worldwide there is no nuclear research programme similar to the Euratom Programme in terms of thematic coverage and depth. To overcome and mitigate these limitations, the SWD is transparent in indicating its data sources and all underlying sources are available. </w:t>
      </w:r>
      <w:bookmarkStart w:id="158" w:name="_Toc474513216"/>
      <w:bookmarkStart w:id="159" w:name="_Toc474513364"/>
      <w:bookmarkStart w:id="160" w:name="_Toc474521028"/>
      <w:bookmarkStart w:id="161" w:name="_Toc474531717"/>
      <w:bookmarkStart w:id="162" w:name="_Toc474859279"/>
      <w:bookmarkStart w:id="163" w:name="_Toc474865010"/>
      <w:bookmarkStart w:id="164" w:name="_Toc474919031"/>
      <w:bookmarkStart w:id="165" w:name="_Toc474942458"/>
      <w:bookmarkStart w:id="166" w:name="_Toc474943454"/>
      <w:bookmarkStart w:id="167" w:name="_Toc474945815"/>
      <w:bookmarkStart w:id="168" w:name="_Toc474860746"/>
      <w:bookmarkStart w:id="169" w:name="_Toc474872373"/>
      <w:bookmarkStart w:id="170" w:name="_Toc475011619"/>
      <w:bookmarkStart w:id="171" w:name="_Toc475016266"/>
      <w:bookmarkStart w:id="172" w:name="_Toc475020123"/>
      <w:bookmarkStart w:id="173" w:name="_Toc475022820"/>
      <w:bookmarkStart w:id="174" w:name="_Toc475031262"/>
      <w:bookmarkStart w:id="175" w:name="_Toc475031586"/>
      <w:bookmarkStart w:id="176" w:name="_Toc475031660"/>
      <w:bookmarkStart w:id="177" w:name="_Toc475036596"/>
      <w:bookmarkStart w:id="178" w:name="_Toc475038463"/>
      <w:bookmarkStart w:id="179" w:name="_Toc475041857"/>
      <w:bookmarkStart w:id="180" w:name="_Toc475113633"/>
      <w:bookmarkStart w:id="181" w:name="_Toc475478952"/>
      <w:bookmarkStart w:id="182" w:name="_Toc475546802"/>
      <w:bookmarkStart w:id="183" w:name="_Toc475547934"/>
    </w:p>
    <w:p w:rsidR="00EC06FD" w:rsidRDefault="00EC06FD">
      <w:pPr>
        <w:suppressAutoHyphens/>
        <w:spacing w:line="276" w:lineRule="auto"/>
        <w:jc w:val="both"/>
        <w:rPr>
          <w:b/>
          <w:smallCaps/>
          <w:noProof/>
          <w:szCs w:val="20"/>
          <w:lang w:eastAsia="en-US"/>
        </w:rPr>
      </w:pPr>
    </w:p>
    <w:p w:rsidR="00EC06FD" w:rsidRDefault="00F346DE">
      <w:pPr>
        <w:spacing w:after="200" w:line="276" w:lineRule="auto"/>
        <w:rPr>
          <w:b/>
          <w:smallCaps/>
          <w:noProof/>
          <w:szCs w:val="20"/>
          <w:lang w:eastAsia="en-US"/>
        </w:rPr>
      </w:pPr>
      <w:r>
        <w:rPr>
          <w:noProof/>
        </w:rPr>
        <w:br w:type="page"/>
      </w:r>
    </w:p>
    <w:p w:rsidR="00EC06FD" w:rsidRDefault="00F346DE">
      <w:pPr>
        <w:pStyle w:val="Heading1"/>
        <w:widowControl w:val="0"/>
        <w:suppressAutoHyphens/>
        <w:spacing w:line="276" w:lineRule="auto"/>
        <w:ind w:left="482" w:hanging="482"/>
        <w:rPr>
          <w:noProof/>
        </w:rPr>
      </w:pPr>
      <w:bookmarkStart w:id="184" w:name="_Toc494899772"/>
      <w:r>
        <w:rPr>
          <w:noProof/>
        </w:rPr>
        <w:lastRenderedPageBreak/>
        <w:t>IMPLEMENTATION STATE OF PLAY</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EC06FD" w:rsidRDefault="00F346DE">
      <w:pPr>
        <w:pStyle w:val="Heading2"/>
        <w:keepNext w:val="0"/>
        <w:widowControl w:val="0"/>
        <w:suppressAutoHyphens/>
        <w:spacing w:line="276" w:lineRule="auto"/>
        <w:rPr>
          <w:noProof/>
        </w:rPr>
      </w:pPr>
      <w:bookmarkStart w:id="185" w:name="_Toc474513217"/>
      <w:bookmarkStart w:id="186" w:name="_Toc474513365"/>
      <w:bookmarkStart w:id="187" w:name="_Toc474521029"/>
      <w:bookmarkStart w:id="188" w:name="_Ref474526173"/>
      <w:bookmarkStart w:id="189" w:name="_Toc474531718"/>
      <w:bookmarkStart w:id="190" w:name="_Toc474859280"/>
      <w:bookmarkStart w:id="191" w:name="_Toc474865011"/>
      <w:bookmarkStart w:id="192" w:name="_Toc474919032"/>
      <w:bookmarkStart w:id="193" w:name="_Toc474942459"/>
      <w:bookmarkStart w:id="194" w:name="_Toc474943455"/>
      <w:bookmarkStart w:id="195" w:name="_Toc474945816"/>
      <w:bookmarkStart w:id="196" w:name="_Toc474860747"/>
      <w:bookmarkStart w:id="197" w:name="_Toc474872374"/>
      <w:bookmarkStart w:id="198" w:name="_Toc475011620"/>
      <w:bookmarkStart w:id="199" w:name="_Toc475016267"/>
      <w:bookmarkStart w:id="200" w:name="_Toc475020124"/>
      <w:bookmarkStart w:id="201" w:name="_Toc475022821"/>
      <w:bookmarkStart w:id="202" w:name="_Toc475031263"/>
      <w:bookmarkStart w:id="203" w:name="_Toc475031587"/>
      <w:bookmarkStart w:id="204" w:name="_Toc475031661"/>
      <w:bookmarkStart w:id="205" w:name="_Toc475036597"/>
      <w:bookmarkStart w:id="206" w:name="_Toc475038464"/>
      <w:bookmarkStart w:id="207" w:name="_Toc475041858"/>
      <w:bookmarkStart w:id="208" w:name="_Toc475113634"/>
      <w:bookmarkStart w:id="209" w:name="_Toc475478953"/>
      <w:bookmarkStart w:id="210" w:name="_Toc475546803"/>
      <w:bookmarkStart w:id="211" w:name="_Toc475547935"/>
      <w:bookmarkStart w:id="212" w:name="_Toc494899773"/>
      <w:r>
        <w:rPr>
          <w:noProof/>
        </w:rPr>
        <w:t>Overview of programme inputs and activities</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EC06FD" w:rsidRDefault="00F346DE">
      <w:pPr>
        <w:suppressAutoHyphens/>
        <w:spacing w:after="120" w:line="276" w:lineRule="auto"/>
        <w:jc w:val="both"/>
        <w:rPr>
          <w:noProof/>
        </w:rPr>
      </w:pPr>
      <w:r>
        <w:rPr>
          <w:noProof/>
        </w:rPr>
        <w:t xml:space="preserve">The Commission is responsible for research policy in the nuclear field in line with provisions of the Euratom Treaty. While the Council Regulation establishing the Euratom Programme 2014-2018 sets out the broad lines of action and the budget envelope, the Euratom Work Programmes define the priorities, usually on a biennial basis, as well as all details of the corresponding open calls for proposals in the 'fission' part of the programme. Following the opinion of the Programme Committee, consisting of Member States' representatives, Euratom Work Programmes are formally adopted by the Commission. Reacting to the calls for proposals, applicants from industry, academia, national nuclear research centres and other players submit proposals that are then evaluated by panels of independent experts. The Euratom Research and Training programme 'indirect actions', including any related calls for proposals, are managed by Directorate-G ('Energy') of DG Research &amp; Innovation (DG-RTD). </w:t>
      </w:r>
    </w:p>
    <w:p w:rsidR="00EC06FD" w:rsidRDefault="00F346DE">
      <w:pPr>
        <w:suppressAutoHyphens/>
        <w:spacing w:after="120" w:line="276" w:lineRule="auto"/>
        <w:jc w:val="both"/>
        <w:rPr>
          <w:b/>
          <w:noProof/>
        </w:rPr>
      </w:pPr>
      <w:r>
        <w:rPr>
          <w:noProof/>
        </w:rPr>
        <w:t xml:space="preserve">Table 1 provides an illustration of the different types of actions used. The bulk of the budget is granted to European Joint Programmes, collaborative Research &amp; Innovation projects (most specifically through Research and Innovation Actions) and the coordination and networking of research and innovation projects, programmes and policies (CSA). Other types of actions include recognition prizes and financial instruments (Innovfin). Coordination, support and other actions are used for studies, expert groups, conferences, as wells as measures to promote the dissemination and exploitation of results. </w:t>
      </w:r>
    </w:p>
    <w:tbl>
      <w:tblPr>
        <w:tblStyle w:val="TableGrid"/>
        <w:tblW w:w="0" w:type="auto"/>
        <w:jc w:val="center"/>
        <w:tblCellMar>
          <w:left w:w="28" w:type="dxa"/>
          <w:right w:w="28" w:type="dxa"/>
        </w:tblCellMar>
        <w:tblLook w:val="04A0" w:firstRow="1" w:lastRow="0" w:firstColumn="1" w:lastColumn="0" w:noHBand="0" w:noVBand="1"/>
      </w:tblPr>
      <w:tblGrid>
        <w:gridCol w:w="1726"/>
        <w:gridCol w:w="1166"/>
        <w:gridCol w:w="4578"/>
        <w:gridCol w:w="1426"/>
      </w:tblGrid>
      <w:tr w:rsidR="00EC06FD">
        <w:trPr>
          <w:cantSplit/>
          <w:trHeight w:val="338"/>
          <w:jc w:val="center"/>
        </w:trPr>
        <w:tc>
          <w:tcPr>
            <w:tcW w:w="8896" w:type="dxa"/>
            <w:gridSpan w:val="4"/>
            <w:shd w:val="clear" w:color="auto" w:fill="BFBFBF" w:themeFill="background1" w:themeFillShade="BF"/>
            <w:vAlign w:val="center"/>
          </w:tcPr>
          <w:p w:rsidR="00EC06FD" w:rsidRDefault="00F346DE">
            <w:pPr>
              <w:suppressAutoHyphens/>
              <w:spacing w:line="276" w:lineRule="auto"/>
              <w:jc w:val="center"/>
              <w:rPr>
                <w:noProof/>
                <w:sz w:val="20"/>
              </w:rPr>
            </w:pPr>
            <w:r>
              <w:rPr>
                <w:b/>
                <w:noProof/>
                <w:sz w:val="20"/>
              </w:rPr>
              <w:t>Table 1. Types of funding actions in the Euratom Programme</w:t>
            </w:r>
          </w:p>
        </w:tc>
      </w:tr>
      <w:tr w:rsidR="00EC06FD">
        <w:trPr>
          <w:cantSplit/>
          <w:trHeight w:val="727"/>
          <w:jc w:val="center"/>
        </w:trPr>
        <w:tc>
          <w:tcPr>
            <w:tcW w:w="1726" w:type="dxa"/>
            <w:vMerge w:val="restart"/>
            <w:vAlign w:val="center"/>
          </w:tcPr>
          <w:p w:rsidR="00EC06FD" w:rsidRDefault="00F346DE">
            <w:pPr>
              <w:keepNext/>
              <w:suppressAutoHyphens/>
              <w:spacing w:line="276" w:lineRule="auto"/>
              <w:rPr>
                <w:b/>
                <w:noProof/>
                <w:sz w:val="18"/>
              </w:rPr>
            </w:pPr>
            <w:r>
              <w:rPr>
                <w:b/>
                <w:noProof/>
                <w:sz w:val="18"/>
              </w:rPr>
              <w:t>Grants</w:t>
            </w:r>
            <w:r>
              <w:rPr>
                <w:b/>
                <w:noProof/>
                <w:sz w:val="18"/>
              </w:rPr>
              <w:br/>
            </w:r>
            <w:r>
              <w:rPr>
                <w:noProof/>
                <w:sz w:val="18"/>
              </w:rPr>
              <w:t>(direct financial contribution in order to finance actions)</w:t>
            </w:r>
          </w:p>
        </w:tc>
        <w:tc>
          <w:tcPr>
            <w:tcW w:w="1166" w:type="dxa"/>
            <w:vAlign w:val="center"/>
          </w:tcPr>
          <w:p w:rsidR="00EC06FD" w:rsidRDefault="00F346DE">
            <w:pPr>
              <w:keepNext/>
              <w:suppressAutoHyphens/>
              <w:spacing w:line="276" w:lineRule="auto"/>
              <w:rPr>
                <w:b/>
                <w:noProof/>
                <w:sz w:val="18"/>
              </w:rPr>
            </w:pPr>
            <w:r>
              <w:rPr>
                <w:b/>
                <w:noProof/>
                <w:sz w:val="18"/>
              </w:rPr>
              <w:t>Research and Innovation Action (RIA)</w:t>
            </w:r>
          </w:p>
        </w:tc>
        <w:tc>
          <w:tcPr>
            <w:tcW w:w="4578" w:type="dxa"/>
          </w:tcPr>
          <w:p w:rsidR="00EC06FD" w:rsidRDefault="00F346DE">
            <w:pPr>
              <w:suppressAutoHyphens/>
              <w:spacing w:line="276" w:lineRule="auto"/>
              <w:rPr>
                <w:noProof/>
                <w:sz w:val="18"/>
              </w:rPr>
            </w:pPr>
            <w:r>
              <w:rPr>
                <w:noProof/>
                <w:sz w:val="18"/>
              </w:rPr>
              <w:t>Funding for research projects tackling clearly defined challenges, which can lead to the development of new knowledge or a new technology. Aimed at consortia of partners from different countries, industry and academia.</w:t>
            </w:r>
          </w:p>
        </w:tc>
        <w:tc>
          <w:tcPr>
            <w:tcW w:w="1426" w:type="dxa"/>
          </w:tcPr>
          <w:p w:rsidR="00EC06FD" w:rsidRDefault="00EC06FD">
            <w:pPr>
              <w:suppressAutoHyphens/>
              <w:spacing w:line="276" w:lineRule="auto"/>
              <w:rPr>
                <w:noProof/>
                <w:sz w:val="18"/>
              </w:rPr>
            </w:pPr>
          </w:p>
        </w:tc>
      </w:tr>
      <w:tr w:rsidR="00EC06FD">
        <w:trPr>
          <w:cantSplit/>
          <w:trHeight w:val="409"/>
          <w:jc w:val="center"/>
        </w:trPr>
        <w:tc>
          <w:tcPr>
            <w:tcW w:w="1726" w:type="dxa"/>
            <w:vMerge/>
          </w:tcPr>
          <w:p w:rsidR="00EC06FD" w:rsidRDefault="00EC06FD">
            <w:pPr>
              <w:keepNext/>
              <w:suppressAutoHyphens/>
              <w:spacing w:line="276" w:lineRule="auto"/>
              <w:rPr>
                <w:b/>
                <w:noProof/>
                <w:sz w:val="18"/>
              </w:rPr>
            </w:pPr>
          </w:p>
        </w:tc>
        <w:tc>
          <w:tcPr>
            <w:tcW w:w="1166" w:type="dxa"/>
            <w:vAlign w:val="center"/>
          </w:tcPr>
          <w:p w:rsidR="00EC06FD" w:rsidRDefault="00F346DE">
            <w:pPr>
              <w:keepNext/>
              <w:suppressAutoHyphens/>
              <w:spacing w:line="276" w:lineRule="auto"/>
              <w:rPr>
                <w:b/>
                <w:noProof/>
                <w:sz w:val="18"/>
              </w:rPr>
            </w:pPr>
            <w:r>
              <w:rPr>
                <w:b/>
                <w:noProof/>
                <w:sz w:val="18"/>
              </w:rPr>
              <w:t>Innovation Actions (IA)</w:t>
            </w:r>
          </w:p>
        </w:tc>
        <w:tc>
          <w:tcPr>
            <w:tcW w:w="4578" w:type="dxa"/>
          </w:tcPr>
          <w:p w:rsidR="00EC06FD" w:rsidRDefault="00F346DE">
            <w:pPr>
              <w:suppressAutoHyphens/>
              <w:spacing w:line="276" w:lineRule="auto"/>
              <w:rPr>
                <w:noProof/>
                <w:sz w:val="18"/>
              </w:rPr>
            </w:pPr>
            <w:r>
              <w:rPr>
                <w:noProof/>
                <w:sz w:val="18"/>
              </w:rPr>
              <w:t>Funding is more focused on closer-to-the-market activities. For example, prototyping, testing, demonstrating, piloting, scaling-up etc. if they aim at producing new or improved products or services. Aimed at consortia of partners from different countries, industry and academia.</w:t>
            </w:r>
          </w:p>
        </w:tc>
        <w:tc>
          <w:tcPr>
            <w:tcW w:w="1426" w:type="dxa"/>
          </w:tcPr>
          <w:p w:rsidR="00EC06FD" w:rsidRDefault="00F346DE">
            <w:pPr>
              <w:suppressAutoHyphens/>
              <w:spacing w:line="276" w:lineRule="auto"/>
              <w:rPr>
                <w:noProof/>
                <w:sz w:val="18"/>
              </w:rPr>
            </w:pPr>
            <w:r>
              <w:rPr>
                <w:noProof/>
                <w:sz w:val="18"/>
              </w:rPr>
              <w:t>New instrument in Horizon 2020 and Euratom Programme 2014-2018</w:t>
            </w:r>
          </w:p>
        </w:tc>
      </w:tr>
      <w:tr w:rsidR="00EC06FD">
        <w:trPr>
          <w:cantSplit/>
          <w:trHeight w:val="1146"/>
          <w:jc w:val="center"/>
        </w:trPr>
        <w:tc>
          <w:tcPr>
            <w:tcW w:w="1726" w:type="dxa"/>
            <w:vMerge/>
          </w:tcPr>
          <w:p w:rsidR="00EC06FD" w:rsidRDefault="00EC06FD">
            <w:pPr>
              <w:suppressAutoHyphens/>
              <w:spacing w:line="276" w:lineRule="auto"/>
              <w:rPr>
                <w:noProof/>
                <w:sz w:val="18"/>
              </w:rPr>
            </w:pPr>
          </w:p>
        </w:tc>
        <w:tc>
          <w:tcPr>
            <w:tcW w:w="1166" w:type="dxa"/>
            <w:vAlign w:val="center"/>
          </w:tcPr>
          <w:p w:rsidR="00EC06FD" w:rsidRDefault="00F346DE">
            <w:pPr>
              <w:suppressAutoHyphens/>
              <w:spacing w:line="276" w:lineRule="auto"/>
              <w:rPr>
                <w:b/>
                <w:noProof/>
                <w:sz w:val="18"/>
              </w:rPr>
            </w:pPr>
            <w:r>
              <w:rPr>
                <w:b/>
                <w:noProof/>
                <w:sz w:val="18"/>
              </w:rPr>
              <w:t>Coordination and support actions (CSA)</w:t>
            </w:r>
          </w:p>
          <w:p w:rsidR="00EC06FD" w:rsidRDefault="00EC06FD">
            <w:pPr>
              <w:keepNext/>
              <w:suppressAutoHyphens/>
              <w:spacing w:line="276" w:lineRule="auto"/>
              <w:rPr>
                <w:b/>
                <w:noProof/>
                <w:sz w:val="18"/>
              </w:rPr>
            </w:pPr>
          </w:p>
        </w:tc>
        <w:tc>
          <w:tcPr>
            <w:tcW w:w="4578" w:type="dxa"/>
          </w:tcPr>
          <w:p w:rsidR="00EC06FD" w:rsidRDefault="00F346DE">
            <w:pPr>
              <w:keepNext/>
              <w:suppressAutoHyphens/>
              <w:spacing w:line="276" w:lineRule="auto"/>
              <w:rPr>
                <w:b/>
                <w:noProof/>
                <w:sz w:val="18"/>
              </w:rPr>
            </w:pPr>
            <w:r>
              <w:rPr>
                <w:noProof/>
                <w:sz w:val="18"/>
              </w:rPr>
              <w:t>Funding covers the coordination and networking of research and innovation projects, programmes and policies. Funding for research and innovation per se is covered elsewhere. Aimed at single entities or consortia of partners from different countries, industry and academia.</w:t>
            </w:r>
          </w:p>
        </w:tc>
        <w:tc>
          <w:tcPr>
            <w:tcW w:w="1426" w:type="dxa"/>
          </w:tcPr>
          <w:p w:rsidR="00EC06FD" w:rsidRDefault="00EC06FD">
            <w:pPr>
              <w:keepNext/>
              <w:suppressAutoHyphens/>
              <w:spacing w:line="276" w:lineRule="auto"/>
              <w:rPr>
                <w:b/>
                <w:noProof/>
                <w:sz w:val="18"/>
              </w:rPr>
            </w:pPr>
          </w:p>
        </w:tc>
      </w:tr>
      <w:tr w:rsidR="00EC06FD">
        <w:trPr>
          <w:cantSplit/>
          <w:jc w:val="center"/>
        </w:trPr>
        <w:tc>
          <w:tcPr>
            <w:tcW w:w="1726" w:type="dxa"/>
            <w:vAlign w:val="center"/>
          </w:tcPr>
          <w:p w:rsidR="00EC06FD" w:rsidRDefault="00F346DE">
            <w:pPr>
              <w:keepNext/>
              <w:suppressAutoHyphens/>
              <w:spacing w:line="276" w:lineRule="auto"/>
              <w:rPr>
                <w:b/>
                <w:noProof/>
                <w:sz w:val="18"/>
              </w:rPr>
            </w:pPr>
            <w:r>
              <w:rPr>
                <w:b/>
                <w:noProof/>
                <w:sz w:val="18"/>
              </w:rPr>
              <w:lastRenderedPageBreak/>
              <w:t>Co-fund grants</w:t>
            </w:r>
          </w:p>
        </w:tc>
        <w:tc>
          <w:tcPr>
            <w:tcW w:w="1166" w:type="dxa"/>
            <w:vAlign w:val="center"/>
          </w:tcPr>
          <w:p w:rsidR="00EC06FD" w:rsidRDefault="00F346DE">
            <w:pPr>
              <w:keepNext/>
              <w:suppressAutoHyphens/>
              <w:spacing w:line="276" w:lineRule="auto"/>
              <w:rPr>
                <w:b/>
                <w:noProof/>
                <w:sz w:val="18"/>
              </w:rPr>
            </w:pPr>
            <w:r>
              <w:rPr>
                <w:b/>
                <w:noProof/>
                <w:sz w:val="18"/>
              </w:rPr>
              <w:t>European Joint Programme (EJP)</w:t>
            </w:r>
          </w:p>
        </w:tc>
        <w:tc>
          <w:tcPr>
            <w:tcW w:w="4578" w:type="dxa"/>
          </w:tcPr>
          <w:p w:rsidR="00EC06FD" w:rsidRDefault="00F346DE">
            <w:pPr>
              <w:keepNext/>
              <w:suppressAutoHyphens/>
              <w:spacing w:line="276" w:lineRule="auto"/>
              <w:rPr>
                <w:noProof/>
                <w:sz w:val="18"/>
              </w:rPr>
            </w:pPr>
            <w:r>
              <w:rPr>
                <w:noProof/>
                <w:sz w:val="18"/>
              </w:rPr>
              <w:t xml:space="preserve">Support Member States’ research programmes in implementing a joint coordinated programme of activities. Aimed at entities owning/managing national research programmes. The EJP aims at attracting and pooling a critical mass of national resources in line with the Euratom Programme’s objectives, and at achieving significant economies of scale. </w:t>
            </w:r>
          </w:p>
        </w:tc>
        <w:tc>
          <w:tcPr>
            <w:tcW w:w="1426" w:type="dxa"/>
          </w:tcPr>
          <w:p w:rsidR="00EC06FD" w:rsidRDefault="00F346DE">
            <w:pPr>
              <w:keepNext/>
              <w:suppressAutoHyphens/>
              <w:spacing w:line="276" w:lineRule="auto"/>
              <w:rPr>
                <w:b/>
                <w:noProof/>
                <w:sz w:val="18"/>
              </w:rPr>
            </w:pPr>
            <w:r>
              <w:rPr>
                <w:noProof/>
                <w:sz w:val="18"/>
              </w:rPr>
              <w:t>New instrument in Horizon 2020 and Euratom Programme 2014-2018</w:t>
            </w:r>
          </w:p>
        </w:tc>
      </w:tr>
      <w:tr w:rsidR="00EC06FD">
        <w:trPr>
          <w:cantSplit/>
          <w:trHeight w:val="393"/>
          <w:jc w:val="center"/>
        </w:trPr>
        <w:tc>
          <w:tcPr>
            <w:tcW w:w="1726" w:type="dxa"/>
            <w:vAlign w:val="center"/>
          </w:tcPr>
          <w:p w:rsidR="00EC06FD" w:rsidRDefault="00F346DE">
            <w:pPr>
              <w:keepNext/>
              <w:suppressAutoHyphens/>
              <w:spacing w:line="276" w:lineRule="auto"/>
              <w:rPr>
                <w:b/>
                <w:noProof/>
                <w:sz w:val="18"/>
              </w:rPr>
            </w:pPr>
            <w:r>
              <w:rPr>
                <w:b/>
                <w:noProof/>
                <w:sz w:val="18"/>
              </w:rPr>
              <w:t>Loan-based financial instruments</w:t>
            </w:r>
          </w:p>
        </w:tc>
        <w:tc>
          <w:tcPr>
            <w:tcW w:w="1166" w:type="dxa"/>
            <w:vAlign w:val="center"/>
          </w:tcPr>
          <w:p w:rsidR="00EC06FD" w:rsidRDefault="00F346DE">
            <w:pPr>
              <w:keepNext/>
              <w:suppressAutoHyphens/>
              <w:spacing w:line="276" w:lineRule="auto"/>
              <w:rPr>
                <w:b/>
                <w:noProof/>
                <w:sz w:val="18"/>
              </w:rPr>
            </w:pPr>
            <w:r>
              <w:rPr>
                <w:b/>
                <w:noProof/>
                <w:sz w:val="18"/>
              </w:rPr>
              <w:t>InnovFin</w:t>
            </w:r>
          </w:p>
        </w:tc>
        <w:tc>
          <w:tcPr>
            <w:tcW w:w="4578" w:type="dxa"/>
          </w:tcPr>
          <w:p w:rsidR="00EC06FD" w:rsidRDefault="00F346DE">
            <w:pPr>
              <w:keepNext/>
              <w:suppressAutoHyphens/>
              <w:spacing w:line="276" w:lineRule="auto"/>
              <w:rPr>
                <w:noProof/>
                <w:sz w:val="18"/>
              </w:rPr>
            </w:pPr>
            <w:r>
              <w:rPr>
                <w:noProof/>
                <w:sz w:val="18"/>
              </w:rPr>
              <w:t>Loans to support fission research and innovation projects concerning the construction or refurbishing of research infrastructures</w:t>
            </w:r>
          </w:p>
        </w:tc>
        <w:tc>
          <w:tcPr>
            <w:tcW w:w="1426" w:type="dxa"/>
          </w:tcPr>
          <w:p w:rsidR="00EC06FD" w:rsidRDefault="00F346DE">
            <w:pPr>
              <w:keepNext/>
              <w:suppressAutoHyphens/>
              <w:spacing w:line="276" w:lineRule="auto"/>
              <w:rPr>
                <w:b/>
                <w:noProof/>
                <w:sz w:val="18"/>
              </w:rPr>
            </w:pPr>
            <w:r>
              <w:rPr>
                <w:noProof/>
                <w:sz w:val="18"/>
              </w:rPr>
              <w:t xml:space="preserve">New instrument in Horizon 2020  and Euratom Programme 2014-2018 </w:t>
            </w:r>
          </w:p>
        </w:tc>
      </w:tr>
      <w:tr w:rsidR="00EC06FD">
        <w:trPr>
          <w:cantSplit/>
          <w:jc w:val="center"/>
        </w:trPr>
        <w:tc>
          <w:tcPr>
            <w:tcW w:w="1726" w:type="dxa"/>
            <w:vAlign w:val="center"/>
          </w:tcPr>
          <w:p w:rsidR="00EC06FD" w:rsidRDefault="00F346DE">
            <w:pPr>
              <w:keepNext/>
              <w:suppressAutoHyphens/>
              <w:spacing w:line="276" w:lineRule="auto"/>
              <w:rPr>
                <w:b/>
                <w:noProof/>
                <w:sz w:val="18"/>
              </w:rPr>
            </w:pPr>
            <w:r>
              <w:rPr>
                <w:b/>
                <w:noProof/>
                <w:sz w:val="18"/>
              </w:rPr>
              <w:t>Prizes</w:t>
            </w:r>
          </w:p>
        </w:tc>
        <w:tc>
          <w:tcPr>
            <w:tcW w:w="1166" w:type="dxa"/>
            <w:vAlign w:val="center"/>
          </w:tcPr>
          <w:p w:rsidR="00EC06FD" w:rsidRDefault="00F346DE">
            <w:pPr>
              <w:keepNext/>
              <w:suppressAutoHyphens/>
              <w:spacing w:line="276" w:lineRule="auto"/>
              <w:rPr>
                <w:b/>
                <w:noProof/>
                <w:sz w:val="18"/>
              </w:rPr>
            </w:pPr>
            <w:r>
              <w:rPr>
                <w:b/>
                <w:noProof/>
                <w:sz w:val="18"/>
              </w:rPr>
              <w:t>Recognition Prizes</w:t>
            </w:r>
          </w:p>
        </w:tc>
        <w:tc>
          <w:tcPr>
            <w:tcW w:w="4578" w:type="dxa"/>
          </w:tcPr>
          <w:p w:rsidR="00EC06FD" w:rsidRDefault="00F346DE">
            <w:pPr>
              <w:keepNext/>
              <w:suppressAutoHyphens/>
              <w:spacing w:line="276" w:lineRule="auto"/>
              <w:rPr>
                <w:noProof/>
                <w:sz w:val="18"/>
              </w:rPr>
            </w:pPr>
            <w:r>
              <w:rPr>
                <w:noProof/>
                <w:sz w:val="18"/>
              </w:rPr>
              <w:t>Financial prize following a contest in order to give recognition of past achievements and induce future activities.</w:t>
            </w:r>
          </w:p>
        </w:tc>
        <w:tc>
          <w:tcPr>
            <w:tcW w:w="1426" w:type="dxa"/>
          </w:tcPr>
          <w:p w:rsidR="00EC06FD" w:rsidRDefault="00F346DE">
            <w:pPr>
              <w:keepNext/>
              <w:suppressAutoHyphens/>
              <w:spacing w:line="276" w:lineRule="auto"/>
              <w:rPr>
                <w:b/>
                <w:noProof/>
                <w:sz w:val="18"/>
              </w:rPr>
            </w:pPr>
            <w:r>
              <w:rPr>
                <w:noProof/>
                <w:sz w:val="18"/>
              </w:rPr>
              <w:t>New instrument in Horizon 2020 and Euratom Programme 2014-2018</w:t>
            </w:r>
          </w:p>
        </w:tc>
      </w:tr>
    </w:tbl>
    <w:p w:rsidR="00EC06FD" w:rsidRDefault="00F346DE">
      <w:pPr>
        <w:keepNext/>
        <w:suppressAutoHyphens/>
        <w:spacing w:after="120" w:line="276" w:lineRule="auto"/>
        <w:jc w:val="both"/>
        <w:rPr>
          <w:i/>
          <w:noProof/>
          <w:sz w:val="20"/>
        </w:rPr>
      </w:pPr>
      <w:r>
        <w:rPr>
          <w:i/>
          <w:noProof/>
          <w:sz w:val="20"/>
        </w:rPr>
        <w:t>Source: European Commission</w:t>
      </w:r>
    </w:p>
    <w:p w:rsidR="00EC06FD" w:rsidRDefault="00F346DE">
      <w:pPr>
        <w:pStyle w:val="Heading2"/>
        <w:suppressAutoHyphens/>
        <w:spacing w:before="240" w:line="276" w:lineRule="auto"/>
        <w:ind w:left="1202"/>
        <w:rPr>
          <w:noProof/>
        </w:rPr>
      </w:pPr>
      <w:bookmarkStart w:id="213" w:name="_Toc474919033"/>
      <w:bookmarkStart w:id="214" w:name="_Toc474942460"/>
      <w:bookmarkStart w:id="215" w:name="_Toc474943456"/>
      <w:bookmarkStart w:id="216" w:name="_Toc474945817"/>
      <w:bookmarkStart w:id="217" w:name="_Toc475011621"/>
      <w:bookmarkStart w:id="218" w:name="_Toc475016268"/>
      <w:bookmarkStart w:id="219" w:name="_Toc475020125"/>
      <w:bookmarkStart w:id="220" w:name="_Toc475022822"/>
      <w:bookmarkStart w:id="221" w:name="_Toc475031264"/>
      <w:bookmarkStart w:id="222" w:name="_Toc475031588"/>
      <w:bookmarkStart w:id="223" w:name="_Toc475031662"/>
      <w:bookmarkStart w:id="224" w:name="_Toc475036598"/>
      <w:bookmarkStart w:id="225" w:name="_Toc475038465"/>
      <w:bookmarkStart w:id="226" w:name="_Toc475041859"/>
      <w:bookmarkStart w:id="227" w:name="_Toc475113635"/>
      <w:bookmarkStart w:id="228" w:name="_Toc475478954"/>
      <w:bookmarkStart w:id="229" w:name="_Toc475546804"/>
      <w:bookmarkStart w:id="230" w:name="_Toc475547936"/>
      <w:bookmarkStart w:id="231" w:name="_Toc494899774"/>
      <w:r>
        <w:rPr>
          <w:noProof/>
        </w:rPr>
        <w:t>Overview of implementation status after three years</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EC06FD" w:rsidRDefault="00F346DE">
      <w:pPr>
        <w:pStyle w:val="Heading3"/>
        <w:rPr>
          <w:noProof/>
        </w:rPr>
      </w:pPr>
      <w:bookmarkStart w:id="232" w:name="_Toc494899775"/>
      <w:r>
        <w:rPr>
          <w:noProof/>
        </w:rPr>
        <w:t>Overview of funding allocation during 2014-2017</w:t>
      </w:r>
      <w:bookmarkEnd w:id="232"/>
    </w:p>
    <w:p w:rsidR="00EC06FD" w:rsidRDefault="00F346DE">
      <w:pPr>
        <w:pStyle w:val="Text3"/>
        <w:ind w:left="0"/>
        <w:rPr>
          <w:noProof/>
        </w:rPr>
      </w:pPr>
      <w:r>
        <w:rPr>
          <w:noProof/>
        </w:rPr>
        <w:t xml:space="preserve">On the basis of two biennial work programmes (2014-15 and 2016-17) a total amount of EUR 750 million was allocated to indirect actions of the Euratom programme. As figure 2 shows, 69% of this budget was assigned to fusion research, while 31% was assigned to fission research, including calls for proposals and other actions such as public procurement and financial instruments. Table 2 provides more details on the budget allocation, with breakdown per biennial work programme. </w:t>
      </w:r>
    </w:p>
    <w:p w:rsidR="00EC06FD" w:rsidRDefault="00EC06FD">
      <w:pPr>
        <w:suppressAutoHyphens/>
        <w:spacing w:after="120" w:line="276" w:lineRule="auto"/>
        <w:jc w:val="both"/>
        <w:rPr>
          <w:noProof/>
        </w:rPr>
      </w:pPr>
    </w:p>
    <w:p w:rsidR="00EC06FD" w:rsidRDefault="00F346DE">
      <w:pPr>
        <w:pStyle w:val="Text3"/>
        <w:spacing w:after="0"/>
        <w:ind w:left="0"/>
        <w:rPr>
          <w:noProof/>
        </w:rPr>
      </w:pPr>
      <w:r>
        <w:rPr>
          <w:noProof/>
          <w:lang w:eastAsia="en-GB"/>
        </w:rPr>
        <w:drawing>
          <wp:inline distT="0" distB="0" distL="0" distR="0" wp14:anchorId="19D5CA03" wp14:editId="39B38D70">
            <wp:extent cx="4885898" cy="2790967"/>
            <wp:effectExtent l="0" t="0" r="1016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C06FD" w:rsidRDefault="00F346DE">
      <w:pPr>
        <w:pStyle w:val="Text3"/>
        <w:spacing w:after="120"/>
        <w:ind w:left="0"/>
        <w:rPr>
          <w:i/>
          <w:noProof/>
          <w:sz w:val="20"/>
        </w:rPr>
      </w:pPr>
      <w:r>
        <w:rPr>
          <w:i/>
          <w:noProof/>
          <w:sz w:val="20"/>
        </w:rPr>
        <w:t>Source: European Commission</w:t>
      </w:r>
    </w:p>
    <w:p w:rsidR="00EC06FD" w:rsidRDefault="00F346DE">
      <w:pPr>
        <w:pStyle w:val="Text3"/>
        <w:ind w:left="0"/>
        <w:rPr>
          <w:noProof/>
        </w:rPr>
      </w:pPr>
      <w:r>
        <w:rPr>
          <w:noProof/>
        </w:rPr>
        <w:t xml:space="preserve">The 2014-2015 work programme provided payment in annual instalments for the grant for EUROfusion consortium and for operating contract for the JET fusion research facility. On the basis of both work programmes the Commission launched biennial calls for proposals. </w:t>
      </w:r>
    </w:p>
    <w:p w:rsidR="00EC06FD" w:rsidRDefault="00EC06FD">
      <w:pPr>
        <w:suppressAutoHyphens/>
        <w:spacing w:after="120" w:line="276" w:lineRule="auto"/>
        <w:rPr>
          <w:b/>
          <w:noProof/>
          <w:sz w:val="22"/>
        </w:rPr>
      </w:pPr>
    </w:p>
    <w:tbl>
      <w:tblPr>
        <w:tblW w:w="8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4536"/>
        <w:gridCol w:w="2328"/>
      </w:tblGrid>
      <w:tr w:rsidR="00EC06FD">
        <w:trPr>
          <w:cantSplit/>
          <w:trHeight w:val="648"/>
          <w:jc w:val="center"/>
        </w:trPr>
        <w:tc>
          <w:tcPr>
            <w:tcW w:w="8058" w:type="dxa"/>
            <w:gridSpan w:val="3"/>
            <w:shd w:val="clear" w:color="auto" w:fill="BFBFBF" w:themeFill="background1" w:themeFillShade="BF"/>
            <w:vAlign w:val="center"/>
          </w:tcPr>
          <w:p w:rsidR="00EC06FD" w:rsidRDefault="00F346DE">
            <w:pPr>
              <w:suppressAutoHyphens/>
              <w:spacing w:line="276" w:lineRule="auto"/>
              <w:jc w:val="center"/>
              <w:rPr>
                <w:b/>
                <w:noProof/>
                <w:sz w:val="20"/>
              </w:rPr>
            </w:pPr>
            <w:r>
              <w:rPr>
                <w:b/>
                <w:noProof/>
                <w:sz w:val="20"/>
              </w:rPr>
              <w:t>Table 2. Budget allocation under Euratom Research and Training Programme 2014-2018</w:t>
            </w:r>
          </w:p>
        </w:tc>
      </w:tr>
      <w:tr w:rsidR="00EC06FD">
        <w:trPr>
          <w:cantSplit/>
          <w:trHeight w:val="320"/>
          <w:jc w:val="center"/>
        </w:trPr>
        <w:tc>
          <w:tcPr>
            <w:tcW w:w="1194" w:type="dxa"/>
            <w:shd w:val="clear" w:color="auto" w:fill="BFBFBF" w:themeFill="background1" w:themeFillShade="BF"/>
            <w:vAlign w:val="center"/>
          </w:tcPr>
          <w:p w:rsidR="00EC06FD" w:rsidRDefault="00F346DE">
            <w:pPr>
              <w:suppressAutoHyphens/>
              <w:spacing w:line="276" w:lineRule="auto"/>
              <w:jc w:val="center"/>
              <w:rPr>
                <w:b/>
                <w:noProof/>
                <w:color w:val="000000"/>
                <w:sz w:val="20"/>
              </w:rPr>
            </w:pPr>
            <w:r>
              <w:rPr>
                <w:b/>
                <w:noProof/>
                <w:color w:val="000000"/>
                <w:sz w:val="20"/>
              </w:rPr>
              <w:t>Period</w:t>
            </w:r>
          </w:p>
        </w:tc>
        <w:tc>
          <w:tcPr>
            <w:tcW w:w="4536" w:type="dxa"/>
            <w:shd w:val="clear" w:color="auto" w:fill="BFBFBF" w:themeFill="background1" w:themeFillShade="BF"/>
            <w:noWrap/>
            <w:vAlign w:val="center"/>
          </w:tcPr>
          <w:p w:rsidR="00EC06FD" w:rsidRDefault="00F346DE">
            <w:pPr>
              <w:suppressAutoHyphens/>
              <w:spacing w:line="276" w:lineRule="auto"/>
              <w:jc w:val="center"/>
              <w:rPr>
                <w:b/>
                <w:noProof/>
                <w:color w:val="000000"/>
                <w:sz w:val="20"/>
              </w:rPr>
            </w:pPr>
            <w:r>
              <w:rPr>
                <w:b/>
                <w:noProof/>
                <w:color w:val="000000"/>
                <w:sz w:val="20"/>
              </w:rPr>
              <w:t>Research field</w:t>
            </w:r>
          </w:p>
        </w:tc>
        <w:tc>
          <w:tcPr>
            <w:tcW w:w="2328" w:type="dxa"/>
            <w:shd w:val="clear" w:color="auto" w:fill="BFBFBF" w:themeFill="background1" w:themeFillShade="BF"/>
            <w:noWrap/>
            <w:vAlign w:val="center"/>
          </w:tcPr>
          <w:p w:rsidR="00EC06FD" w:rsidRDefault="00F346DE">
            <w:pPr>
              <w:suppressAutoHyphens/>
              <w:spacing w:line="276" w:lineRule="auto"/>
              <w:jc w:val="center"/>
              <w:rPr>
                <w:b/>
                <w:noProof/>
                <w:color w:val="000000"/>
                <w:sz w:val="20"/>
              </w:rPr>
            </w:pPr>
            <w:r>
              <w:rPr>
                <w:b/>
                <w:noProof/>
                <w:color w:val="000000"/>
                <w:sz w:val="20"/>
              </w:rPr>
              <w:t>Expenditure</w:t>
            </w:r>
          </w:p>
        </w:tc>
      </w:tr>
      <w:tr w:rsidR="00EC06FD">
        <w:trPr>
          <w:cantSplit/>
          <w:trHeight w:val="320"/>
          <w:jc w:val="center"/>
        </w:trPr>
        <w:tc>
          <w:tcPr>
            <w:tcW w:w="1194" w:type="dxa"/>
            <w:vMerge w:val="restart"/>
            <w:shd w:val="clear" w:color="auto" w:fill="auto"/>
            <w:vAlign w:val="center"/>
            <w:hideMark/>
          </w:tcPr>
          <w:p w:rsidR="00EC06FD" w:rsidRDefault="00F346DE">
            <w:pPr>
              <w:suppressAutoHyphens/>
              <w:spacing w:line="276" w:lineRule="auto"/>
              <w:rPr>
                <w:noProof/>
                <w:color w:val="000000"/>
                <w:sz w:val="20"/>
              </w:rPr>
            </w:pPr>
            <w:r>
              <w:rPr>
                <w:noProof/>
                <w:color w:val="000000"/>
                <w:sz w:val="20"/>
              </w:rPr>
              <w:t>2014-2015</w:t>
            </w:r>
          </w:p>
        </w:tc>
        <w:tc>
          <w:tcPr>
            <w:tcW w:w="4536" w:type="dxa"/>
            <w:shd w:val="clear" w:color="auto" w:fill="auto"/>
            <w:noWrap/>
            <w:vAlign w:val="center"/>
            <w:hideMark/>
          </w:tcPr>
          <w:p w:rsidR="00EC06FD" w:rsidRDefault="00F346DE">
            <w:pPr>
              <w:suppressAutoHyphens/>
              <w:spacing w:line="276" w:lineRule="auto"/>
              <w:rPr>
                <w:noProof/>
                <w:color w:val="000000"/>
                <w:sz w:val="20"/>
              </w:rPr>
            </w:pPr>
            <w:r>
              <w:rPr>
                <w:noProof/>
                <w:color w:val="000000"/>
                <w:sz w:val="20"/>
              </w:rPr>
              <w:t>Fusion research</w:t>
            </w:r>
          </w:p>
        </w:tc>
        <w:tc>
          <w:tcPr>
            <w:tcW w:w="2328" w:type="dxa"/>
            <w:shd w:val="clear" w:color="auto" w:fill="auto"/>
            <w:noWrap/>
            <w:vAlign w:val="center"/>
            <w:hideMark/>
          </w:tcPr>
          <w:p w:rsidR="00EC06FD" w:rsidRDefault="00F346DE">
            <w:pPr>
              <w:suppressAutoHyphens/>
              <w:spacing w:line="276" w:lineRule="auto"/>
              <w:jc w:val="right"/>
              <w:rPr>
                <w:noProof/>
                <w:color w:val="000000"/>
                <w:sz w:val="20"/>
              </w:rPr>
            </w:pPr>
            <w:r>
              <w:rPr>
                <w:noProof/>
                <w:color w:val="000000"/>
                <w:sz w:val="20"/>
              </w:rPr>
              <w:t>€ 231,880,687</w:t>
            </w:r>
          </w:p>
        </w:tc>
      </w:tr>
      <w:tr w:rsidR="00EC06FD">
        <w:trPr>
          <w:cantSplit/>
          <w:trHeight w:val="320"/>
          <w:jc w:val="center"/>
        </w:trPr>
        <w:tc>
          <w:tcPr>
            <w:tcW w:w="1194" w:type="dxa"/>
            <w:vMerge/>
            <w:vAlign w:val="center"/>
            <w:hideMark/>
          </w:tcPr>
          <w:p w:rsidR="00EC06FD" w:rsidRDefault="00EC06FD">
            <w:pPr>
              <w:suppressAutoHyphens/>
              <w:spacing w:line="276" w:lineRule="auto"/>
              <w:rPr>
                <w:noProof/>
                <w:color w:val="000000"/>
                <w:sz w:val="20"/>
                <w:szCs w:val="22"/>
              </w:rPr>
            </w:pPr>
          </w:p>
        </w:tc>
        <w:tc>
          <w:tcPr>
            <w:tcW w:w="4536" w:type="dxa"/>
            <w:shd w:val="clear" w:color="auto" w:fill="auto"/>
            <w:vAlign w:val="center"/>
            <w:hideMark/>
          </w:tcPr>
          <w:p w:rsidR="00EC06FD" w:rsidRDefault="00F346DE">
            <w:pPr>
              <w:suppressAutoHyphens/>
              <w:spacing w:line="276" w:lineRule="auto"/>
              <w:rPr>
                <w:noProof/>
                <w:color w:val="000000"/>
                <w:sz w:val="20"/>
              </w:rPr>
            </w:pPr>
            <w:r>
              <w:rPr>
                <w:noProof/>
                <w:color w:val="000000"/>
                <w:sz w:val="20"/>
              </w:rPr>
              <w:t>Fission call</w:t>
            </w:r>
            <w:r>
              <w:rPr>
                <w:noProof/>
                <w:color w:val="000000"/>
                <w:sz w:val="20"/>
                <w:szCs w:val="22"/>
              </w:rPr>
              <w:t>s</w:t>
            </w:r>
            <w:r>
              <w:rPr>
                <w:noProof/>
                <w:color w:val="000000"/>
                <w:sz w:val="20"/>
              </w:rPr>
              <w:t xml:space="preserve"> for projects</w:t>
            </w:r>
          </w:p>
        </w:tc>
        <w:tc>
          <w:tcPr>
            <w:tcW w:w="2328" w:type="dxa"/>
            <w:shd w:val="clear" w:color="auto" w:fill="auto"/>
            <w:noWrap/>
            <w:vAlign w:val="center"/>
            <w:hideMark/>
          </w:tcPr>
          <w:p w:rsidR="00EC06FD" w:rsidRDefault="00F346DE">
            <w:pPr>
              <w:suppressAutoHyphens/>
              <w:spacing w:line="276" w:lineRule="auto"/>
              <w:jc w:val="right"/>
              <w:rPr>
                <w:noProof/>
                <w:color w:val="000000"/>
                <w:sz w:val="20"/>
              </w:rPr>
            </w:pPr>
            <w:r>
              <w:rPr>
                <w:noProof/>
                <w:color w:val="000000"/>
                <w:sz w:val="20"/>
              </w:rPr>
              <w:t>€ 90,144,332.11</w:t>
            </w:r>
          </w:p>
        </w:tc>
      </w:tr>
      <w:tr w:rsidR="00EC06FD">
        <w:trPr>
          <w:cantSplit/>
          <w:trHeight w:val="320"/>
          <w:jc w:val="center"/>
        </w:trPr>
        <w:tc>
          <w:tcPr>
            <w:tcW w:w="1194" w:type="dxa"/>
            <w:vMerge/>
            <w:vAlign w:val="center"/>
            <w:hideMark/>
          </w:tcPr>
          <w:p w:rsidR="00EC06FD" w:rsidRDefault="00EC06FD">
            <w:pPr>
              <w:suppressAutoHyphens/>
              <w:spacing w:line="276" w:lineRule="auto"/>
              <w:rPr>
                <w:noProof/>
                <w:color w:val="000000"/>
                <w:sz w:val="20"/>
                <w:szCs w:val="22"/>
              </w:rPr>
            </w:pPr>
          </w:p>
        </w:tc>
        <w:tc>
          <w:tcPr>
            <w:tcW w:w="4536" w:type="dxa"/>
            <w:shd w:val="clear" w:color="auto" w:fill="auto"/>
            <w:vAlign w:val="center"/>
            <w:hideMark/>
          </w:tcPr>
          <w:p w:rsidR="00EC06FD" w:rsidRDefault="00F346DE">
            <w:pPr>
              <w:suppressAutoHyphens/>
              <w:spacing w:line="276" w:lineRule="auto"/>
              <w:rPr>
                <w:noProof/>
                <w:color w:val="000000"/>
                <w:sz w:val="20"/>
              </w:rPr>
            </w:pPr>
            <w:r>
              <w:rPr>
                <w:noProof/>
                <w:color w:val="000000"/>
                <w:sz w:val="20"/>
              </w:rPr>
              <w:t>Other actions</w:t>
            </w:r>
            <w:r>
              <w:rPr>
                <w:noProof/>
                <w:color w:val="000000"/>
                <w:sz w:val="20"/>
                <w:szCs w:val="22"/>
              </w:rPr>
              <w:t xml:space="preserve"> (Supporting access to Jules Horowitz Research reactor)</w:t>
            </w:r>
          </w:p>
        </w:tc>
        <w:tc>
          <w:tcPr>
            <w:tcW w:w="2328" w:type="dxa"/>
            <w:shd w:val="clear" w:color="auto" w:fill="auto"/>
            <w:noWrap/>
            <w:vAlign w:val="center"/>
            <w:hideMark/>
          </w:tcPr>
          <w:p w:rsidR="00EC06FD" w:rsidRDefault="00F346DE">
            <w:pPr>
              <w:suppressAutoHyphens/>
              <w:spacing w:line="276" w:lineRule="auto"/>
              <w:jc w:val="right"/>
              <w:rPr>
                <w:noProof/>
                <w:color w:val="000000"/>
                <w:sz w:val="20"/>
              </w:rPr>
            </w:pPr>
            <w:r>
              <w:rPr>
                <w:noProof/>
                <w:color w:val="000000"/>
                <w:sz w:val="20"/>
              </w:rPr>
              <w:t>€ 15,000,000</w:t>
            </w:r>
          </w:p>
        </w:tc>
      </w:tr>
      <w:tr w:rsidR="00EC06FD">
        <w:trPr>
          <w:cantSplit/>
          <w:trHeight w:val="320"/>
          <w:jc w:val="center"/>
        </w:trPr>
        <w:tc>
          <w:tcPr>
            <w:tcW w:w="1194" w:type="dxa"/>
            <w:vMerge/>
            <w:vAlign w:val="center"/>
            <w:hideMark/>
          </w:tcPr>
          <w:p w:rsidR="00EC06FD" w:rsidRDefault="00EC06FD">
            <w:pPr>
              <w:suppressAutoHyphens/>
              <w:spacing w:line="276" w:lineRule="auto"/>
              <w:rPr>
                <w:noProof/>
                <w:color w:val="000000"/>
                <w:sz w:val="20"/>
                <w:szCs w:val="22"/>
              </w:rPr>
            </w:pPr>
          </w:p>
        </w:tc>
        <w:tc>
          <w:tcPr>
            <w:tcW w:w="4536" w:type="dxa"/>
            <w:shd w:val="clear" w:color="auto" w:fill="auto"/>
            <w:vAlign w:val="center"/>
            <w:hideMark/>
          </w:tcPr>
          <w:p w:rsidR="00EC06FD" w:rsidRDefault="00F346DE">
            <w:pPr>
              <w:suppressAutoHyphens/>
              <w:spacing w:line="276" w:lineRule="auto"/>
              <w:rPr>
                <w:noProof/>
                <w:color w:val="000000"/>
                <w:sz w:val="20"/>
              </w:rPr>
            </w:pPr>
            <w:r>
              <w:rPr>
                <w:noProof/>
                <w:color w:val="000000"/>
                <w:sz w:val="20"/>
              </w:rPr>
              <w:t>Total</w:t>
            </w:r>
          </w:p>
        </w:tc>
        <w:tc>
          <w:tcPr>
            <w:tcW w:w="2328" w:type="dxa"/>
            <w:shd w:val="clear" w:color="auto" w:fill="auto"/>
            <w:noWrap/>
            <w:vAlign w:val="center"/>
            <w:hideMark/>
          </w:tcPr>
          <w:p w:rsidR="00EC06FD" w:rsidRDefault="00F346DE">
            <w:pPr>
              <w:suppressAutoHyphens/>
              <w:spacing w:line="276" w:lineRule="auto"/>
              <w:jc w:val="right"/>
              <w:rPr>
                <w:noProof/>
                <w:color w:val="000000"/>
                <w:sz w:val="20"/>
              </w:rPr>
            </w:pPr>
            <w:r>
              <w:rPr>
                <w:noProof/>
                <w:color w:val="000000"/>
                <w:sz w:val="20"/>
              </w:rPr>
              <w:t xml:space="preserve">€ 337,025,019 </w:t>
            </w:r>
          </w:p>
        </w:tc>
      </w:tr>
      <w:tr w:rsidR="00EC06FD">
        <w:trPr>
          <w:cantSplit/>
          <w:trHeight w:val="320"/>
          <w:jc w:val="center"/>
        </w:trPr>
        <w:tc>
          <w:tcPr>
            <w:tcW w:w="1194" w:type="dxa"/>
            <w:vMerge w:val="restart"/>
            <w:shd w:val="clear" w:color="auto" w:fill="auto"/>
            <w:vAlign w:val="center"/>
            <w:hideMark/>
          </w:tcPr>
          <w:p w:rsidR="00EC06FD" w:rsidRDefault="00F346DE">
            <w:pPr>
              <w:keepNext/>
              <w:suppressAutoHyphens/>
              <w:spacing w:line="276" w:lineRule="auto"/>
              <w:rPr>
                <w:noProof/>
                <w:color w:val="000000"/>
                <w:sz w:val="20"/>
              </w:rPr>
            </w:pPr>
            <w:r>
              <w:rPr>
                <w:noProof/>
                <w:color w:val="000000"/>
                <w:sz w:val="20"/>
              </w:rPr>
              <w:t>2016-2017</w:t>
            </w:r>
          </w:p>
        </w:tc>
        <w:tc>
          <w:tcPr>
            <w:tcW w:w="4536" w:type="dxa"/>
            <w:shd w:val="clear" w:color="auto" w:fill="auto"/>
            <w:noWrap/>
            <w:vAlign w:val="center"/>
            <w:hideMark/>
          </w:tcPr>
          <w:p w:rsidR="00EC06FD" w:rsidRDefault="00F346DE">
            <w:pPr>
              <w:suppressAutoHyphens/>
              <w:spacing w:line="276" w:lineRule="auto"/>
              <w:rPr>
                <w:noProof/>
                <w:color w:val="000000"/>
                <w:sz w:val="20"/>
              </w:rPr>
            </w:pPr>
            <w:r>
              <w:rPr>
                <w:noProof/>
                <w:color w:val="000000"/>
                <w:sz w:val="20"/>
              </w:rPr>
              <w:t>Fusion research</w:t>
            </w:r>
          </w:p>
        </w:tc>
        <w:tc>
          <w:tcPr>
            <w:tcW w:w="2328" w:type="dxa"/>
            <w:shd w:val="clear" w:color="auto" w:fill="auto"/>
            <w:vAlign w:val="center"/>
            <w:hideMark/>
          </w:tcPr>
          <w:p w:rsidR="00EC06FD" w:rsidRDefault="00F346DE">
            <w:pPr>
              <w:suppressAutoHyphens/>
              <w:spacing w:line="276" w:lineRule="auto"/>
              <w:jc w:val="right"/>
              <w:rPr>
                <w:noProof/>
                <w:color w:val="000000"/>
                <w:sz w:val="20"/>
              </w:rPr>
            </w:pPr>
            <w:r>
              <w:rPr>
                <w:noProof/>
                <w:color w:val="000000"/>
                <w:sz w:val="20"/>
              </w:rPr>
              <w:t>€ 284,262,162</w:t>
            </w:r>
          </w:p>
        </w:tc>
      </w:tr>
      <w:tr w:rsidR="00EC06FD">
        <w:trPr>
          <w:cantSplit/>
          <w:trHeight w:val="320"/>
          <w:jc w:val="center"/>
        </w:trPr>
        <w:tc>
          <w:tcPr>
            <w:tcW w:w="1194" w:type="dxa"/>
            <w:vMerge/>
            <w:vAlign w:val="center"/>
            <w:hideMark/>
          </w:tcPr>
          <w:p w:rsidR="00EC06FD" w:rsidRDefault="00EC06FD">
            <w:pPr>
              <w:suppressAutoHyphens/>
              <w:spacing w:line="276" w:lineRule="auto"/>
              <w:rPr>
                <w:noProof/>
                <w:color w:val="000000"/>
                <w:sz w:val="20"/>
                <w:szCs w:val="22"/>
              </w:rPr>
            </w:pPr>
          </w:p>
        </w:tc>
        <w:tc>
          <w:tcPr>
            <w:tcW w:w="4536" w:type="dxa"/>
            <w:shd w:val="clear" w:color="auto" w:fill="auto"/>
            <w:vAlign w:val="center"/>
            <w:hideMark/>
          </w:tcPr>
          <w:p w:rsidR="00EC06FD" w:rsidRDefault="00F346DE">
            <w:pPr>
              <w:suppressAutoHyphens/>
              <w:spacing w:line="276" w:lineRule="auto"/>
              <w:rPr>
                <w:noProof/>
                <w:color w:val="000000"/>
                <w:sz w:val="20"/>
              </w:rPr>
            </w:pPr>
            <w:r>
              <w:rPr>
                <w:noProof/>
                <w:color w:val="000000"/>
                <w:sz w:val="20"/>
              </w:rPr>
              <w:t>Fission call for projects</w:t>
            </w:r>
          </w:p>
        </w:tc>
        <w:tc>
          <w:tcPr>
            <w:tcW w:w="2328" w:type="dxa"/>
            <w:shd w:val="clear" w:color="auto" w:fill="auto"/>
            <w:noWrap/>
            <w:vAlign w:val="center"/>
            <w:hideMark/>
          </w:tcPr>
          <w:p w:rsidR="00EC06FD" w:rsidRDefault="00F346DE">
            <w:pPr>
              <w:jc w:val="right"/>
              <w:rPr>
                <w:noProof/>
                <w:color w:val="000000"/>
                <w:sz w:val="20"/>
              </w:rPr>
            </w:pPr>
            <w:r>
              <w:rPr>
                <w:noProof/>
                <w:color w:val="000000"/>
                <w:sz w:val="20"/>
              </w:rPr>
              <w:t xml:space="preserve">€ 108,852,944.64 </w:t>
            </w:r>
          </w:p>
          <w:p w:rsidR="00EC06FD" w:rsidRDefault="00EC06FD">
            <w:pPr>
              <w:suppressAutoHyphens/>
              <w:spacing w:line="276" w:lineRule="auto"/>
              <w:jc w:val="right"/>
              <w:rPr>
                <w:noProof/>
                <w:color w:val="000000"/>
                <w:sz w:val="20"/>
              </w:rPr>
            </w:pPr>
          </w:p>
        </w:tc>
      </w:tr>
      <w:tr w:rsidR="00EC06FD">
        <w:trPr>
          <w:cantSplit/>
          <w:trHeight w:val="320"/>
          <w:jc w:val="center"/>
        </w:trPr>
        <w:tc>
          <w:tcPr>
            <w:tcW w:w="1194" w:type="dxa"/>
            <w:vMerge/>
            <w:vAlign w:val="center"/>
            <w:hideMark/>
          </w:tcPr>
          <w:p w:rsidR="00EC06FD" w:rsidRDefault="00EC06FD">
            <w:pPr>
              <w:suppressAutoHyphens/>
              <w:spacing w:line="276" w:lineRule="auto"/>
              <w:rPr>
                <w:noProof/>
                <w:color w:val="000000"/>
                <w:sz w:val="20"/>
                <w:szCs w:val="22"/>
              </w:rPr>
            </w:pPr>
          </w:p>
        </w:tc>
        <w:tc>
          <w:tcPr>
            <w:tcW w:w="4536" w:type="dxa"/>
            <w:shd w:val="clear" w:color="auto" w:fill="auto"/>
            <w:vAlign w:val="center"/>
            <w:hideMark/>
          </w:tcPr>
          <w:p w:rsidR="00EC06FD" w:rsidRDefault="00F346DE">
            <w:pPr>
              <w:suppressAutoHyphens/>
              <w:spacing w:line="276" w:lineRule="auto"/>
              <w:rPr>
                <w:noProof/>
                <w:color w:val="000000"/>
                <w:sz w:val="20"/>
              </w:rPr>
            </w:pPr>
            <w:r>
              <w:rPr>
                <w:noProof/>
                <w:color w:val="000000"/>
                <w:sz w:val="20"/>
              </w:rPr>
              <w:t>Other actions</w:t>
            </w:r>
            <w:r>
              <w:rPr>
                <w:noProof/>
                <w:color w:val="000000"/>
                <w:sz w:val="20"/>
                <w:szCs w:val="22"/>
              </w:rPr>
              <w:t xml:space="preserve"> (InnovFin)</w:t>
            </w:r>
          </w:p>
        </w:tc>
        <w:tc>
          <w:tcPr>
            <w:tcW w:w="2328" w:type="dxa"/>
            <w:shd w:val="clear" w:color="auto" w:fill="auto"/>
            <w:noWrap/>
            <w:vAlign w:val="center"/>
            <w:hideMark/>
          </w:tcPr>
          <w:p w:rsidR="00EC06FD" w:rsidRDefault="00F346DE">
            <w:pPr>
              <w:suppressAutoHyphens/>
              <w:spacing w:line="276" w:lineRule="auto"/>
              <w:jc w:val="right"/>
              <w:rPr>
                <w:noProof/>
                <w:color w:val="000000"/>
                <w:sz w:val="20"/>
              </w:rPr>
            </w:pPr>
            <w:r>
              <w:rPr>
                <w:noProof/>
                <w:color w:val="000000"/>
                <w:sz w:val="20"/>
              </w:rPr>
              <w:t>€ 20,000,000</w:t>
            </w:r>
          </w:p>
        </w:tc>
      </w:tr>
      <w:tr w:rsidR="00EC06FD">
        <w:trPr>
          <w:cantSplit/>
          <w:trHeight w:val="320"/>
          <w:jc w:val="center"/>
        </w:trPr>
        <w:tc>
          <w:tcPr>
            <w:tcW w:w="1194" w:type="dxa"/>
            <w:vMerge/>
            <w:tcBorders>
              <w:bottom w:val="single" w:sz="4" w:space="0" w:color="auto"/>
            </w:tcBorders>
            <w:vAlign w:val="center"/>
            <w:hideMark/>
          </w:tcPr>
          <w:p w:rsidR="00EC06FD" w:rsidRDefault="00EC06FD">
            <w:pPr>
              <w:suppressAutoHyphens/>
              <w:spacing w:line="276" w:lineRule="auto"/>
              <w:rPr>
                <w:noProof/>
                <w:color w:val="000000"/>
                <w:sz w:val="20"/>
                <w:szCs w:val="22"/>
              </w:rPr>
            </w:pPr>
          </w:p>
        </w:tc>
        <w:tc>
          <w:tcPr>
            <w:tcW w:w="4536" w:type="dxa"/>
            <w:tcBorders>
              <w:bottom w:val="single" w:sz="4" w:space="0" w:color="auto"/>
            </w:tcBorders>
            <w:shd w:val="clear" w:color="auto" w:fill="auto"/>
            <w:vAlign w:val="center"/>
            <w:hideMark/>
          </w:tcPr>
          <w:p w:rsidR="00EC06FD" w:rsidRDefault="00F346DE">
            <w:pPr>
              <w:suppressAutoHyphens/>
              <w:spacing w:line="276" w:lineRule="auto"/>
              <w:rPr>
                <w:noProof/>
                <w:color w:val="000000"/>
                <w:sz w:val="20"/>
              </w:rPr>
            </w:pPr>
            <w:r>
              <w:rPr>
                <w:noProof/>
                <w:color w:val="000000"/>
                <w:sz w:val="20"/>
              </w:rPr>
              <w:t>Total</w:t>
            </w:r>
          </w:p>
        </w:tc>
        <w:tc>
          <w:tcPr>
            <w:tcW w:w="2328" w:type="dxa"/>
            <w:tcBorders>
              <w:bottom w:val="single" w:sz="4" w:space="0" w:color="auto"/>
            </w:tcBorders>
            <w:shd w:val="clear" w:color="auto" w:fill="auto"/>
            <w:noWrap/>
            <w:vAlign w:val="center"/>
            <w:hideMark/>
          </w:tcPr>
          <w:p w:rsidR="00EC06FD" w:rsidRDefault="00F346DE">
            <w:pPr>
              <w:suppressAutoHyphens/>
              <w:spacing w:line="276" w:lineRule="auto"/>
              <w:jc w:val="right"/>
              <w:rPr>
                <w:noProof/>
                <w:color w:val="000000"/>
                <w:sz w:val="20"/>
              </w:rPr>
            </w:pPr>
            <w:r>
              <w:rPr>
                <w:noProof/>
                <w:color w:val="000000"/>
                <w:sz w:val="20"/>
              </w:rPr>
              <w:t>€413,115,106.75</w:t>
            </w:r>
          </w:p>
        </w:tc>
      </w:tr>
      <w:tr w:rsidR="00EC06FD">
        <w:trPr>
          <w:cantSplit/>
          <w:trHeight w:val="320"/>
          <w:jc w:val="center"/>
        </w:trPr>
        <w:tc>
          <w:tcPr>
            <w:tcW w:w="5730" w:type="dxa"/>
            <w:gridSpan w:val="2"/>
            <w:shd w:val="clear" w:color="auto" w:fill="FFFFFF" w:themeFill="background1"/>
            <w:vAlign w:val="center"/>
            <w:hideMark/>
          </w:tcPr>
          <w:p w:rsidR="00EC06FD" w:rsidRDefault="00F346DE">
            <w:pPr>
              <w:suppressAutoHyphens/>
              <w:spacing w:line="276" w:lineRule="auto"/>
              <w:jc w:val="center"/>
              <w:rPr>
                <w:b/>
                <w:noProof/>
                <w:color w:val="000000"/>
                <w:sz w:val="20"/>
              </w:rPr>
            </w:pPr>
            <w:r>
              <w:rPr>
                <w:b/>
                <w:noProof/>
                <w:color w:val="000000"/>
                <w:sz w:val="20"/>
                <w:szCs w:val="22"/>
              </w:rPr>
              <w:t>T</w:t>
            </w:r>
            <w:r>
              <w:rPr>
                <w:b/>
                <w:noProof/>
                <w:color w:val="000000"/>
                <w:sz w:val="20"/>
              </w:rPr>
              <w:t>otal for 2014-2017</w:t>
            </w:r>
          </w:p>
        </w:tc>
        <w:tc>
          <w:tcPr>
            <w:tcW w:w="2328" w:type="dxa"/>
            <w:shd w:val="clear" w:color="auto" w:fill="FFFFFF" w:themeFill="background1"/>
            <w:noWrap/>
            <w:vAlign w:val="center"/>
            <w:hideMark/>
          </w:tcPr>
          <w:p w:rsidR="00EC06FD" w:rsidRDefault="00F346DE">
            <w:pPr>
              <w:suppressAutoHyphens/>
              <w:spacing w:line="276" w:lineRule="auto"/>
              <w:jc w:val="right"/>
              <w:rPr>
                <w:b/>
                <w:noProof/>
                <w:color w:val="000000"/>
                <w:sz w:val="20"/>
              </w:rPr>
            </w:pPr>
            <w:r>
              <w:rPr>
                <w:b/>
                <w:noProof/>
                <w:color w:val="000000"/>
                <w:sz w:val="20"/>
              </w:rPr>
              <w:t>€ 750,140,125.75</w:t>
            </w:r>
          </w:p>
        </w:tc>
      </w:tr>
    </w:tbl>
    <w:p w:rsidR="00EC06FD" w:rsidRDefault="00F346DE">
      <w:pPr>
        <w:pStyle w:val="Text3"/>
        <w:spacing w:after="120"/>
        <w:ind w:left="556"/>
        <w:rPr>
          <w:i/>
          <w:noProof/>
          <w:sz w:val="20"/>
        </w:rPr>
      </w:pPr>
      <w:r>
        <w:rPr>
          <w:i/>
          <w:noProof/>
          <w:sz w:val="20"/>
        </w:rPr>
        <w:t>Source: European Commission</w:t>
      </w:r>
    </w:p>
    <w:p w:rsidR="00EC06FD" w:rsidRDefault="00F346DE">
      <w:pPr>
        <w:pStyle w:val="Heading3"/>
        <w:spacing w:before="240"/>
        <w:ind w:left="1276"/>
        <w:rPr>
          <w:noProof/>
        </w:rPr>
      </w:pPr>
      <w:bookmarkStart w:id="233" w:name="_Toc494899776"/>
      <w:r>
        <w:rPr>
          <w:noProof/>
        </w:rPr>
        <w:t>Results of three calls for proposals in the fission research</w:t>
      </w:r>
      <w:bookmarkEnd w:id="233"/>
    </w:p>
    <w:p w:rsidR="00EC06FD" w:rsidRDefault="00F346DE">
      <w:pPr>
        <w:suppressAutoHyphens/>
        <w:spacing w:after="120" w:line="276" w:lineRule="auto"/>
        <w:jc w:val="both"/>
        <w:rPr>
          <w:noProof/>
          <w:color w:val="000000" w:themeColor="text1"/>
        </w:rPr>
      </w:pPr>
      <w:r>
        <w:rPr>
          <w:noProof/>
          <w:color w:val="000000" w:themeColor="text1"/>
        </w:rPr>
        <w:t>The 1</w:t>
      </w:r>
      <w:r>
        <w:rPr>
          <w:noProof/>
          <w:color w:val="000000" w:themeColor="text1"/>
          <w:vertAlign w:val="superscript"/>
        </w:rPr>
        <w:t>st</w:t>
      </w:r>
      <w:r>
        <w:rPr>
          <w:noProof/>
          <w:color w:val="000000" w:themeColor="text1"/>
        </w:rPr>
        <w:t xml:space="preserve"> open call in the Euratom fission programme resulted in 62 eligible proposals. The cumulative amount of Euratom contribution requested in these proposals was EUR 228.08 million, which represented 2.5 times the available budget foreseen in the Euratom Work Programme 2014-2015. After evaluation, 55 proposals scored above threshold while 21 proposals were initially retained for funding. Later, a further proposal was funded from the reserve list. In addition, a second, supplementary call was opened concerning research for security of supply of nuclear fuel, 4 proposals were found eligible and the Euratom contribution requested in these proposals was EUR 5.93 million. As a result of these two calls, 23 proposals were funded with a total Euratom financial contribution of EUR 90.14 million.</w:t>
      </w:r>
    </w:p>
    <w:p w:rsidR="00EC06FD" w:rsidRDefault="00F346DE">
      <w:pPr>
        <w:suppressAutoHyphens/>
        <w:spacing w:after="120" w:line="276" w:lineRule="auto"/>
        <w:jc w:val="both"/>
        <w:rPr>
          <w:noProof/>
          <w:color w:val="000000" w:themeColor="text1"/>
        </w:rPr>
      </w:pPr>
      <w:r>
        <w:rPr>
          <w:noProof/>
          <w:color w:val="000000" w:themeColor="text1"/>
        </w:rPr>
        <w:t>The average Euratom funding per signed grant was almost EUR 4 million. The success rates for Euratom indirect actions were 35% in terms of eligible proposals and 38.5 % in terms of Euratom funding requested, which compare with Horizon 2020 averages of 13.39% and 14.51% respectively. The significantly higher Euratom success rates are due to the high degree of consolidation of the research efforts in this domain, and were apparent also in previous framework programmes.</w:t>
      </w:r>
    </w:p>
    <w:p w:rsidR="00EC06FD" w:rsidRDefault="00F346DE">
      <w:pPr>
        <w:suppressAutoHyphens/>
        <w:spacing w:after="120" w:line="276" w:lineRule="auto"/>
        <w:jc w:val="both"/>
        <w:rPr>
          <w:noProof/>
          <w:color w:val="000000" w:themeColor="text1"/>
        </w:rPr>
      </w:pPr>
      <w:r>
        <w:rPr>
          <w:noProof/>
          <w:color w:val="000000" w:themeColor="text1"/>
        </w:rPr>
        <w:t>It is important to note that the Euratom Programme does not include some of the sub-programmes available under EU Horizon 2020, such as those specifically supporting SMEs.</w:t>
      </w:r>
    </w:p>
    <w:p w:rsidR="00EC06FD" w:rsidRDefault="00F346DE">
      <w:pPr>
        <w:suppressAutoHyphens/>
        <w:spacing w:after="120" w:line="276" w:lineRule="auto"/>
        <w:jc w:val="both"/>
        <w:rPr>
          <w:noProof/>
          <w:color w:val="000000" w:themeColor="text1"/>
        </w:rPr>
      </w:pPr>
      <w:r>
        <w:rPr>
          <w:noProof/>
          <w:color w:val="000000" w:themeColor="text1"/>
        </w:rPr>
        <w:t>Grant Agreements for 23 projects were signed in the course of 2015. The average duration of each project is 47 months.</w:t>
      </w:r>
    </w:p>
    <w:p w:rsidR="00EC06FD" w:rsidRDefault="00F346DE">
      <w:pPr>
        <w:suppressAutoHyphens/>
        <w:spacing w:after="120" w:line="276" w:lineRule="auto"/>
        <w:jc w:val="both"/>
        <w:rPr>
          <w:noProof/>
          <w:color w:val="000000" w:themeColor="text1"/>
        </w:rPr>
      </w:pPr>
      <w:r>
        <w:rPr>
          <w:noProof/>
          <w:color w:val="000000" w:themeColor="text1"/>
        </w:rPr>
        <w:t>A total of EUR 15 million of fission funding was not allocated to the above call, instead being allocated to supporting future access of Euratom researchers to the Jules Horowitz Reactor (JHR), currently in the final stage of construction at CEA Cadarache.</w:t>
      </w:r>
    </w:p>
    <w:p w:rsidR="00EC06FD" w:rsidRDefault="00F346DE">
      <w:pPr>
        <w:suppressAutoHyphens/>
        <w:spacing w:after="120" w:line="276" w:lineRule="auto"/>
        <w:jc w:val="both"/>
        <w:rPr>
          <w:noProof/>
          <w:color w:val="000000" w:themeColor="text1"/>
        </w:rPr>
      </w:pPr>
      <w:r>
        <w:rPr>
          <w:noProof/>
        </w:rPr>
        <w:lastRenderedPageBreak/>
        <w:t>Following the call for proposals under WP2016/17, 70 eligible proposals were received by 5 October 2016 and all 25 selected proposals were signed by 5 June 2017. T</w:t>
      </w:r>
      <w:r>
        <w:rPr>
          <w:noProof/>
          <w:color w:val="000000" w:themeColor="text1"/>
        </w:rPr>
        <w:t>he cumulative amount of Euratom contribution requested in these 70 proposals was EUR 266.76 million, which represented 2.5 times the available budget foreseen in the Euratom Work Programme 2016-2017. At the evaluation stage, 59 proposals scored above threshold and 25 proposals were retained for funding for a total Euratom financial contribution of EUR 108.85 million.</w:t>
      </w:r>
    </w:p>
    <w:p w:rsidR="00EC06FD" w:rsidRDefault="00F346DE">
      <w:pPr>
        <w:suppressAutoHyphens/>
        <w:spacing w:after="120" w:line="276" w:lineRule="auto"/>
        <w:jc w:val="both"/>
        <w:rPr>
          <w:noProof/>
          <w:color w:val="000000" w:themeColor="text1"/>
        </w:rPr>
      </w:pPr>
      <w:r>
        <w:rPr>
          <w:noProof/>
          <w:color w:val="000000" w:themeColor="text1"/>
        </w:rPr>
        <w:t>On average, the amount of Euratom funding allocated per signed grant was almost EUR 4.3 million. The success rates for Euratom indirect actions were 36% in terms of eligible proposals and 41% in terms of Euratom funding requested.</w:t>
      </w:r>
    </w:p>
    <w:p w:rsidR="00EC06FD" w:rsidRDefault="00F346DE">
      <w:pPr>
        <w:suppressAutoHyphens/>
        <w:spacing w:after="120" w:line="276" w:lineRule="auto"/>
        <w:jc w:val="both"/>
        <w:rPr>
          <w:noProof/>
          <w:color w:val="000000" w:themeColor="text1"/>
        </w:rPr>
      </w:pPr>
      <w:r>
        <w:rPr>
          <w:noProof/>
          <w:color w:val="000000" w:themeColor="text1"/>
        </w:rPr>
        <w:t>Participation trends in proposals show that labs from new Member States are well integrated into the European nuclear research (EU-13/EU-28 participation rate is relatively high at 17,93% compared to the Horizon 2020 average of 9.87%). Participation from associated (Switzerland and Ukraine) and third countries is 5.83% and 3.98% respectively, while participation from the private sector and SMEs is 23.47% and 6.38% respectively. The average project duration is 46.4 months.</w:t>
      </w:r>
    </w:p>
    <w:p w:rsidR="00EC06FD" w:rsidRDefault="00F346DE">
      <w:pPr>
        <w:suppressAutoHyphens/>
        <w:spacing w:after="240" w:line="276" w:lineRule="auto"/>
        <w:jc w:val="both"/>
        <w:rPr>
          <w:noProof/>
        </w:rPr>
      </w:pPr>
      <w:r>
        <w:rPr>
          <w:noProof/>
        </w:rPr>
        <w:t>The 2016/17 call included two topics of cross-cutting research of importance to both the fission and fusion research communities, to be funded equally from the fission and fusion budget lines, and one project from each of these topics is included in the above 25 selected proposals. In addition, the WP2016/17 also made available for the first time the InnovFin loan-based financial instrument, managed by EIB and the European Commission, to support research infrastructure projects in fission and radiation protection. EUR 20 million were earmarked for loan guarantees using this instrument.</w:t>
      </w:r>
    </w:p>
    <w:p w:rsidR="00EC06FD" w:rsidRDefault="00F346DE">
      <w:pPr>
        <w:pStyle w:val="Heading3"/>
        <w:ind w:left="1230"/>
        <w:rPr>
          <w:noProof/>
        </w:rPr>
      </w:pPr>
      <w:bookmarkStart w:id="234" w:name="_Toc494899777"/>
      <w:r>
        <w:rPr>
          <w:noProof/>
        </w:rPr>
        <w:t>Fusion energy research actions</w:t>
      </w:r>
      <w:bookmarkEnd w:id="234"/>
    </w:p>
    <w:p w:rsidR="00EC06FD" w:rsidRDefault="00F346DE">
      <w:pPr>
        <w:suppressAutoHyphens/>
        <w:spacing w:line="276" w:lineRule="auto"/>
        <w:jc w:val="both"/>
        <w:rPr>
          <w:noProof/>
        </w:rPr>
      </w:pPr>
      <w:r>
        <w:rPr>
          <w:noProof/>
        </w:rPr>
        <w:t>In fusion energy research, a new framework was established in 2014 that replaced previous instruments</w:t>
      </w:r>
      <w:r>
        <w:rPr>
          <w:rStyle w:val="FootnoteReference"/>
          <w:noProof/>
        </w:rPr>
        <w:footnoteReference w:id="12"/>
      </w:r>
      <w:r>
        <w:rPr>
          <w:noProof/>
        </w:rPr>
        <w:t>. This new framework</w:t>
      </w:r>
      <w:r>
        <w:rPr>
          <w:rStyle w:val="FootnoteReference"/>
          <w:noProof/>
        </w:rPr>
        <w:footnoteReference w:id="13"/>
      </w:r>
      <w:r>
        <w:rPr>
          <w:noProof/>
        </w:rPr>
        <w:t xml:space="preserve"> consists of two principal actions. The first concerns multiannual support (EUR 425 million over the period 2014-2018) through a European Joint Programme (EJP) co-fund action Grant Agreement with the EUROfusion consortium of national fusion laboratories and institutes</w:t>
      </w:r>
      <w:r>
        <w:rPr>
          <w:rStyle w:val="FootnoteReference"/>
          <w:noProof/>
        </w:rPr>
        <w:footnoteReference w:id="14"/>
      </w:r>
      <w:r>
        <w:rPr>
          <w:noProof/>
        </w:rPr>
        <w:t xml:space="preserve"> to implement a comprehensive goal-oriented joint programme in line with the roadmap to fusion electricity</w:t>
      </w:r>
      <w:r>
        <w:rPr>
          <w:rStyle w:val="FootnoteReference"/>
          <w:noProof/>
        </w:rPr>
        <w:footnoteReference w:id="15"/>
      </w:r>
      <w:r>
        <w:rPr>
          <w:noProof/>
        </w:rPr>
        <w:t>. The second is support, through a five-year ad hoc bilateral contract under Article 10 of the Euratom Treaty, for the continued operation of JET, the Joint European Torus</w:t>
      </w:r>
      <w:r>
        <w:rPr>
          <w:rStyle w:val="FootnoteReference"/>
          <w:noProof/>
        </w:rPr>
        <w:footnoteReference w:id="16"/>
      </w:r>
      <w:r>
        <w:rPr>
          <w:noProof/>
        </w:rPr>
        <w:t xml:space="preserve"> (EUR 283 million, 2014-2018), as the research device exploited under the EUROfusion joint programme. In line with article 4(5) of the Council Regulation (Euratom) No 1314/2013, the Euratom Work Programme 2014-2015 constitutes a five-year financing decision for both the European Joint Programme (Grant </w:t>
      </w:r>
      <w:r>
        <w:rPr>
          <w:noProof/>
        </w:rPr>
        <w:lastRenderedPageBreak/>
        <w:t>Agreement with EUROfusion) and the 'New JET Operation Contract'. On this basis, the Commission pays every year instalments following approval of the annual reports and work plans submitted by the EUROfusion consortium and JET operator.</w:t>
      </w:r>
    </w:p>
    <w:p w:rsidR="00EC06FD" w:rsidRDefault="00EC06FD">
      <w:pPr>
        <w:suppressAutoHyphens/>
        <w:spacing w:line="276" w:lineRule="auto"/>
        <w:jc w:val="both"/>
        <w:rPr>
          <w:noProof/>
        </w:rPr>
      </w:pPr>
    </w:p>
    <w:p w:rsidR="00EC06FD" w:rsidRDefault="00F346DE">
      <w:pPr>
        <w:pStyle w:val="Heading3"/>
        <w:tabs>
          <w:tab w:val="clear" w:pos="1287"/>
          <w:tab w:val="num" w:pos="1997"/>
        </w:tabs>
        <w:ind w:left="1230"/>
        <w:rPr>
          <w:noProof/>
        </w:rPr>
      </w:pPr>
      <w:bookmarkStart w:id="235" w:name="_Toc494899778"/>
      <w:r>
        <w:rPr>
          <w:noProof/>
        </w:rPr>
        <w:t>Progress towards the Euratom programme's objectives</w:t>
      </w:r>
      <w:bookmarkEnd w:id="235"/>
    </w:p>
    <w:p w:rsidR="00EC06FD" w:rsidRDefault="00F346DE">
      <w:pPr>
        <w:pStyle w:val="CM1"/>
        <w:spacing w:before="200" w:after="200"/>
        <w:jc w:val="both"/>
        <w:rPr>
          <w:rFonts w:ascii="Times New Roman" w:eastAsia="Times New Roman" w:hAnsi="Times New Roman"/>
          <w:noProof/>
        </w:rPr>
      </w:pPr>
      <w:r>
        <w:rPr>
          <w:rFonts w:ascii="Times New Roman" w:eastAsia="Times New Roman" w:hAnsi="Times New Roman"/>
          <w:noProof/>
        </w:rPr>
        <w:t xml:space="preserve">The Council Regulation (Euratom) 1314/2013 establishing the Euratom programme provides a set of specific objectives to be funded by the Commission while detailed research actions are set at the level of Work Programmes. Furthermore, detailed milestones and targets are fixed at the level of grants which are monitored closely by the Commission. Progress of the programme can be also measured by a set of Key Performance Indicators provided for in the Annex II to the Council Regulation. </w:t>
      </w:r>
    </w:p>
    <w:p w:rsidR="00EC06FD" w:rsidRDefault="00F346DE">
      <w:pPr>
        <w:pStyle w:val="CM1"/>
        <w:spacing w:before="200" w:after="200"/>
        <w:jc w:val="both"/>
        <w:rPr>
          <w:rFonts w:ascii="Times New Roman" w:eastAsia="Times New Roman" w:hAnsi="Times New Roman"/>
          <w:noProof/>
        </w:rPr>
      </w:pPr>
      <w:r>
        <w:rPr>
          <w:rFonts w:ascii="Times New Roman" w:eastAsia="Times New Roman" w:hAnsi="Times New Roman"/>
          <w:noProof/>
        </w:rPr>
        <w:t xml:space="preserve">Table 3 and analysis carried out for this SWD (see Section 7 on the efficiency of the programme for more details) show that Euratom programme is on track to achieve its objectives in fission and fusion: </w:t>
      </w:r>
    </w:p>
    <w:p w:rsidR="00EC06FD" w:rsidRDefault="00F346DE">
      <w:pPr>
        <w:pStyle w:val="Text3"/>
        <w:ind w:left="0"/>
        <w:rPr>
          <w:noProof/>
          <w:szCs w:val="24"/>
          <w:lang w:eastAsia="en-GB"/>
        </w:rPr>
      </w:pPr>
      <w:r>
        <w:rPr>
          <w:noProof/>
          <w:szCs w:val="24"/>
          <w:lang w:eastAsia="en-GB"/>
        </w:rPr>
        <w:t>In the first three years of its establishment (2014-16), the EUROfusion consortium has made tangible and incremental progress along the fusion roadmap with the vast majority of the agreed deliverables and milestones achieved. This progress is further exemplified by an increasing number of peer-reviewed publications, PhDs students, physics and engineering grantees as well as the number of researchers having access to pan-European research infrastructures.</w:t>
      </w:r>
    </w:p>
    <w:p w:rsidR="00EC06FD" w:rsidRDefault="00F346DE">
      <w:pPr>
        <w:pStyle w:val="Text3"/>
        <w:ind w:left="0"/>
        <w:rPr>
          <w:noProof/>
          <w:szCs w:val="24"/>
          <w:lang w:eastAsia="en-GB"/>
        </w:rPr>
      </w:pPr>
      <w:r>
        <w:rPr>
          <w:noProof/>
          <w:szCs w:val="24"/>
          <w:lang w:eastAsia="en-GB"/>
        </w:rPr>
        <w:t>In fission and radiation protection, the Commission has launched a portfolio of 48 projects in all main fields of research as requested by the Council Regulation (including 2 cross-cutting fission-fusion projects). First periodic reports from launched projects show that while the number of reported publications is relatively low at the start of the project implementation, the Euratom fission projects already established substantial teams of researchers (almost 1200 people) and they report progress made in terms of milestones reached.</w:t>
      </w:r>
    </w:p>
    <w:p w:rsidR="00EC06FD" w:rsidRDefault="00F346DE">
      <w:pPr>
        <w:pStyle w:val="Text3"/>
        <w:ind w:left="0"/>
        <w:rPr>
          <w:noProof/>
          <w:szCs w:val="24"/>
          <w:lang w:eastAsia="en-GB"/>
        </w:rPr>
      </w:pPr>
      <w:r>
        <w:rPr>
          <w:noProof/>
          <w:szCs w:val="24"/>
          <w:lang w:eastAsia="en-GB"/>
        </w:rPr>
        <w:t>The Commission launched two European Joint Programme in both fields (EUROfusion and CONCERT) further integrating the research efforts of stakeholders in Member States. A third Joint Programme on research for nuclear waste management is in an advanced stage of preparation thanks to the JOPRAD project launched in 2015.</w:t>
      </w:r>
    </w:p>
    <w:p w:rsidR="00EC06FD" w:rsidRDefault="00F346DE">
      <w:pPr>
        <w:spacing w:after="200" w:line="276" w:lineRule="auto"/>
        <w:rPr>
          <w:noProof/>
        </w:rPr>
      </w:pPr>
      <w:r>
        <w:rPr>
          <w:noProof/>
        </w:rPr>
        <w:br w:type="page"/>
      </w:r>
    </w:p>
    <w:p w:rsidR="00EC06FD" w:rsidRDefault="00EC06FD">
      <w:pPr>
        <w:rPr>
          <w:noProof/>
        </w:rPr>
      </w:pPr>
    </w:p>
    <w:p w:rsidR="00EC06FD" w:rsidRDefault="00EC06FD">
      <w:pPr>
        <w:rPr>
          <w:noProof/>
        </w:rPr>
      </w:pPr>
    </w:p>
    <w:tbl>
      <w:tblPr>
        <w:tblW w:w="7655"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114"/>
        <w:gridCol w:w="706"/>
        <w:gridCol w:w="709"/>
        <w:gridCol w:w="709"/>
        <w:gridCol w:w="709"/>
        <w:gridCol w:w="708"/>
      </w:tblGrid>
      <w:tr w:rsidR="00EC06FD">
        <w:trPr>
          <w:trHeight w:hRule="exact" w:val="545"/>
          <w:jc w:val="center"/>
        </w:trPr>
        <w:tc>
          <w:tcPr>
            <w:tcW w:w="7655" w:type="dxa"/>
            <w:gridSpan w:val="6"/>
            <w:shd w:val="clear" w:color="auto" w:fill="BFBFBF" w:themeFill="background1" w:themeFillShade="BF"/>
            <w:vAlign w:val="center"/>
          </w:tcPr>
          <w:p w:rsidR="00EC06FD" w:rsidRDefault="00F346DE">
            <w:pPr>
              <w:jc w:val="center"/>
              <w:rPr>
                <w:b/>
                <w:noProof/>
                <w:sz w:val="20"/>
                <w:szCs w:val="20"/>
              </w:rPr>
            </w:pPr>
            <w:r>
              <w:rPr>
                <w:b/>
                <w:noProof/>
                <w:sz w:val="20"/>
                <w:szCs w:val="20"/>
              </w:rPr>
              <w:t>Table 3 - Key performance indicators for indirect actions in fission and fusion research under Euratom Research and Training Programme 2014-2018</w:t>
            </w:r>
          </w:p>
        </w:tc>
      </w:tr>
      <w:tr w:rsidR="00EC06FD">
        <w:trPr>
          <w:trHeight w:hRule="exact" w:val="538"/>
          <w:jc w:val="center"/>
        </w:trPr>
        <w:tc>
          <w:tcPr>
            <w:tcW w:w="4114" w:type="dxa"/>
            <w:shd w:val="clear" w:color="auto" w:fill="FFFFFF" w:themeFill="background1"/>
            <w:vAlign w:val="center"/>
          </w:tcPr>
          <w:p w:rsidR="00EC06FD" w:rsidRDefault="00F346DE">
            <w:pPr>
              <w:jc w:val="center"/>
              <w:rPr>
                <w:noProof/>
                <w:sz w:val="20"/>
                <w:szCs w:val="20"/>
              </w:rPr>
            </w:pPr>
            <w:r>
              <w:rPr>
                <w:b/>
                <w:noProof/>
                <w:sz w:val="20"/>
                <w:szCs w:val="20"/>
              </w:rPr>
              <w:t>Key performance indicator</w:t>
            </w:r>
          </w:p>
        </w:tc>
        <w:tc>
          <w:tcPr>
            <w:tcW w:w="706" w:type="dxa"/>
            <w:shd w:val="clear" w:color="auto" w:fill="FFFFFF" w:themeFill="background1"/>
            <w:noWrap/>
            <w:vAlign w:val="center"/>
          </w:tcPr>
          <w:p w:rsidR="00EC06FD" w:rsidRDefault="00F346DE">
            <w:pPr>
              <w:jc w:val="center"/>
              <w:rPr>
                <w:noProof/>
                <w:sz w:val="20"/>
                <w:szCs w:val="20"/>
              </w:rPr>
            </w:pPr>
            <w:r>
              <w:rPr>
                <w:noProof/>
                <w:sz w:val="20"/>
                <w:szCs w:val="20"/>
              </w:rPr>
              <w:t>2014</w:t>
            </w:r>
          </w:p>
        </w:tc>
        <w:tc>
          <w:tcPr>
            <w:tcW w:w="709" w:type="dxa"/>
            <w:shd w:val="clear" w:color="auto" w:fill="FFFFFF" w:themeFill="background1"/>
            <w:vAlign w:val="center"/>
          </w:tcPr>
          <w:p w:rsidR="00EC06FD" w:rsidRDefault="00F346DE">
            <w:pPr>
              <w:jc w:val="center"/>
              <w:rPr>
                <w:noProof/>
                <w:sz w:val="20"/>
                <w:szCs w:val="20"/>
              </w:rPr>
            </w:pPr>
            <w:r>
              <w:rPr>
                <w:noProof/>
                <w:sz w:val="20"/>
                <w:szCs w:val="20"/>
              </w:rPr>
              <w:t>2015</w:t>
            </w:r>
          </w:p>
        </w:tc>
        <w:tc>
          <w:tcPr>
            <w:tcW w:w="709" w:type="dxa"/>
            <w:shd w:val="clear" w:color="auto" w:fill="FFFFFF" w:themeFill="background1"/>
            <w:vAlign w:val="center"/>
          </w:tcPr>
          <w:p w:rsidR="00EC06FD" w:rsidRDefault="00F346DE">
            <w:pPr>
              <w:jc w:val="center"/>
              <w:rPr>
                <w:noProof/>
                <w:sz w:val="20"/>
                <w:szCs w:val="20"/>
              </w:rPr>
            </w:pPr>
            <w:r>
              <w:rPr>
                <w:noProof/>
                <w:sz w:val="20"/>
                <w:szCs w:val="20"/>
              </w:rPr>
              <w:t>2016</w:t>
            </w:r>
          </w:p>
        </w:tc>
        <w:tc>
          <w:tcPr>
            <w:tcW w:w="709" w:type="dxa"/>
            <w:shd w:val="clear" w:color="auto" w:fill="FFFFFF" w:themeFill="background1"/>
            <w:vAlign w:val="center"/>
          </w:tcPr>
          <w:p w:rsidR="00EC06FD" w:rsidRDefault="00F346DE">
            <w:pPr>
              <w:jc w:val="center"/>
              <w:rPr>
                <w:noProof/>
                <w:sz w:val="20"/>
                <w:szCs w:val="20"/>
              </w:rPr>
            </w:pPr>
            <w:r>
              <w:rPr>
                <w:noProof/>
                <w:sz w:val="20"/>
                <w:szCs w:val="20"/>
              </w:rPr>
              <w:t>2017</w:t>
            </w:r>
          </w:p>
        </w:tc>
        <w:tc>
          <w:tcPr>
            <w:tcW w:w="708" w:type="dxa"/>
            <w:shd w:val="clear" w:color="auto" w:fill="FFFFFF" w:themeFill="background1"/>
            <w:vAlign w:val="center"/>
          </w:tcPr>
          <w:p w:rsidR="00EC06FD" w:rsidRDefault="00F346DE">
            <w:pPr>
              <w:jc w:val="center"/>
              <w:rPr>
                <w:noProof/>
                <w:sz w:val="20"/>
                <w:szCs w:val="20"/>
              </w:rPr>
            </w:pPr>
            <w:r>
              <w:rPr>
                <w:noProof/>
                <w:sz w:val="20"/>
                <w:szCs w:val="20"/>
              </w:rPr>
              <w:t>Total</w:t>
            </w:r>
          </w:p>
        </w:tc>
      </w:tr>
      <w:tr w:rsidR="00EC06FD">
        <w:trPr>
          <w:trHeight w:hRule="exact" w:val="1015"/>
          <w:jc w:val="center"/>
        </w:trPr>
        <w:tc>
          <w:tcPr>
            <w:tcW w:w="4114" w:type="dxa"/>
            <w:shd w:val="clear" w:color="auto" w:fill="FFFFFF" w:themeFill="background1"/>
            <w:vAlign w:val="center"/>
          </w:tcPr>
          <w:p w:rsidR="00EC06FD" w:rsidRDefault="00F346DE">
            <w:pPr>
              <w:rPr>
                <w:noProof/>
                <w:sz w:val="20"/>
                <w:szCs w:val="20"/>
              </w:rPr>
            </w:pPr>
            <w:r>
              <w:rPr>
                <w:noProof/>
                <w:sz w:val="20"/>
                <w:szCs w:val="20"/>
              </w:rPr>
              <w:t>The number of projects (joint research and/or coordinated actions) likely to lead to a demonstrable improvement in nuclear safety practice in Europe</w:t>
            </w:r>
          </w:p>
        </w:tc>
        <w:tc>
          <w:tcPr>
            <w:tcW w:w="1415" w:type="dxa"/>
            <w:gridSpan w:val="2"/>
            <w:shd w:val="clear" w:color="auto" w:fill="FFFFFF" w:themeFill="background1"/>
            <w:noWrap/>
            <w:vAlign w:val="center"/>
            <w:hideMark/>
          </w:tcPr>
          <w:p w:rsidR="00EC06FD" w:rsidRDefault="00F346DE">
            <w:pPr>
              <w:jc w:val="center"/>
              <w:rPr>
                <w:noProof/>
                <w:sz w:val="20"/>
                <w:szCs w:val="20"/>
              </w:rPr>
            </w:pPr>
            <w:r>
              <w:rPr>
                <w:noProof/>
                <w:sz w:val="20"/>
                <w:szCs w:val="20"/>
              </w:rPr>
              <w:t>8</w:t>
            </w:r>
          </w:p>
        </w:tc>
        <w:tc>
          <w:tcPr>
            <w:tcW w:w="1418" w:type="dxa"/>
            <w:gridSpan w:val="2"/>
            <w:shd w:val="clear" w:color="auto" w:fill="FFFFFF" w:themeFill="background1"/>
            <w:vAlign w:val="center"/>
            <w:hideMark/>
          </w:tcPr>
          <w:p w:rsidR="00EC06FD" w:rsidRDefault="00F346DE">
            <w:pPr>
              <w:jc w:val="center"/>
              <w:rPr>
                <w:noProof/>
                <w:sz w:val="20"/>
                <w:szCs w:val="20"/>
              </w:rPr>
            </w:pPr>
            <w:r>
              <w:rPr>
                <w:noProof/>
                <w:sz w:val="20"/>
                <w:szCs w:val="20"/>
              </w:rPr>
              <w:t>9</w:t>
            </w:r>
          </w:p>
        </w:tc>
        <w:tc>
          <w:tcPr>
            <w:tcW w:w="708" w:type="dxa"/>
            <w:shd w:val="clear" w:color="auto" w:fill="FFFFFF" w:themeFill="background1"/>
            <w:vAlign w:val="center"/>
            <w:hideMark/>
          </w:tcPr>
          <w:p w:rsidR="00EC06FD" w:rsidRDefault="00F346DE">
            <w:pPr>
              <w:jc w:val="center"/>
              <w:rPr>
                <w:noProof/>
                <w:sz w:val="20"/>
                <w:szCs w:val="20"/>
              </w:rPr>
            </w:pPr>
            <w:r>
              <w:rPr>
                <w:noProof/>
                <w:sz w:val="20"/>
                <w:szCs w:val="20"/>
              </w:rPr>
              <w:t>17</w:t>
            </w:r>
          </w:p>
        </w:tc>
      </w:tr>
      <w:tr w:rsidR="00EC06FD">
        <w:trPr>
          <w:trHeight w:hRule="exact" w:val="748"/>
          <w:jc w:val="center"/>
        </w:trPr>
        <w:tc>
          <w:tcPr>
            <w:tcW w:w="4114" w:type="dxa"/>
            <w:shd w:val="clear" w:color="auto" w:fill="FFFFFF" w:themeFill="background1"/>
            <w:vAlign w:val="center"/>
          </w:tcPr>
          <w:p w:rsidR="00EC06FD" w:rsidRDefault="00F346DE">
            <w:pPr>
              <w:rPr>
                <w:noProof/>
                <w:sz w:val="20"/>
                <w:szCs w:val="20"/>
              </w:rPr>
            </w:pPr>
            <w:r>
              <w:rPr>
                <w:noProof/>
                <w:sz w:val="20"/>
                <w:szCs w:val="20"/>
              </w:rPr>
              <w:t>The number of projects contributing to the development of safe long term solutions for the management of ultimate nuclear waste</w:t>
            </w:r>
          </w:p>
        </w:tc>
        <w:tc>
          <w:tcPr>
            <w:tcW w:w="1415" w:type="dxa"/>
            <w:gridSpan w:val="2"/>
            <w:shd w:val="clear" w:color="auto" w:fill="FFFFFF" w:themeFill="background1"/>
            <w:noWrap/>
            <w:vAlign w:val="center"/>
            <w:hideMark/>
          </w:tcPr>
          <w:p w:rsidR="00EC06FD" w:rsidRDefault="00F346DE">
            <w:pPr>
              <w:jc w:val="center"/>
              <w:rPr>
                <w:noProof/>
                <w:sz w:val="20"/>
                <w:szCs w:val="20"/>
              </w:rPr>
            </w:pPr>
            <w:r>
              <w:rPr>
                <w:noProof/>
                <w:sz w:val="20"/>
                <w:szCs w:val="20"/>
              </w:rPr>
              <w:t>5</w:t>
            </w:r>
          </w:p>
        </w:tc>
        <w:tc>
          <w:tcPr>
            <w:tcW w:w="1418" w:type="dxa"/>
            <w:gridSpan w:val="2"/>
            <w:shd w:val="clear" w:color="auto" w:fill="FFFFFF" w:themeFill="background1"/>
            <w:vAlign w:val="center"/>
            <w:hideMark/>
          </w:tcPr>
          <w:p w:rsidR="00EC06FD" w:rsidRDefault="00F346DE">
            <w:pPr>
              <w:jc w:val="center"/>
              <w:rPr>
                <w:noProof/>
                <w:sz w:val="20"/>
                <w:szCs w:val="20"/>
              </w:rPr>
            </w:pPr>
            <w:r>
              <w:rPr>
                <w:noProof/>
                <w:sz w:val="20"/>
                <w:szCs w:val="20"/>
              </w:rPr>
              <w:t>5</w:t>
            </w:r>
          </w:p>
        </w:tc>
        <w:tc>
          <w:tcPr>
            <w:tcW w:w="708" w:type="dxa"/>
            <w:shd w:val="clear" w:color="auto" w:fill="FFFFFF" w:themeFill="background1"/>
            <w:vAlign w:val="center"/>
            <w:hideMark/>
          </w:tcPr>
          <w:p w:rsidR="00EC06FD" w:rsidRDefault="00F346DE">
            <w:pPr>
              <w:jc w:val="center"/>
              <w:rPr>
                <w:noProof/>
                <w:sz w:val="20"/>
                <w:szCs w:val="20"/>
              </w:rPr>
            </w:pPr>
            <w:r>
              <w:rPr>
                <w:noProof/>
                <w:sz w:val="20"/>
                <w:szCs w:val="20"/>
              </w:rPr>
              <w:t>10</w:t>
            </w:r>
          </w:p>
        </w:tc>
      </w:tr>
      <w:tr w:rsidR="00EC06FD">
        <w:trPr>
          <w:trHeight w:hRule="exact" w:val="1208"/>
          <w:jc w:val="center"/>
        </w:trPr>
        <w:tc>
          <w:tcPr>
            <w:tcW w:w="4114" w:type="dxa"/>
            <w:shd w:val="clear" w:color="auto" w:fill="FFFFFF" w:themeFill="background1"/>
            <w:vAlign w:val="center"/>
          </w:tcPr>
          <w:p w:rsidR="00EC06FD" w:rsidRDefault="00F346DE">
            <w:pPr>
              <w:rPr>
                <w:noProof/>
                <w:sz w:val="20"/>
                <w:szCs w:val="20"/>
              </w:rPr>
            </w:pPr>
            <w:r>
              <w:rPr>
                <w:noProof/>
                <w:sz w:val="20"/>
                <w:szCs w:val="20"/>
              </w:rPr>
              <w:t>The number of projects likely to have a demonstrable impact on regulatory practice regarding radiation protection and on development of medical applications of radiation</w:t>
            </w:r>
          </w:p>
        </w:tc>
        <w:tc>
          <w:tcPr>
            <w:tcW w:w="1415" w:type="dxa"/>
            <w:gridSpan w:val="2"/>
            <w:shd w:val="clear" w:color="auto" w:fill="FFFFFF" w:themeFill="background1"/>
            <w:noWrap/>
            <w:vAlign w:val="center"/>
            <w:hideMark/>
          </w:tcPr>
          <w:p w:rsidR="00EC06FD" w:rsidRDefault="00F346DE">
            <w:pPr>
              <w:jc w:val="center"/>
              <w:rPr>
                <w:noProof/>
                <w:sz w:val="20"/>
                <w:szCs w:val="20"/>
              </w:rPr>
            </w:pPr>
            <w:r>
              <w:rPr>
                <w:noProof/>
                <w:sz w:val="20"/>
                <w:szCs w:val="20"/>
              </w:rPr>
              <w:t>1</w:t>
            </w:r>
          </w:p>
        </w:tc>
        <w:tc>
          <w:tcPr>
            <w:tcW w:w="1418" w:type="dxa"/>
            <w:gridSpan w:val="2"/>
            <w:shd w:val="clear" w:color="auto" w:fill="FFFFFF" w:themeFill="background1"/>
            <w:vAlign w:val="center"/>
            <w:hideMark/>
          </w:tcPr>
          <w:p w:rsidR="00EC06FD" w:rsidRDefault="00F346DE">
            <w:pPr>
              <w:jc w:val="center"/>
              <w:rPr>
                <w:noProof/>
                <w:sz w:val="20"/>
                <w:szCs w:val="20"/>
              </w:rPr>
            </w:pPr>
            <w:r>
              <w:rPr>
                <w:noProof/>
                <w:sz w:val="20"/>
                <w:szCs w:val="20"/>
              </w:rPr>
              <w:t>1</w:t>
            </w:r>
          </w:p>
        </w:tc>
        <w:tc>
          <w:tcPr>
            <w:tcW w:w="708" w:type="dxa"/>
            <w:shd w:val="clear" w:color="auto" w:fill="FFFFFF" w:themeFill="background1"/>
            <w:vAlign w:val="center"/>
            <w:hideMark/>
          </w:tcPr>
          <w:p w:rsidR="00EC06FD" w:rsidRDefault="00F346DE">
            <w:pPr>
              <w:jc w:val="center"/>
              <w:rPr>
                <w:noProof/>
                <w:sz w:val="20"/>
                <w:szCs w:val="20"/>
              </w:rPr>
            </w:pPr>
            <w:r>
              <w:rPr>
                <w:noProof/>
                <w:sz w:val="20"/>
                <w:szCs w:val="20"/>
              </w:rPr>
              <w:t>2</w:t>
            </w:r>
            <w:r>
              <w:rPr>
                <w:rStyle w:val="FootnoteReference"/>
                <w:noProof/>
                <w:sz w:val="20"/>
                <w:szCs w:val="20"/>
              </w:rPr>
              <w:footnoteReference w:id="17"/>
            </w:r>
          </w:p>
        </w:tc>
      </w:tr>
      <w:tr w:rsidR="00EC06FD">
        <w:trPr>
          <w:trHeight w:hRule="exact" w:val="561"/>
          <w:jc w:val="center"/>
        </w:trPr>
        <w:tc>
          <w:tcPr>
            <w:tcW w:w="4114" w:type="dxa"/>
            <w:shd w:val="clear" w:color="auto" w:fill="FFFFFF" w:themeFill="background1"/>
            <w:vAlign w:val="center"/>
          </w:tcPr>
          <w:p w:rsidR="00EC06FD" w:rsidRDefault="00F346DE">
            <w:pPr>
              <w:rPr>
                <w:noProof/>
                <w:sz w:val="20"/>
                <w:szCs w:val="20"/>
              </w:rPr>
            </w:pPr>
            <w:r>
              <w:rPr>
                <w:noProof/>
                <w:sz w:val="20"/>
                <w:szCs w:val="20"/>
              </w:rPr>
              <w:t>The number of researchers' and engineering grants in the Euratom fusion programme</w:t>
            </w:r>
          </w:p>
        </w:tc>
        <w:tc>
          <w:tcPr>
            <w:tcW w:w="706" w:type="dxa"/>
            <w:shd w:val="clear" w:color="auto" w:fill="FFFFFF" w:themeFill="background1"/>
            <w:noWrap/>
            <w:vAlign w:val="center"/>
            <w:hideMark/>
          </w:tcPr>
          <w:p w:rsidR="00EC06FD" w:rsidRDefault="00F346DE">
            <w:pPr>
              <w:jc w:val="center"/>
              <w:rPr>
                <w:noProof/>
                <w:sz w:val="20"/>
                <w:szCs w:val="20"/>
              </w:rPr>
            </w:pPr>
            <w:r>
              <w:rPr>
                <w:noProof/>
                <w:sz w:val="20"/>
                <w:szCs w:val="20"/>
              </w:rPr>
              <w:t>17</w:t>
            </w:r>
          </w:p>
        </w:tc>
        <w:tc>
          <w:tcPr>
            <w:tcW w:w="709" w:type="dxa"/>
            <w:shd w:val="clear" w:color="auto" w:fill="FFFFFF" w:themeFill="background1"/>
            <w:vAlign w:val="center"/>
            <w:hideMark/>
          </w:tcPr>
          <w:p w:rsidR="00EC06FD" w:rsidRDefault="00F346DE">
            <w:pPr>
              <w:jc w:val="center"/>
              <w:rPr>
                <w:noProof/>
                <w:sz w:val="20"/>
                <w:szCs w:val="20"/>
              </w:rPr>
            </w:pPr>
            <w:r>
              <w:rPr>
                <w:noProof/>
                <w:sz w:val="20"/>
                <w:szCs w:val="20"/>
              </w:rPr>
              <w:t>28</w:t>
            </w:r>
          </w:p>
        </w:tc>
        <w:tc>
          <w:tcPr>
            <w:tcW w:w="709" w:type="dxa"/>
            <w:shd w:val="clear" w:color="auto" w:fill="FFFFFF" w:themeFill="background1"/>
            <w:vAlign w:val="center"/>
            <w:hideMark/>
          </w:tcPr>
          <w:p w:rsidR="00EC06FD" w:rsidRDefault="00F346DE">
            <w:pPr>
              <w:jc w:val="center"/>
              <w:rPr>
                <w:noProof/>
                <w:sz w:val="20"/>
                <w:szCs w:val="20"/>
              </w:rPr>
            </w:pPr>
            <w:r>
              <w:rPr>
                <w:noProof/>
                <w:sz w:val="20"/>
                <w:szCs w:val="20"/>
              </w:rPr>
              <w:t>31</w:t>
            </w:r>
          </w:p>
        </w:tc>
        <w:tc>
          <w:tcPr>
            <w:tcW w:w="709" w:type="dxa"/>
            <w:shd w:val="clear" w:color="auto" w:fill="FFFFFF" w:themeFill="background1"/>
            <w:vAlign w:val="center"/>
            <w:hideMark/>
          </w:tcPr>
          <w:p w:rsidR="00EC06FD" w:rsidRDefault="00F346DE">
            <w:pPr>
              <w:jc w:val="center"/>
              <w:rPr>
                <w:noProof/>
                <w:sz w:val="20"/>
                <w:szCs w:val="20"/>
              </w:rPr>
            </w:pPr>
            <w:r>
              <w:rPr>
                <w:noProof/>
                <w:sz w:val="20"/>
                <w:szCs w:val="20"/>
              </w:rPr>
              <w:t>n/a</w:t>
            </w:r>
          </w:p>
        </w:tc>
        <w:tc>
          <w:tcPr>
            <w:tcW w:w="708" w:type="dxa"/>
            <w:shd w:val="clear" w:color="auto" w:fill="FFFFFF" w:themeFill="background1"/>
            <w:vAlign w:val="center"/>
            <w:hideMark/>
          </w:tcPr>
          <w:p w:rsidR="00EC06FD" w:rsidRDefault="00F346DE">
            <w:pPr>
              <w:jc w:val="center"/>
              <w:rPr>
                <w:noProof/>
                <w:sz w:val="20"/>
                <w:szCs w:val="20"/>
              </w:rPr>
            </w:pPr>
            <w:r>
              <w:rPr>
                <w:noProof/>
                <w:sz w:val="20"/>
                <w:szCs w:val="20"/>
              </w:rPr>
              <w:t>76</w:t>
            </w:r>
          </w:p>
        </w:tc>
      </w:tr>
      <w:tr w:rsidR="00EC06FD">
        <w:trPr>
          <w:trHeight w:hRule="exact" w:val="571"/>
          <w:jc w:val="center"/>
        </w:trPr>
        <w:tc>
          <w:tcPr>
            <w:tcW w:w="4114" w:type="dxa"/>
            <w:shd w:val="clear" w:color="auto" w:fill="FFFFFF" w:themeFill="background1"/>
            <w:vAlign w:val="center"/>
          </w:tcPr>
          <w:p w:rsidR="00EC06FD" w:rsidRDefault="00F346DE">
            <w:pPr>
              <w:rPr>
                <w:noProof/>
                <w:sz w:val="20"/>
                <w:szCs w:val="20"/>
              </w:rPr>
            </w:pPr>
            <w:r>
              <w:rPr>
                <w:noProof/>
                <w:sz w:val="20"/>
                <w:szCs w:val="20"/>
              </w:rPr>
              <w:t>The number of fission and fusion publications in peer-reviewed high impact journals</w:t>
            </w:r>
            <w:r>
              <w:rPr>
                <w:noProof/>
                <w:sz w:val="20"/>
                <w:szCs w:val="20"/>
                <w:vertAlign w:val="superscript"/>
              </w:rPr>
              <w:footnoteReference w:id="18"/>
            </w:r>
          </w:p>
        </w:tc>
        <w:tc>
          <w:tcPr>
            <w:tcW w:w="706" w:type="dxa"/>
            <w:shd w:val="clear" w:color="auto" w:fill="FFFFFF" w:themeFill="background1"/>
            <w:noWrap/>
            <w:vAlign w:val="center"/>
            <w:hideMark/>
          </w:tcPr>
          <w:p w:rsidR="00EC06FD" w:rsidRDefault="00F346DE">
            <w:pPr>
              <w:jc w:val="center"/>
              <w:rPr>
                <w:noProof/>
                <w:sz w:val="20"/>
                <w:szCs w:val="20"/>
              </w:rPr>
            </w:pPr>
            <w:r>
              <w:rPr>
                <w:noProof/>
                <w:sz w:val="20"/>
                <w:szCs w:val="20"/>
              </w:rPr>
              <w:t>200</w:t>
            </w:r>
          </w:p>
        </w:tc>
        <w:tc>
          <w:tcPr>
            <w:tcW w:w="709" w:type="dxa"/>
            <w:shd w:val="clear" w:color="auto" w:fill="FFFFFF" w:themeFill="background1"/>
            <w:vAlign w:val="center"/>
            <w:hideMark/>
          </w:tcPr>
          <w:p w:rsidR="00EC06FD" w:rsidRDefault="00F346DE">
            <w:pPr>
              <w:jc w:val="center"/>
              <w:rPr>
                <w:noProof/>
                <w:sz w:val="20"/>
                <w:szCs w:val="20"/>
              </w:rPr>
            </w:pPr>
            <w:r>
              <w:rPr>
                <w:noProof/>
                <w:sz w:val="20"/>
                <w:szCs w:val="20"/>
              </w:rPr>
              <w:t>450</w:t>
            </w:r>
          </w:p>
        </w:tc>
        <w:tc>
          <w:tcPr>
            <w:tcW w:w="709" w:type="dxa"/>
            <w:shd w:val="clear" w:color="auto" w:fill="FFFFFF" w:themeFill="background1"/>
            <w:vAlign w:val="center"/>
            <w:hideMark/>
          </w:tcPr>
          <w:p w:rsidR="00EC06FD" w:rsidRDefault="00F346DE">
            <w:pPr>
              <w:jc w:val="center"/>
              <w:rPr>
                <w:noProof/>
                <w:sz w:val="20"/>
                <w:szCs w:val="20"/>
              </w:rPr>
            </w:pPr>
            <w:r>
              <w:rPr>
                <w:noProof/>
                <w:sz w:val="20"/>
                <w:szCs w:val="20"/>
              </w:rPr>
              <w:t>325</w:t>
            </w:r>
          </w:p>
        </w:tc>
        <w:tc>
          <w:tcPr>
            <w:tcW w:w="709" w:type="dxa"/>
            <w:shd w:val="clear" w:color="auto" w:fill="FFFFFF" w:themeFill="background1"/>
            <w:vAlign w:val="center"/>
            <w:hideMark/>
          </w:tcPr>
          <w:p w:rsidR="00EC06FD" w:rsidRDefault="00F346DE">
            <w:pPr>
              <w:jc w:val="center"/>
              <w:rPr>
                <w:noProof/>
                <w:sz w:val="20"/>
                <w:szCs w:val="20"/>
              </w:rPr>
            </w:pPr>
            <w:r>
              <w:rPr>
                <w:noProof/>
                <w:sz w:val="20"/>
                <w:szCs w:val="20"/>
              </w:rPr>
              <w:t>n/a</w:t>
            </w:r>
          </w:p>
        </w:tc>
        <w:tc>
          <w:tcPr>
            <w:tcW w:w="708" w:type="dxa"/>
            <w:shd w:val="clear" w:color="auto" w:fill="FFFFFF" w:themeFill="background1"/>
            <w:vAlign w:val="center"/>
            <w:hideMark/>
          </w:tcPr>
          <w:p w:rsidR="00EC06FD" w:rsidRDefault="00F346DE">
            <w:pPr>
              <w:jc w:val="center"/>
              <w:rPr>
                <w:noProof/>
                <w:sz w:val="20"/>
                <w:szCs w:val="20"/>
              </w:rPr>
            </w:pPr>
            <w:r>
              <w:rPr>
                <w:noProof/>
                <w:sz w:val="20"/>
                <w:szCs w:val="20"/>
              </w:rPr>
              <w:t>975</w:t>
            </w:r>
          </w:p>
        </w:tc>
      </w:tr>
      <w:tr w:rsidR="00EC06FD">
        <w:trPr>
          <w:trHeight w:hRule="exact" w:val="792"/>
          <w:jc w:val="center"/>
        </w:trPr>
        <w:tc>
          <w:tcPr>
            <w:tcW w:w="4114" w:type="dxa"/>
            <w:shd w:val="clear" w:color="auto" w:fill="FFFFFF" w:themeFill="background1"/>
            <w:vAlign w:val="center"/>
          </w:tcPr>
          <w:p w:rsidR="00EC06FD" w:rsidRDefault="00F346DE">
            <w:pPr>
              <w:rPr>
                <w:noProof/>
                <w:sz w:val="20"/>
                <w:szCs w:val="20"/>
              </w:rPr>
            </w:pPr>
            <w:r>
              <w:rPr>
                <w:noProof/>
                <w:sz w:val="20"/>
                <w:szCs w:val="20"/>
              </w:rPr>
              <w:t>The percentage of the Fusion Roadmap's milestones, established for the period 2014-2018, reached by the Euratom Programme</w:t>
            </w:r>
          </w:p>
        </w:tc>
        <w:tc>
          <w:tcPr>
            <w:tcW w:w="706" w:type="dxa"/>
            <w:shd w:val="clear" w:color="auto" w:fill="FFFFFF" w:themeFill="background1"/>
            <w:noWrap/>
            <w:vAlign w:val="center"/>
            <w:hideMark/>
          </w:tcPr>
          <w:p w:rsidR="00EC06FD" w:rsidRDefault="00F346DE">
            <w:pPr>
              <w:jc w:val="center"/>
              <w:rPr>
                <w:noProof/>
                <w:sz w:val="20"/>
                <w:szCs w:val="20"/>
              </w:rPr>
            </w:pPr>
            <w:r>
              <w:rPr>
                <w:noProof/>
                <w:sz w:val="20"/>
                <w:szCs w:val="20"/>
              </w:rPr>
              <w:t>13%</w:t>
            </w:r>
          </w:p>
        </w:tc>
        <w:tc>
          <w:tcPr>
            <w:tcW w:w="709" w:type="dxa"/>
            <w:shd w:val="clear" w:color="auto" w:fill="FFFFFF" w:themeFill="background1"/>
            <w:vAlign w:val="center"/>
            <w:hideMark/>
          </w:tcPr>
          <w:p w:rsidR="00EC06FD" w:rsidRDefault="00F346DE">
            <w:pPr>
              <w:jc w:val="center"/>
              <w:rPr>
                <w:noProof/>
                <w:sz w:val="20"/>
                <w:szCs w:val="20"/>
              </w:rPr>
            </w:pPr>
            <w:r>
              <w:rPr>
                <w:noProof/>
                <w:sz w:val="20"/>
                <w:szCs w:val="20"/>
              </w:rPr>
              <w:t>31%</w:t>
            </w:r>
          </w:p>
        </w:tc>
        <w:tc>
          <w:tcPr>
            <w:tcW w:w="709" w:type="dxa"/>
            <w:shd w:val="clear" w:color="auto" w:fill="FFFFFF" w:themeFill="background1"/>
            <w:vAlign w:val="center"/>
            <w:hideMark/>
          </w:tcPr>
          <w:p w:rsidR="00EC06FD" w:rsidRDefault="00F346DE">
            <w:pPr>
              <w:jc w:val="center"/>
              <w:rPr>
                <w:noProof/>
                <w:sz w:val="20"/>
                <w:szCs w:val="20"/>
              </w:rPr>
            </w:pPr>
            <w:r>
              <w:rPr>
                <w:noProof/>
                <w:sz w:val="20"/>
                <w:szCs w:val="20"/>
              </w:rPr>
              <w:t>47%</w:t>
            </w:r>
          </w:p>
        </w:tc>
        <w:tc>
          <w:tcPr>
            <w:tcW w:w="709" w:type="dxa"/>
            <w:shd w:val="clear" w:color="auto" w:fill="FFFFFF" w:themeFill="background1"/>
            <w:vAlign w:val="center"/>
            <w:hideMark/>
          </w:tcPr>
          <w:p w:rsidR="00EC06FD" w:rsidRDefault="00F346DE">
            <w:pPr>
              <w:jc w:val="center"/>
              <w:rPr>
                <w:noProof/>
                <w:sz w:val="20"/>
                <w:szCs w:val="20"/>
              </w:rPr>
            </w:pPr>
            <w:r>
              <w:rPr>
                <w:noProof/>
                <w:sz w:val="20"/>
                <w:szCs w:val="20"/>
              </w:rPr>
              <w:t>n/a</w:t>
            </w:r>
          </w:p>
        </w:tc>
        <w:tc>
          <w:tcPr>
            <w:tcW w:w="708" w:type="dxa"/>
            <w:shd w:val="clear" w:color="auto" w:fill="FFFFFF" w:themeFill="background1"/>
            <w:vAlign w:val="center"/>
            <w:hideMark/>
          </w:tcPr>
          <w:p w:rsidR="00EC06FD" w:rsidRDefault="00F346DE">
            <w:pPr>
              <w:jc w:val="center"/>
              <w:rPr>
                <w:noProof/>
                <w:sz w:val="20"/>
                <w:szCs w:val="20"/>
              </w:rPr>
            </w:pPr>
            <w:r>
              <w:rPr>
                <w:noProof/>
                <w:sz w:val="20"/>
                <w:szCs w:val="20"/>
              </w:rPr>
              <w:t>-</w:t>
            </w:r>
          </w:p>
        </w:tc>
      </w:tr>
      <w:tr w:rsidR="00EC06FD">
        <w:trPr>
          <w:trHeight w:hRule="exact" w:val="651"/>
          <w:jc w:val="center"/>
        </w:trPr>
        <w:tc>
          <w:tcPr>
            <w:tcW w:w="4114" w:type="dxa"/>
            <w:shd w:val="clear" w:color="auto" w:fill="FFFFFF" w:themeFill="background1"/>
            <w:vAlign w:val="center"/>
          </w:tcPr>
          <w:p w:rsidR="00EC06FD" w:rsidRDefault="00F346DE">
            <w:pPr>
              <w:rPr>
                <w:noProof/>
                <w:sz w:val="20"/>
                <w:szCs w:val="20"/>
              </w:rPr>
            </w:pPr>
            <w:r>
              <w:rPr>
                <w:noProof/>
                <w:sz w:val="20"/>
                <w:szCs w:val="20"/>
              </w:rPr>
              <w:t>The number of spin-offs from the fusion research under the Euratom Programme</w:t>
            </w:r>
          </w:p>
        </w:tc>
        <w:tc>
          <w:tcPr>
            <w:tcW w:w="706" w:type="dxa"/>
            <w:shd w:val="clear" w:color="auto" w:fill="FFFFFF" w:themeFill="background1"/>
            <w:noWrap/>
            <w:vAlign w:val="center"/>
            <w:hideMark/>
          </w:tcPr>
          <w:p w:rsidR="00EC06FD" w:rsidRDefault="00F346DE">
            <w:pPr>
              <w:jc w:val="center"/>
              <w:rPr>
                <w:noProof/>
                <w:sz w:val="20"/>
                <w:szCs w:val="20"/>
              </w:rPr>
            </w:pPr>
            <w:r>
              <w:rPr>
                <w:noProof/>
                <w:sz w:val="20"/>
                <w:szCs w:val="20"/>
              </w:rPr>
              <w:t>1</w:t>
            </w:r>
          </w:p>
        </w:tc>
        <w:tc>
          <w:tcPr>
            <w:tcW w:w="709" w:type="dxa"/>
            <w:shd w:val="clear" w:color="auto" w:fill="FFFFFF" w:themeFill="background1"/>
            <w:vAlign w:val="center"/>
            <w:hideMark/>
          </w:tcPr>
          <w:p w:rsidR="00EC06FD" w:rsidRDefault="00F346DE">
            <w:pPr>
              <w:jc w:val="center"/>
              <w:rPr>
                <w:noProof/>
                <w:sz w:val="20"/>
                <w:szCs w:val="20"/>
              </w:rPr>
            </w:pPr>
            <w:r>
              <w:rPr>
                <w:noProof/>
                <w:sz w:val="20"/>
                <w:szCs w:val="20"/>
              </w:rPr>
              <w:t>2</w:t>
            </w:r>
          </w:p>
        </w:tc>
        <w:tc>
          <w:tcPr>
            <w:tcW w:w="709" w:type="dxa"/>
            <w:shd w:val="clear" w:color="auto" w:fill="FFFFFF" w:themeFill="background1"/>
            <w:vAlign w:val="center"/>
            <w:hideMark/>
          </w:tcPr>
          <w:p w:rsidR="00EC06FD" w:rsidRDefault="00F346DE">
            <w:pPr>
              <w:jc w:val="center"/>
              <w:rPr>
                <w:noProof/>
                <w:sz w:val="20"/>
                <w:szCs w:val="20"/>
              </w:rPr>
            </w:pPr>
            <w:r>
              <w:rPr>
                <w:noProof/>
                <w:sz w:val="20"/>
                <w:szCs w:val="20"/>
              </w:rPr>
              <w:t>0</w:t>
            </w:r>
          </w:p>
        </w:tc>
        <w:tc>
          <w:tcPr>
            <w:tcW w:w="709" w:type="dxa"/>
            <w:shd w:val="clear" w:color="auto" w:fill="FFFFFF" w:themeFill="background1"/>
            <w:vAlign w:val="center"/>
            <w:hideMark/>
          </w:tcPr>
          <w:p w:rsidR="00EC06FD" w:rsidRDefault="00F346DE">
            <w:pPr>
              <w:jc w:val="center"/>
              <w:rPr>
                <w:noProof/>
                <w:sz w:val="20"/>
                <w:szCs w:val="20"/>
              </w:rPr>
            </w:pPr>
            <w:r>
              <w:rPr>
                <w:noProof/>
                <w:sz w:val="20"/>
                <w:szCs w:val="20"/>
              </w:rPr>
              <w:t>n/a</w:t>
            </w:r>
          </w:p>
        </w:tc>
        <w:tc>
          <w:tcPr>
            <w:tcW w:w="708" w:type="dxa"/>
            <w:shd w:val="clear" w:color="auto" w:fill="FFFFFF" w:themeFill="background1"/>
            <w:vAlign w:val="center"/>
            <w:hideMark/>
          </w:tcPr>
          <w:p w:rsidR="00EC06FD" w:rsidRDefault="00F346DE">
            <w:pPr>
              <w:jc w:val="center"/>
              <w:rPr>
                <w:noProof/>
                <w:sz w:val="20"/>
                <w:szCs w:val="20"/>
              </w:rPr>
            </w:pPr>
            <w:r>
              <w:rPr>
                <w:noProof/>
                <w:sz w:val="20"/>
                <w:szCs w:val="20"/>
              </w:rPr>
              <w:t>3</w:t>
            </w:r>
          </w:p>
        </w:tc>
      </w:tr>
      <w:tr w:rsidR="00EC06FD">
        <w:trPr>
          <w:trHeight w:hRule="exact" w:val="805"/>
          <w:jc w:val="center"/>
        </w:trPr>
        <w:tc>
          <w:tcPr>
            <w:tcW w:w="4114" w:type="dxa"/>
            <w:shd w:val="clear" w:color="auto" w:fill="FFFFFF" w:themeFill="background1"/>
            <w:vAlign w:val="center"/>
          </w:tcPr>
          <w:p w:rsidR="00EC06FD" w:rsidRDefault="00F346DE">
            <w:pPr>
              <w:rPr>
                <w:noProof/>
                <w:sz w:val="20"/>
                <w:szCs w:val="20"/>
              </w:rPr>
            </w:pPr>
            <w:r>
              <w:rPr>
                <w:noProof/>
                <w:sz w:val="20"/>
                <w:szCs w:val="20"/>
              </w:rPr>
              <w:t>The patents applications generated and patents awarded on the basis of research activities supported by the Euratom Programme</w:t>
            </w:r>
            <w:r>
              <w:rPr>
                <w:rStyle w:val="FootnoteReference"/>
                <w:noProof/>
                <w:sz w:val="20"/>
                <w:szCs w:val="20"/>
              </w:rPr>
              <w:footnoteReference w:id="19"/>
            </w:r>
          </w:p>
        </w:tc>
        <w:tc>
          <w:tcPr>
            <w:tcW w:w="706" w:type="dxa"/>
            <w:shd w:val="clear" w:color="auto" w:fill="FFFFFF" w:themeFill="background1"/>
            <w:noWrap/>
            <w:vAlign w:val="center"/>
            <w:hideMark/>
          </w:tcPr>
          <w:p w:rsidR="00EC06FD" w:rsidRDefault="00F346DE">
            <w:pPr>
              <w:jc w:val="center"/>
              <w:rPr>
                <w:noProof/>
                <w:sz w:val="20"/>
                <w:szCs w:val="20"/>
              </w:rPr>
            </w:pPr>
            <w:r>
              <w:rPr>
                <w:noProof/>
                <w:sz w:val="20"/>
                <w:szCs w:val="20"/>
              </w:rPr>
              <w:t>1</w:t>
            </w:r>
          </w:p>
        </w:tc>
        <w:tc>
          <w:tcPr>
            <w:tcW w:w="709" w:type="dxa"/>
            <w:shd w:val="clear" w:color="auto" w:fill="FFFFFF" w:themeFill="background1"/>
            <w:vAlign w:val="center"/>
            <w:hideMark/>
          </w:tcPr>
          <w:p w:rsidR="00EC06FD" w:rsidRDefault="00F346DE">
            <w:pPr>
              <w:jc w:val="center"/>
              <w:rPr>
                <w:noProof/>
                <w:sz w:val="20"/>
                <w:szCs w:val="20"/>
              </w:rPr>
            </w:pPr>
            <w:r>
              <w:rPr>
                <w:noProof/>
                <w:sz w:val="20"/>
                <w:szCs w:val="20"/>
              </w:rPr>
              <w:t>2</w:t>
            </w:r>
          </w:p>
        </w:tc>
        <w:tc>
          <w:tcPr>
            <w:tcW w:w="709" w:type="dxa"/>
            <w:shd w:val="clear" w:color="auto" w:fill="FFFFFF" w:themeFill="background1"/>
            <w:vAlign w:val="center"/>
            <w:hideMark/>
          </w:tcPr>
          <w:p w:rsidR="00EC06FD" w:rsidRDefault="00F346DE">
            <w:pPr>
              <w:jc w:val="center"/>
              <w:rPr>
                <w:noProof/>
                <w:sz w:val="20"/>
                <w:szCs w:val="20"/>
              </w:rPr>
            </w:pPr>
            <w:r>
              <w:rPr>
                <w:noProof/>
                <w:sz w:val="20"/>
                <w:szCs w:val="20"/>
              </w:rPr>
              <w:t>1</w:t>
            </w:r>
          </w:p>
        </w:tc>
        <w:tc>
          <w:tcPr>
            <w:tcW w:w="709" w:type="dxa"/>
            <w:shd w:val="clear" w:color="auto" w:fill="FFFFFF" w:themeFill="background1"/>
            <w:vAlign w:val="center"/>
            <w:hideMark/>
          </w:tcPr>
          <w:p w:rsidR="00EC06FD" w:rsidRDefault="00F346DE">
            <w:pPr>
              <w:jc w:val="center"/>
              <w:rPr>
                <w:noProof/>
                <w:sz w:val="20"/>
                <w:szCs w:val="20"/>
              </w:rPr>
            </w:pPr>
            <w:r>
              <w:rPr>
                <w:noProof/>
                <w:sz w:val="20"/>
                <w:szCs w:val="20"/>
              </w:rPr>
              <w:t>1</w:t>
            </w:r>
          </w:p>
        </w:tc>
        <w:tc>
          <w:tcPr>
            <w:tcW w:w="708" w:type="dxa"/>
            <w:shd w:val="clear" w:color="auto" w:fill="FFFFFF" w:themeFill="background1"/>
            <w:vAlign w:val="center"/>
            <w:hideMark/>
          </w:tcPr>
          <w:p w:rsidR="00EC06FD" w:rsidRDefault="00F346DE">
            <w:pPr>
              <w:jc w:val="center"/>
              <w:rPr>
                <w:noProof/>
                <w:sz w:val="20"/>
                <w:szCs w:val="20"/>
              </w:rPr>
            </w:pPr>
            <w:r>
              <w:rPr>
                <w:noProof/>
                <w:sz w:val="20"/>
                <w:szCs w:val="20"/>
              </w:rPr>
              <w:t>5</w:t>
            </w:r>
          </w:p>
        </w:tc>
      </w:tr>
      <w:tr w:rsidR="00EC06FD">
        <w:trPr>
          <w:trHeight w:hRule="exact" w:val="932"/>
          <w:jc w:val="center"/>
        </w:trPr>
        <w:tc>
          <w:tcPr>
            <w:tcW w:w="4114" w:type="dxa"/>
            <w:shd w:val="clear" w:color="auto" w:fill="FFFFFF" w:themeFill="background1"/>
            <w:vAlign w:val="center"/>
          </w:tcPr>
          <w:p w:rsidR="00EC06FD" w:rsidRDefault="00F346DE">
            <w:pPr>
              <w:rPr>
                <w:noProof/>
                <w:sz w:val="20"/>
                <w:szCs w:val="20"/>
              </w:rPr>
            </w:pPr>
            <w:r>
              <w:rPr>
                <w:noProof/>
                <w:sz w:val="20"/>
                <w:szCs w:val="20"/>
              </w:rPr>
              <w:t>The number of researchers having access to research infrastructures through Euratom Programme support</w:t>
            </w:r>
            <w:r>
              <w:rPr>
                <w:noProof/>
                <w:sz w:val="20"/>
                <w:szCs w:val="20"/>
                <w:vertAlign w:val="superscript"/>
              </w:rPr>
              <w:footnoteReference w:id="20"/>
            </w:r>
          </w:p>
        </w:tc>
        <w:tc>
          <w:tcPr>
            <w:tcW w:w="706" w:type="dxa"/>
            <w:shd w:val="clear" w:color="auto" w:fill="FFFFFF" w:themeFill="background1"/>
            <w:noWrap/>
            <w:vAlign w:val="center"/>
            <w:hideMark/>
          </w:tcPr>
          <w:p w:rsidR="00EC06FD" w:rsidRDefault="00F346DE">
            <w:pPr>
              <w:jc w:val="center"/>
              <w:rPr>
                <w:noProof/>
                <w:sz w:val="20"/>
                <w:szCs w:val="20"/>
              </w:rPr>
            </w:pPr>
            <w:r>
              <w:rPr>
                <w:noProof/>
                <w:sz w:val="20"/>
                <w:szCs w:val="20"/>
              </w:rPr>
              <w:t>872</w:t>
            </w:r>
          </w:p>
        </w:tc>
        <w:tc>
          <w:tcPr>
            <w:tcW w:w="709" w:type="dxa"/>
            <w:shd w:val="clear" w:color="auto" w:fill="FFFFFF" w:themeFill="background1"/>
            <w:vAlign w:val="center"/>
            <w:hideMark/>
          </w:tcPr>
          <w:p w:rsidR="00EC06FD" w:rsidRDefault="00F346DE">
            <w:pPr>
              <w:jc w:val="center"/>
              <w:rPr>
                <w:noProof/>
                <w:sz w:val="20"/>
                <w:szCs w:val="20"/>
              </w:rPr>
            </w:pPr>
            <w:r>
              <w:rPr>
                <w:noProof/>
                <w:sz w:val="20"/>
                <w:szCs w:val="20"/>
              </w:rPr>
              <w:t>958</w:t>
            </w:r>
          </w:p>
        </w:tc>
        <w:tc>
          <w:tcPr>
            <w:tcW w:w="709" w:type="dxa"/>
            <w:shd w:val="clear" w:color="auto" w:fill="FFFFFF" w:themeFill="background1"/>
            <w:vAlign w:val="center"/>
            <w:hideMark/>
          </w:tcPr>
          <w:p w:rsidR="00EC06FD" w:rsidRDefault="00F346DE">
            <w:pPr>
              <w:jc w:val="center"/>
              <w:rPr>
                <w:noProof/>
                <w:sz w:val="20"/>
                <w:szCs w:val="20"/>
              </w:rPr>
            </w:pPr>
            <w:r>
              <w:rPr>
                <w:noProof/>
                <w:sz w:val="20"/>
                <w:szCs w:val="20"/>
              </w:rPr>
              <w:t>1039</w:t>
            </w:r>
          </w:p>
        </w:tc>
        <w:tc>
          <w:tcPr>
            <w:tcW w:w="709" w:type="dxa"/>
            <w:shd w:val="clear" w:color="auto" w:fill="FFFFFF" w:themeFill="background1"/>
            <w:vAlign w:val="center"/>
            <w:hideMark/>
          </w:tcPr>
          <w:p w:rsidR="00EC06FD" w:rsidRDefault="00F346DE">
            <w:pPr>
              <w:jc w:val="center"/>
              <w:rPr>
                <w:noProof/>
                <w:sz w:val="20"/>
                <w:szCs w:val="20"/>
              </w:rPr>
            </w:pPr>
            <w:r>
              <w:rPr>
                <w:noProof/>
                <w:sz w:val="20"/>
                <w:szCs w:val="20"/>
              </w:rPr>
              <w:t>n/a</w:t>
            </w:r>
          </w:p>
        </w:tc>
        <w:tc>
          <w:tcPr>
            <w:tcW w:w="708" w:type="dxa"/>
            <w:shd w:val="clear" w:color="auto" w:fill="FFFFFF" w:themeFill="background1"/>
            <w:vAlign w:val="center"/>
            <w:hideMark/>
          </w:tcPr>
          <w:p w:rsidR="00EC06FD" w:rsidRDefault="00F346DE">
            <w:pPr>
              <w:jc w:val="center"/>
              <w:rPr>
                <w:noProof/>
                <w:sz w:val="20"/>
                <w:szCs w:val="20"/>
              </w:rPr>
            </w:pPr>
            <w:r>
              <w:rPr>
                <w:noProof/>
                <w:sz w:val="20"/>
                <w:szCs w:val="20"/>
              </w:rPr>
              <w:t>2869</w:t>
            </w:r>
          </w:p>
        </w:tc>
      </w:tr>
    </w:tbl>
    <w:p w:rsidR="00EC06FD" w:rsidRDefault="00F346DE">
      <w:pPr>
        <w:suppressAutoHyphens/>
        <w:spacing w:line="276" w:lineRule="auto"/>
        <w:jc w:val="center"/>
        <w:rPr>
          <w:noProof/>
          <w:sz w:val="20"/>
        </w:rPr>
      </w:pPr>
      <w:r>
        <w:rPr>
          <w:i/>
          <w:noProof/>
          <w:sz w:val="20"/>
        </w:rPr>
        <w:t>Source: European Commission, EUROfusion annual reports and periodic reports from fission projects</w:t>
      </w:r>
    </w:p>
    <w:p w:rsidR="00EC06FD" w:rsidRDefault="00EC06FD">
      <w:pPr>
        <w:rPr>
          <w:b/>
          <w:noProof/>
        </w:rPr>
      </w:pPr>
    </w:p>
    <w:p w:rsidR="00EC06FD" w:rsidRDefault="00F346DE">
      <w:pPr>
        <w:spacing w:after="200" w:line="276" w:lineRule="auto"/>
        <w:rPr>
          <w:b/>
          <w:smallCaps/>
          <w:noProof/>
          <w:szCs w:val="20"/>
          <w:lang w:eastAsia="en-US"/>
        </w:rPr>
      </w:pPr>
      <w:bookmarkStart w:id="236" w:name="_Toc474513228"/>
      <w:bookmarkStart w:id="237" w:name="_Toc474513376"/>
      <w:bookmarkStart w:id="238" w:name="_Toc474521040"/>
      <w:bookmarkStart w:id="239" w:name="_Toc474531729"/>
      <w:bookmarkStart w:id="240" w:name="_Toc474859282"/>
      <w:bookmarkStart w:id="241" w:name="_Toc474865013"/>
      <w:bookmarkStart w:id="242" w:name="_Toc474919034"/>
      <w:bookmarkStart w:id="243" w:name="_Toc474942461"/>
      <w:bookmarkStart w:id="244" w:name="_Toc474943457"/>
      <w:bookmarkStart w:id="245" w:name="_Toc474945818"/>
      <w:bookmarkStart w:id="246" w:name="_Toc474860749"/>
      <w:bookmarkStart w:id="247" w:name="_Toc474872376"/>
      <w:bookmarkStart w:id="248" w:name="_Toc475011623"/>
      <w:bookmarkStart w:id="249" w:name="_Toc475016270"/>
      <w:bookmarkStart w:id="250" w:name="_Toc475020127"/>
      <w:bookmarkStart w:id="251" w:name="_Toc475022824"/>
      <w:bookmarkStart w:id="252" w:name="_Toc475031266"/>
      <w:bookmarkStart w:id="253" w:name="_Toc475031590"/>
      <w:bookmarkStart w:id="254" w:name="_Toc475031664"/>
      <w:bookmarkStart w:id="255" w:name="_Toc475036600"/>
      <w:bookmarkStart w:id="256" w:name="_Toc475038467"/>
      <w:bookmarkStart w:id="257" w:name="_Toc475041861"/>
      <w:bookmarkStart w:id="258" w:name="_Toc475113637"/>
      <w:bookmarkStart w:id="259" w:name="_Toc475478956"/>
      <w:bookmarkStart w:id="260" w:name="_Toc475546806"/>
      <w:bookmarkStart w:id="261" w:name="_Toc475547938"/>
      <w:r>
        <w:rPr>
          <w:noProof/>
        </w:rPr>
        <w:br w:type="page"/>
      </w:r>
    </w:p>
    <w:p w:rsidR="00EC06FD" w:rsidRDefault="00F346DE">
      <w:pPr>
        <w:pStyle w:val="Heading1"/>
        <w:suppressAutoHyphens/>
        <w:spacing w:line="276" w:lineRule="auto"/>
        <w:rPr>
          <w:noProof/>
        </w:rPr>
      </w:pPr>
      <w:bookmarkStart w:id="262" w:name="_Toc494899779"/>
      <w:r>
        <w:rPr>
          <w:noProof/>
        </w:rPr>
        <w:lastRenderedPageBreak/>
        <w:t>RELEVANCE OF THE EURATOM PROGRAMME</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rsidR="00EC06FD" w:rsidRDefault="00F346DE">
      <w:pPr>
        <w:pStyle w:val="Heading2"/>
        <w:suppressAutoHyphens/>
        <w:spacing w:line="276" w:lineRule="auto"/>
        <w:ind w:left="720"/>
        <w:rPr>
          <w:iCs/>
          <w:noProof/>
        </w:rPr>
      </w:pPr>
      <w:bookmarkStart w:id="263" w:name="_Toc474513229"/>
      <w:bookmarkStart w:id="264" w:name="_Toc474513377"/>
      <w:bookmarkStart w:id="265" w:name="_Toc474521041"/>
      <w:bookmarkStart w:id="266" w:name="_Toc474531730"/>
      <w:bookmarkStart w:id="267" w:name="_Toc474859283"/>
      <w:bookmarkStart w:id="268" w:name="_Toc474865014"/>
      <w:bookmarkStart w:id="269" w:name="_Toc474919035"/>
      <w:bookmarkStart w:id="270" w:name="_Toc474942462"/>
      <w:bookmarkStart w:id="271" w:name="_Toc474943458"/>
      <w:bookmarkStart w:id="272" w:name="_Toc474945819"/>
      <w:bookmarkStart w:id="273" w:name="_Toc474860750"/>
      <w:bookmarkStart w:id="274" w:name="_Toc474872377"/>
      <w:bookmarkStart w:id="275" w:name="_Toc475011624"/>
      <w:bookmarkStart w:id="276" w:name="_Toc475016271"/>
      <w:bookmarkStart w:id="277" w:name="_Toc475020128"/>
      <w:bookmarkStart w:id="278" w:name="_Toc475022825"/>
      <w:bookmarkStart w:id="279" w:name="_Toc475031267"/>
      <w:bookmarkStart w:id="280" w:name="_Toc475031591"/>
      <w:bookmarkStart w:id="281" w:name="_Toc475031665"/>
      <w:bookmarkStart w:id="282" w:name="_Toc475036601"/>
      <w:bookmarkStart w:id="283" w:name="_Toc475038468"/>
      <w:bookmarkStart w:id="284" w:name="_Toc475041862"/>
      <w:bookmarkStart w:id="285" w:name="_Toc475113638"/>
      <w:bookmarkStart w:id="286" w:name="_Toc475478957"/>
      <w:bookmarkStart w:id="287" w:name="_Toc475546807"/>
      <w:bookmarkStart w:id="288" w:name="_Toc475547939"/>
      <w:bookmarkStart w:id="289" w:name="_Toc494899780"/>
      <w:r>
        <w:rPr>
          <w:noProof/>
        </w:rPr>
        <w:t>Is the Euratom Programme tackling the right issues?</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rsidR="00EC06FD" w:rsidRDefault="00F346DE">
      <w:pPr>
        <w:suppressAutoHyphens/>
        <w:spacing w:after="120" w:line="276" w:lineRule="auto"/>
        <w:jc w:val="both"/>
        <w:rPr>
          <w:noProof/>
        </w:rPr>
      </w:pPr>
      <w:r>
        <w:rPr>
          <w:noProof/>
        </w:rPr>
        <w:t xml:space="preserve">The general objective of the Euratom programme in accordance with Council regulation 1314/2013 is to pursue nuclear research and training activities with an emphasis on continuous improvement of nuclear safety, security and radiation protection. </w:t>
      </w:r>
      <w:r>
        <w:rPr>
          <w:b/>
          <w:noProof/>
        </w:rPr>
        <w:t>The scope and objectives of the programme are based on the compromise reached in Council following the Fukushima nuclear accident.</w:t>
      </w:r>
      <w:r>
        <w:rPr>
          <w:noProof/>
        </w:rPr>
        <w:t xml:space="preserve"> The compromise is also reflected in the budget for the fission part of the programme.</w:t>
      </w:r>
    </w:p>
    <w:p w:rsidR="00EC06FD" w:rsidRDefault="00F346DE">
      <w:pPr>
        <w:suppressAutoHyphens/>
        <w:spacing w:after="120" w:line="276" w:lineRule="auto"/>
        <w:jc w:val="both"/>
        <w:rPr>
          <w:noProof/>
        </w:rPr>
      </w:pPr>
      <w:r>
        <w:rPr>
          <w:b/>
          <w:noProof/>
        </w:rPr>
        <w:t>The focus of the fission programme on safety-related issues addresses key societal concerns regarding the use of current nuclear technology, such as operational safety of nuclear power plants and safe disposal of the most hazardous forms of radioactive waste (high-level waste and spent nuclear fuel).</w:t>
      </w:r>
      <w:r>
        <w:rPr>
          <w:noProof/>
        </w:rPr>
        <w:t xml:space="preserve"> Nuclear safety and management of radioactive waste constitute major responsibilities at European level, with important Euratom Directives now in force, and the Euratom Programme complements this policy taking into consideration research agendas of technology platforms such as SNETP (Sustainable Nuclear Energy Technology Platform)</w:t>
      </w:r>
      <w:r>
        <w:rPr>
          <w:rStyle w:val="FootnoteReference"/>
          <w:noProof/>
        </w:rPr>
        <w:footnoteReference w:id="21"/>
      </w:r>
      <w:r>
        <w:rPr>
          <w:noProof/>
        </w:rPr>
        <w:t xml:space="preserve"> and IGDTP (Implementing Geological Disposal Technology Platform)</w:t>
      </w:r>
      <w:r>
        <w:rPr>
          <w:rStyle w:val="FootnoteReference"/>
          <w:noProof/>
        </w:rPr>
        <w:footnoteReference w:id="22"/>
      </w:r>
      <w:r>
        <w:rPr>
          <w:noProof/>
        </w:rPr>
        <w:t xml:space="preserve"> and of initiatives such as NUGENIA (Nuclear Generation II &amp; III Association)</w:t>
      </w:r>
      <w:r>
        <w:rPr>
          <w:rStyle w:val="FootnoteReference"/>
          <w:noProof/>
        </w:rPr>
        <w:footnoteReference w:id="23"/>
      </w:r>
      <w:r>
        <w:rPr>
          <w:noProof/>
        </w:rPr>
        <w:t xml:space="preserve"> and radiation protection research platforms: MELODI (</w:t>
      </w:r>
      <w:r>
        <w:rPr>
          <w:noProof/>
          <w:color w:val="000000"/>
        </w:rPr>
        <w:t>Multidisciplinary European Low-Dose Initiative)</w:t>
      </w:r>
      <w:r>
        <w:rPr>
          <w:rStyle w:val="FootnoteReference"/>
          <w:noProof/>
        </w:rPr>
        <w:footnoteReference w:id="24"/>
      </w:r>
      <w:r>
        <w:rPr>
          <w:noProof/>
        </w:rPr>
        <w:t>, ALLIANCE (</w:t>
      </w:r>
      <w:r>
        <w:rPr>
          <w:noProof/>
          <w:color w:val="000000"/>
        </w:rPr>
        <w:t>European Radioecology Alliance</w:t>
      </w:r>
      <w:r>
        <w:rPr>
          <w:noProof/>
        </w:rPr>
        <w:t>)</w:t>
      </w:r>
      <w:r>
        <w:rPr>
          <w:rStyle w:val="FootnoteReference"/>
          <w:noProof/>
        </w:rPr>
        <w:footnoteReference w:id="25"/>
      </w:r>
      <w:r>
        <w:rPr>
          <w:noProof/>
        </w:rPr>
        <w:t>, NERIS (</w:t>
      </w:r>
      <w:r>
        <w:rPr>
          <w:noProof/>
          <w:color w:val="000000"/>
        </w:rPr>
        <w:t>European Platform on Preparedness for Nuclear and Radiological Emergency Response and Recovery</w:t>
      </w:r>
      <w:r>
        <w:rPr>
          <w:noProof/>
        </w:rPr>
        <w:t>)</w:t>
      </w:r>
      <w:r>
        <w:rPr>
          <w:rStyle w:val="FootnoteReference"/>
          <w:noProof/>
        </w:rPr>
        <w:footnoteReference w:id="26"/>
      </w:r>
      <w:r>
        <w:rPr>
          <w:noProof/>
        </w:rPr>
        <w:t>, EURADOS (</w:t>
      </w:r>
      <w:r>
        <w:rPr>
          <w:noProof/>
          <w:color w:val="000000"/>
        </w:rPr>
        <w:t>European Radiation Dosimetry Group</w:t>
      </w:r>
      <w:r>
        <w:rPr>
          <w:noProof/>
        </w:rPr>
        <w:t>)</w:t>
      </w:r>
      <w:r>
        <w:rPr>
          <w:rStyle w:val="FootnoteReference"/>
          <w:noProof/>
        </w:rPr>
        <w:footnoteReference w:id="27"/>
      </w:r>
      <w:r>
        <w:rPr>
          <w:noProof/>
        </w:rPr>
        <w:t xml:space="preserve"> and EURAMED (</w:t>
      </w:r>
      <w:r>
        <w:rPr>
          <w:noProof/>
          <w:color w:val="000000"/>
        </w:rPr>
        <w:t>European Alliance for Medical Radiation Protection Research</w:t>
      </w:r>
      <w:r>
        <w:rPr>
          <w:noProof/>
        </w:rPr>
        <w:t>)</w:t>
      </w:r>
      <w:r>
        <w:rPr>
          <w:rStyle w:val="FootnoteReference"/>
          <w:noProof/>
        </w:rPr>
        <w:footnoteReference w:id="28"/>
      </w:r>
      <w:r>
        <w:rPr>
          <w:noProof/>
        </w:rPr>
        <w:t>. Some of the projects supported by the Euratom Programme contribute, within the limits of the mandate given by the Council, to achieving the targets defined as part of the SET-Plan (Strategic Energy Technology Plan) process</w:t>
      </w:r>
      <w:r>
        <w:rPr>
          <w:rStyle w:val="FootnoteReference"/>
          <w:noProof/>
        </w:rPr>
        <w:footnoteReference w:id="29"/>
      </w:r>
      <w:r>
        <w:rPr>
          <w:noProof/>
        </w:rPr>
        <w:t>.</w:t>
      </w:r>
    </w:p>
    <w:p w:rsidR="00EC06FD" w:rsidRDefault="00F346DE">
      <w:pPr>
        <w:suppressAutoHyphens/>
        <w:spacing w:after="120" w:line="276" w:lineRule="auto"/>
        <w:jc w:val="both"/>
        <w:rPr>
          <w:iCs/>
          <w:noProof/>
        </w:rPr>
      </w:pPr>
      <w:r>
        <w:rPr>
          <w:b/>
          <w:noProof/>
        </w:rPr>
        <w:t>Outside the power sector, the Euratom Programme is addressing important societal concerns regarding the use of nuclear technologies in general, in particular the use of radiation in medical diagnostic and therapeutic practices</w:t>
      </w:r>
      <w:r>
        <w:rPr>
          <w:noProof/>
        </w:rPr>
        <w:t xml:space="preserve">. Here, the focus is on the effects of low doses of radiation on the human biota. All exposure to ionising radiation carries a potential risk and related health detriment. In normal situations, doses and therefore risks are very low, with no clinically observable tissue effects and no epidemiological evidence of any detriment. Nonetheless, risks may not be zero, and late effects, including cancer in particular, remain possible. This calls for a multidisciplinary approach to radiation protection research, </w:t>
      </w:r>
      <w:r>
        <w:rPr>
          <w:noProof/>
        </w:rPr>
        <w:lastRenderedPageBreak/>
        <w:t>involving genomics, individual radio-sensitivity, and biological, biophysical and epidemiological aspects. This is the heart of the Euratom research programme's strategy in this field. The overall approach to radiation protection has been established over many decades by the International Commission on Radiological Protection (ICRP) and is based on the ALARA principle, i.e. radiation exposures should be 'As Low As Reasonably Achievable'. The need to protect health as well as the environment is also recognised in the Euratom Treaty, in which specific provisions are laid down in Chapter III on 'Health and Safety'. In particular, Article 31 of the Treaty calls for uniform Basic Safety Standards to be established within the EU. Annex I of the Treaty clearly mentions that research on health effects</w:t>
      </w:r>
      <w:r>
        <w:rPr>
          <w:iCs/>
          <w:noProof/>
        </w:rPr>
        <w:t xml:space="preserve"> is within the scope of the Community (i.e. Euratom) research and training programme.</w:t>
      </w:r>
    </w:p>
    <w:p w:rsidR="00EC06FD" w:rsidRDefault="00F346DE">
      <w:pPr>
        <w:pStyle w:val="Heading2"/>
        <w:suppressAutoHyphens/>
        <w:spacing w:before="120" w:line="276" w:lineRule="auto"/>
        <w:ind w:left="720"/>
        <w:rPr>
          <w:noProof/>
        </w:rPr>
      </w:pPr>
      <w:bookmarkStart w:id="290" w:name="_Toc494899781"/>
      <w:r>
        <w:rPr>
          <w:noProof/>
        </w:rPr>
        <w:t>Relevance of Euratom programme in addressing European objectives</w:t>
      </w:r>
      <w:bookmarkEnd w:id="290"/>
    </w:p>
    <w:p w:rsidR="00EC06FD" w:rsidRDefault="00F346DE">
      <w:pPr>
        <w:spacing w:after="120" w:line="276" w:lineRule="auto"/>
        <w:jc w:val="both"/>
        <w:rPr>
          <w:noProof/>
        </w:rPr>
      </w:pPr>
      <w:r>
        <w:rPr>
          <w:noProof/>
        </w:rPr>
        <w:t>The Euratom Programme plays an important role in supporting the implementation of Council Directive 2009/71/Euratom of 25 June 2009, and its revision 2014/87/Euratom, establishing a Community framework for the nuclear safety of nuclear installations, of Council Directive (2011/70/Euratom) of 19 July 2011 establishing a Community framework for the responsible and safe management of spent fuel and radioactive waste, and of Council Directive 2013/59/Euratom laying down basic safety standards for protection against the dangers arising from exposure to ionising radiation.</w:t>
      </w:r>
    </w:p>
    <w:p w:rsidR="00EC06FD" w:rsidRDefault="00F346DE">
      <w:pPr>
        <w:pStyle w:val="Heading2"/>
        <w:suppressAutoHyphens/>
        <w:spacing w:before="120" w:line="276" w:lineRule="auto"/>
        <w:ind w:left="720"/>
        <w:rPr>
          <w:noProof/>
        </w:rPr>
      </w:pPr>
      <w:bookmarkStart w:id="291" w:name="_Toc474591399"/>
      <w:bookmarkStart w:id="292" w:name="_Toc474513237"/>
      <w:bookmarkStart w:id="293" w:name="_Toc474513385"/>
      <w:bookmarkStart w:id="294" w:name="_Toc474521049"/>
      <w:bookmarkStart w:id="295" w:name="_Toc474531738"/>
      <w:bookmarkStart w:id="296" w:name="_Toc474859287"/>
      <w:bookmarkStart w:id="297" w:name="_Toc474865018"/>
      <w:bookmarkStart w:id="298" w:name="_Toc474919039"/>
      <w:bookmarkStart w:id="299" w:name="_Toc474942466"/>
      <w:bookmarkStart w:id="300" w:name="_Toc474943462"/>
      <w:bookmarkStart w:id="301" w:name="_Toc474945823"/>
      <w:bookmarkStart w:id="302" w:name="_Toc474860754"/>
      <w:bookmarkStart w:id="303" w:name="_Toc474872381"/>
      <w:bookmarkStart w:id="304" w:name="_Toc475011628"/>
      <w:bookmarkStart w:id="305" w:name="_Toc475016275"/>
      <w:bookmarkStart w:id="306" w:name="_Toc475020132"/>
      <w:bookmarkStart w:id="307" w:name="_Toc475022829"/>
      <w:bookmarkStart w:id="308" w:name="_Toc475031271"/>
      <w:bookmarkStart w:id="309" w:name="_Toc475031595"/>
      <w:bookmarkStart w:id="310" w:name="_Toc475031669"/>
      <w:bookmarkStart w:id="311" w:name="_Toc475036605"/>
      <w:bookmarkStart w:id="312" w:name="_Toc475038472"/>
      <w:bookmarkStart w:id="313" w:name="_Toc475041866"/>
      <w:bookmarkStart w:id="314" w:name="_Toc475113642"/>
      <w:bookmarkStart w:id="315" w:name="_Toc475478961"/>
      <w:bookmarkStart w:id="316" w:name="_Toc475546811"/>
      <w:bookmarkStart w:id="317" w:name="_Toc475547943"/>
      <w:bookmarkStart w:id="318" w:name="_Toc494899782"/>
      <w:bookmarkEnd w:id="291"/>
      <w:r>
        <w:rPr>
          <w:noProof/>
        </w:rPr>
        <w:t>Is the Euratom Programme responding to stakeholder needs?</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rsidR="00EC06FD" w:rsidRDefault="00F346DE">
      <w:pPr>
        <w:suppressAutoHyphens/>
        <w:spacing w:after="120" w:line="276" w:lineRule="auto"/>
        <w:jc w:val="both"/>
        <w:rPr>
          <w:noProof/>
        </w:rPr>
      </w:pPr>
      <w:r>
        <w:rPr>
          <w:noProof/>
        </w:rPr>
        <w:t>In the case of the fusion programme, the approach adopted is to co-fund a comprehensive joint programme implemented by the EUROfusion consortium of all national fusion labs and institutes in Europe (30 partners in total: three in Germany, one in all other Member States except Luxembourg and Malta, one in Switzerland and, from 1 January 2017, one in Ukraine). In addition, there are also more than 100 linked third parties supported through the co-fund arrangement with EUROfusion. The joint programme is in line with the fusion roadmap to fusion electricity by around the middle of the century</w:t>
      </w:r>
      <w:r>
        <w:rPr>
          <w:rStyle w:val="FootnoteReference"/>
          <w:noProof/>
        </w:rPr>
        <w:footnoteReference w:id="30"/>
      </w:r>
      <w:r>
        <w:rPr>
          <w:noProof/>
        </w:rPr>
        <w:t>, which was originally approved in late 2012 by all European labs as the long-term guiding strategy in the European fusion research effort. This comprehensive and goal-oriented roadmap, and associated joint programme, covers all aspects of the current effort needed to realise fusion energy in a realistic yet ambitious time horizon. It includes joint research, use of shared facilities, mobility of researchers, industrial involvement, education and training, international cooperation, etc. The present focus of the effort is support for the success of ITER, which is the one critical path on roadmap as a whole. To oversee the implementation of the joint programme, EUROfusion has set up a Programme Management Unit (PMU), established in Garching, Germany, and Culham, UK, with some 50 staff, most seconded from the beneficiaries. The head of the PMU, and the person with the key responsibility regarding the implementation of the joint programme, is the Programme Manager, who is appointed by and reports directly to the EUROfusion General Assembly, which is the principal decision-making body and made up of representatives of all the fusion labs involved (the grant beneficiaries).</w:t>
      </w:r>
    </w:p>
    <w:p w:rsidR="00EC06FD" w:rsidRDefault="00F346DE">
      <w:pPr>
        <w:suppressAutoHyphens/>
        <w:spacing w:line="276" w:lineRule="auto"/>
        <w:jc w:val="both"/>
        <w:rPr>
          <w:b/>
          <w:noProof/>
        </w:rPr>
      </w:pPr>
      <w:r>
        <w:rPr>
          <w:noProof/>
        </w:rPr>
        <w:lastRenderedPageBreak/>
        <w:t xml:space="preserve">EUROfusion, and therefore the Euratom programme, is responding to the needs of the European fusion community in this regard. The Euratom contribution to EUROfusion is, under the terms of the Grant Agreement with the Commission, up to 55% of the declared eligible costs of the consortium. In addition, under a bilateral contract with the Culham Centre for Fusion Energy (CCFE,UK – the JET operator) the Commission funds 87.5% of the cost of operation of JET, which is then offered to EUROfusion as an in kind contribution for exploitation by researchers across Europe. </w:t>
      </w:r>
    </w:p>
    <w:p w:rsidR="00EC06FD" w:rsidRDefault="00EC06FD">
      <w:pPr>
        <w:suppressAutoHyphens/>
        <w:spacing w:line="276" w:lineRule="auto"/>
        <w:jc w:val="both"/>
        <w:rPr>
          <w:noProof/>
        </w:rPr>
      </w:pPr>
    </w:p>
    <w:p w:rsidR="00EC06FD" w:rsidRDefault="00F346DE">
      <w:pPr>
        <w:suppressAutoHyphens/>
        <w:spacing w:after="120" w:line="276" w:lineRule="auto"/>
        <w:jc w:val="both"/>
        <w:rPr>
          <w:noProof/>
        </w:rPr>
      </w:pPr>
      <w:r>
        <w:rPr>
          <w:noProof/>
        </w:rPr>
        <w:t>Regarding the 'fission' programme, which is implemented largely by open calls for proposal, m</w:t>
      </w:r>
      <w:r>
        <w:rPr>
          <w:bCs/>
          <w:noProof/>
        </w:rPr>
        <w:t>ore than 80% of the respondents in the recent stakeholder consultation, carried out as part of the interim evaluation of the Euratom Programme 2014-2018, agreed that the frequency of the calls and their clarity were either 'good' or 'very good'. The majority of respondents (67%) also had a positive opinion on the transparency in the process of formulating the Euratom Work Programmes and on the ease of finding the right call topic for their proposal, even though 26% of respondents replied 'poor' or 'very poor' on these aspects.</w:t>
      </w:r>
      <w:r>
        <w:rPr>
          <w:noProof/>
        </w:rPr>
        <w:t xml:space="preserve"> </w:t>
      </w:r>
    </w:p>
    <w:p w:rsidR="00EC06FD" w:rsidRDefault="00F346DE">
      <w:pPr>
        <w:pStyle w:val="Heading2"/>
        <w:suppressAutoHyphens/>
        <w:spacing w:before="120" w:line="276" w:lineRule="auto"/>
        <w:ind w:left="720"/>
        <w:rPr>
          <w:noProof/>
        </w:rPr>
      </w:pPr>
      <w:bookmarkStart w:id="319" w:name="_Toc474513239"/>
      <w:bookmarkStart w:id="320" w:name="_Toc474513387"/>
      <w:bookmarkStart w:id="321" w:name="_Toc474521051"/>
      <w:bookmarkStart w:id="322" w:name="_Toc474531740"/>
      <w:bookmarkStart w:id="323" w:name="_Toc474859289"/>
      <w:bookmarkStart w:id="324" w:name="_Toc474865020"/>
      <w:bookmarkStart w:id="325" w:name="_Toc474919041"/>
      <w:bookmarkStart w:id="326" w:name="_Toc474942468"/>
      <w:bookmarkStart w:id="327" w:name="_Toc474943464"/>
      <w:bookmarkStart w:id="328" w:name="_Toc474945825"/>
      <w:bookmarkStart w:id="329" w:name="_Toc474860756"/>
      <w:bookmarkStart w:id="330" w:name="_Toc474872383"/>
      <w:bookmarkStart w:id="331" w:name="_Toc475011630"/>
      <w:bookmarkStart w:id="332" w:name="_Toc475016277"/>
      <w:bookmarkStart w:id="333" w:name="_Toc475020134"/>
      <w:bookmarkStart w:id="334" w:name="_Toc475022831"/>
      <w:bookmarkStart w:id="335" w:name="_Toc475031273"/>
      <w:bookmarkStart w:id="336" w:name="_Toc475031597"/>
      <w:bookmarkStart w:id="337" w:name="_Toc475031671"/>
      <w:bookmarkStart w:id="338" w:name="_Toc475036607"/>
      <w:bookmarkStart w:id="339" w:name="_Toc475038474"/>
      <w:bookmarkStart w:id="340" w:name="_Toc475041868"/>
      <w:bookmarkStart w:id="341" w:name="_Toc475113644"/>
      <w:bookmarkStart w:id="342" w:name="_Toc475478963"/>
      <w:bookmarkStart w:id="343" w:name="_Toc475546813"/>
      <w:bookmarkStart w:id="344" w:name="_Toc475547945"/>
      <w:bookmarkStart w:id="345" w:name="_Toc494899783"/>
      <w:r>
        <w:rPr>
          <w:noProof/>
        </w:rPr>
        <w:t>Programme attractiveness and take-up</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rsidR="00EC06FD" w:rsidRDefault="00F346DE">
      <w:pPr>
        <w:suppressAutoHyphens/>
        <w:spacing w:line="276" w:lineRule="auto"/>
        <w:jc w:val="both"/>
        <w:rPr>
          <w:noProof/>
        </w:rPr>
      </w:pPr>
      <w:r>
        <w:rPr>
          <w:b/>
          <w:noProof/>
        </w:rPr>
        <w:t>The willingness of all national fusion labs to commit 'own resources' in the implementation of the EUROfusion joint programme indicates the attractiveness and their involvement in the Community joint effort</w:t>
      </w:r>
      <w:r>
        <w:rPr>
          <w:noProof/>
        </w:rPr>
        <w:t>. In total, over the period 2014-2018, 45% of the consortium's budget will be committed from national programmes via EUROfusion beneficiaries to this joint effort. More precise figures will be known only at the end of the programme and following submission of all cost statements. At the start of the programme, and as part of the requirements for the awarding of a European Joint Programme (EJP) co-fund action Grant Agreement with the Commission, respective national fusion research programme 'owners' in Member States (usually at the level of ministries) signed a commitment to make national resources available for this action. Note that these resources are effectively in-kind (manpower, use of research infrastructures) and constitute about one half of the total resources of the joint programme, matched by the financial contribution from Euratom under the terms of the Grant Agreement.</w:t>
      </w:r>
    </w:p>
    <w:p w:rsidR="00EC06FD" w:rsidRDefault="00EC06FD">
      <w:pPr>
        <w:suppressAutoHyphens/>
        <w:spacing w:line="276" w:lineRule="auto"/>
        <w:jc w:val="both"/>
        <w:rPr>
          <w:noProof/>
        </w:rPr>
      </w:pPr>
    </w:p>
    <w:p w:rsidR="0079160C" w:rsidRDefault="00F346DE">
      <w:pPr>
        <w:suppressAutoHyphens/>
        <w:spacing w:line="276" w:lineRule="auto"/>
        <w:jc w:val="both"/>
        <w:rPr>
          <w:noProof/>
        </w:rPr>
      </w:pPr>
      <w:r>
        <w:rPr>
          <w:noProof/>
        </w:rPr>
        <w:t xml:space="preserve">In the 'fission' research, the demand for funds following the open calls is an indication of the value stakeholders attach to the programme. </w:t>
      </w:r>
      <w:r>
        <w:rPr>
          <w:b/>
          <w:noProof/>
        </w:rPr>
        <w:t>Compared to Euratom FP7, the number of proposals submitted to the two fission calls so far in the Euratom Programme 2014-2018 has increased.</w:t>
      </w:r>
      <w:r>
        <w:rPr>
          <w:noProof/>
        </w:rPr>
        <w:t xml:space="preserve"> Whereas FP7 generated around 121 proposals during first three years, as of 1 January 2017 – after three years –139 proposals had been submitted under the Euratom programme 2014-2018. </w:t>
      </w:r>
    </w:p>
    <w:p w:rsidR="0079160C" w:rsidRDefault="0079160C" w:rsidP="0079160C">
      <w:pPr>
        <w:rPr>
          <w:noProof/>
        </w:rPr>
      </w:pPr>
      <w:r>
        <w:rPr>
          <w:noProof/>
        </w:rPr>
        <w:br w:type="page"/>
      </w:r>
    </w:p>
    <w:p w:rsidR="00EC06FD" w:rsidRDefault="00EC06FD">
      <w:pPr>
        <w:suppressAutoHyphens/>
        <w:spacing w:line="276" w:lineRule="auto"/>
        <w:jc w:val="both"/>
        <w:rPr>
          <w:noProof/>
        </w:rPr>
      </w:pPr>
    </w:p>
    <w:tbl>
      <w:tblPr>
        <w:tblStyle w:val="TableGrid"/>
        <w:tblW w:w="8505" w:type="dxa"/>
        <w:jc w:val="center"/>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505"/>
      </w:tblGrid>
      <w:tr w:rsidR="00EC06FD">
        <w:trPr>
          <w:trHeight w:val="346"/>
          <w:jc w:val="center"/>
        </w:trPr>
        <w:tc>
          <w:tcPr>
            <w:tcW w:w="8505" w:type="dxa"/>
            <w:shd w:val="clear" w:color="auto" w:fill="DBE5F1" w:themeFill="accent1" w:themeFillTint="33"/>
            <w:vAlign w:val="center"/>
          </w:tcPr>
          <w:p w:rsidR="00EC06FD" w:rsidRDefault="00F346DE">
            <w:pPr>
              <w:suppressAutoHyphens/>
              <w:spacing w:line="276" w:lineRule="auto"/>
              <w:ind w:left="1877"/>
              <w:jc w:val="both"/>
              <w:rPr>
                <w:rFonts w:asciiTheme="minorHAnsi" w:hAnsiTheme="minorHAnsi"/>
                <w:b/>
                <w:noProof/>
                <w:color w:val="00B0F0"/>
                <w:sz w:val="22"/>
              </w:rPr>
            </w:pPr>
            <w:r>
              <w:rPr>
                <w:b/>
                <w:noProof/>
                <w:color w:val="00B0F0"/>
              </w:rPr>
              <w:drawing>
                <wp:anchor distT="0" distB="0" distL="114300" distR="114300" simplePos="0" relativeHeight="251662336" behindDoc="0" locked="0" layoutInCell="1" allowOverlap="1" wp14:anchorId="3845CBF1" wp14:editId="68ADB69D">
                  <wp:simplePos x="0" y="0"/>
                  <wp:positionH relativeFrom="column">
                    <wp:posOffset>-8890</wp:posOffset>
                  </wp:positionH>
                  <wp:positionV relativeFrom="paragraph">
                    <wp:posOffset>136525</wp:posOffset>
                  </wp:positionV>
                  <wp:extent cx="1322705" cy="3657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2705" cy="365760"/>
                          </a:xfrm>
                          <a:prstGeom prst="rect">
                            <a:avLst/>
                          </a:prstGeom>
                          <a:noFill/>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EC06FD" w:rsidRDefault="00F346DE">
            <w:pPr>
              <w:suppressAutoHyphens/>
              <w:spacing w:line="276" w:lineRule="auto"/>
              <w:ind w:left="2160"/>
              <w:jc w:val="both"/>
              <w:rPr>
                <w:rFonts w:asciiTheme="minorHAnsi" w:hAnsiTheme="minorHAnsi"/>
                <w:b/>
                <w:noProof/>
                <w:color w:val="00B0F0"/>
                <w:sz w:val="22"/>
              </w:rPr>
            </w:pPr>
            <w:r>
              <w:rPr>
                <w:rFonts w:asciiTheme="minorHAnsi" w:hAnsiTheme="minorHAnsi"/>
                <w:b/>
                <w:noProof/>
                <w:color w:val="00B0F0"/>
                <w:sz w:val="22"/>
              </w:rPr>
              <w:t>Public consultation: relevance of the Euratom Programme</w:t>
            </w:r>
          </w:p>
          <w:p w:rsidR="00EC06FD" w:rsidRDefault="00EC06FD">
            <w:pPr>
              <w:suppressAutoHyphens/>
              <w:spacing w:line="276" w:lineRule="auto"/>
              <w:ind w:left="2160"/>
              <w:jc w:val="both"/>
              <w:rPr>
                <w:b/>
                <w:noProof/>
              </w:rPr>
            </w:pPr>
          </w:p>
          <w:p w:rsidR="00EC06FD" w:rsidRDefault="00F346DE">
            <w:pPr>
              <w:suppressAutoHyphens/>
              <w:spacing w:line="276" w:lineRule="auto"/>
              <w:jc w:val="both"/>
              <w:rPr>
                <w:rFonts w:eastAsia="Calibri"/>
                <w:noProof/>
                <w:sz w:val="20"/>
              </w:rPr>
            </w:pPr>
            <w:r>
              <w:rPr>
                <w:rFonts w:eastAsia="Calibri"/>
                <w:b/>
                <w:noProof/>
                <w:sz w:val="20"/>
              </w:rPr>
              <w:t>The opinion of stakeholders regarding the current Euratom programme's relevance is positive: 80% of respondents agreed or strongly agreed that it is relevant</w:t>
            </w:r>
            <w:r>
              <w:rPr>
                <w:rFonts w:eastAsia="Calibri"/>
                <w:noProof/>
                <w:sz w:val="20"/>
              </w:rPr>
              <w:t>. This opinion varies from field to field, showing the strongest support for E&amp;T, waste and safety of existing reactors.</w:t>
            </w:r>
            <w:r>
              <w:rPr>
                <w:rFonts w:eastAsia="Calibri"/>
                <w:noProof/>
                <w:sz w:val="20"/>
              </w:rPr>
              <w:br w:type="page"/>
              <w:t xml:space="preserve"> The main reasons for participating in Euratom Programme are financial support, access to new knowledge and know-how, and unique collaboration opportunities with existing or new European or international partners. Interdisciplinary work and the opportunity to work with other types of actors also stand out. </w:t>
            </w:r>
            <w:bookmarkStart w:id="346" w:name="_Toc474531532"/>
            <w:bookmarkStart w:id="347" w:name="_Toc474531742"/>
            <w:bookmarkStart w:id="348" w:name="_Toc474532782"/>
            <w:bookmarkStart w:id="349" w:name="_Toc474591484"/>
            <w:bookmarkStart w:id="350" w:name="_Toc474513247"/>
            <w:bookmarkStart w:id="351" w:name="_Toc474513395"/>
            <w:bookmarkStart w:id="352" w:name="_Toc474514971"/>
            <w:bookmarkStart w:id="353" w:name="_Toc474519936"/>
            <w:bookmarkStart w:id="354" w:name="_Toc474520073"/>
            <w:bookmarkStart w:id="355" w:name="_Toc474520617"/>
            <w:bookmarkStart w:id="356" w:name="_Toc440276479"/>
            <w:bookmarkStart w:id="357" w:name="_Toc435633347"/>
            <w:bookmarkStart w:id="358" w:name="_Toc474521054"/>
            <w:bookmarkStart w:id="359" w:name="_Toc474521055"/>
            <w:bookmarkStart w:id="360" w:name="_Toc474521056"/>
            <w:bookmarkStart w:id="361" w:name="_Toc474521057"/>
            <w:bookmarkStart w:id="362" w:name="_Toc474521061"/>
            <w:bookmarkStart w:id="363" w:name="_Toc474521062"/>
            <w:bookmarkStart w:id="364" w:name="_Toc474521065"/>
            <w:bookmarkStart w:id="365" w:name="_Toc474521066"/>
            <w:bookmarkStart w:id="366" w:name="_Toc474521068"/>
            <w:bookmarkStart w:id="367" w:name="_Toc474521071"/>
            <w:bookmarkStart w:id="368" w:name="_Toc474521072"/>
            <w:bookmarkStart w:id="369" w:name="_Toc474521074"/>
            <w:bookmarkStart w:id="370" w:name="_Toc474521077"/>
            <w:bookmarkStart w:id="371" w:name="_Toc474521080"/>
            <w:bookmarkStart w:id="372" w:name="_Toc474521081"/>
            <w:bookmarkStart w:id="373" w:name="_Toc474521082"/>
            <w:bookmarkStart w:id="374" w:name="_Toc474521083"/>
            <w:bookmarkStart w:id="375" w:name="_Toc474521084"/>
            <w:bookmarkStart w:id="376" w:name="_Toc474521085"/>
            <w:bookmarkStart w:id="377" w:name="_Toc474521086"/>
            <w:bookmarkStart w:id="378" w:name="_Toc474521087"/>
            <w:bookmarkStart w:id="379" w:name="_Toc474521088"/>
            <w:bookmarkStart w:id="380" w:name="_Toc474521172"/>
            <w:bookmarkStart w:id="381" w:name="_Toc474521173"/>
            <w:bookmarkStart w:id="382" w:name="_Toc474521174"/>
            <w:bookmarkStart w:id="383" w:name="_Toc474521175"/>
            <w:bookmarkStart w:id="384" w:name="_Toc474521176"/>
            <w:bookmarkStart w:id="385" w:name="_Toc474521222"/>
            <w:bookmarkStart w:id="386" w:name="_Toc474521223"/>
            <w:bookmarkStart w:id="387" w:name="_Toc474521227"/>
            <w:bookmarkStart w:id="388" w:name="_Toc474521228"/>
            <w:bookmarkStart w:id="389" w:name="_Toc474521229"/>
            <w:bookmarkStart w:id="390" w:name="_Toc474521232"/>
            <w:bookmarkStart w:id="391" w:name="_Toc474521233"/>
            <w:bookmarkStart w:id="392" w:name="_Toc474521237"/>
            <w:bookmarkStart w:id="393" w:name="_Toc474521238"/>
            <w:bookmarkStart w:id="394" w:name="_Toc474521239"/>
            <w:bookmarkStart w:id="395" w:name="_Toc474521244"/>
            <w:bookmarkStart w:id="396" w:name="_Toc474521245"/>
            <w:bookmarkStart w:id="397" w:name="_Toc474521247"/>
            <w:bookmarkStart w:id="398" w:name="_Toc474521260"/>
            <w:bookmarkStart w:id="399" w:name="_Toc474521284"/>
            <w:bookmarkStart w:id="400" w:name="_Toc474521296"/>
            <w:bookmarkStart w:id="401" w:name="_Toc474521308"/>
            <w:bookmarkStart w:id="402" w:name="_Toc474521310"/>
            <w:bookmarkStart w:id="403" w:name="_Toc474521320"/>
            <w:bookmarkStart w:id="404" w:name="_Toc474521326"/>
            <w:bookmarkStart w:id="405" w:name="_Toc474521332"/>
            <w:bookmarkStart w:id="406" w:name="_Toc474521338"/>
            <w:bookmarkStart w:id="407" w:name="_Toc474521344"/>
            <w:bookmarkStart w:id="408" w:name="_Toc474521350"/>
            <w:bookmarkStart w:id="409" w:name="_Toc474521363"/>
            <w:bookmarkStart w:id="410" w:name="_Toc474521364"/>
            <w:bookmarkStart w:id="411" w:name="_Toc474521365"/>
            <w:bookmarkStart w:id="412" w:name="_Toc474521366"/>
            <w:bookmarkStart w:id="413" w:name="_Toc474521376"/>
            <w:bookmarkStart w:id="414" w:name="_Toc474521377"/>
            <w:bookmarkStart w:id="415" w:name="_Toc474521378"/>
            <w:bookmarkStart w:id="416" w:name="_Toc474521380"/>
            <w:bookmarkStart w:id="417" w:name="_Toc474521381"/>
            <w:bookmarkStart w:id="418" w:name="_Toc474521384"/>
            <w:bookmarkStart w:id="419" w:name="_Toc474521386"/>
            <w:bookmarkStart w:id="420" w:name="_Toc474521387"/>
            <w:bookmarkStart w:id="421" w:name="_Toc474521389"/>
            <w:bookmarkStart w:id="422" w:name="_Toc474521391"/>
            <w:bookmarkStart w:id="423" w:name="_Toc474521393"/>
            <w:bookmarkStart w:id="424" w:name="_Toc474521395"/>
            <w:bookmarkStart w:id="425" w:name="_Toc474521397"/>
            <w:bookmarkStart w:id="426" w:name="_Toc474521398"/>
            <w:bookmarkStart w:id="427" w:name="_Toc474521399"/>
            <w:bookmarkStart w:id="428" w:name="_Toc474521401"/>
            <w:bookmarkStart w:id="429" w:name="_Toc474521403"/>
            <w:bookmarkStart w:id="430" w:name="_Toc474521435"/>
            <w:bookmarkStart w:id="431" w:name="_Toc474521462"/>
            <w:bookmarkStart w:id="432" w:name="_Toc474521463"/>
            <w:bookmarkStart w:id="433" w:name="_Toc474521465"/>
            <w:bookmarkStart w:id="434" w:name="_Toc474521466"/>
            <w:bookmarkStart w:id="435" w:name="_Toc474521467"/>
            <w:bookmarkStart w:id="436" w:name="_Toc474521469"/>
            <w:bookmarkStart w:id="437" w:name="_Toc474521478"/>
            <w:bookmarkStart w:id="438" w:name="_Toc474521479"/>
            <w:bookmarkStart w:id="439" w:name="_Toc474521484"/>
            <w:bookmarkStart w:id="440" w:name="_Toc474521485"/>
            <w:bookmarkStart w:id="441" w:name="_Toc474521493"/>
            <w:bookmarkStart w:id="442" w:name="_Toc474521499"/>
            <w:bookmarkStart w:id="443" w:name="_Toc474521569"/>
            <w:bookmarkStart w:id="444" w:name="_Toc474521570"/>
            <w:bookmarkStart w:id="445" w:name="_Toc474521573"/>
            <w:bookmarkStart w:id="446" w:name="_Toc474521575"/>
            <w:bookmarkStart w:id="447" w:name="_Toc474521578"/>
            <w:bookmarkStart w:id="448" w:name="_Toc474521598"/>
            <w:bookmarkStart w:id="449" w:name="_Toc474521600"/>
            <w:bookmarkStart w:id="450" w:name="_Toc474521607"/>
            <w:bookmarkStart w:id="451" w:name="_Toc474521827"/>
            <w:bookmarkStart w:id="452" w:name="_Toc474521833"/>
            <w:bookmarkStart w:id="453" w:name="_Toc474521836"/>
            <w:bookmarkStart w:id="454" w:name="_Toc474521838"/>
            <w:bookmarkStart w:id="455" w:name="_Toc474521839"/>
            <w:bookmarkStart w:id="456" w:name="_Toc474521842"/>
            <w:bookmarkStart w:id="457" w:name="_Toc474521845"/>
            <w:bookmarkStart w:id="458" w:name="_Toc474521848"/>
            <w:bookmarkStart w:id="459" w:name="_Toc474521850"/>
            <w:bookmarkStart w:id="460" w:name="_Toc474521851"/>
            <w:bookmarkStart w:id="461" w:name="_Toc474521852"/>
            <w:bookmarkStart w:id="462" w:name="_Toc474521853"/>
            <w:bookmarkStart w:id="463" w:name="_Toc474521858"/>
            <w:bookmarkStart w:id="464" w:name="_Toc474522021"/>
            <w:bookmarkStart w:id="465" w:name="_Toc474522022"/>
            <w:bookmarkStart w:id="466" w:name="_Toc474522023"/>
            <w:bookmarkStart w:id="467" w:name="_Toc474522025"/>
            <w:bookmarkStart w:id="468" w:name="_Toc474522026"/>
            <w:bookmarkStart w:id="469" w:name="_Toc474522028"/>
            <w:bookmarkStart w:id="470" w:name="_Toc474522029"/>
            <w:bookmarkStart w:id="471" w:name="_Toc474522031"/>
            <w:bookmarkStart w:id="472" w:name="_Toc474522033"/>
            <w:bookmarkStart w:id="473" w:name="_Toc474522035"/>
            <w:bookmarkStart w:id="474" w:name="_Toc474522037"/>
            <w:bookmarkStart w:id="475" w:name="_Toc474522039"/>
            <w:bookmarkStart w:id="476" w:name="_Toc474522041"/>
            <w:bookmarkStart w:id="477" w:name="_Toc474522043"/>
            <w:bookmarkStart w:id="478" w:name="_Toc474522044"/>
            <w:bookmarkStart w:id="479" w:name="_Toc474522045"/>
            <w:bookmarkStart w:id="480" w:name="_Toc474522046"/>
            <w:bookmarkStart w:id="481" w:name="_Toc474522047"/>
            <w:bookmarkStart w:id="482" w:name="_Toc474522048"/>
            <w:bookmarkStart w:id="483" w:name="_Toc474522049"/>
            <w:bookmarkStart w:id="484" w:name="_Toc474522050"/>
            <w:bookmarkStart w:id="485" w:name="_Toc474522053"/>
            <w:bookmarkStart w:id="486" w:name="_Toc474522054"/>
            <w:bookmarkStart w:id="487" w:name="_Toc474522055"/>
            <w:bookmarkStart w:id="488" w:name="_Toc474522056"/>
            <w:bookmarkStart w:id="489" w:name="_Toc474522057"/>
            <w:bookmarkStart w:id="490" w:name="_Toc474522059"/>
            <w:bookmarkStart w:id="491" w:name="_Toc474522062"/>
            <w:bookmarkStart w:id="492" w:name="_Toc474522063"/>
            <w:bookmarkStart w:id="493" w:name="_Toc474522064"/>
            <w:bookmarkStart w:id="494" w:name="_Toc474522069"/>
            <w:bookmarkStart w:id="495" w:name="_Toc474522070"/>
            <w:bookmarkStart w:id="496" w:name="_Toc474522072"/>
            <w:bookmarkStart w:id="497" w:name="_Toc474522073"/>
            <w:bookmarkStart w:id="498" w:name="_Toc474522074"/>
            <w:bookmarkStart w:id="499" w:name="_Toc474522075"/>
            <w:bookmarkStart w:id="500" w:name="_Toc474522077"/>
            <w:bookmarkStart w:id="501" w:name="_Toc474522079"/>
            <w:bookmarkStart w:id="502" w:name="_Toc474522097"/>
            <w:bookmarkStart w:id="503" w:name="_Toc474522102"/>
            <w:bookmarkStart w:id="504" w:name="_Toc474522104"/>
            <w:bookmarkStart w:id="505" w:name="_Toc474522105"/>
            <w:bookmarkStart w:id="506" w:name="_Toc474522106"/>
            <w:bookmarkStart w:id="507" w:name="_Toc474522110"/>
            <w:bookmarkStart w:id="508" w:name="_Toc474522113"/>
            <w:bookmarkStart w:id="509" w:name="_Toc474522114"/>
            <w:bookmarkStart w:id="510" w:name="_Toc474522115"/>
            <w:bookmarkStart w:id="511" w:name="_Toc474522116"/>
            <w:bookmarkStart w:id="512" w:name="_Toc474522117"/>
            <w:bookmarkStart w:id="513" w:name="_Toc474522118"/>
            <w:bookmarkStart w:id="514" w:name="_Toc474522121"/>
            <w:bookmarkStart w:id="515" w:name="_Toc474522129"/>
            <w:bookmarkStart w:id="516" w:name="_Toc474522135"/>
            <w:bookmarkStart w:id="517" w:name="_Toc474522152"/>
            <w:bookmarkStart w:id="518" w:name="_Toc474522164"/>
            <w:bookmarkStart w:id="519" w:name="_Toc474522170"/>
            <w:bookmarkStart w:id="520" w:name="_Toc474522171"/>
            <w:bookmarkStart w:id="521" w:name="_Toc474522222"/>
            <w:bookmarkStart w:id="522" w:name="_Toc474522223"/>
            <w:bookmarkStart w:id="523" w:name="_Toc474522225"/>
            <w:bookmarkStart w:id="524" w:name="_Toc474522236"/>
            <w:bookmarkStart w:id="525" w:name="_Toc474522241"/>
            <w:bookmarkStart w:id="526" w:name="_Toc474522246"/>
            <w:bookmarkStart w:id="527" w:name="_Toc474522251"/>
            <w:bookmarkStart w:id="528" w:name="_Toc474522256"/>
            <w:bookmarkStart w:id="529" w:name="_Toc474522261"/>
            <w:bookmarkStart w:id="530" w:name="_Toc474522273"/>
            <w:bookmarkStart w:id="531" w:name="_Toc474522283"/>
            <w:bookmarkStart w:id="532" w:name="_Toc474522288"/>
            <w:bookmarkStart w:id="533" w:name="_Toc474522293"/>
            <w:bookmarkStart w:id="534" w:name="_Toc474522298"/>
            <w:bookmarkStart w:id="535" w:name="_Toc474522303"/>
            <w:bookmarkStart w:id="536" w:name="_Toc474522316"/>
            <w:bookmarkStart w:id="537" w:name="_Toc474522329"/>
            <w:bookmarkStart w:id="538" w:name="_Toc474522334"/>
            <w:bookmarkStart w:id="539" w:name="_Toc474522339"/>
            <w:bookmarkStart w:id="540" w:name="_Toc474522344"/>
            <w:bookmarkStart w:id="541" w:name="_Toc474522349"/>
            <w:bookmarkStart w:id="542" w:name="_Toc474522354"/>
            <w:bookmarkStart w:id="543" w:name="_Toc474522355"/>
            <w:bookmarkStart w:id="544" w:name="_Toc474522358"/>
            <w:bookmarkStart w:id="545" w:name="_Toc474522359"/>
            <w:bookmarkStart w:id="546" w:name="_Toc474522362"/>
            <w:bookmarkStart w:id="547" w:name="_Toc474522363"/>
            <w:bookmarkStart w:id="548" w:name="_Toc474522364"/>
            <w:bookmarkStart w:id="549" w:name="_Toc474522367"/>
            <w:bookmarkStart w:id="550" w:name="_Toc474522368"/>
            <w:bookmarkStart w:id="551" w:name="_Toc474522370"/>
            <w:bookmarkStart w:id="552" w:name="_Toc474522372"/>
            <w:bookmarkStart w:id="553" w:name="_Toc474522375"/>
            <w:bookmarkStart w:id="554" w:name="_Toc474522383"/>
            <w:bookmarkStart w:id="555" w:name="_Toc474522388"/>
            <w:bookmarkStart w:id="556" w:name="_Toc474522405"/>
            <w:bookmarkStart w:id="557" w:name="_Toc474522407"/>
            <w:bookmarkStart w:id="558" w:name="_Toc474522426"/>
            <w:bookmarkStart w:id="559" w:name="_Toc474522443"/>
            <w:bookmarkStart w:id="560" w:name="_Toc474522448"/>
            <w:bookmarkStart w:id="561" w:name="_Toc474522450"/>
            <w:bookmarkStart w:id="562" w:name="_Toc474522455"/>
            <w:bookmarkStart w:id="563" w:name="_Toc474522456"/>
            <w:bookmarkStart w:id="564" w:name="_Toc474522457"/>
            <w:bookmarkStart w:id="565" w:name="_Toc474522459"/>
            <w:bookmarkStart w:id="566" w:name="_Toc474522461"/>
            <w:bookmarkStart w:id="567" w:name="_Toc474522464"/>
            <w:bookmarkStart w:id="568" w:name="_Toc474522465"/>
            <w:bookmarkStart w:id="569" w:name="_Toc474522466"/>
            <w:bookmarkStart w:id="570" w:name="_Toc474522467"/>
            <w:bookmarkStart w:id="571" w:name="_Toc474522468"/>
            <w:bookmarkStart w:id="572" w:name="_Toc474522469"/>
            <w:bookmarkStart w:id="573" w:name="_Toc474522470"/>
            <w:bookmarkStart w:id="574" w:name="_Toc474522471"/>
            <w:bookmarkStart w:id="575" w:name="_Toc474522474"/>
            <w:bookmarkStart w:id="576" w:name="_Toc474522476"/>
            <w:bookmarkStart w:id="577" w:name="_Toc474522478"/>
            <w:bookmarkStart w:id="578" w:name="_Toc474522479"/>
            <w:bookmarkStart w:id="579" w:name="_Toc474522485"/>
            <w:bookmarkStart w:id="580" w:name="_Toc474522491"/>
            <w:bookmarkStart w:id="581" w:name="_Toc474522492"/>
            <w:bookmarkStart w:id="582" w:name="_Toc474522494"/>
            <w:bookmarkStart w:id="583" w:name="_Toc474522495"/>
            <w:bookmarkStart w:id="584" w:name="_Toc474522496"/>
            <w:bookmarkStart w:id="585" w:name="_Toc474522497"/>
            <w:bookmarkStart w:id="586" w:name="_Toc474522498"/>
            <w:bookmarkStart w:id="587" w:name="_Toc474522503"/>
            <w:bookmarkStart w:id="588" w:name="_Toc474522508"/>
            <w:bookmarkStart w:id="589" w:name="_Toc474522509"/>
            <w:bookmarkStart w:id="590" w:name="_Toc474522517"/>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tc>
      </w:tr>
    </w:tbl>
    <w:p w:rsidR="00EC06FD" w:rsidRDefault="00EC06FD">
      <w:pPr>
        <w:suppressAutoHyphens/>
        <w:spacing w:line="276" w:lineRule="auto"/>
        <w:jc w:val="both"/>
        <w:rPr>
          <w:noProof/>
        </w:rPr>
      </w:pPr>
    </w:p>
    <w:p w:rsidR="00EC06FD" w:rsidRDefault="00F346DE">
      <w:pPr>
        <w:pStyle w:val="Heading2"/>
        <w:suppressAutoHyphens/>
        <w:spacing w:before="120" w:line="276" w:lineRule="auto"/>
        <w:ind w:left="720"/>
        <w:rPr>
          <w:noProof/>
        </w:rPr>
      </w:pPr>
      <w:bookmarkStart w:id="591" w:name="_Toc494899784"/>
      <w:bookmarkStart w:id="592" w:name="_Toc474591485"/>
      <w:bookmarkStart w:id="593" w:name="_Toc474919043"/>
      <w:bookmarkStart w:id="594" w:name="_Toc474942470"/>
      <w:bookmarkStart w:id="595" w:name="_Toc474943466"/>
      <w:bookmarkStart w:id="596" w:name="_Toc474945827"/>
      <w:bookmarkStart w:id="597" w:name="_Toc474860758"/>
      <w:bookmarkStart w:id="598" w:name="_Toc474872385"/>
      <w:bookmarkStart w:id="599" w:name="_Toc475011632"/>
      <w:bookmarkStart w:id="600" w:name="_Toc475016279"/>
      <w:bookmarkStart w:id="601" w:name="_Toc475020136"/>
      <w:bookmarkStart w:id="602" w:name="_Toc475022833"/>
      <w:bookmarkStart w:id="603" w:name="_Toc475031275"/>
      <w:bookmarkStart w:id="604" w:name="_Toc475031599"/>
      <w:bookmarkStart w:id="605" w:name="_Toc475031673"/>
      <w:bookmarkStart w:id="606" w:name="_Toc475036609"/>
      <w:bookmarkStart w:id="607" w:name="_Toc475038476"/>
      <w:bookmarkStart w:id="608" w:name="_Toc475041870"/>
      <w:bookmarkStart w:id="609" w:name="_Toc475113646"/>
      <w:bookmarkStart w:id="610" w:name="_Toc475478965"/>
      <w:bookmarkStart w:id="611" w:name="_Toc475546815"/>
      <w:bookmarkStart w:id="612" w:name="_Toc475547947"/>
      <w:bookmarkStart w:id="613" w:name="_Toc474513257"/>
      <w:bookmarkStart w:id="614" w:name="_Toc474513405"/>
      <w:bookmarkStart w:id="615" w:name="_Toc474522518"/>
      <w:bookmarkStart w:id="616" w:name="_Toc474531743"/>
      <w:bookmarkStart w:id="617" w:name="_Toc474859291"/>
      <w:bookmarkStart w:id="618" w:name="_Toc474865022"/>
      <w:r>
        <w:rPr>
          <w:noProof/>
        </w:rPr>
        <w:t>End-users in the Euratom research and training programme</w:t>
      </w:r>
      <w:bookmarkEnd w:id="591"/>
    </w:p>
    <w:p w:rsidR="00EC06FD" w:rsidRDefault="00F346DE">
      <w:pPr>
        <w:pStyle w:val="Text2"/>
        <w:spacing w:line="276" w:lineRule="auto"/>
        <w:ind w:left="0"/>
        <w:rPr>
          <w:noProof/>
        </w:rPr>
      </w:pPr>
      <w:r>
        <w:rPr>
          <w:b/>
          <w:noProof/>
        </w:rPr>
        <w:t>Euratom programme attracts a substantial number of end-users of fission research. For 2014-2015, approximately 45% of participants were recognised end-users</w:t>
      </w:r>
      <w:r>
        <w:rPr>
          <w:rStyle w:val="FootnoteReference"/>
          <w:b/>
          <w:noProof/>
        </w:rPr>
        <w:footnoteReference w:id="31"/>
      </w:r>
      <w:r>
        <w:rPr>
          <w:b/>
          <w:noProof/>
        </w:rPr>
        <w:t xml:space="preserve">. </w:t>
      </w:r>
      <w:r>
        <w:rPr>
          <w:noProof/>
        </w:rPr>
        <w:t>For the purpose of the interim evaluation, three categories of end users have been identified</w:t>
      </w:r>
      <w:r>
        <w:rPr>
          <w:rStyle w:val="FootnoteReference"/>
          <w:noProof/>
        </w:rPr>
        <w:footnoteReference w:id="32"/>
      </w:r>
      <w:r>
        <w:rPr>
          <w:noProof/>
        </w:rPr>
        <w:t xml:space="preserve"> (see figure 3):</w:t>
      </w:r>
    </w:p>
    <w:p w:rsidR="00EC06FD" w:rsidRDefault="00EC06FD">
      <w:pPr>
        <w:spacing w:after="200" w:line="276" w:lineRule="auto"/>
        <w:rPr>
          <w:rFonts w:cs="Arial"/>
          <w:b/>
          <w:noProof/>
          <w:szCs w:val="20"/>
          <w:lang w:eastAsia="en-US"/>
        </w:rPr>
      </w:pPr>
    </w:p>
    <w:p w:rsidR="00EC06FD" w:rsidRDefault="00F346DE">
      <w:pPr>
        <w:pStyle w:val="Caption"/>
        <w:ind w:left="360"/>
        <w:jc w:val="center"/>
        <w:rPr>
          <w:rFonts w:cs="Arial"/>
          <w:noProof/>
          <w:sz w:val="22"/>
        </w:rPr>
      </w:pPr>
      <w:r>
        <w:rPr>
          <w:rFonts w:cs="Arial"/>
          <w:noProof/>
          <w:sz w:val="22"/>
        </w:rPr>
        <w:t>Figure 3: Mapping of end-users in Euratom projects</w:t>
      </w:r>
    </w:p>
    <w:p w:rsidR="00EC06FD" w:rsidRDefault="00F346DE">
      <w:pPr>
        <w:pStyle w:val="Text2"/>
        <w:ind w:left="0"/>
        <w:jc w:val="center"/>
        <w:rPr>
          <w:noProof/>
        </w:rPr>
      </w:pPr>
      <w:r>
        <w:rPr>
          <w:noProof/>
          <w:lang w:eastAsia="en-GB"/>
        </w:rPr>
        <w:drawing>
          <wp:inline distT="0" distB="0" distL="0" distR="0" wp14:anchorId="6B438B9C" wp14:editId="194FD310">
            <wp:extent cx="4994694" cy="2894031"/>
            <wp:effectExtent l="0" t="0" r="0" b="190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03644" cy="2899217"/>
                    </a:xfrm>
                    <a:prstGeom prst="rect">
                      <a:avLst/>
                    </a:prstGeom>
                    <a:noFill/>
                  </pic:spPr>
                </pic:pic>
              </a:graphicData>
            </a:graphic>
          </wp:inline>
        </w:drawing>
      </w:r>
    </w:p>
    <w:p w:rsidR="00EC06FD" w:rsidRDefault="00F346DE">
      <w:pPr>
        <w:pStyle w:val="Text3"/>
        <w:spacing w:after="120"/>
        <w:ind w:left="720"/>
        <w:rPr>
          <w:i/>
          <w:noProof/>
        </w:rPr>
      </w:pPr>
      <w:r>
        <w:rPr>
          <w:i/>
          <w:noProof/>
          <w:sz w:val="20"/>
        </w:rPr>
        <w:t>Source: European Commission</w:t>
      </w:r>
    </w:p>
    <w:p w:rsidR="00EC06FD" w:rsidRDefault="00EC06FD">
      <w:pPr>
        <w:pStyle w:val="Text2"/>
        <w:ind w:left="0"/>
        <w:jc w:val="center"/>
        <w:rPr>
          <w:noProof/>
        </w:rPr>
      </w:pPr>
    </w:p>
    <w:p w:rsidR="00EC06FD" w:rsidRDefault="00F346DE">
      <w:pPr>
        <w:pStyle w:val="ListParagraph"/>
        <w:numPr>
          <w:ilvl w:val="0"/>
          <w:numId w:val="31"/>
        </w:numPr>
        <w:suppressAutoHyphens/>
        <w:spacing w:line="276" w:lineRule="auto"/>
        <w:rPr>
          <w:noProof/>
        </w:rPr>
      </w:pPr>
      <w:r>
        <w:rPr>
          <w:b/>
          <w:noProof/>
        </w:rPr>
        <w:t>Next-users:</w:t>
      </w:r>
      <w:r>
        <w:rPr>
          <w:noProof/>
        </w:rPr>
        <w:t xml:space="preserve"> Rarely will a single Euratom project lead to breakthrough discoveries and the development of products or knowledge mature enough to pass on to the next echelon of user. In reality, the immediate end-users (‘next’ user) of the project results will be the </w:t>
      </w:r>
      <w:r>
        <w:rPr>
          <w:noProof/>
        </w:rPr>
        <w:lastRenderedPageBreak/>
        <w:t xml:space="preserve">same community of research centres and universities engaged in work on a given topic. Indeed, Euratom projects have demonstrated an ability to maintain coherence across time, with projects often building on the results of previous projects. These clusters of projects, over decades, produce increasingly mature knowledge that may eventually be transferred to intermediate or final end-users. The presence of final and intermediate end-users in these projects is often peripheral and focused on providing strategic input to help ensure that the direction of research remains relevant to the ultimate needs of these actors. </w:t>
      </w:r>
    </w:p>
    <w:p w:rsidR="00EC06FD" w:rsidRDefault="00F346DE">
      <w:pPr>
        <w:pStyle w:val="ListParagraph"/>
        <w:numPr>
          <w:ilvl w:val="0"/>
          <w:numId w:val="31"/>
        </w:numPr>
        <w:suppressAutoHyphens/>
        <w:spacing w:line="276" w:lineRule="auto"/>
        <w:rPr>
          <w:noProof/>
        </w:rPr>
      </w:pPr>
      <w:r>
        <w:rPr>
          <w:b/>
          <w:noProof/>
        </w:rPr>
        <w:t>Intermediate end-users:</w:t>
      </w:r>
      <w:r>
        <w:rPr>
          <w:noProof/>
        </w:rPr>
        <w:t xml:space="preserve"> This group of actors is a critical link in the chain between the research community and the final-end-users. As with the user of a mass consumer electronic, the final end-users in the nuclear sector do not have extensive technical knowledge of the products and knowledge (e.g. standards, procedures) they employ. They cannot build them from scratch, nor can they operate them without the support of a wide array of actors. These are intermediate end-users that are responsible for developing the underlying technology on an industrial scale, building the components of NPPs and other nuclear technologies (e.g. CT scanner), elaborating the regulatory frameworks for their use, and providing the final end-users with the technical support necessary to safely exploit nuclear technologies. The nuclear vendors that build reactors and other nuclear technologies, the regulators that set the ground rules for their use and the Technical Safety Organisations and other specialized firms that assist final end-users represent veritable end-users in themselves to a large extent.</w:t>
      </w:r>
    </w:p>
    <w:p w:rsidR="00EC06FD" w:rsidRDefault="00F346DE">
      <w:pPr>
        <w:pStyle w:val="ListParagraph"/>
        <w:numPr>
          <w:ilvl w:val="0"/>
          <w:numId w:val="31"/>
        </w:numPr>
        <w:suppressAutoHyphens/>
        <w:spacing w:line="276" w:lineRule="auto"/>
        <w:rPr>
          <w:noProof/>
        </w:rPr>
      </w:pPr>
      <w:r>
        <w:rPr>
          <w:b/>
          <w:noProof/>
        </w:rPr>
        <w:t xml:space="preserve">Final end-user: </w:t>
      </w:r>
      <w:r>
        <w:rPr>
          <w:noProof/>
        </w:rPr>
        <w:t xml:space="preserve">The final end-users are the actors that ultimately exploit nuclear technologies. In the field of reactor systems, this includes NPP operators and, to a certain extent regulators in their inspection and enforcement capacities. In terms of waste management, this includes waste management operators (public and private) and fuel manufacturers (P&amp;T). Finally, in the field of radiation protection, this includes regulators, service providers (often regulators) and the medical community. End-users can be both organisations and individuals. The level of granularity can be an important consideration that will not be the same, for example, whilst developing a new reactor technology and developing a training module on nuclear safety. In a broader sense, it is important to also remember that society itself, which benefits from the safe operation of sustainable nuclear technologies, is always the final end-user. </w:t>
      </w:r>
    </w:p>
    <w:p w:rsidR="00EC06FD" w:rsidRDefault="00F346DE">
      <w:pPr>
        <w:spacing w:line="276" w:lineRule="auto"/>
        <w:jc w:val="both"/>
        <w:rPr>
          <w:noProof/>
        </w:rPr>
      </w:pPr>
      <w:r>
        <w:rPr>
          <w:noProof/>
        </w:rPr>
        <w:t xml:space="preserve">Looking at the evolution of participation over time during Euratom FP7 and the first three years of the current Euratom programme, there is a slight upward trend (see figure 4). However, the number can vary considerably by year depending on the number and type of projects launched in a given year. For the 2014-18 programme, the picture appears to be largely the same as FP7, with approximately 45% of participants being either final or intermediate end-users during the period 2014-16. </w:t>
      </w:r>
    </w:p>
    <w:p w:rsidR="00EC06FD" w:rsidRDefault="00EC06FD">
      <w:pPr>
        <w:pStyle w:val="Text2"/>
        <w:spacing w:line="276" w:lineRule="auto"/>
        <w:ind w:left="0"/>
        <w:rPr>
          <w:rFonts w:cs="Arial"/>
          <w:noProof/>
        </w:rPr>
      </w:pPr>
    </w:p>
    <w:p w:rsidR="00EC06FD" w:rsidRDefault="00F346DE">
      <w:pPr>
        <w:spacing w:after="200" w:line="276" w:lineRule="auto"/>
        <w:rPr>
          <w:rFonts w:cs="Arial"/>
          <w:b/>
          <w:noProof/>
          <w:sz w:val="22"/>
          <w:szCs w:val="20"/>
          <w:lang w:eastAsia="en-US"/>
        </w:rPr>
      </w:pPr>
      <w:r>
        <w:rPr>
          <w:rFonts w:cs="Arial"/>
          <w:b/>
          <w:noProof/>
          <w:sz w:val="22"/>
        </w:rPr>
        <w:br w:type="page"/>
      </w:r>
    </w:p>
    <w:p w:rsidR="00EC06FD" w:rsidRDefault="00F346DE">
      <w:pPr>
        <w:pStyle w:val="Text2"/>
        <w:ind w:left="0"/>
        <w:jc w:val="center"/>
        <w:rPr>
          <w:b/>
          <w:noProof/>
          <w:sz w:val="22"/>
        </w:rPr>
      </w:pPr>
      <w:r>
        <w:rPr>
          <w:rFonts w:cs="Arial"/>
          <w:b/>
          <w:noProof/>
          <w:sz w:val="22"/>
        </w:rPr>
        <w:lastRenderedPageBreak/>
        <w:t>Figure 4: Evolution of the participation of final and intermediate end-users</w:t>
      </w:r>
    </w:p>
    <w:p w:rsidR="00EC06FD" w:rsidRDefault="00F346DE">
      <w:pPr>
        <w:pStyle w:val="Text2"/>
        <w:ind w:left="0"/>
        <w:jc w:val="center"/>
        <w:rPr>
          <w:noProof/>
        </w:rPr>
      </w:pPr>
      <w:r>
        <w:rPr>
          <w:noProof/>
          <w:lang w:eastAsia="en-GB"/>
        </w:rPr>
        <w:drawing>
          <wp:inline distT="0" distB="0" distL="0" distR="0" wp14:anchorId="2660DC2A" wp14:editId="6CEAF871">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C06FD" w:rsidRDefault="00F346DE">
      <w:pPr>
        <w:pStyle w:val="Text3"/>
        <w:spacing w:after="120"/>
        <w:ind w:left="720"/>
        <w:rPr>
          <w:i/>
          <w:noProof/>
          <w:sz w:val="20"/>
        </w:rPr>
      </w:pPr>
      <w:r>
        <w:rPr>
          <w:i/>
          <w:noProof/>
          <w:sz w:val="20"/>
        </w:rPr>
        <w:t xml:space="preserve">Source: European Commission </w:t>
      </w:r>
    </w:p>
    <w:p w:rsidR="00EC06FD" w:rsidRDefault="00EC06FD">
      <w:pPr>
        <w:suppressAutoHyphens/>
        <w:spacing w:line="276" w:lineRule="auto"/>
        <w:jc w:val="both"/>
        <w:rPr>
          <w:b/>
          <w:smallCaps/>
          <w:noProof/>
          <w:szCs w:val="20"/>
          <w:lang w:eastAsia="en-US"/>
        </w:rPr>
      </w:pPr>
    </w:p>
    <w:p w:rsidR="00EC06FD" w:rsidRDefault="00F346DE">
      <w:pPr>
        <w:pStyle w:val="Heading2"/>
        <w:suppressAutoHyphens/>
        <w:spacing w:before="120" w:line="276" w:lineRule="auto"/>
        <w:ind w:left="720"/>
        <w:rPr>
          <w:noProof/>
        </w:rPr>
      </w:pPr>
      <w:bookmarkStart w:id="619" w:name="_Toc494899785"/>
      <w:r>
        <w:rPr>
          <w:noProof/>
        </w:rPr>
        <w:t>Geographical dimensions</w:t>
      </w:r>
      <w:bookmarkEnd w:id="619"/>
    </w:p>
    <w:p w:rsidR="00EC06FD" w:rsidRDefault="00F346DE">
      <w:pPr>
        <w:suppressAutoHyphens/>
        <w:spacing w:after="120" w:line="276" w:lineRule="auto"/>
        <w:jc w:val="both"/>
        <w:rPr>
          <w:noProof/>
        </w:rPr>
      </w:pPr>
      <w:r>
        <w:rPr>
          <w:b/>
          <w:noProof/>
        </w:rPr>
        <w:t xml:space="preserve">Analysis of participation of Member States that joined the EU in 2004 or later (hereinafter NMS) shows the substantial role played by research labs and universities from these countries, measured in terms of the number of project coordinators and budget received. </w:t>
      </w:r>
      <w:r>
        <w:rPr>
          <w:noProof/>
        </w:rPr>
        <w:t xml:space="preserve">Regarding fission projects from the 2014/15 call, NMS accounted for 2 coordinators (PL, CZ), while in the 2016/17 call, NMS have 3 coordinators (BG, PL, LT). We observe also an increase of 6% in the total Euratom funding awarded to NMS, from the 2014/15 to the 2016/17 call (see table 4) </w:t>
      </w:r>
    </w:p>
    <w:p w:rsidR="00EC06FD" w:rsidRDefault="00F346DE">
      <w:pPr>
        <w:spacing w:after="200" w:line="276" w:lineRule="auto"/>
        <w:rPr>
          <w:b/>
          <w:noProof/>
        </w:rPr>
      </w:pPr>
      <w:r>
        <w:rPr>
          <w:b/>
          <w:noProof/>
        </w:rPr>
        <w:br w:type="page"/>
      </w:r>
    </w:p>
    <w:p w:rsidR="00EC06FD" w:rsidRDefault="00F346DE">
      <w:pPr>
        <w:suppressAutoHyphens/>
        <w:spacing w:after="120" w:line="276" w:lineRule="auto"/>
        <w:jc w:val="both"/>
        <w:rPr>
          <w:b/>
          <w:noProof/>
          <w:sz w:val="22"/>
        </w:rPr>
      </w:pPr>
      <w:r>
        <w:rPr>
          <w:b/>
          <w:noProof/>
          <w:sz w:val="22"/>
        </w:rPr>
        <w:lastRenderedPageBreak/>
        <mc:AlternateContent>
          <mc:Choice Requires="wps">
            <w:drawing>
              <wp:anchor distT="0" distB="0" distL="114300" distR="114300" simplePos="0" relativeHeight="251661312" behindDoc="0" locked="0" layoutInCell="1" allowOverlap="1" wp14:anchorId="0D4A084E" wp14:editId="6C2D588C">
                <wp:simplePos x="0" y="0"/>
                <wp:positionH relativeFrom="column">
                  <wp:posOffset>3252470</wp:posOffset>
                </wp:positionH>
                <wp:positionV relativeFrom="paragraph">
                  <wp:posOffset>254000</wp:posOffset>
                </wp:positionV>
                <wp:extent cx="2374265" cy="2872332"/>
                <wp:effectExtent l="0" t="0" r="635"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72332"/>
                        </a:xfrm>
                        <a:prstGeom prst="rect">
                          <a:avLst/>
                        </a:prstGeom>
                        <a:pattFill prst="pct5">
                          <a:fgClr>
                            <a:srgbClr val="FFFFFF"/>
                          </a:fgClr>
                          <a:bgClr>
                            <a:schemeClr val="bg1"/>
                          </a:bgClr>
                        </a:pattFill>
                        <a:ln w="9525">
                          <a:noFill/>
                          <a:miter lim="800000"/>
                          <a:headEnd/>
                          <a:tailEnd/>
                        </a:ln>
                      </wps:spPr>
                      <wps:txbx>
                        <w:txbxContent>
                          <w:tbl>
                            <w:tblPr>
                              <w:tblW w:w="3220" w:type="dxa"/>
                              <w:tblLook w:val="04A0" w:firstRow="1" w:lastRow="0" w:firstColumn="1" w:lastColumn="0" w:noHBand="0" w:noVBand="1"/>
                            </w:tblPr>
                            <w:tblGrid>
                              <w:gridCol w:w="1540"/>
                              <w:gridCol w:w="1680"/>
                            </w:tblGrid>
                            <w:tr w:rsidR="00726F91">
                              <w:trPr>
                                <w:trHeight w:val="545"/>
                              </w:trPr>
                              <w:tc>
                                <w:tcPr>
                                  <w:tcW w:w="3220" w:type="dxa"/>
                                  <w:gridSpan w:val="2"/>
                                  <w:tcBorders>
                                    <w:top w:val="single" w:sz="8" w:space="0" w:color="auto"/>
                                    <w:left w:val="single" w:sz="8" w:space="0" w:color="auto"/>
                                    <w:bottom w:val="nil"/>
                                    <w:right w:val="single" w:sz="8" w:space="0" w:color="auto"/>
                                  </w:tcBorders>
                                  <w:shd w:val="clear" w:color="auto" w:fill="auto"/>
                                  <w:vAlign w:val="center"/>
                                </w:tcPr>
                                <w:p w:rsidR="00726F91" w:rsidRDefault="00726F91">
                                  <w:pPr>
                                    <w:jc w:val="center"/>
                                    <w:rPr>
                                      <w:b/>
                                      <w:bCs/>
                                      <w:color w:val="000000"/>
                                      <w:sz w:val="20"/>
                                      <w:szCs w:val="22"/>
                                    </w:rPr>
                                  </w:pPr>
                                  <w:r>
                                    <w:rPr>
                                      <w:b/>
                                      <w:bCs/>
                                      <w:color w:val="000000"/>
                                      <w:sz w:val="20"/>
                                      <w:szCs w:val="22"/>
                                    </w:rPr>
                                    <w:t>Call for proposals 2016/17</w:t>
                                  </w:r>
                                </w:p>
                              </w:tc>
                            </w:tr>
                            <w:tr w:rsidR="00726F91">
                              <w:trPr>
                                <w:trHeight w:val="765"/>
                              </w:trPr>
                              <w:tc>
                                <w:tcPr>
                                  <w:tcW w:w="1540" w:type="dxa"/>
                                  <w:tcBorders>
                                    <w:top w:val="single" w:sz="8" w:space="0" w:color="auto"/>
                                    <w:left w:val="single" w:sz="8" w:space="0" w:color="auto"/>
                                    <w:bottom w:val="nil"/>
                                    <w:right w:val="nil"/>
                                  </w:tcBorders>
                                  <w:shd w:val="clear" w:color="auto" w:fill="auto"/>
                                  <w:vAlign w:val="center"/>
                                  <w:hideMark/>
                                </w:tcPr>
                                <w:p w:rsidR="00726F91" w:rsidRDefault="00726F91">
                                  <w:pPr>
                                    <w:rPr>
                                      <w:b/>
                                      <w:bCs/>
                                      <w:color w:val="000000"/>
                                      <w:sz w:val="20"/>
                                      <w:szCs w:val="22"/>
                                    </w:rPr>
                                  </w:pPr>
                                  <w:r>
                                    <w:rPr>
                                      <w:b/>
                                      <w:bCs/>
                                      <w:color w:val="000000"/>
                                      <w:sz w:val="20"/>
                                      <w:szCs w:val="22"/>
                                    </w:rPr>
                                    <w:t>EU-13</w:t>
                                  </w:r>
                                </w:p>
                              </w:tc>
                              <w:tc>
                                <w:tcPr>
                                  <w:tcW w:w="1680" w:type="dxa"/>
                                  <w:tcBorders>
                                    <w:top w:val="single" w:sz="8" w:space="0" w:color="auto"/>
                                    <w:left w:val="nil"/>
                                    <w:bottom w:val="nil"/>
                                    <w:right w:val="single" w:sz="8" w:space="0" w:color="auto"/>
                                  </w:tcBorders>
                                  <w:shd w:val="clear" w:color="auto" w:fill="auto"/>
                                  <w:vAlign w:val="center"/>
                                  <w:hideMark/>
                                </w:tcPr>
                                <w:p w:rsidR="00726F91" w:rsidRDefault="00726F91">
                                  <w:pPr>
                                    <w:jc w:val="center"/>
                                    <w:rPr>
                                      <w:b/>
                                      <w:bCs/>
                                      <w:color w:val="000000"/>
                                      <w:sz w:val="20"/>
                                      <w:szCs w:val="22"/>
                                    </w:rPr>
                                  </w:pPr>
                                  <w:r>
                                    <w:rPr>
                                      <w:b/>
                                      <w:bCs/>
                                      <w:color w:val="000000"/>
                                      <w:sz w:val="20"/>
                                      <w:szCs w:val="22"/>
                                    </w:rPr>
                                    <w:t>Euratom contribution in grants (€)</w:t>
                                  </w:r>
                                </w:p>
                              </w:tc>
                            </w:tr>
                            <w:tr w:rsidR="00726F91">
                              <w:trPr>
                                <w:trHeight w:val="255"/>
                              </w:trPr>
                              <w:tc>
                                <w:tcPr>
                                  <w:tcW w:w="15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26F91" w:rsidRDefault="00726F91">
                                  <w:pPr>
                                    <w:rPr>
                                      <w:color w:val="000000"/>
                                      <w:sz w:val="20"/>
                                      <w:szCs w:val="22"/>
                                    </w:rPr>
                                  </w:pPr>
                                  <w:r>
                                    <w:rPr>
                                      <w:color w:val="000000"/>
                                      <w:sz w:val="20"/>
                                      <w:szCs w:val="22"/>
                                    </w:rPr>
                                    <w:t>CZ</w:t>
                                  </w:r>
                                </w:p>
                              </w:tc>
                              <w:tc>
                                <w:tcPr>
                                  <w:tcW w:w="1680" w:type="dxa"/>
                                  <w:tcBorders>
                                    <w:top w:val="single" w:sz="4" w:space="0" w:color="auto"/>
                                    <w:left w:val="nil"/>
                                    <w:bottom w:val="single" w:sz="4" w:space="0" w:color="auto"/>
                                    <w:right w:val="single" w:sz="8" w:space="0" w:color="auto"/>
                                  </w:tcBorders>
                                  <w:shd w:val="clear" w:color="auto" w:fill="auto"/>
                                  <w:noWrap/>
                                  <w:vAlign w:val="center"/>
                                  <w:hideMark/>
                                </w:tcPr>
                                <w:p w:rsidR="00726F91" w:rsidRDefault="00726F91">
                                  <w:pPr>
                                    <w:jc w:val="right"/>
                                    <w:rPr>
                                      <w:color w:val="000000"/>
                                      <w:sz w:val="20"/>
                                      <w:szCs w:val="22"/>
                                    </w:rPr>
                                  </w:pPr>
                                  <w:r>
                                    <w:rPr>
                                      <w:color w:val="000000"/>
                                      <w:sz w:val="20"/>
                                      <w:szCs w:val="22"/>
                                    </w:rPr>
                                    <w:t>3,066,508.25</w:t>
                                  </w:r>
                                </w:p>
                              </w:tc>
                            </w:tr>
                            <w:tr w:rsidR="00726F91">
                              <w:trPr>
                                <w:trHeight w:val="255"/>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rsidR="00726F91" w:rsidRDefault="00726F91">
                                  <w:pPr>
                                    <w:rPr>
                                      <w:color w:val="000000"/>
                                      <w:sz w:val="20"/>
                                      <w:szCs w:val="22"/>
                                    </w:rPr>
                                  </w:pPr>
                                  <w:r>
                                    <w:rPr>
                                      <w:color w:val="000000"/>
                                      <w:sz w:val="20"/>
                                      <w:szCs w:val="22"/>
                                    </w:rPr>
                                    <w:t>PL</w:t>
                                  </w:r>
                                </w:p>
                              </w:tc>
                              <w:tc>
                                <w:tcPr>
                                  <w:tcW w:w="1680" w:type="dxa"/>
                                  <w:tcBorders>
                                    <w:top w:val="nil"/>
                                    <w:left w:val="nil"/>
                                    <w:bottom w:val="single" w:sz="4" w:space="0" w:color="auto"/>
                                    <w:right w:val="single" w:sz="8" w:space="0" w:color="auto"/>
                                  </w:tcBorders>
                                  <w:shd w:val="clear" w:color="auto" w:fill="auto"/>
                                  <w:noWrap/>
                                  <w:vAlign w:val="center"/>
                                  <w:hideMark/>
                                </w:tcPr>
                                <w:p w:rsidR="00726F91" w:rsidRDefault="00726F91">
                                  <w:pPr>
                                    <w:jc w:val="right"/>
                                    <w:rPr>
                                      <w:color w:val="000000"/>
                                      <w:sz w:val="20"/>
                                      <w:szCs w:val="22"/>
                                    </w:rPr>
                                  </w:pPr>
                                  <w:r>
                                    <w:rPr>
                                      <w:color w:val="000000"/>
                                      <w:sz w:val="20"/>
                                      <w:szCs w:val="22"/>
                                    </w:rPr>
                                    <w:t>1,671,231.25</w:t>
                                  </w:r>
                                </w:p>
                              </w:tc>
                            </w:tr>
                            <w:tr w:rsidR="00726F91">
                              <w:trPr>
                                <w:trHeight w:val="255"/>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rsidR="00726F91" w:rsidRDefault="00726F91">
                                  <w:pPr>
                                    <w:rPr>
                                      <w:color w:val="000000"/>
                                      <w:sz w:val="20"/>
                                      <w:szCs w:val="22"/>
                                    </w:rPr>
                                  </w:pPr>
                                  <w:r>
                                    <w:rPr>
                                      <w:color w:val="000000"/>
                                      <w:sz w:val="20"/>
                                      <w:szCs w:val="22"/>
                                    </w:rPr>
                                    <w:t>HU</w:t>
                                  </w:r>
                                </w:p>
                              </w:tc>
                              <w:tc>
                                <w:tcPr>
                                  <w:tcW w:w="1680" w:type="dxa"/>
                                  <w:tcBorders>
                                    <w:top w:val="nil"/>
                                    <w:left w:val="nil"/>
                                    <w:bottom w:val="single" w:sz="4" w:space="0" w:color="auto"/>
                                    <w:right w:val="single" w:sz="8" w:space="0" w:color="auto"/>
                                  </w:tcBorders>
                                  <w:shd w:val="clear" w:color="auto" w:fill="auto"/>
                                  <w:noWrap/>
                                  <w:vAlign w:val="center"/>
                                  <w:hideMark/>
                                </w:tcPr>
                                <w:p w:rsidR="00726F91" w:rsidRDefault="00726F91">
                                  <w:pPr>
                                    <w:jc w:val="right"/>
                                    <w:rPr>
                                      <w:color w:val="000000"/>
                                      <w:sz w:val="20"/>
                                      <w:szCs w:val="22"/>
                                    </w:rPr>
                                  </w:pPr>
                                  <w:r>
                                    <w:rPr>
                                      <w:color w:val="000000"/>
                                      <w:sz w:val="20"/>
                                      <w:szCs w:val="22"/>
                                    </w:rPr>
                                    <w:t>1,498,750.50</w:t>
                                  </w:r>
                                </w:p>
                              </w:tc>
                            </w:tr>
                            <w:tr w:rsidR="00726F91">
                              <w:trPr>
                                <w:trHeight w:val="255"/>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rsidR="00726F91" w:rsidRDefault="00726F91">
                                  <w:pPr>
                                    <w:rPr>
                                      <w:color w:val="000000"/>
                                      <w:sz w:val="20"/>
                                      <w:szCs w:val="22"/>
                                    </w:rPr>
                                  </w:pPr>
                                  <w:r>
                                    <w:rPr>
                                      <w:color w:val="000000"/>
                                      <w:sz w:val="20"/>
                                      <w:szCs w:val="22"/>
                                    </w:rPr>
                                    <w:t>SI</w:t>
                                  </w:r>
                                </w:p>
                              </w:tc>
                              <w:tc>
                                <w:tcPr>
                                  <w:tcW w:w="1680" w:type="dxa"/>
                                  <w:tcBorders>
                                    <w:top w:val="nil"/>
                                    <w:left w:val="nil"/>
                                    <w:bottom w:val="single" w:sz="4" w:space="0" w:color="auto"/>
                                    <w:right w:val="single" w:sz="8" w:space="0" w:color="auto"/>
                                  </w:tcBorders>
                                  <w:shd w:val="clear" w:color="auto" w:fill="auto"/>
                                  <w:noWrap/>
                                  <w:vAlign w:val="center"/>
                                  <w:hideMark/>
                                </w:tcPr>
                                <w:p w:rsidR="00726F91" w:rsidRDefault="00726F91">
                                  <w:pPr>
                                    <w:jc w:val="right"/>
                                    <w:rPr>
                                      <w:color w:val="000000"/>
                                      <w:sz w:val="20"/>
                                      <w:szCs w:val="22"/>
                                    </w:rPr>
                                  </w:pPr>
                                  <w:r>
                                    <w:rPr>
                                      <w:color w:val="000000"/>
                                      <w:sz w:val="20"/>
                                      <w:szCs w:val="22"/>
                                    </w:rPr>
                                    <w:t>1,147,326.25</w:t>
                                  </w:r>
                                </w:p>
                              </w:tc>
                            </w:tr>
                            <w:tr w:rsidR="00726F91">
                              <w:trPr>
                                <w:trHeight w:val="255"/>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rsidR="00726F91" w:rsidRDefault="00726F91">
                                  <w:pPr>
                                    <w:rPr>
                                      <w:color w:val="000000"/>
                                      <w:sz w:val="20"/>
                                      <w:szCs w:val="22"/>
                                    </w:rPr>
                                  </w:pPr>
                                  <w:r>
                                    <w:rPr>
                                      <w:color w:val="000000"/>
                                      <w:sz w:val="20"/>
                                      <w:szCs w:val="22"/>
                                    </w:rPr>
                                    <w:t>LT</w:t>
                                  </w:r>
                                </w:p>
                              </w:tc>
                              <w:tc>
                                <w:tcPr>
                                  <w:tcW w:w="1680" w:type="dxa"/>
                                  <w:tcBorders>
                                    <w:top w:val="nil"/>
                                    <w:left w:val="nil"/>
                                    <w:bottom w:val="single" w:sz="4" w:space="0" w:color="auto"/>
                                    <w:right w:val="single" w:sz="8" w:space="0" w:color="auto"/>
                                  </w:tcBorders>
                                  <w:shd w:val="clear" w:color="auto" w:fill="auto"/>
                                  <w:noWrap/>
                                  <w:vAlign w:val="center"/>
                                  <w:hideMark/>
                                </w:tcPr>
                                <w:p w:rsidR="00726F91" w:rsidRDefault="00726F91">
                                  <w:pPr>
                                    <w:jc w:val="right"/>
                                    <w:rPr>
                                      <w:color w:val="000000"/>
                                      <w:sz w:val="20"/>
                                      <w:szCs w:val="22"/>
                                    </w:rPr>
                                  </w:pPr>
                                  <w:r>
                                    <w:rPr>
                                      <w:color w:val="000000"/>
                                      <w:sz w:val="20"/>
                                      <w:szCs w:val="22"/>
                                    </w:rPr>
                                    <w:t>456,105.00</w:t>
                                  </w:r>
                                </w:p>
                              </w:tc>
                            </w:tr>
                            <w:tr w:rsidR="00726F91">
                              <w:trPr>
                                <w:trHeight w:val="255"/>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rsidR="00726F91" w:rsidRDefault="00726F91">
                                  <w:pPr>
                                    <w:rPr>
                                      <w:color w:val="000000"/>
                                      <w:sz w:val="20"/>
                                      <w:szCs w:val="22"/>
                                    </w:rPr>
                                  </w:pPr>
                                  <w:r>
                                    <w:rPr>
                                      <w:color w:val="000000"/>
                                      <w:sz w:val="20"/>
                                      <w:szCs w:val="22"/>
                                    </w:rPr>
                                    <w:t>RO</w:t>
                                  </w:r>
                                </w:p>
                              </w:tc>
                              <w:tc>
                                <w:tcPr>
                                  <w:tcW w:w="1680" w:type="dxa"/>
                                  <w:tcBorders>
                                    <w:top w:val="nil"/>
                                    <w:left w:val="nil"/>
                                    <w:bottom w:val="single" w:sz="4" w:space="0" w:color="auto"/>
                                    <w:right w:val="single" w:sz="8" w:space="0" w:color="auto"/>
                                  </w:tcBorders>
                                  <w:shd w:val="clear" w:color="auto" w:fill="auto"/>
                                  <w:noWrap/>
                                  <w:vAlign w:val="center"/>
                                  <w:hideMark/>
                                </w:tcPr>
                                <w:p w:rsidR="00726F91" w:rsidRDefault="00726F91">
                                  <w:pPr>
                                    <w:jc w:val="right"/>
                                    <w:rPr>
                                      <w:color w:val="000000"/>
                                      <w:sz w:val="20"/>
                                      <w:szCs w:val="22"/>
                                    </w:rPr>
                                  </w:pPr>
                                  <w:r>
                                    <w:rPr>
                                      <w:color w:val="000000"/>
                                      <w:sz w:val="20"/>
                                      <w:szCs w:val="22"/>
                                    </w:rPr>
                                    <w:t>330,952.33</w:t>
                                  </w:r>
                                </w:p>
                              </w:tc>
                            </w:tr>
                            <w:tr w:rsidR="00726F91">
                              <w:trPr>
                                <w:trHeight w:val="255"/>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rsidR="00726F91" w:rsidRDefault="00726F91">
                                  <w:pPr>
                                    <w:rPr>
                                      <w:color w:val="000000"/>
                                      <w:sz w:val="20"/>
                                      <w:szCs w:val="22"/>
                                    </w:rPr>
                                  </w:pPr>
                                  <w:r>
                                    <w:rPr>
                                      <w:color w:val="000000"/>
                                      <w:sz w:val="20"/>
                                      <w:szCs w:val="22"/>
                                    </w:rPr>
                                    <w:t>SK</w:t>
                                  </w:r>
                                </w:p>
                              </w:tc>
                              <w:tc>
                                <w:tcPr>
                                  <w:tcW w:w="1680" w:type="dxa"/>
                                  <w:tcBorders>
                                    <w:top w:val="nil"/>
                                    <w:left w:val="nil"/>
                                    <w:bottom w:val="single" w:sz="4" w:space="0" w:color="auto"/>
                                    <w:right w:val="single" w:sz="8" w:space="0" w:color="auto"/>
                                  </w:tcBorders>
                                  <w:shd w:val="clear" w:color="auto" w:fill="auto"/>
                                  <w:noWrap/>
                                  <w:vAlign w:val="center"/>
                                  <w:hideMark/>
                                </w:tcPr>
                                <w:p w:rsidR="00726F91" w:rsidRDefault="00726F91">
                                  <w:pPr>
                                    <w:jc w:val="right"/>
                                    <w:rPr>
                                      <w:color w:val="000000"/>
                                      <w:sz w:val="20"/>
                                      <w:szCs w:val="22"/>
                                    </w:rPr>
                                  </w:pPr>
                                  <w:r>
                                    <w:rPr>
                                      <w:color w:val="000000"/>
                                      <w:sz w:val="20"/>
                                      <w:szCs w:val="22"/>
                                    </w:rPr>
                                    <w:t>251,225.00</w:t>
                                  </w:r>
                                </w:p>
                              </w:tc>
                            </w:tr>
                            <w:tr w:rsidR="00726F91">
                              <w:trPr>
                                <w:trHeight w:val="255"/>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rsidR="00726F91" w:rsidRDefault="00726F91">
                                  <w:pPr>
                                    <w:rPr>
                                      <w:color w:val="000000"/>
                                      <w:sz w:val="20"/>
                                      <w:szCs w:val="22"/>
                                    </w:rPr>
                                  </w:pPr>
                                  <w:r>
                                    <w:rPr>
                                      <w:color w:val="000000"/>
                                      <w:sz w:val="20"/>
                                      <w:szCs w:val="22"/>
                                    </w:rPr>
                                    <w:t>HR</w:t>
                                  </w:r>
                                </w:p>
                              </w:tc>
                              <w:tc>
                                <w:tcPr>
                                  <w:tcW w:w="1680" w:type="dxa"/>
                                  <w:tcBorders>
                                    <w:top w:val="nil"/>
                                    <w:left w:val="nil"/>
                                    <w:bottom w:val="single" w:sz="4" w:space="0" w:color="auto"/>
                                    <w:right w:val="single" w:sz="8" w:space="0" w:color="auto"/>
                                  </w:tcBorders>
                                  <w:shd w:val="clear" w:color="auto" w:fill="auto"/>
                                  <w:noWrap/>
                                  <w:vAlign w:val="center"/>
                                  <w:hideMark/>
                                </w:tcPr>
                                <w:p w:rsidR="00726F91" w:rsidRDefault="00726F91">
                                  <w:pPr>
                                    <w:jc w:val="right"/>
                                    <w:rPr>
                                      <w:color w:val="000000"/>
                                      <w:sz w:val="20"/>
                                      <w:szCs w:val="22"/>
                                    </w:rPr>
                                  </w:pPr>
                                  <w:r>
                                    <w:rPr>
                                      <w:color w:val="000000"/>
                                      <w:sz w:val="20"/>
                                      <w:szCs w:val="22"/>
                                    </w:rPr>
                                    <w:t>183,976.00</w:t>
                                  </w:r>
                                </w:p>
                              </w:tc>
                            </w:tr>
                            <w:tr w:rsidR="00726F91">
                              <w:trPr>
                                <w:trHeight w:val="255"/>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rsidR="00726F91" w:rsidRDefault="00726F91">
                                  <w:pPr>
                                    <w:rPr>
                                      <w:color w:val="000000"/>
                                      <w:sz w:val="20"/>
                                      <w:szCs w:val="22"/>
                                    </w:rPr>
                                  </w:pPr>
                                  <w:r>
                                    <w:rPr>
                                      <w:color w:val="000000"/>
                                      <w:sz w:val="20"/>
                                      <w:szCs w:val="22"/>
                                    </w:rPr>
                                    <w:t>LV</w:t>
                                  </w:r>
                                </w:p>
                              </w:tc>
                              <w:tc>
                                <w:tcPr>
                                  <w:tcW w:w="1680" w:type="dxa"/>
                                  <w:tcBorders>
                                    <w:top w:val="nil"/>
                                    <w:left w:val="nil"/>
                                    <w:bottom w:val="single" w:sz="4" w:space="0" w:color="auto"/>
                                    <w:right w:val="single" w:sz="8" w:space="0" w:color="auto"/>
                                  </w:tcBorders>
                                  <w:shd w:val="clear" w:color="auto" w:fill="auto"/>
                                  <w:noWrap/>
                                  <w:vAlign w:val="center"/>
                                  <w:hideMark/>
                                </w:tcPr>
                                <w:p w:rsidR="00726F91" w:rsidRDefault="00726F91">
                                  <w:pPr>
                                    <w:jc w:val="right"/>
                                    <w:rPr>
                                      <w:color w:val="000000"/>
                                      <w:sz w:val="20"/>
                                      <w:szCs w:val="22"/>
                                    </w:rPr>
                                  </w:pPr>
                                  <w:r>
                                    <w:rPr>
                                      <w:color w:val="000000"/>
                                      <w:sz w:val="20"/>
                                      <w:szCs w:val="22"/>
                                    </w:rPr>
                                    <w:t>52,125.00</w:t>
                                  </w:r>
                                </w:p>
                              </w:tc>
                            </w:tr>
                            <w:tr w:rsidR="00726F91">
                              <w:trPr>
                                <w:trHeight w:val="255"/>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rsidR="00726F91" w:rsidRDefault="00726F91">
                                  <w:pPr>
                                    <w:rPr>
                                      <w:color w:val="000000"/>
                                      <w:sz w:val="20"/>
                                      <w:szCs w:val="22"/>
                                    </w:rPr>
                                  </w:pPr>
                                  <w:r>
                                    <w:rPr>
                                      <w:color w:val="000000"/>
                                      <w:sz w:val="20"/>
                                      <w:szCs w:val="22"/>
                                    </w:rPr>
                                    <w:t>CY</w:t>
                                  </w:r>
                                </w:p>
                              </w:tc>
                              <w:tc>
                                <w:tcPr>
                                  <w:tcW w:w="1680" w:type="dxa"/>
                                  <w:tcBorders>
                                    <w:top w:val="nil"/>
                                    <w:left w:val="nil"/>
                                    <w:bottom w:val="single" w:sz="4" w:space="0" w:color="auto"/>
                                    <w:right w:val="single" w:sz="8" w:space="0" w:color="auto"/>
                                  </w:tcBorders>
                                  <w:shd w:val="clear" w:color="auto" w:fill="auto"/>
                                  <w:noWrap/>
                                  <w:vAlign w:val="center"/>
                                  <w:hideMark/>
                                </w:tcPr>
                                <w:p w:rsidR="00726F91" w:rsidRDefault="00726F91">
                                  <w:pPr>
                                    <w:jc w:val="right"/>
                                    <w:rPr>
                                      <w:color w:val="000000"/>
                                      <w:sz w:val="20"/>
                                      <w:szCs w:val="22"/>
                                    </w:rPr>
                                  </w:pPr>
                                  <w:r>
                                    <w:rPr>
                                      <w:color w:val="000000"/>
                                      <w:sz w:val="20"/>
                                      <w:szCs w:val="22"/>
                                    </w:rPr>
                                    <w:t>23,625.00</w:t>
                                  </w:r>
                                </w:p>
                              </w:tc>
                            </w:tr>
                            <w:tr w:rsidR="00726F91">
                              <w:trPr>
                                <w:trHeight w:val="270"/>
                              </w:trPr>
                              <w:tc>
                                <w:tcPr>
                                  <w:tcW w:w="1540" w:type="dxa"/>
                                  <w:tcBorders>
                                    <w:top w:val="nil"/>
                                    <w:left w:val="single" w:sz="8" w:space="0" w:color="auto"/>
                                    <w:bottom w:val="single" w:sz="8" w:space="0" w:color="auto"/>
                                    <w:right w:val="nil"/>
                                  </w:tcBorders>
                                  <w:shd w:val="clear" w:color="auto" w:fill="auto"/>
                                  <w:noWrap/>
                                  <w:vAlign w:val="center"/>
                                  <w:hideMark/>
                                </w:tcPr>
                                <w:p w:rsidR="00726F91" w:rsidRDefault="00726F91">
                                  <w:pPr>
                                    <w:jc w:val="right"/>
                                    <w:rPr>
                                      <w:b/>
                                      <w:bCs/>
                                      <w:color w:val="000000"/>
                                      <w:sz w:val="20"/>
                                      <w:szCs w:val="22"/>
                                    </w:rPr>
                                  </w:pPr>
                                  <w:r>
                                    <w:rPr>
                                      <w:b/>
                                      <w:bCs/>
                                      <w:color w:val="000000"/>
                                      <w:sz w:val="20"/>
                                      <w:szCs w:val="22"/>
                                    </w:rPr>
                                    <w:t>Total</w:t>
                                  </w:r>
                                </w:p>
                              </w:tc>
                              <w:tc>
                                <w:tcPr>
                                  <w:tcW w:w="1680" w:type="dxa"/>
                                  <w:tcBorders>
                                    <w:top w:val="nil"/>
                                    <w:left w:val="nil"/>
                                    <w:bottom w:val="single" w:sz="8" w:space="0" w:color="auto"/>
                                    <w:right w:val="single" w:sz="8" w:space="0" w:color="auto"/>
                                  </w:tcBorders>
                                  <w:shd w:val="clear" w:color="auto" w:fill="auto"/>
                                  <w:noWrap/>
                                  <w:vAlign w:val="center"/>
                                  <w:hideMark/>
                                </w:tcPr>
                                <w:p w:rsidR="00726F91" w:rsidRDefault="00726F91">
                                  <w:pPr>
                                    <w:jc w:val="center"/>
                                    <w:rPr>
                                      <w:b/>
                                      <w:bCs/>
                                      <w:color w:val="000000"/>
                                      <w:sz w:val="20"/>
                                      <w:szCs w:val="22"/>
                                    </w:rPr>
                                  </w:pPr>
                                  <w:r>
                                    <w:rPr>
                                      <w:b/>
                                      <w:bCs/>
                                      <w:color w:val="000000"/>
                                      <w:sz w:val="20"/>
                                      <w:szCs w:val="22"/>
                                    </w:rPr>
                                    <w:t>€8,681,824.58</w:t>
                                  </w:r>
                                </w:p>
                              </w:tc>
                            </w:tr>
                          </w:tbl>
                          <w:p w:rsidR="00726F91" w:rsidRDefault="00726F91"/>
                          <w:p w:rsidR="00726F91" w:rsidRDefault="00726F91"/>
                          <w:p w:rsidR="00726F91" w:rsidRDefault="00726F91"/>
                          <w:p w:rsidR="00726F91" w:rsidRDefault="00726F9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56.1pt;margin-top:20pt;width:186.95pt;height:226.1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" stroked="f">
                <v:fill r:id="rId35" o:title="" color2="white [3212]" type="pattern"/>
                <v:textbox>
                  <w:txbxContent>
                    <w:tbl>
                      <w:tblPr>
                        <w:tblW w:w="3220" w:type="dxa"/>
                        <w:tblLook w:val="04A0" w:firstRow="1" w:lastRow="0" w:firstColumn="1" w:lastColumn="0" w:noHBand="0" w:noVBand="1"/>
                      </w:tblPr>
                      <w:tblGrid>
                        <w:gridCol w:w="1540"/>
                        <w:gridCol w:w="1680"/>
                      </w:tblGrid>
                      <w:tr w:rsidR="00726F91">
                        <w:trPr>
                          <w:trHeight w:val="545"/>
                        </w:trPr>
                        <w:tc>
                          <w:tcPr>
                            <w:tcW w:w="3220" w:type="dxa"/>
                            <w:gridSpan w:val="2"/>
                            <w:tcBorders>
                              <w:top w:val="single" w:sz="8" w:space="0" w:color="auto"/>
                              <w:left w:val="single" w:sz="8" w:space="0" w:color="auto"/>
                              <w:bottom w:val="nil"/>
                              <w:right w:val="single" w:sz="8" w:space="0" w:color="auto"/>
                            </w:tcBorders>
                            <w:shd w:val="clear" w:color="auto" w:fill="auto"/>
                            <w:vAlign w:val="center"/>
                          </w:tcPr>
                          <w:p w:rsidR="00726F91" w:rsidRDefault="00726F91">
                            <w:pPr>
                              <w:jc w:val="center"/>
                              <w:rPr>
                                <w:b/>
                                <w:bCs/>
                                <w:color w:val="000000"/>
                                <w:sz w:val="20"/>
                                <w:szCs w:val="22"/>
                              </w:rPr>
                            </w:pPr>
                            <w:r>
                              <w:rPr>
                                <w:b/>
                                <w:bCs/>
                                <w:color w:val="000000"/>
                                <w:sz w:val="20"/>
                                <w:szCs w:val="22"/>
                              </w:rPr>
                              <w:t>Call for proposals 2016/17</w:t>
                            </w:r>
                          </w:p>
                        </w:tc>
                      </w:tr>
                      <w:tr w:rsidR="00726F91">
                        <w:trPr>
                          <w:trHeight w:val="765"/>
                        </w:trPr>
                        <w:tc>
                          <w:tcPr>
                            <w:tcW w:w="1540" w:type="dxa"/>
                            <w:tcBorders>
                              <w:top w:val="single" w:sz="8" w:space="0" w:color="auto"/>
                              <w:left w:val="single" w:sz="8" w:space="0" w:color="auto"/>
                              <w:bottom w:val="nil"/>
                              <w:right w:val="nil"/>
                            </w:tcBorders>
                            <w:shd w:val="clear" w:color="auto" w:fill="auto"/>
                            <w:vAlign w:val="center"/>
                            <w:hideMark/>
                          </w:tcPr>
                          <w:p w:rsidR="00726F91" w:rsidRDefault="00726F91">
                            <w:pPr>
                              <w:rPr>
                                <w:b/>
                                <w:bCs/>
                                <w:color w:val="000000"/>
                                <w:sz w:val="20"/>
                                <w:szCs w:val="22"/>
                              </w:rPr>
                            </w:pPr>
                            <w:r>
                              <w:rPr>
                                <w:b/>
                                <w:bCs/>
                                <w:color w:val="000000"/>
                                <w:sz w:val="20"/>
                                <w:szCs w:val="22"/>
                              </w:rPr>
                              <w:t>EU-13</w:t>
                            </w:r>
                          </w:p>
                        </w:tc>
                        <w:tc>
                          <w:tcPr>
                            <w:tcW w:w="1680" w:type="dxa"/>
                            <w:tcBorders>
                              <w:top w:val="single" w:sz="8" w:space="0" w:color="auto"/>
                              <w:left w:val="nil"/>
                              <w:bottom w:val="nil"/>
                              <w:right w:val="single" w:sz="8" w:space="0" w:color="auto"/>
                            </w:tcBorders>
                            <w:shd w:val="clear" w:color="auto" w:fill="auto"/>
                            <w:vAlign w:val="center"/>
                            <w:hideMark/>
                          </w:tcPr>
                          <w:p w:rsidR="00726F91" w:rsidRDefault="00726F91">
                            <w:pPr>
                              <w:jc w:val="center"/>
                              <w:rPr>
                                <w:b/>
                                <w:bCs/>
                                <w:color w:val="000000"/>
                                <w:sz w:val="20"/>
                                <w:szCs w:val="22"/>
                              </w:rPr>
                            </w:pPr>
                            <w:r>
                              <w:rPr>
                                <w:b/>
                                <w:bCs/>
                                <w:color w:val="000000"/>
                                <w:sz w:val="20"/>
                                <w:szCs w:val="22"/>
                              </w:rPr>
                              <w:t>Euratom contribution in grants (€)</w:t>
                            </w:r>
                          </w:p>
                        </w:tc>
                      </w:tr>
                      <w:tr w:rsidR="00726F91">
                        <w:trPr>
                          <w:trHeight w:val="255"/>
                        </w:trPr>
                        <w:tc>
                          <w:tcPr>
                            <w:tcW w:w="15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26F91" w:rsidRDefault="00726F91">
                            <w:pPr>
                              <w:rPr>
                                <w:color w:val="000000"/>
                                <w:sz w:val="20"/>
                                <w:szCs w:val="22"/>
                              </w:rPr>
                            </w:pPr>
                            <w:r>
                              <w:rPr>
                                <w:color w:val="000000"/>
                                <w:sz w:val="20"/>
                                <w:szCs w:val="22"/>
                              </w:rPr>
                              <w:t>CZ</w:t>
                            </w:r>
                          </w:p>
                        </w:tc>
                        <w:tc>
                          <w:tcPr>
                            <w:tcW w:w="1680" w:type="dxa"/>
                            <w:tcBorders>
                              <w:top w:val="single" w:sz="4" w:space="0" w:color="auto"/>
                              <w:left w:val="nil"/>
                              <w:bottom w:val="single" w:sz="4" w:space="0" w:color="auto"/>
                              <w:right w:val="single" w:sz="8" w:space="0" w:color="auto"/>
                            </w:tcBorders>
                            <w:shd w:val="clear" w:color="auto" w:fill="auto"/>
                            <w:noWrap/>
                            <w:vAlign w:val="center"/>
                            <w:hideMark/>
                          </w:tcPr>
                          <w:p w:rsidR="00726F91" w:rsidRDefault="00726F91">
                            <w:pPr>
                              <w:jc w:val="right"/>
                              <w:rPr>
                                <w:color w:val="000000"/>
                                <w:sz w:val="20"/>
                                <w:szCs w:val="22"/>
                              </w:rPr>
                            </w:pPr>
                            <w:r>
                              <w:rPr>
                                <w:color w:val="000000"/>
                                <w:sz w:val="20"/>
                                <w:szCs w:val="22"/>
                              </w:rPr>
                              <w:t>3,066,508.25</w:t>
                            </w:r>
                          </w:p>
                        </w:tc>
                      </w:tr>
                      <w:tr w:rsidR="00726F91">
                        <w:trPr>
                          <w:trHeight w:val="255"/>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rsidR="00726F91" w:rsidRDefault="00726F91">
                            <w:pPr>
                              <w:rPr>
                                <w:color w:val="000000"/>
                                <w:sz w:val="20"/>
                                <w:szCs w:val="22"/>
                              </w:rPr>
                            </w:pPr>
                            <w:r>
                              <w:rPr>
                                <w:color w:val="000000"/>
                                <w:sz w:val="20"/>
                                <w:szCs w:val="22"/>
                              </w:rPr>
                              <w:t>PL</w:t>
                            </w:r>
                          </w:p>
                        </w:tc>
                        <w:tc>
                          <w:tcPr>
                            <w:tcW w:w="1680" w:type="dxa"/>
                            <w:tcBorders>
                              <w:top w:val="nil"/>
                              <w:left w:val="nil"/>
                              <w:bottom w:val="single" w:sz="4" w:space="0" w:color="auto"/>
                              <w:right w:val="single" w:sz="8" w:space="0" w:color="auto"/>
                            </w:tcBorders>
                            <w:shd w:val="clear" w:color="auto" w:fill="auto"/>
                            <w:noWrap/>
                            <w:vAlign w:val="center"/>
                            <w:hideMark/>
                          </w:tcPr>
                          <w:p w:rsidR="00726F91" w:rsidRDefault="00726F91">
                            <w:pPr>
                              <w:jc w:val="right"/>
                              <w:rPr>
                                <w:color w:val="000000"/>
                                <w:sz w:val="20"/>
                                <w:szCs w:val="22"/>
                              </w:rPr>
                            </w:pPr>
                            <w:r>
                              <w:rPr>
                                <w:color w:val="000000"/>
                                <w:sz w:val="20"/>
                                <w:szCs w:val="22"/>
                              </w:rPr>
                              <w:t>1,671,231.25</w:t>
                            </w:r>
                          </w:p>
                        </w:tc>
                      </w:tr>
                      <w:tr w:rsidR="00726F91">
                        <w:trPr>
                          <w:trHeight w:val="255"/>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rsidR="00726F91" w:rsidRDefault="00726F91">
                            <w:pPr>
                              <w:rPr>
                                <w:color w:val="000000"/>
                                <w:sz w:val="20"/>
                                <w:szCs w:val="22"/>
                              </w:rPr>
                            </w:pPr>
                            <w:r>
                              <w:rPr>
                                <w:color w:val="000000"/>
                                <w:sz w:val="20"/>
                                <w:szCs w:val="22"/>
                              </w:rPr>
                              <w:t>HU</w:t>
                            </w:r>
                          </w:p>
                        </w:tc>
                        <w:tc>
                          <w:tcPr>
                            <w:tcW w:w="1680" w:type="dxa"/>
                            <w:tcBorders>
                              <w:top w:val="nil"/>
                              <w:left w:val="nil"/>
                              <w:bottom w:val="single" w:sz="4" w:space="0" w:color="auto"/>
                              <w:right w:val="single" w:sz="8" w:space="0" w:color="auto"/>
                            </w:tcBorders>
                            <w:shd w:val="clear" w:color="auto" w:fill="auto"/>
                            <w:noWrap/>
                            <w:vAlign w:val="center"/>
                            <w:hideMark/>
                          </w:tcPr>
                          <w:p w:rsidR="00726F91" w:rsidRDefault="00726F91">
                            <w:pPr>
                              <w:jc w:val="right"/>
                              <w:rPr>
                                <w:color w:val="000000"/>
                                <w:sz w:val="20"/>
                                <w:szCs w:val="22"/>
                              </w:rPr>
                            </w:pPr>
                            <w:r>
                              <w:rPr>
                                <w:color w:val="000000"/>
                                <w:sz w:val="20"/>
                                <w:szCs w:val="22"/>
                              </w:rPr>
                              <w:t>1,498,750.50</w:t>
                            </w:r>
                          </w:p>
                        </w:tc>
                      </w:tr>
                      <w:tr w:rsidR="00726F91">
                        <w:trPr>
                          <w:trHeight w:val="255"/>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rsidR="00726F91" w:rsidRDefault="00726F91">
                            <w:pPr>
                              <w:rPr>
                                <w:color w:val="000000"/>
                                <w:sz w:val="20"/>
                                <w:szCs w:val="22"/>
                              </w:rPr>
                            </w:pPr>
                            <w:r>
                              <w:rPr>
                                <w:color w:val="000000"/>
                                <w:sz w:val="20"/>
                                <w:szCs w:val="22"/>
                              </w:rPr>
                              <w:t>SI</w:t>
                            </w:r>
                          </w:p>
                        </w:tc>
                        <w:tc>
                          <w:tcPr>
                            <w:tcW w:w="1680" w:type="dxa"/>
                            <w:tcBorders>
                              <w:top w:val="nil"/>
                              <w:left w:val="nil"/>
                              <w:bottom w:val="single" w:sz="4" w:space="0" w:color="auto"/>
                              <w:right w:val="single" w:sz="8" w:space="0" w:color="auto"/>
                            </w:tcBorders>
                            <w:shd w:val="clear" w:color="auto" w:fill="auto"/>
                            <w:noWrap/>
                            <w:vAlign w:val="center"/>
                            <w:hideMark/>
                          </w:tcPr>
                          <w:p w:rsidR="00726F91" w:rsidRDefault="00726F91">
                            <w:pPr>
                              <w:jc w:val="right"/>
                              <w:rPr>
                                <w:color w:val="000000"/>
                                <w:sz w:val="20"/>
                                <w:szCs w:val="22"/>
                              </w:rPr>
                            </w:pPr>
                            <w:r>
                              <w:rPr>
                                <w:color w:val="000000"/>
                                <w:sz w:val="20"/>
                                <w:szCs w:val="22"/>
                              </w:rPr>
                              <w:t>1,147,326.25</w:t>
                            </w:r>
                          </w:p>
                        </w:tc>
                      </w:tr>
                      <w:tr w:rsidR="00726F91">
                        <w:trPr>
                          <w:trHeight w:val="255"/>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rsidR="00726F91" w:rsidRDefault="00726F91">
                            <w:pPr>
                              <w:rPr>
                                <w:color w:val="000000"/>
                                <w:sz w:val="20"/>
                                <w:szCs w:val="22"/>
                              </w:rPr>
                            </w:pPr>
                            <w:r>
                              <w:rPr>
                                <w:color w:val="000000"/>
                                <w:sz w:val="20"/>
                                <w:szCs w:val="22"/>
                              </w:rPr>
                              <w:t>LT</w:t>
                            </w:r>
                          </w:p>
                        </w:tc>
                        <w:tc>
                          <w:tcPr>
                            <w:tcW w:w="1680" w:type="dxa"/>
                            <w:tcBorders>
                              <w:top w:val="nil"/>
                              <w:left w:val="nil"/>
                              <w:bottom w:val="single" w:sz="4" w:space="0" w:color="auto"/>
                              <w:right w:val="single" w:sz="8" w:space="0" w:color="auto"/>
                            </w:tcBorders>
                            <w:shd w:val="clear" w:color="auto" w:fill="auto"/>
                            <w:noWrap/>
                            <w:vAlign w:val="center"/>
                            <w:hideMark/>
                          </w:tcPr>
                          <w:p w:rsidR="00726F91" w:rsidRDefault="00726F91">
                            <w:pPr>
                              <w:jc w:val="right"/>
                              <w:rPr>
                                <w:color w:val="000000"/>
                                <w:sz w:val="20"/>
                                <w:szCs w:val="22"/>
                              </w:rPr>
                            </w:pPr>
                            <w:r>
                              <w:rPr>
                                <w:color w:val="000000"/>
                                <w:sz w:val="20"/>
                                <w:szCs w:val="22"/>
                              </w:rPr>
                              <w:t>456,105.00</w:t>
                            </w:r>
                          </w:p>
                        </w:tc>
                      </w:tr>
                      <w:tr w:rsidR="00726F91">
                        <w:trPr>
                          <w:trHeight w:val="255"/>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rsidR="00726F91" w:rsidRDefault="00726F91">
                            <w:pPr>
                              <w:rPr>
                                <w:color w:val="000000"/>
                                <w:sz w:val="20"/>
                                <w:szCs w:val="22"/>
                              </w:rPr>
                            </w:pPr>
                            <w:r>
                              <w:rPr>
                                <w:color w:val="000000"/>
                                <w:sz w:val="20"/>
                                <w:szCs w:val="22"/>
                              </w:rPr>
                              <w:t>RO</w:t>
                            </w:r>
                          </w:p>
                        </w:tc>
                        <w:tc>
                          <w:tcPr>
                            <w:tcW w:w="1680" w:type="dxa"/>
                            <w:tcBorders>
                              <w:top w:val="nil"/>
                              <w:left w:val="nil"/>
                              <w:bottom w:val="single" w:sz="4" w:space="0" w:color="auto"/>
                              <w:right w:val="single" w:sz="8" w:space="0" w:color="auto"/>
                            </w:tcBorders>
                            <w:shd w:val="clear" w:color="auto" w:fill="auto"/>
                            <w:noWrap/>
                            <w:vAlign w:val="center"/>
                            <w:hideMark/>
                          </w:tcPr>
                          <w:p w:rsidR="00726F91" w:rsidRDefault="00726F91">
                            <w:pPr>
                              <w:jc w:val="right"/>
                              <w:rPr>
                                <w:color w:val="000000"/>
                                <w:sz w:val="20"/>
                                <w:szCs w:val="22"/>
                              </w:rPr>
                            </w:pPr>
                            <w:r>
                              <w:rPr>
                                <w:color w:val="000000"/>
                                <w:sz w:val="20"/>
                                <w:szCs w:val="22"/>
                              </w:rPr>
                              <w:t>330,952.33</w:t>
                            </w:r>
                          </w:p>
                        </w:tc>
                      </w:tr>
                      <w:tr w:rsidR="00726F91">
                        <w:trPr>
                          <w:trHeight w:val="255"/>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rsidR="00726F91" w:rsidRDefault="00726F91">
                            <w:pPr>
                              <w:rPr>
                                <w:color w:val="000000"/>
                                <w:sz w:val="20"/>
                                <w:szCs w:val="22"/>
                              </w:rPr>
                            </w:pPr>
                            <w:r>
                              <w:rPr>
                                <w:color w:val="000000"/>
                                <w:sz w:val="20"/>
                                <w:szCs w:val="22"/>
                              </w:rPr>
                              <w:t>SK</w:t>
                            </w:r>
                          </w:p>
                        </w:tc>
                        <w:tc>
                          <w:tcPr>
                            <w:tcW w:w="1680" w:type="dxa"/>
                            <w:tcBorders>
                              <w:top w:val="nil"/>
                              <w:left w:val="nil"/>
                              <w:bottom w:val="single" w:sz="4" w:space="0" w:color="auto"/>
                              <w:right w:val="single" w:sz="8" w:space="0" w:color="auto"/>
                            </w:tcBorders>
                            <w:shd w:val="clear" w:color="auto" w:fill="auto"/>
                            <w:noWrap/>
                            <w:vAlign w:val="center"/>
                            <w:hideMark/>
                          </w:tcPr>
                          <w:p w:rsidR="00726F91" w:rsidRDefault="00726F91">
                            <w:pPr>
                              <w:jc w:val="right"/>
                              <w:rPr>
                                <w:color w:val="000000"/>
                                <w:sz w:val="20"/>
                                <w:szCs w:val="22"/>
                              </w:rPr>
                            </w:pPr>
                            <w:r>
                              <w:rPr>
                                <w:color w:val="000000"/>
                                <w:sz w:val="20"/>
                                <w:szCs w:val="22"/>
                              </w:rPr>
                              <w:t>251,225.00</w:t>
                            </w:r>
                          </w:p>
                        </w:tc>
                      </w:tr>
                      <w:tr w:rsidR="00726F91">
                        <w:trPr>
                          <w:trHeight w:val="255"/>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rsidR="00726F91" w:rsidRDefault="00726F91">
                            <w:pPr>
                              <w:rPr>
                                <w:color w:val="000000"/>
                                <w:sz w:val="20"/>
                                <w:szCs w:val="22"/>
                              </w:rPr>
                            </w:pPr>
                            <w:r>
                              <w:rPr>
                                <w:color w:val="000000"/>
                                <w:sz w:val="20"/>
                                <w:szCs w:val="22"/>
                              </w:rPr>
                              <w:t>HR</w:t>
                            </w:r>
                          </w:p>
                        </w:tc>
                        <w:tc>
                          <w:tcPr>
                            <w:tcW w:w="1680" w:type="dxa"/>
                            <w:tcBorders>
                              <w:top w:val="nil"/>
                              <w:left w:val="nil"/>
                              <w:bottom w:val="single" w:sz="4" w:space="0" w:color="auto"/>
                              <w:right w:val="single" w:sz="8" w:space="0" w:color="auto"/>
                            </w:tcBorders>
                            <w:shd w:val="clear" w:color="auto" w:fill="auto"/>
                            <w:noWrap/>
                            <w:vAlign w:val="center"/>
                            <w:hideMark/>
                          </w:tcPr>
                          <w:p w:rsidR="00726F91" w:rsidRDefault="00726F91">
                            <w:pPr>
                              <w:jc w:val="right"/>
                              <w:rPr>
                                <w:color w:val="000000"/>
                                <w:sz w:val="20"/>
                                <w:szCs w:val="22"/>
                              </w:rPr>
                            </w:pPr>
                            <w:r>
                              <w:rPr>
                                <w:color w:val="000000"/>
                                <w:sz w:val="20"/>
                                <w:szCs w:val="22"/>
                              </w:rPr>
                              <w:t>183,976.00</w:t>
                            </w:r>
                          </w:p>
                        </w:tc>
                      </w:tr>
                      <w:tr w:rsidR="00726F91">
                        <w:trPr>
                          <w:trHeight w:val="255"/>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rsidR="00726F91" w:rsidRDefault="00726F91">
                            <w:pPr>
                              <w:rPr>
                                <w:color w:val="000000"/>
                                <w:sz w:val="20"/>
                                <w:szCs w:val="22"/>
                              </w:rPr>
                            </w:pPr>
                            <w:r>
                              <w:rPr>
                                <w:color w:val="000000"/>
                                <w:sz w:val="20"/>
                                <w:szCs w:val="22"/>
                              </w:rPr>
                              <w:t>LV</w:t>
                            </w:r>
                          </w:p>
                        </w:tc>
                        <w:tc>
                          <w:tcPr>
                            <w:tcW w:w="1680" w:type="dxa"/>
                            <w:tcBorders>
                              <w:top w:val="nil"/>
                              <w:left w:val="nil"/>
                              <w:bottom w:val="single" w:sz="4" w:space="0" w:color="auto"/>
                              <w:right w:val="single" w:sz="8" w:space="0" w:color="auto"/>
                            </w:tcBorders>
                            <w:shd w:val="clear" w:color="auto" w:fill="auto"/>
                            <w:noWrap/>
                            <w:vAlign w:val="center"/>
                            <w:hideMark/>
                          </w:tcPr>
                          <w:p w:rsidR="00726F91" w:rsidRDefault="00726F91">
                            <w:pPr>
                              <w:jc w:val="right"/>
                              <w:rPr>
                                <w:color w:val="000000"/>
                                <w:sz w:val="20"/>
                                <w:szCs w:val="22"/>
                              </w:rPr>
                            </w:pPr>
                            <w:r>
                              <w:rPr>
                                <w:color w:val="000000"/>
                                <w:sz w:val="20"/>
                                <w:szCs w:val="22"/>
                              </w:rPr>
                              <w:t>52,125.00</w:t>
                            </w:r>
                          </w:p>
                        </w:tc>
                      </w:tr>
                      <w:tr w:rsidR="00726F91">
                        <w:trPr>
                          <w:trHeight w:val="255"/>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rsidR="00726F91" w:rsidRDefault="00726F91">
                            <w:pPr>
                              <w:rPr>
                                <w:color w:val="000000"/>
                                <w:sz w:val="20"/>
                                <w:szCs w:val="22"/>
                              </w:rPr>
                            </w:pPr>
                            <w:r>
                              <w:rPr>
                                <w:color w:val="000000"/>
                                <w:sz w:val="20"/>
                                <w:szCs w:val="22"/>
                              </w:rPr>
                              <w:t>CY</w:t>
                            </w:r>
                          </w:p>
                        </w:tc>
                        <w:tc>
                          <w:tcPr>
                            <w:tcW w:w="1680" w:type="dxa"/>
                            <w:tcBorders>
                              <w:top w:val="nil"/>
                              <w:left w:val="nil"/>
                              <w:bottom w:val="single" w:sz="4" w:space="0" w:color="auto"/>
                              <w:right w:val="single" w:sz="8" w:space="0" w:color="auto"/>
                            </w:tcBorders>
                            <w:shd w:val="clear" w:color="auto" w:fill="auto"/>
                            <w:noWrap/>
                            <w:vAlign w:val="center"/>
                            <w:hideMark/>
                          </w:tcPr>
                          <w:p w:rsidR="00726F91" w:rsidRDefault="00726F91">
                            <w:pPr>
                              <w:jc w:val="right"/>
                              <w:rPr>
                                <w:color w:val="000000"/>
                                <w:sz w:val="20"/>
                                <w:szCs w:val="22"/>
                              </w:rPr>
                            </w:pPr>
                            <w:r>
                              <w:rPr>
                                <w:color w:val="000000"/>
                                <w:sz w:val="20"/>
                                <w:szCs w:val="22"/>
                              </w:rPr>
                              <w:t>23,625.00</w:t>
                            </w:r>
                          </w:p>
                        </w:tc>
                      </w:tr>
                      <w:tr w:rsidR="00726F91">
                        <w:trPr>
                          <w:trHeight w:val="270"/>
                        </w:trPr>
                        <w:tc>
                          <w:tcPr>
                            <w:tcW w:w="1540" w:type="dxa"/>
                            <w:tcBorders>
                              <w:top w:val="nil"/>
                              <w:left w:val="single" w:sz="8" w:space="0" w:color="auto"/>
                              <w:bottom w:val="single" w:sz="8" w:space="0" w:color="auto"/>
                              <w:right w:val="nil"/>
                            </w:tcBorders>
                            <w:shd w:val="clear" w:color="auto" w:fill="auto"/>
                            <w:noWrap/>
                            <w:vAlign w:val="center"/>
                            <w:hideMark/>
                          </w:tcPr>
                          <w:p w:rsidR="00726F91" w:rsidRDefault="00726F91">
                            <w:pPr>
                              <w:jc w:val="right"/>
                              <w:rPr>
                                <w:b/>
                                <w:bCs/>
                                <w:color w:val="000000"/>
                                <w:sz w:val="20"/>
                                <w:szCs w:val="22"/>
                              </w:rPr>
                            </w:pPr>
                            <w:r>
                              <w:rPr>
                                <w:b/>
                                <w:bCs/>
                                <w:color w:val="000000"/>
                                <w:sz w:val="20"/>
                                <w:szCs w:val="22"/>
                              </w:rPr>
                              <w:t>Total</w:t>
                            </w:r>
                          </w:p>
                        </w:tc>
                        <w:tc>
                          <w:tcPr>
                            <w:tcW w:w="1680" w:type="dxa"/>
                            <w:tcBorders>
                              <w:top w:val="nil"/>
                              <w:left w:val="nil"/>
                              <w:bottom w:val="single" w:sz="8" w:space="0" w:color="auto"/>
                              <w:right w:val="single" w:sz="8" w:space="0" w:color="auto"/>
                            </w:tcBorders>
                            <w:shd w:val="clear" w:color="auto" w:fill="auto"/>
                            <w:noWrap/>
                            <w:vAlign w:val="center"/>
                            <w:hideMark/>
                          </w:tcPr>
                          <w:p w:rsidR="00726F91" w:rsidRDefault="00726F91">
                            <w:pPr>
                              <w:jc w:val="center"/>
                              <w:rPr>
                                <w:b/>
                                <w:bCs/>
                                <w:color w:val="000000"/>
                                <w:sz w:val="20"/>
                                <w:szCs w:val="22"/>
                              </w:rPr>
                            </w:pPr>
                            <w:r>
                              <w:rPr>
                                <w:b/>
                                <w:bCs/>
                                <w:color w:val="000000"/>
                                <w:sz w:val="20"/>
                                <w:szCs w:val="22"/>
                              </w:rPr>
                              <w:t>€8,681,824.58</w:t>
                            </w:r>
                          </w:p>
                        </w:tc>
                      </w:tr>
                    </w:tbl>
                    <w:p w:rsidR="00726F91" w:rsidRDefault="00726F91"/>
                    <w:p w:rsidR="00726F91" w:rsidRDefault="00726F91"/>
                    <w:p w:rsidR="00726F91" w:rsidRDefault="00726F91"/>
                    <w:p w:rsidR="00726F91" w:rsidRDefault="00726F91"/>
                  </w:txbxContent>
                </v:textbox>
              </v:shape>
            </w:pict>
          </mc:Fallback>
        </mc:AlternateContent>
      </w:r>
      <w:r>
        <w:rPr>
          <w:b/>
          <w:noProof/>
          <w:sz w:val="22"/>
        </w:rPr>
        <w:t>Table 4 – Euratom financial contribution to new Member States in calls 2014-2016</w:t>
      </w:r>
    </w:p>
    <w:tbl>
      <w:tblPr>
        <w:tblW w:w="3280" w:type="dxa"/>
        <w:tblInd w:w="827" w:type="dxa"/>
        <w:tblLook w:val="04A0" w:firstRow="1" w:lastRow="0" w:firstColumn="1" w:lastColumn="0" w:noHBand="0" w:noVBand="1"/>
      </w:tblPr>
      <w:tblGrid>
        <w:gridCol w:w="1520"/>
        <w:gridCol w:w="1760"/>
      </w:tblGrid>
      <w:tr w:rsidR="00EC06FD">
        <w:trPr>
          <w:trHeight w:val="579"/>
        </w:trPr>
        <w:tc>
          <w:tcPr>
            <w:tcW w:w="3280" w:type="dxa"/>
            <w:gridSpan w:val="2"/>
            <w:tcBorders>
              <w:top w:val="single" w:sz="8" w:space="0" w:color="auto"/>
              <w:left w:val="single" w:sz="8" w:space="0" w:color="auto"/>
              <w:bottom w:val="nil"/>
              <w:right w:val="single" w:sz="8" w:space="0" w:color="auto"/>
            </w:tcBorders>
            <w:shd w:val="clear" w:color="auto" w:fill="auto"/>
            <w:vAlign w:val="center"/>
          </w:tcPr>
          <w:p w:rsidR="00EC06FD" w:rsidRDefault="00F346DE">
            <w:pPr>
              <w:jc w:val="center"/>
              <w:rPr>
                <w:b/>
                <w:bCs/>
                <w:noProof/>
                <w:color w:val="000000"/>
                <w:sz w:val="20"/>
                <w:szCs w:val="20"/>
              </w:rPr>
            </w:pPr>
            <w:r>
              <w:rPr>
                <w:b/>
                <w:bCs/>
                <w:noProof/>
                <w:color w:val="000000"/>
                <w:sz w:val="20"/>
                <w:szCs w:val="20"/>
              </w:rPr>
              <w:t>Calls for proposals 2014/15</w:t>
            </w:r>
          </w:p>
        </w:tc>
      </w:tr>
      <w:tr w:rsidR="00EC06FD">
        <w:trPr>
          <w:trHeight w:val="765"/>
        </w:trPr>
        <w:tc>
          <w:tcPr>
            <w:tcW w:w="1520" w:type="dxa"/>
            <w:tcBorders>
              <w:top w:val="single" w:sz="8" w:space="0" w:color="auto"/>
              <w:left w:val="single" w:sz="8" w:space="0" w:color="auto"/>
              <w:bottom w:val="nil"/>
              <w:right w:val="nil"/>
            </w:tcBorders>
            <w:shd w:val="clear" w:color="auto" w:fill="auto"/>
            <w:vAlign w:val="center"/>
            <w:hideMark/>
          </w:tcPr>
          <w:p w:rsidR="00EC06FD" w:rsidRDefault="00F346DE">
            <w:pPr>
              <w:rPr>
                <w:b/>
                <w:bCs/>
                <w:noProof/>
                <w:color w:val="000000"/>
                <w:sz w:val="20"/>
                <w:szCs w:val="20"/>
              </w:rPr>
            </w:pPr>
            <w:r>
              <w:rPr>
                <w:b/>
                <w:bCs/>
                <w:noProof/>
                <w:color w:val="000000"/>
                <w:sz w:val="20"/>
                <w:szCs w:val="20"/>
              </w:rPr>
              <w:t>EU-13</w:t>
            </w:r>
          </w:p>
        </w:tc>
        <w:tc>
          <w:tcPr>
            <w:tcW w:w="1760" w:type="dxa"/>
            <w:tcBorders>
              <w:top w:val="single" w:sz="8" w:space="0" w:color="auto"/>
              <w:left w:val="nil"/>
              <w:bottom w:val="nil"/>
              <w:right w:val="single" w:sz="8" w:space="0" w:color="auto"/>
            </w:tcBorders>
            <w:shd w:val="clear" w:color="auto" w:fill="auto"/>
            <w:vAlign w:val="center"/>
            <w:hideMark/>
          </w:tcPr>
          <w:p w:rsidR="00EC06FD" w:rsidRDefault="00F346DE">
            <w:pPr>
              <w:jc w:val="center"/>
              <w:rPr>
                <w:b/>
                <w:bCs/>
                <w:noProof/>
                <w:color w:val="000000"/>
                <w:sz w:val="20"/>
                <w:szCs w:val="20"/>
              </w:rPr>
            </w:pPr>
            <w:r>
              <w:rPr>
                <w:b/>
                <w:bCs/>
                <w:noProof/>
                <w:color w:val="000000"/>
                <w:sz w:val="20"/>
                <w:szCs w:val="20"/>
              </w:rPr>
              <w:t>Euratom contribution in grants (€)</w:t>
            </w:r>
          </w:p>
        </w:tc>
      </w:tr>
      <w:tr w:rsidR="00EC06FD">
        <w:trPr>
          <w:trHeight w:val="255"/>
        </w:trPr>
        <w:tc>
          <w:tcPr>
            <w:tcW w:w="15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C06FD" w:rsidRDefault="00F346DE">
            <w:pPr>
              <w:rPr>
                <w:noProof/>
                <w:color w:val="000000"/>
                <w:sz w:val="20"/>
                <w:szCs w:val="20"/>
              </w:rPr>
            </w:pPr>
            <w:r>
              <w:rPr>
                <w:noProof/>
                <w:color w:val="000000"/>
                <w:sz w:val="20"/>
                <w:szCs w:val="20"/>
              </w:rPr>
              <w:t>CZ</w:t>
            </w:r>
          </w:p>
        </w:tc>
        <w:tc>
          <w:tcPr>
            <w:tcW w:w="1760" w:type="dxa"/>
            <w:tcBorders>
              <w:top w:val="single" w:sz="4" w:space="0" w:color="auto"/>
              <w:left w:val="nil"/>
              <w:bottom w:val="single" w:sz="4" w:space="0" w:color="auto"/>
              <w:right w:val="single" w:sz="8" w:space="0" w:color="auto"/>
            </w:tcBorders>
            <w:shd w:val="clear" w:color="auto" w:fill="auto"/>
            <w:noWrap/>
            <w:vAlign w:val="center"/>
            <w:hideMark/>
          </w:tcPr>
          <w:p w:rsidR="00EC06FD" w:rsidRDefault="00F346DE">
            <w:pPr>
              <w:jc w:val="right"/>
              <w:rPr>
                <w:noProof/>
                <w:color w:val="000000"/>
                <w:sz w:val="20"/>
                <w:szCs w:val="20"/>
              </w:rPr>
            </w:pPr>
            <w:r>
              <w:rPr>
                <w:noProof/>
                <w:color w:val="000000"/>
                <w:sz w:val="20"/>
                <w:szCs w:val="20"/>
              </w:rPr>
              <w:t>3,702,753.25</w:t>
            </w:r>
          </w:p>
        </w:tc>
      </w:tr>
      <w:tr w:rsidR="00EC06FD">
        <w:trPr>
          <w:trHeight w:val="255"/>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EC06FD" w:rsidRDefault="00F346DE">
            <w:pPr>
              <w:rPr>
                <w:noProof/>
                <w:color w:val="000000"/>
                <w:sz w:val="20"/>
                <w:szCs w:val="20"/>
              </w:rPr>
            </w:pPr>
            <w:r>
              <w:rPr>
                <w:noProof/>
                <w:color w:val="000000"/>
                <w:sz w:val="20"/>
                <w:szCs w:val="20"/>
              </w:rPr>
              <w:t>SK</w:t>
            </w:r>
          </w:p>
        </w:tc>
        <w:tc>
          <w:tcPr>
            <w:tcW w:w="1760" w:type="dxa"/>
            <w:tcBorders>
              <w:top w:val="nil"/>
              <w:left w:val="nil"/>
              <w:bottom w:val="single" w:sz="4" w:space="0" w:color="auto"/>
              <w:right w:val="single" w:sz="8" w:space="0" w:color="auto"/>
            </w:tcBorders>
            <w:shd w:val="clear" w:color="auto" w:fill="auto"/>
            <w:noWrap/>
            <w:vAlign w:val="center"/>
            <w:hideMark/>
          </w:tcPr>
          <w:p w:rsidR="00EC06FD" w:rsidRDefault="00F346DE">
            <w:pPr>
              <w:jc w:val="right"/>
              <w:rPr>
                <w:noProof/>
                <w:color w:val="000000"/>
                <w:sz w:val="20"/>
                <w:szCs w:val="20"/>
              </w:rPr>
            </w:pPr>
            <w:r>
              <w:rPr>
                <w:noProof/>
                <w:color w:val="000000"/>
                <w:sz w:val="20"/>
                <w:szCs w:val="20"/>
              </w:rPr>
              <w:t>890,748.00</w:t>
            </w:r>
          </w:p>
        </w:tc>
      </w:tr>
      <w:tr w:rsidR="00EC06FD">
        <w:trPr>
          <w:trHeight w:val="255"/>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EC06FD" w:rsidRDefault="00F346DE">
            <w:pPr>
              <w:rPr>
                <w:noProof/>
                <w:color w:val="000000"/>
                <w:sz w:val="20"/>
                <w:szCs w:val="20"/>
              </w:rPr>
            </w:pPr>
            <w:r>
              <w:rPr>
                <w:noProof/>
                <w:color w:val="000000"/>
                <w:sz w:val="20"/>
                <w:szCs w:val="20"/>
              </w:rPr>
              <w:t>LT</w:t>
            </w:r>
          </w:p>
        </w:tc>
        <w:tc>
          <w:tcPr>
            <w:tcW w:w="1760" w:type="dxa"/>
            <w:tcBorders>
              <w:top w:val="nil"/>
              <w:left w:val="nil"/>
              <w:bottom w:val="single" w:sz="4" w:space="0" w:color="auto"/>
              <w:right w:val="single" w:sz="8" w:space="0" w:color="auto"/>
            </w:tcBorders>
            <w:shd w:val="clear" w:color="auto" w:fill="auto"/>
            <w:noWrap/>
            <w:vAlign w:val="center"/>
            <w:hideMark/>
          </w:tcPr>
          <w:p w:rsidR="00EC06FD" w:rsidRDefault="00F346DE">
            <w:pPr>
              <w:jc w:val="right"/>
              <w:rPr>
                <w:noProof/>
                <w:color w:val="000000"/>
                <w:sz w:val="20"/>
                <w:szCs w:val="20"/>
              </w:rPr>
            </w:pPr>
            <w:r>
              <w:rPr>
                <w:noProof/>
                <w:color w:val="000000"/>
                <w:sz w:val="20"/>
                <w:szCs w:val="20"/>
              </w:rPr>
              <w:t>692,477.33</w:t>
            </w:r>
          </w:p>
        </w:tc>
      </w:tr>
      <w:tr w:rsidR="00EC06FD">
        <w:trPr>
          <w:trHeight w:val="255"/>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EC06FD" w:rsidRDefault="00F346DE">
            <w:pPr>
              <w:rPr>
                <w:noProof/>
                <w:color w:val="000000"/>
                <w:sz w:val="20"/>
                <w:szCs w:val="20"/>
              </w:rPr>
            </w:pPr>
            <w:r>
              <w:rPr>
                <w:noProof/>
                <w:color w:val="000000"/>
                <w:sz w:val="20"/>
                <w:szCs w:val="20"/>
              </w:rPr>
              <w:t>PL</w:t>
            </w:r>
          </w:p>
        </w:tc>
        <w:tc>
          <w:tcPr>
            <w:tcW w:w="1760" w:type="dxa"/>
            <w:tcBorders>
              <w:top w:val="nil"/>
              <w:left w:val="nil"/>
              <w:bottom w:val="single" w:sz="4" w:space="0" w:color="auto"/>
              <w:right w:val="single" w:sz="8" w:space="0" w:color="auto"/>
            </w:tcBorders>
            <w:shd w:val="clear" w:color="auto" w:fill="auto"/>
            <w:noWrap/>
            <w:vAlign w:val="center"/>
            <w:hideMark/>
          </w:tcPr>
          <w:p w:rsidR="00EC06FD" w:rsidRDefault="00F346DE">
            <w:pPr>
              <w:jc w:val="right"/>
              <w:rPr>
                <w:noProof/>
                <w:color w:val="000000"/>
                <w:sz w:val="20"/>
                <w:szCs w:val="20"/>
              </w:rPr>
            </w:pPr>
            <w:r>
              <w:rPr>
                <w:noProof/>
                <w:color w:val="000000"/>
                <w:sz w:val="20"/>
                <w:szCs w:val="20"/>
              </w:rPr>
              <w:t>660,944.28</w:t>
            </w:r>
          </w:p>
        </w:tc>
      </w:tr>
      <w:tr w:rsidR="00EC06FD">
        <w:trPr>
          <w:trHeight w:val="255"/>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EC06FD" w:rsidRDefault="00F346DE">
            <w:pPr>
              <w:rPr>
                <w:noProof/>
                <w:color w:val="000000"/>
                <w:sz w:val="20"/>
                <w:szCs w:val="20"/>
              </w:rPr>
            </w:pPr>
            <w:r>
              <w:rPr>
                <w:noProof/>
                <w:color w:val="000000"/>
                <w:sz w:val="20"/>
                <w:szCs w:val="20"/>
              </w:rPr>
              <w:t>HU</w:t>
            </w:r>
          </w:p>
        </w:tc>
        <w:tc>
          <w:tcPr>
            <w:tcW w:w="1760" w:type="dxa"/>
            <w:tcBorders>
              <w:top w:val="nil"/>
              <w:left w:val="nil"/>
              <w:bottom w:val="single" w:sz="4" w:space="0" w:color="auto"/>
              <w:right w:val="single" w:sz="8" w:space="0" w:color="auto"/>
            </w:tcBorders>
            <w:shd w:val="clear" w:color="auto" w:fill="auto"/>
            <w:noWrap/>
            <w:vAlign w:val="center"/>
            <w:hideMark/>
          </w:tcPr>
          <w:p w:rsidR="00EC06FD" w:rsidRDefault="00F346DE">
            <w:pPr>
              <w:jc w:val="right"/>
              <w:rPr>
                <w:noProof/>
                <w:color w:val="000000"/>
                <w:sz w:val="20"/>
                <w:szCs w:val="20"/>
              </w:rPr>
            </w:pPr>
            <w:r>
              <w:rPr>
                <w:noProof/>
                <w:color w:val="000000"/>
                <w:sz w:val="20"/>
                <w:szCs w:val="20"/>
              </w:rPr>
              <w:t>615,853.00</w:t>
            </w:r>
          </w:p>
        </w:tc>
      </w:tr>
      <w:tr w:rsidR="00EC06FD">
        <w:trPr>
          <w:trHeight w:val="255"/>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EC06FD" w:rsidRDefault="00F346DE">
            <w:pPr>
              <w:rPr>
                <w:noProof/>
                <w:color w:val="000000"/>
                <w:sz w:val="20"/>
                <w:szCs w:val="20"/>
              </w:rPr>
            </w:pPr>
            <w:r>
              <w:rPr>
                <w:noProof/>
                <w:color w:val="000000"/>
                <w:sz w:val="20"/>
                <w:szCs w:val="20"/>
              </w:rPr>
              <w:t>BG</w:t>
            </w:r>
          </w:p>
        </w:tc>
        <w:tc>
          <w:tcPr>
            <w:tcW w:w="1760" w:type="dxa"/>
            <w:tcBorders>
              <w:top w:val="nil"/>
              <w:left w:val="nil"/>
              <w:bottom w:val="single" w:sz="4" w:space="0" w:color="auto"/>
              <w:right w:val="single" w:sz="8" w:space="0" w:color="auto"/>
            </w:tcBorders>
            <w:shd w:val="clear" w:color="auto" w:fill="auto"/>
            <w:noWrap/>
            <w:vAlign w:val="center"/>
            <w:hideMark/>
          </w:tcPr>
          <w:p w:rsidR="00EC06FD" w:rsidRDefault="00F346DE">
            <w:pPr>
              <w:jc w:val="right"/>
              <w:rPr>
                <w:noProof/>
                <w:color w:val="000000"/>
                <w:sz w:val="20"/>
                <w:szCs w:val="20"/>
              </w:rPr>
            </w:pPr>
            <w:r>
              <w:rPr>
                <w:noProof/>
                <w:color w:val="000000"/>
                <w:sz w:val="20"/>
                <w:szCs w:val="20"/>
              </w:rPr>
              <w:t>513,019.99</w:t>
            </w:r>
          </w:p>
        </w:tc>
      </w:tr>
      <w:tr w:rsidR="00EC06FD">
        <w:trPr>
          <w:trHeight w:val="255"/>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EC06FD" w:rsidRDefault="00F346DE">
            <w:pPr>
              <w:rPr>
                <w:noProof/>
                <w:color w:val="000000"/>
                <w:sz w:val="20"/>
                <w:szCs w:val="20"/>
              </w:rPr>
            </w:pPr>
            <w:r>
              <w:rPr>
                <w:noProof/>
                <w:color w:val="000000"/>
                <w:sz w:val="20"/>
                <w:szCs w:val="20"/>
              </w:rPr>
              <w:t>SI</w:t>
            </w:r>
          </w:p>
        </w:tc>
        <w:tc>
          <w:tcPr>
            <w:tcW w:w="1760" w:type="dxa"/>
            <w:tcBorders>
              <w:top w:val="nil"/>
              <w:left w:val="nil"/>
              <w:bottom w:val="single" w:sz="4" w:space="0" w:color="auto"/>
              <w:right w:val="single" w:sz="8" w:space="0" w:color="auto"/>
            </w:tcBorders>
            <w:shd w:val="clear" w:color="auto" w:fill="auto"/>
            <w:noWrap/>
            <w:vAlign w:val="center"/>
            <w:hideMark/>
          </w:tcPr>
          <w:p w:rsidR="00EC06FD" w:rsidRDefault="00F346DE">
            <w:pPr>
              <w:jc w:val="right"/>
              <w:rPr>
                <w:noProof/>
                <w:color w:val="000000"/>
                <w:sz w:val="20"/>
                <w:szCs w:val="20"/>
              </w:rPr>
            </w:pPr>
            <w:r>
              <w:rPr>
                <w:noProof/>
                <w:color w:val="000000"/>
                <w:sz w:val="20"/>
                <w:szCs w:val="20"/>
              </w:rPr>
              <w:t>462,367.42</w:t>
            </w:r>
          </w:p>
        </w:tc>
      </w:tr>
      <w:tr w:rsidR="00EC06FD">
        <w:trPr>
          <w:trHeight w:val="255"/>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EC06FD" w:rsidRDefault="00F346DE">
            <w:pPr>
              <w:rPr>
                <w:noProof/>
                <w:color w:val="000000"/>
                <w:sz w:val="20"/>
                <w:szCs w:val="20"/>
              </w:rPr>
            </w:pPr>
            <w:r>
              <w:rPr>
                <w:noProof/>
                <w:color w:val="000000"/>
                <w:sz w:val="20"/>
                <w:szCs w:val="20"/>
              </w:rPr>
              <w:t>EE</w:t>
            </w:r>
          </w:p>
        </w:tc>
        <w:tc>
          <w:tcPr>
            <w:tcW w:w="1760" w:type="dxa"/>
            <w:tcBorders>
              <w:top w:val="nil"/>
              <w:left w:val="nil"/>
              <w:bottom w:val="single" w:sz="4" w:space="0" w:color="auto"/>
              <w:right w:val="single" w:sz="8" w:space="0" w:color="auto"/>
            </w:tcBorders>
            <w:shd w:val="clear" w:color="auto" w:fill="auto"/>
            <w:noWrap/>
            <w:vAlign w:val="center"/>
            <w:hideMark/>
          </w:tcPr>
          <w:p w:rsidR="00EC06FD" w:rsidRDefault="00F346DE">
            <w:pPr>
              <w:jc w:val="right"/>
              <w:rPr>
                <w:noProof/>
                <w:color w:val="000000"/>
                <w:sz w:val="20"/>
                <w:szCs w:val="20"/>
              </w:rPr>
            </w:pPr>
            <w:r>
              <w:rPr>
                <w:noProof/>
                <w:color w:val="000000"/>
                <w:sz w:val="20"/>
                <w:szCs w:val="20"/>
              </w:rPr>
              <w:t>285,706.25</w:t>
            </w:r>
          </w:p>
        </w:tc>
      </w:tr>
      <w:tr w:rsidR="00EC06FD">
        <w:trPr>
          <w:trHeight w:val="255"/>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EC06FD" w:rsidRDefault="00F346DE">
            <w:pPr>
              <w:rPr>
                <w:noProof/>
                <w:color w:val="000000"/>
                <w:sz w:val="20"/>
                <w:szCs w:val="20"/>
              </w:rPr>
            </w:pPr>
            <w:r>
              <w:rPr>
                <w:noProof/>
                <w:color w:val="000000"/>
                <w:sz w:val="20"/>
                <w:szCs w:val="20"/>
              </w:rPr>
              <w:t>RO</w:t>
            </w:r>
          </w:p>
        </w:tc>
        <w:tc>
          <w:tcPr>
            <w:tcW w:w="1760" w:type="dxa"/>
            <w:tcBorders>
              <w:top w:val="nil"/>
              <w:left w:val="nil"/>
              <w:bottom w:val="single" w:sz="4" w:space="0" w:color="auto"/>
              <w:right w:val="single" w:sz="8" w:space="0" w:color="auto"/>
            </w:tcBorders>
            <w:shd w:val="clear" w:color="auto" w:fill="auto"/>
            <w:noWrap/>
            <w:vAlign w:val="center"/>
            <w:hideMark/>
          </w:tcPr>
          <w:p w:rsidR="00EC06FD" w:rsidRDefault="00F346DE">
            <w:pPr>
              <w:jc w:val="right"/>
              <w:rPr>
                <w:noProof/>
                <w:color w:val="000000"/>
                <w:sz w:val="20"/>
                <w:szCs w:val="20"/>
              </w:rPr>
            </w:pPr>
            <w:r>
              <w:rPr>
                <w:noProof/>
                <w:color w:val="000000"/>
                <w:sz w:val="20"/>
                <w:szCs w:val="20"/>
              </w:rPr>
              <w:t>175,312.00</w:t>
            </w:r>
          </w:p>
        </w:tc>
      </w:tr>
      <w:tr w:rsidR="00EC06FD">
        <w:trPr>
          <w:trHeight w:val="255"/>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EC06FD" w:rsidRDefault="00F346DE">
            <w:pPr>
              <w:rPr>
                <w:noProof/>
                <w:color w:val="000000"/>
                <w:sz w:val="20"/>
                <w:szCs w:val="20"/>
              </w:rPr>
            </w:pPr>
            <w:r>
              <w:rPr>
                <w:noProof/>
                <w:color w:val="000000"/>
                <w:sz w:val="20"/>
                <w:szCs w:val="20"/>
              </w:rPr>
              <w:t>LV</w:t>
            </w:r>
          </w:p>
        </w:tc>
        <w:tc>
          <w:tcPr>
            <w:tcW w:w="1760" w:type="dxa"/>
            <w:tcBorders>
              <w:top w:val="nil"/>
              <w:left w:val="nil"/>
              <w:bottom w:val="single" w:sz="4" w:space="0" w:color="auto"/>
              <w:right w:val="single" w:sz="8" w:space="0" w:color="auto"/>
            </w:tcBorders>
            <w:shd w:val="clear" w:color="auto" w:fill="auto"/>
            <w:noWrap/>
            <w:vAlign w:val="center"/>
            <w:hideMark/>
          </w:tcPr>
          <w:p w:rsidR="00EC06FD" w:rsidRDefault="00F346DE">
            <w:pPr>
              <w:jc w:val="right"/>
              <w:rPr>
                <w:noProof/>
                <w:color w:val="000000"/>
                <w:sz w:val="20"/>
                <w:szCs w:val="20"/>
              </w:rPr>
            </w:pPr>
            <w:r>
              <w:rPr>
                <w:noProof/>
                <w:color w:val="000000"/>
                <w:sz w:val="20"/>
                <w:szCs w:val="20"/>
              </w:rPr>
              <w:t>148,612.50</w:t>
            </w:r>
          </w:p>
        </w:tc>
      </w:tr>
      <w:tr w:rsidR="00EC06FD">
        <w:trPr>
          <w:trHeight w:val="255"/>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EC06FD" w:rsidRDefault="00F346DE">
            <w:pPr>
              <w:rPr>
                <w:noProof/>
                <w:color w:val="000000"/>
                <w:sz w:val="20"/>
                <w:szCs w:val="20"/>
              </w:rPr>
            </w:pPr>
            <w:r>
              <w:rPr>
                <w:noProof/>
                <w:color w:val="000000"/>
                <w:sz w:val="20"/>
                <w:szCs w:val="20"/>
              </w:rPr>
              <w:t>HR</w:t>
            </w:r>
          </w:p>
        </w:tc>
        <w:tc>
          <w:tcPr>
            <w:tcW w:w="1760" w:type="dxa"/>
            <w:tcBorders>
              <w:top w:val="nil"/>
              <w:left w:val="nil"/>
              <w:bottom w:val="single" w:sz="4" w:space="0" w:color="auto"/>
              <w:right w:val="single" w:sz="8" w:space="0" w:color="auto"/>
            </w:tcBorders>
            <w:shd w:val="clear" w:color="auto" w:fill="auto"/>
            <w:noWrap/>
            <w:vAlign w:val="center"/>
            <w:hideMark/>
          </w:tcPr>
          <w:p w:rsidR="00EC06FD" w:rsidRDefault="00F346DE">
            <w:pPr>
              <w:jc w:val="right"/>
              <w:rPr>
                <w:noProof/>
                <w:color w:val="000000"/>
                <w:sz w:val="20"/>
                <w:szCs w:val="20"/>
              </w:rPr>
            </w:pPr>
            <w:r>
              <w:rPr>
                <w:noProof/>
                <w:color w:val="000000"/>
                <w:sz w:val="20"/>
                <w:szCs w:val="20"/>
              </w:rPr>
              <w:t>66,937.50</w:t>
            </w:r>
          </w:p>
        </w:tc>
      </w:tr>
      <w:tr w:rsidR="00EC06FD">
        <w:trPr>
          <w:trHeight w:val="270"/>
        </w:trPr>
        <w:tc>
          <w:tcPr>
            <w:tcW w:w="1520" w:type="dxa"/>
            <w:tcBorders>
              <w:top w:val="nil"/>
              <w:left w:val="single" w:sz="8" w:space="0" w:color="auto"/>
              <w:bottom w:val="single" w:sz="8" w:space="0" w:color="auto"/>
              <w:right w:val="nil"/>
            </w:tcBorders>
            <w:shd w:val="clear" w:color="auto" w:fill="auto"/>
            <w:noWrap/>
            <w:vAlign w:val="center"/>
            <w:hideMark/>
          </w:tcPr>
          <w:p w:rsidR="00EC06FD" w:rsidRDefault="00F346DE">
            <w:pPr>
              <w:jc w:val="right"/>
              <w:rPr>
                <w:b/>
                <w:bCs/>
                <w:noProof/>
                <w:color w:val="000000"/>
                <w:sz w:val="20"/>
                <w:szCs w:val="20"/>
              </w:rPr>
            </w:pPr>
            <w:r>
              <w:rPr>
                <w:b/>
                <w:bCs/>
                <w:noProof/>
                <w:color w:val="000000"/>
                <w:sz w:val="20"/>
                <w:szCs w:val="20"/>
              </w:rPr>
              <w:t>Total</w:t>
            </w:r>
          </w:p>
        </w:tc>
        <w:tc>
          <w:tcPr>
            <w:tcW w:w="1760" w:type="dxa"/>
            <w:tcBorders>
              <w:top w:val="nil"/>
              <w:left w:val="nil"/>
              <w:bottom w:val="single" w:sz="8" w:space="0" w:color="auto"/>
              <w:right w:val="single" w:sz="8" w:space="0" w:color="auto"/>
            </w:tcBorders>
            <w:shd w:val="clear" w:color="auto" w:fill="auto"/>
            <w:noWrap/>
            <w:vAlign w:val="center"/>
            <w:hideMark/>
          </w:tcPr>
          <w:p w:rsidR="00EC06FD" w:rsidRDefault="00F346DE">
            <w:pPr>
              <w:jc w:val="right"/>
              <w:rPr>
                <w:b/>
                <w:bCs/>
                <w:noProof/>
                <w:color w:val="000000"/>
                <w:sz w:val="20"/>
                <w:szCs w:val="20"/>
              </w:rPr>
            </w:pPr>
            <w:r>
              <w:rPr>
                <w:b/>
                <w:bCs/>
                <w:noProof/>
                <w:color w:val="000000"/>
                <w:sz w:val="20"/>
                <w:szCs w:val="20"/>
              </w:rPr>
              <w:t>8,214,731.52</w:t>
            </w:r>
          </w:p>
        </w:tc>
      </w:tr>
    </w:tbl>
    <w:p w:rsidR="00EC06FD" w:rsidRDefault="00F346DE">
      <w:pPr>
        <w:pStyle w:val="Text3"/>
        <w:spacing w:after="120"/>
        <w:ind w:left="720"/>
        <w:rPr>
          <w:i/>
          <w:noProof/>
          <w:sz w:val="20"/>
        </w:rPr>
      </w:pPr>
      <w:r>
        <w:rPr>
          <w:i/>
          <w:noProof/>
          <w:sz w:val="20"/>
        </w:rPr>
        <w:t>Source: European Commission</w:t>
      </w:r>
    </w:p>
    <w:p w:rsidR="00EC06FD" w:rsidRDefault="00EC06FD">
      <w:pPr>
        <w:suppressAutoHyphens/>
        <w:spacing w:line="276" w:lineRule="auto"/>
        <w:jc w:val="both"/>
        <w:rPr>
          <w:b/>
          <w:smallCaps/>
          <w:noProof/>
          <w:szCs w:val="20"/>
          <w:lang w:eastAsia="en-US"/>
        </w:rPr>
      </w:pPr>
    </w:p>
    <w:p w:rsidR="00EC06FD" w:rsidRDefault="00F346DE">
      <w:pPr>
        <w:spacing w:after="200" w:line="276" w:lineRule="auto"/>
        <w:rPr>
          <w:b/>
          <w:smallCaps/>
          <w:noProof/>
          <w:szCs w:val="20"/>
          <w:lang w:eastAsia="en-US"/>
        </w:rPr>
      </w:pPr>
      <w:r>
        <w:rPr>
          <w:noProof/>
        </w:rPr>
        <w:br w:type="page"/>
      </w:r>
    </w:p>
    <w:p w:rsidR="00EC06FD" w:rsidRDefault="00F346DE">
      <w:pPr>
        <w:pStyle w:val="Heading1"/>
        <w:suppressAutoHyphens/>
        <w:spacing w:line="276" w:lineRule="auto"/>
        <w:rPr>
          <w:noProof/>
        </w:rPr>
      </w:pPr>
      <w:bookmarkStart w:id="620" w:name="_Toc494899786"/>
      <w:r>
        <w:rPr>
          <w:noProof/>
        </w:rPr>
        <w:lastRenderedPageBreak/>
        <w:t>EFFECTIVENESS OF THE EURATOM PROGRAMME</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20"/>
    </w:p>
    <w:p w:rsidR="00EC06FD" w:rsidRDefault="00F346DE">
      <w:pPr>
        <w:pStyle w:val="Body"/>
        <w:suppressAutoHyphens/>
        <w:rPr>
          <w:rFonts w:ascii="Times New Roman" w:hAnsi="Times New Roman"/>
          <w:noProof/>
          <w:sz w:val="24"/>
          <w:szCs w:val="24"/>
          <w:lang w:eastAsia="en-GB"/>
        </w:rPr>
      </w:pPr>
      <w:bookmarkStart w:id="621" w:name="_Toc474145639"/>
      <w:bookmarkStart w:id="622" w:name="_Toc474513258"/>
      <w:bookmarkStart w:id="623" w:name="_Toc474513406"/>
      <w:bookmarkStart w:id="624" w:name="_Toc474591486"/>
      <w:bookmarkStart w:id="625" w:name="_Toc474522519"/>
      <w:bookmarkStart w:id="626" w:name="_Toc474531744"/>
      <w:bookmarkStart w:id="627" w:name="_Toc474919044"/>
      <w:bookmarkStart w:id="628" w:name="_Toc474942471"/>
      <w:bookmarkStart w:id="629" w:name="_Toc474943467"/>
      <w:bookmarkStart w:id="630" w:name="_Toc474945828"/>
      <w:bookmarkStart w:id="631" w:name="_Toc474859292"/>
      <w:bookmarkStart w:id="632" w:name="_Toc474860759"/>
      <w:bookmarkStart w:id="633" w:name="_Toc474865023"/>
      <w:bookmarkStart w:id="634" w:name="_Toc474872386"/>
      <w:bookmarkStart w:id="635" w:name="_Toc475011633"/>
      <w:bookmarkStart w:id="636" w:name="_Toc475016280"/>
      <w:bookmarkStart w:id="637" w:name="_Toc475020137"/>
      <w:bookmarkStart w:id="638" w:name="_Toc475022834"/>
      <w:bookmarkStart w:id="639" w:name="_Toc475031276"/>
      <w:bookmarkStart w:id="640" w:name="_Toc475031600"/>
      <w:bookmarkStart w:id="641" w:name="_Toc475031674"/>
      <w:bookmarkStart w:id="642" w:name="_Toc475036610"/>
      <w:bookmarkStart w:id="643" w:name="_Toc475038477"/>
      <w:bookmarkStart w:id="644" w:name="_Toc475041871"/>
      <w:bookmarkStart w:id="645" w:name="_Toc475113647"/>
      <w:bookmarkStart w:id="646" w:name="_Toc475478966"/>
      <w:bookmarkStart w:id="647" w:name="_Toc475546816"/>
      <w:bookmarkStart w:id="648" w:name="_Toc475547948"/>
      <w:r>
        <w:rPr>
          <w:rFonts w:ascii="Times New Roman" w:hAnsi="Times New Roman"/>
          <w:noProof/>
          <w:sz w:val="24"/>
          <w:szCs w:val="24"/>
          <w:lang w:eastAsia="en-GB"/>
        </w:rPr>
        <w:t>This section evaluates the progress being made towards the delivery of the objectives of the Euratom Programme. It also includes the evaluation of the main long-term impacts of the previous Euratom Framework Programme.</w:t>
      </w:r>
    </w:p>
    <w:p w:rsidR="00EC06FD" w:rsidRDefault="00EC06FD">
      <w:pPr>
        <w:pStyle w:val="Body"/>
        <w:suppressAutoHyphens/>
        <w:rPr>
          <w:rFonts w:ascii="Times New Roman" w:hAnsi="Times New Roman"/>
          <w:noProof/>
          <w:sz w:val="24"/>
          <w:szCs w:val="24"/>
          <w:lang w:eastAsia="en-GB"/>
        </w:rPr>
      </w:pPr>
    </w:p>
    <w:p w:rsidR="00EC06FD" w:rsidRDefault="00F346DE">
      <w:pPr>
        <w:pStyle w:val="Heading2"/>
        <w:suppressAutoHyphens/>
        <w:spacing w:line="276" w:lineRule="auto"/>
        <w:ind w:left="720"/>
        <w:rPr>
          <w:noProof/>
        </w:rPr>
      </w:pPr>
      <w:bookmarkStart w:id="649" w:name="_Toc494899787"/>
      <w:r>
        <w:rPr>
          <w:noProof/>
        </w:rPr>
        <w:t>Effectiveness of Euratom supported fusion research</w:t>
      </w:r>
      <w:bookmarkEnd w:id="649"/>
    </w:p>
    <w:p w:rsidR="00EC06FD" w:rsidRDefault="00F346DE">
      <w:pPr>
        <w:pStyle w:val="Heading3"/>
        <w:ind w:left="720"/>
        <w:rPr>
          <w:noProof/>
        </w:rPr>
      </w:pPr>
      <w:bookmarkStart w:id="650" w:name="_Toc494899788"/>
      <w:r>
        <w:rPr>
          <w:noProof/>
        </w:rPr>
        <w:t>Implementation of fusion roadmap</w:t>
      </w:r>
      <w:bookmarkEnd w:id="650"/>
    </w:p>
    <w:p w:rsidR="00EC06FD" w:rsidRDefault="00F346DE">
      <w:pPr>
        <w:pStyle w:val="PSParagraphTitle"/>
        <w:suppressAutoHyphens/>
        <w:spacing w:before="0" w:line="276" w:lineRule="auto"/>
        <w:rPr>
          <w:b w:val="0"/>
          <w:i w:val="0"/>
          <w:noProof/>
          <w:sz w:val="24"/>
          <w:szCs w:val="24"/>
        </w:rPr>
      </w:pPr>
      <w:r>
        <w:rPr>
          <w:b w:val="0"/>
          <w:i w:val="0"/>
          <w:noProof/>
          <w:sz w:val="24"/>
          <w:szCs w:val="24"/>
        </w:rPr>
        <w:t>The Council Regulation provides three objectives concerning fusion research:</w:t>
      </w:r>
    </w:p>
    <w:p w:rsidR="00EC06FD" w:rsidRDefault="00F346DE">
      <w:pPr>
        <w:pStyle w:val="PSParagraphTitle"/>
        <w:numPr>
          <w:ilvl w:val="0"/>
          <w:numId w:val="26"/>
        </w:numPr>
        <w:suppressAutoHyphens/>
        <w:spacing w:before="0" w:line="276" w:lineRule="auto"/>
        <w:rPr>
          <w:b w:val="0"/>
          <w:i w:val="0"/>
          <w:noProof/>
          <w:sz w:val="24"/>
          <w:szCs w:val="24"/>
        </w:rPr>
      </w:pPr>
      <w:r>
        <w:rPr>
          <w:b w:val="0"/>
          <w:i w:val="0"/>
          <w:noProof/>
          <w:sz w:val="24"/>
          <w:szCs w:val="24"/>
        </w:rPr>
        <w:t xml:space="preserve">Establishment of ‘European Fusion Programme – a grant (Programme co-fund action) is to be awarded to the legal entities established or designated by Member States and any third country associated to the Euratom Programme and that will develop a joint programme of activities implementing the roadmap towards the goal of electricity production by 2050’. </w:t>
      </w:r>
    </w:p>
    <w:p w:rsidR="00EC06FD" w:rsidRDefault="00F346DE">
      <w:pPr>
        <w:pStyle w:val="PSParagraphTitle"/>
        <w:numPr>
          <w:ilvl w:val="0"/>
          <w:numId w:val="26"/>
        </w:numPr>
        <w:suppressAutoHyphens/>
        <w:spacing w:before="0" w:line="276" w:lineRule="auto"/>
        <w:rPr>
          <w:b w:val="0"/>
          <w:i w:val="0"/>
          <w:noProof/>
          <w:sz w:val="24"/>
          <w:szCs w:val="24"/>
        </w:rPr>
      </w:pPr>
      <w:r>
        <w:rPr>
          <w:b w:val="0"/>
          <w:i w:val="0"/>
          <w:noProof/>
          <w:sz w:val="24"/>
          <w:szCs w:val="24"/>
        </w:rPr>
        <w:t>‘Moving towards demonstration of feasibility of fusion as a power source by exploiting existing and future fusion facilities’</w:t>
      </w:r>
    </w:p>
    <w:p w:rsidR="00EC06FD" w:rsidRDefault="00F346DE">
      <w:pPr>
        <w:pStyle w:val="PSParagraphTitle"/>
        <w:numPr>
          <w:ilvl w:val="0"/>
          <w:numId w:val="26"/>
        </w:numPr>
        <w:suppressAutoHyphens/>
        <w:spacing w:before="0" w:line="276" w:lineRule="auto"/>
        <w:rPr>
          <w:b w:val="0"/>
          <w:i w:val="0"/>
          <w:noProof/>
          <w:sz w:val="24"/>
          <w:szCs w:val="24"/>
        </w:rPr>
      </w:pPr>
      <w:r>
        <w:rPr>
          <w:b w:val="0"/>
          <w:i w:val="0"/>
          <w:noProof/>
          <w:sz w:val="24"/>
          <w:szCs w:val="24"/>
        </w:rPr>
        <w:t>‘Laying the foundations for future fusion power plants by developing materials, technologies and conceptual design’</w:t>
      </w:r>
    </w:p>
    <w:p w:rsidR="00EC06FD" w:rsidRDefault="00F346DE">
      <w:pPr>
        <w:pStyle w:val="PSParagraphTitle"/>
        <w:suppressAutoHyphens/>
        <w:spacing w:before="0" w:line="276" w:lineRule="auto"/>
        <w:rPr>
          <w:b w:val="0"/>
          <w:i w:val="0"/>
          <w:noProof/>
          <w:sz w:val="24"/>
          <w:szCs w:val="24"/>
        </w:rPr>
      </w:pPr>
      <w:r>
        <w:rPr>
          <w:b w:val="0"/>
          <w:i w:val="0"/>
          <w:noProof/>
          <w:sz w:val="24"/>
          <w:szCs w:val="24"/>
        </w:rPr>
        <w:t xml:space="preserve">In order to implement these objectives, and following the expiry of Contracts of Association and European Fusion Development Agreement (EFDA), which had defined the structure of European fusion research for many years until 2013, the Commission put in place in 2014 a radically different approach based on a comprehensive European Joint Programme implemented by all national fusion labs in line with an agreed goal-oriented research roadmap to fusion electricity. The effective integration of all national efforts across Europe represents a first for any EU-promoted research field and includes comprehensive research activities in some 33 separate work packages (projects and taskforces), also covering education and training actions, international cooperation aspects, industrial involvement, centralised programme management, and the efficient use of key resources through a truly transnational access approach to key facilities. Programme and project management and related governance structures have become more transparent, with information readily available to the Commission services that retain overall monitoring and assessment responsibilities. </w:t>
      </w:r>
    </w:p>
    <w:p w:rsidR="00EC06FD" w:rsidRDefault="00F346DE">
      <w:pPr>
        <w:suppressAutoHyphens/>
        <w:spacing w:after="120" w:line="276" w:lineRule="auto"/>
        <w:jc w:val="both"/>
        <w:rPr>
          <w:b/>
          <w:noProof/>
        </w:rPr>
      </w:pPr>
      <w:r>
        <w:rPr>
          <w:noProof/>
        </w:rPr>
        <w:t xml:space="preserve">Euratom-funded research activities in fusion are centred around a fusion roadmap - </w:t>
      </w:r>
      <w:r>
        <w:rPr>
          <w:i/>
          <w:noProof/>
        </w:rPr>
        <w:t>'Fusion Electricity – A roadmap to the realisation of fusion energy’</w:t>
      </w:r>
      <w:r>
        <w:rPr>
          <w:rStyle w:val="FootnoteReference"/>
          <w:noProof/>
        </w:rPr>
        <w:footnoteReference w:id="33"/>
      </w:r>
      <w:r>
        <w:rPr>
          <w:noProof/>
        </w:rPr>
        <w:t xml:space="preserve">. It is the guiding document of the Joint Programme, representing a comprehensive and detailed goal-oriented approach to the challenge of developing magnetic confinement fusion as an energy source. </w:t>
      </w:r>
      <w:r>
        <w:rPr>
          <w:b/>
          <w:noProof/>
        </w:rPr>
        <w:t xml:space="preserve">Though fusion energy remains a long-term endeavour, the EUROfusion consortium has made tangible and incremental progress along this roadmap in the first three years (2014-16), with the vast majority of the agreed deliverables and milestones achieved, as set out in its annual </w:t>
      </w:r>
      <w:r>
        <w:rPr>
          <w:b/>
          <w:noProof/>
        </w:rPr>
        <w:lastRenderedPageBreak/>
        <w:t>Work Plans (Table 5), and this despite 2014 being a transitional year involving the setting up of the new organisational structure.</w:t>
      </w:r>
    </w:p>
    <w:p w:rsidR="00EC06FD" w:rsidRDefault="00EC06FD">
      <w:pPr>
        <w:pStyle w:val="Body"/>
        <w:suppressAutoHyphens/>
        <w:rPr>
          <w:rFonts w:ascii="Times New Roman" w:hAnsi="Times New Roman"/>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1"/>
        <w:gridCol w:w="2418"/>
        <w:gridCol w:w="2557"/>
        <w:gridCol w:w="1384"/>
        <w:gridCol w:w="1362"/>
      </w:tblGrid>
      <w:tr w:rsidR="00EC06FD">
        <w:trPr>
          <w:trHeight w:val="227"/>
        </w:trPr>
        <w:tc>
          <w:tcPr>
            <w:tcW w:w="9092" w:type="dxa"/>
            <w:gridSpan w:val="5"/>
            <w:shd w:val="clear" w:color="auto" w:fill="D9D9D9"/>
            <w:tcMar>
              <w:top w:w="0" w:type="dxa"/>
              <w:left w:w="10" w:type="dxa"/>
              <w:bottom w:w="0" w:type="dxa"/>
              <w:right w:w="10" w:type="dxa"/>
            </w:tcMar>
            <w:vAlign w:val="center"/>
          </w:tcPr>
          <w:p w:rsidR="00EC06FD" w:rsidRDefault="00F346DE">
            <w:pPr>
              <w:pStyle w:val="PStabletxtCenter"/>
              <w:suppressAutoHyphens/>
              <w:spacing w:line="276" w:lineRule="auto"/>
              <w:rPr>
                <w:b/>
                <w:noProof/>
                <w:sz w:val="20"/>
              </w:rPr>
            </w:pPr>
            <w:r>
              <w:rPr>
                <w:b/>
                <w:noProof/>
                <w:sz w:val="20"/>
              </w:rPr>
              <w:t>Table 5</w:t>
            </w:r>
          </w:p>
          <w:p w:rsidR="00EC06FD" w:rsidRDefault="00F346DE">
            <w:pPr>
              <w:pStyle w:val="PStabletxtCenter"/>
              <w:suppressAutoHyphens/>
              <w:spacing w:line="276" w:lineRule="auto"/>
              <w:rPr>
                <w:b/>
                <w:noProof/>
                <w:sz w:val="20"/>
              </w:rPr>
            </w:pPr>
            <w:r>
              <w:rPr>
                <w:b/>
                <w:noProof/>
                <w:sz w:val="20"/>
              </w:rPr>
              <w:t xml:space="preserve">The percentage of the Fusion Roadmap's milestones established for the period 2014-2018 </w:t>
            </w:r>
            <w:r>
              <w:rPr>
                <w:b/>
                <w:noProof/>
                <w:sz w:val="20"/>
              </w:rPr>
              <w:br/>
              <w:t>that have been achieved by EUROfusion</w:t>
            </w:r>
          </w:p>
        </w:tc>
      </w:tr>
      <w:tr w:rsidR="00EC06FD">
        <w:trPr>
          <w:trHeight w:val="227"/>
        </w:trPr>
        <w:tc>
          <w:tcPr>
            <w:tcW w:w="9092" w:type="dxa"/>
            <w:gridSpan w:val="5"/>
            <w:shd w:val="clear" w:color="auto" w:fill="D9D9D9"/>
            <w:tcMar>
              <w:top w:w="0" w:type="dxa"/>
              <w:left w:w="10" w:type="dxa"/>
              <w:bottom w:w="0" w:type="dxa"/>
              <w:right w:w="10" w:type="dxa"/>
            </w:tcMar>
            <w:vAlign w:val="center"/>
            <w:hideMark/>
          </w:tcPr>
          <w:p w:rsidR="00EC06FD" w:rsidRDefault="00F346DE">
            <w:pPr>
              <w:pStyle w:val="PStabletxtCenter"/>
              <w:suppressAutoHyphens/>
              <w:spacing w:line="276" w:lineRule="auto"/>
              <w:rPr>
                <w:noProof/>
                <w:sz w:val="20"/>
              </w:rPr>
            </w:pPr>
            <w:r>
              <w:rPr>
                <w:noProof/>
                <w:sz w:val="20"/>
              </w:rPr>
              <w:t>Milestones to be achieved by end of year indicate (forecast)</w:t>
            </w:r>
            <w:r>
              <w:rPr>
                <w:rStyle w:val="FootnoteReference"/>
                <w:noProof/>
                <w:sz w:val="20"/>
              </w:rPr>
              <w:footnoteReference w:id="34"/>
            </w:r>
          </w:p>
        </w:tc>
      </w:tr>
      <w:tr w:rsidR="00EC06FD">
        <w:trPr>
          <w:trHeight w:val="227"/>
        </w:trPr>
        <w:tc>
          <w:tcPr>
            <w:tcW w:w="1371" w:type="dxa"/>
            <w:shd w:val="clear" w:color="auto" w:fill="D9D9D9"/>
            <w:tcMar>
              <w:top w:w="0" w:type="dxa"/>
              <w:left w:w="10" w:type="dxa"/>
              <w:bottom w:w="0" w:type="dxa"/>
              <w:right w:w="10" w:type="dxa"/>
            </w:tcMar>
            <w:vAlign w:val="center"/>
            <w:hideMark/>
          </w:tcPr>
          <w:p w:rsidR="00EC06FD" w:rsidRDefault="00F346DE">
            <w:pPr>
              <w:pStyle w:val="PStabletxtCenter"/>
              <w:suppressAutoHyphens/>
              <w:spacing w:line="276" w:lineRule="auto"/>
              <w:rPr>
                <w:noProof/>
                <w:sz w:val="20"/>
              </w:rPr>
            </w:pPr>
            <w:r>
              <w:rPr>
                <w:noProof/>
                <w:sz w:val="20"/>
              </w:rPr>
              <w:t>2014</w:t>
            </w:r>
          </w:p>
        </w:tc>
        <w:tc>
          <w:tcPr>
            <w:tcW w:w="2418" w:type="dxa"/>
            <w:shd w:val="clear" w:color="auto" w:fill="D9D9D9"/>
            <w:vAlign w:val="center"/>
          </w:tcPr>
          <w:p w:rsidR="00EC06FD" w:rsidRDefault="00F346DE">
            <w:pPr>
              <w:pStyle w:val="PStabletxtCenter"/>
              <w:suppressAutoHyphens/>
              <w:spacing w:line="276" w:lineRule="auto"/>
              <w:rPr>
                <w:noProof/>
                <w:sz w:val="20"/>
              </w:rPr>
            </w:pPr>
            <w:r>
              <w:rPr>
                <w:noProof/>
                <w:sz w:val="20"/>
              </w:rPr>
              <w:t>2015</w:t>
            </w:r>
          </w:p>
        </w:tc>
        <w:tc>
          <w:tcPr>
            <w:tcW w:w="2557" w:type="dxa"/>
            <w:shd w:val="clear" w:color="auto" w:fill="D9D9D9"/>
            <w:vAlign w:val="center"/>
          </w:tcPr>
          <w:p w:rsidR="00EC06FD" w:rsidRDefault="00F346DE">
            <w:pPr>
              <w:pStyle w:val="PStabletxtCenter"/>
              <w:suppressAutoHyphens/>
              <w:spacing w:line="276" w:lineRule="auto"/>
              <w:rPr>
                <w:noProof/>
                <w:sz w:val="20"/>
              </w:rPr>
            </w:pPr>
            <w:r>
              <w:rPr>
                <w:noProof/>
                <w:sz w:val="20"/>
              </w:rPr>
              <w:t>2016</w:t>
            </w:r>
          </w:p>
        </w:tc>
        <w:tc>
          <w:tcPr>
            <w:tcW w:w="1384" w:type="dxa"/>
            <w:shd w:val="clear" w:color="auto" w:fill="D9D9D9"/>
            <w:vAlign w:val="center"/>
          </w:tcPr>
          <w:p w:rsidR="00EC06FD" w:rsidRDefault="00F346DE">
            <w:pPr>
              <w:pStyle w:val="PStabletxtCenter"/>
              <w:suppressAutoHyphens/>
              <w:spacing w:line="276" w:lineRule="auto"/>
              <w:rPr>
                <w:noProof/>
                <w:sz w:val="20"/>
              </w:rPr>
            </w:pPr>
            <w:r>
              <w:rPr>
                <w:noProof/>
                <w:sz w:val="20"/>
              </w:rPr>
              <w:t>2017</w:t>
            </w:r>
          </w:p>
        </w:tc>
        <w:tc>
          <w:tcPr>
            <w:tcW w:w="1362" w:type="dxa"/>
            <w:shd w:val="clear" w:color="auto" w:fill="D9D9D9"/>
          </w:tcPr>
          <w:p w:rsidR="00EC06FD" w:rsidRDefault="00F346DE">
            <w:pPr>
              <w:pStyle w:val="PStabletxtCenter"/>
              <w:suppressAutoHyphens/>
              <w:spacing w:line="276" w:lineRule="auto"/>
              <w:rPr>
                <w:noProof/>
                <w:sz w:val="20"/>
              </w:rPr>
            </w:pPr>
            <w:r>
              <w:rPr>
                <w:noProof/>
                <w:sz w:val="20"/>
              </w:rPr>
              <w:t>2018</w:t>
            </w:r>
          </w:p>
        </w:tc>
      </w:tr>
      <w:tr w:rsidR="00EC06FD">
        <w:trPr>
          <w:trHeight w:val="227"/>
        </w:trPr>
        <w:tc>
          <w:tcPr>
            <w:tcW w:w="1371" w:type="dxa"/>
            <w:tcMar>
              <w:top w:w="0" w:type="dxa"/>
              <w:left w:w="10" w:type="dxa"/>
              <w:bottom w:w="0" w:type="dxa"/>
              <w:right w:w="57" w:type="dxa"/>
            </w:tcMar>
            <w:vAlign w:val="center"/>
          </w:tcPr>
          <w:p w:rsidR="00EC06FD" w:rsidRDefault="00F346DE">
            <w:pPr>
              <w:pStyle w:val="PStabletxtCenter"/>
              <w:suppressAutoHyphens/>
              <w:spacing w:line="276" w:lineRule="auto"/>
              <w:rPr>
                <w:noProof/>
                <w:sz w:val="20"/>
              </w:rPr>
            </w:pPr>
            <w:r>
              <w:rPr>
                <w:noProof/>
                <w:sz w:val="20"/>
              </w:rPr>
              <w:t>13 %</w:t>
            </w:r>
          </w:p>
        </w:tc>
        <w:tc>
          <w:tcPr>
            <w:tcW w:w="2418" w:type="dxa"/>
            <w:vAlign w:val="center"/>
          </w:tcPr>
          <w:p w:rsidR="00EC06FD" w:rsidRDefault="00F346DE">
            <w:pPr>
              <w:pStyle w:val="PStabletxtCenter"/>
              <w:suppressAutoHyphens/>
              <w:spacing w:line="276" w:lineRule="auto"/>
              <w:rPr>
                <w:noProof/>
                <w:sz w:val="20"/>
              </w:rPr>
            </w:pPr>
            <w:r>
              <w:rPr>
                <w:noProof/>
                <w:sz w:val="20"/>
              </w:rPr>
              <w:t>31 %</w:t>
            </w:r>
          </w:p>
        </w:tc>
        <w:tc>
          <w:tcPr>
            <w:tcW w:w="2557" w:type="dxa"/>
            <w:vAlign w:val="center"/>
          </w:tcPr>
          <w:p w:rsidR="00EC06FD" w:rsidRDefault="00F346DE">
            <w:pPr>
              <w:pStyle w:val="PStabletxtCenter"/>
              <w:suppressAutoHyphens/>
              <w:spacing w:line="276" w:lineRule="auto"/>
              <w:rPr>
                <w:noProof/>
                <w:sz w:val="20"/>
              </w:rPr>
            </w:pPr>
            <w:r>
              <w:rPr>
                <w:noProof/>
                <w:sz w:val="20"/>
              </w:rPr>
              <w:t>54 %</w:t>
            </w:r>
          </w:p>
        </w:tc>
        <w:tc>
          <w:tcPr>
            <w:tcW w:w="1384" w:type="dxa"/>
            <w:vAlign w:val="center"/>
          </w:tcPr>
          <w:p w:rsidR="00EC06FD" w:rsidRDefault="00F346DE">
            <w:pPr>
              <w:pStyle w:val="PStabletxtCenter"/>
              <w:suppressAutoHyphens/>
              <w:spacing w:line="276" w:lineRule="auto"/>
              <w:rPr>
                <w:noProof/>
                <w:sz w:val="20"/>
              </w:rPr>
            </w:pPr>
            <w:r>
              <w:rPr>
                <w:noProof/>
                <w:sz w:val="20"/>
              </w:rPr>
              <w:t>75 %</w:t>
            </w:r>
          </w:p>
        </w:tc>
        <w:tc>
          <w:tcPr>
            <w:tcW w:w="1362" w:type="dxa"/>
          </w:tcPr>
          <w:p w:rsidR="00EC06FD" w:rsidRDefault="00F346DE">
            <w:pPr>
              <w:pStyle w:val="PStabletxtCenter"/>
              <w:suppressAutoHyphens/>
              <w:spacing w:line="276" w:lineRule="auto"/>
              <w:rPr>
                <w:noProof/>
                <w:sz w:val="20"/>
              </w:rPr>
            </w:pPr>
            <w:r>
              <w:rPr>
                <w:noProof/>
                <w:sz w:val="20"/>
              </w:rPr>
              <w:t>90%</w:t>
            </w:r>
          </w:p>
        </w:tc>
      </w:tr>
      <w:tr w:rsidR="00EC06FD">
        <w:trPr>
          <w:trHeight w:val="227"/>
        </w:trPr>
        <w:tc>
          <w:tcPr>
            <w:tcW w:w="9092" w:type="dxa"/>
            <w:gridSpan w:val="5"/>
            <w:shd w:val="clear" w:color="auto" w:fill="D9D9D9"/>
            <w:tcMar>
              <w:top w:w="0" w:type="dxa"/>
              <w:left w:w="10" w:type="dxa"/>
              <w:bottom w:w="0" w:type="dxa"/>
              <w:right w:w="57" w:type="dxa"/>
            </w:tcMar>
            <w:vAlign w:val="center"/>
            <w:hideMark/>
          </w:tcPr>
          <w:p w:rsidR="00EC06FD" w:rsidRDefault="00F346DE">
            <w:pPr>
              <w:pStyle w:val="PStabletxtCenter"/>
              <w:suppressAutoHyphens/>
              <w:spacing w:line="276" w:lineRule="auto"/>
              <w:rPr>
                <w:noProof/>
                <w:sz w:val="20"/>
              </w:rPr>
            </w:pPr>
            <w:r>
              <w:rPr>
                <w:noProof/>
                <w:sz w:val="20"/>
              </w:rPr>
              <w:t>Actual results according to annual reporting</w:t>
            </w:r>
          </w:p>
        </w:tc>
      </w:tr>
      <w:tr w:rsidR="00EC06FD">
        <w:trPr>
          <w:trHeight w:val="227"/>
        </w:trPr>
        <w:tc>
          <w:tcPr>
            <w:tcW w:w="1371" w:type="dxa"/>
            <w:tcMar>
              <w:top w:w="0" w:type="dxa"/>
              <w:left w:w="10" w:type="dxa"/>
              <w:bottom w:w="0" w:type="dxa"/>
              <w:right w:w="57" w:type="dxa"/>
            </w:tcMar>
            <w:vAlign w:val="center"/>
          </w:tcPr>
          <w:p w:rsidR="00EC06FD" w:rsidRDefault="00F346DE">
            <w:pPr>
              <w:pStyle w:val="PStabletxtCenter"/>
              <w:suppressAutoHyphens/>
              <w:spacing w:line="276" w:lineRule="auto"/>
              <w:rPr>
                <w:noProof/>
                <w:sz w:val="20"/>
              </w:rPr>
            </w:pPr>
            <w:r>
              <w:rPr>
                <w:noProof/>
                <w:sz w:val="20"/>
              </w:rPr>
              <w:t>13 %</w:t>
            </w:r>
          </w:p>
        </w:tc>
        <w:tc>
          <w:tcPr>
            <w:tcW w:w="2418" w:type="dxa"/>
            <w:vAlign w:val="center"/>
          </w:tcPr>
          <w:p w:rsidR="00EC06FD" w:rsidRDefault="00F346DE">
            <w:pPr>
              <w:pStyle w:val="PStabletxtCenter"/>
              <w:suppressAutoHyphens/>
              <w:spacing w:line="276" w:lineRule="auto"/>
              <w:rPr>
                <w:noProof/>
                <w:sz w:val="20"/>
              </w:rPr>
            </w:pPr>
            <w:r>
              <w:rPr>
                <w:noProof/>
                <w:sz w:val="20"/>
              </w:rPr>
              <w:t>31%</w:t>
            </w:r>
          </w:p>
        </w:tc>
        <w:tc>
          <w:tcPr>
            <w:tcW w:w="2557" w:type="dxa"/>
            <w:vAlign w:val="center"/>
          </w:tcPr>
          <w:p w:rsidR="00EC06FD" w:rsidRDefault="00F346DE">
            <w:pPr>
              <w:pStyle w:val="PStabletxtCenter"/>
              <w:suppressAutoHyphens/>
              <w:spacing w:line="276" w:lineRule="auto"/>
              <w:rPr>
                <w:noProof/>
                <w:sz w:val="20"/>
              </w:rPr>
            </w:pPr>
            <w:r>
              <w:rPr>
                <w:noProof/>
                <w:sz w:val="20"/>
              </w:rPr>
              <w:t>47%</w:t>
            </w:r>
          </w:p>
        </w:tc>
        <w:tc>
          <w:tcPr>
            <w:tcW w:w="1384" w:type="dxa"/>
            <w:vAlign w:val="center"/>
          </w:tcPr>
          <w:p w:rsidR="00EC06FD" w:rsidRDefault="00F346DE">
            <w:pPr>
              <w:pStyle w:val="PStabletxtCenter"/>
              <w:suppressAutoHyphens/>
              <w:spacing w:line="276" w:lineRule="auto"/>
              <w:rPr>
                <w:noProof/>
                <w:sz w:val="20"/>
              </w:rPr>
            </w:pPr>
            <w:r>
              <w:rPr>
                <w:noProof/>
                <w:sz w:val="20"/>
              </w:rPr>
              <w:t>n/a</w:t>
            </w:r>
          </w:p>
        </w:tc>
        <w:tc>
          <w:tcPr>
            <w:tcW w:w="1362" w:type="dxa"/>
          </w:tcPr>
          <w:p w:rsidR="00EC06FD" w:rsidRDefault="00F346DE">
            <w:pPr>
              <w:pStyle w:val="PStabletxtCenter"/>
              <w:suppressAutoHyphens/>
              <w:spacing w:line="276" w:lineRule="auto"/>
              <w:rPr>
                <w:noProof/>
                <w:sz w:val="20"/>
              </w:rPr>
            </w:pPr>
            <w:r>
              <w:rPr>
                <w:noProof/>
                <w:sz w:val="20"/>
              </w:rPr>
              <w:t>n/a</w:t>
            </w:r>
          </w:p>
        </w:tc>
      </w:tr>
    </w:tbl>
    <w:p w:rsidR="00EC06FD" w:rsidRDefault="00F346DE">
      <w:pPr>
        <w:pStyle w:val="Text3"/>
        <w:spacing w:after="120"/>
        <w:ind w:left="0"/>
        <w:rPr>
          <w:i/>
          <w:noProof/>
          <w:sz w:val="20"/>
        </w:rPr>
      </w:pPr>
      <w:r>
        <w:rPr>
          <w:i/>
          <w:noProof/>
          <w:sz w:val="20"/>
        </w:rPr>
        <w:t xml:space="preserve"> Source: European Commission, annual reports from EUROfusion</w:t>
      </w:r>
    </w:p>
    <w:p w:rsidR="00EC06FD" w:rsidRDefault="00EC06FD">
      <w:pPr>
        <w:pStyle w:val="Body"/>
        <w:suppressAutoHyphens/>
        <w:rPr>
          <w:rFonts w:ascii="Times New Roman" w:hAnsi="Times New Roman"/>
          <w:noProof/>
        </w:rPr>
      </w:pPr>
    </w:p>
    <w:p w:rsidR="00EC06FD" w:rsidRDefault="00F346DE">
      <w:pPr>
        <w:pStyle w:val="Body"/>
        <w:suppressAutoHyphens/>
        <w:rPr>
          <w:rFonts w:ascii="Times New Roman" w:hAnsi="Times New Roman"/>
          <w:noProof/>
          <w:sz w:val="24"/>
          <w:lang w:eastAsia="en-GB"/>
        </w:rPr>
      </w:pPr>
      <w:r>
        <w:rPr>
          <w:rFonts w:ascii="Times New Roman" w:hAnsi="Times New Roman"/>
          <w:noProof/>
          <w:sz w:val="24"/>
          <w:lang w:eastAsia="en-GB"/>
        </w:rPr>
        <w:t xml:space="preserve">The fusion Roadmap is articulated in eight Missions addressing key issues for developing fusion as </w:t>
      </w:r>
      <w:r>
        <w:rPr>
          <w:rFonts w:ascii="Times New Roman" w:hAnsi="Times New Roman"/>
          <w:noProof/>
          <w:sz w:val="24"/>
          <w:szCs w:val="24"/>
          <w:lang w:eastAsia="en-GB"/>
        </w:rPr>
        <w:t xml:space="preserve">an </w:t>
      </w:r>
      <w:r>
        <w:rPr>
          <w:rFonts w:ascii="Times New Roman" w:hAnsi="Times New Roman"/>
          <w:noProof/>
          <w:sz w:val="24"/>
          <w:lang w:eastAsia="en-GB"/>
        </w:rPr>
        <w:t>energy source. The Commission Expert Group concluded that following the definition of the Roadmap in 2012, the Euratom programme has made substantial progress to secure the success of ITER and lay the foundation for a demonstration fusion power plant (DEMO)</w:t>
      </w:r>
      <w:r>
        <w:rPr>
          <w:rStyle w:val="FootnoteReference"/>
          <w:rFonts w:ascii="Times New Roman" w:hAnsi="Times New Roman"/>
          <w:noProof/>
          <w:sz w:val="24"/>
          <w:lang w:eastAsia="en-GB"/>
        </w:rPr>
        <w:footnoteReference w:id="35"/>
      </w:r>
      <w:r>
        <w:rPr>
          <w:rFonts w:ascii="Times New Roman" w:hAnsi="Times New Roman"/>
          <w:noProof/>
          <w:sz w:val="24"/>
          <w:lang w:eastAsia="en-GB"/>
        </w:rPr>
        <w:t xml:space="preserve">. Furthermore, </w:t>
      </w:r>
      <w:r>
        <w:rPr>
          <w:rFonts w:ascii="Times New Roman" w:hAnsi="Times New Roman"/>
          <w:noProof/>
          <w:sz w:val="24"/>
          <w:szCs w:val="24"/>
          <w:lang w:eastAsia="en-GB"/>
        </w:rPr>
        <w:t xml:space="preserve">in July 2016, the international expert panel set up by the Commission to perform a Mid-Term Review of EUROfusion, concluded that </w:t>
      </w:r>
      <w:r>
        <w:rPr>
          <w:rFonts w:ascii="Times New Roman" w:hAnsi="Times New Roman"/>
          <w:i/>
          <w:noProof/>
          <w:sz w:val="24"/>
          <w:lang w:eastAsia="en-GB"/>
        </w:rPr>
        <w:t xml:space="preserve">'In relation to the scientific and technical work, the Panel considers that this has largely continued as planned with a high proportion of milestones and deliverables being achieved, and with some notable successes in this period – the experiments with metal/ITER-like walls on medium sized tokamaks and JET, the completion of the construction of Wendelstein 7X and its start-up, and the introduction of a new supercomputer for fusion modelling studies'. </w:t>
      </w:r>
      <w:r>
        <w:rPr>
          <w:rFonts w:ascii="Times New Roman" w:hAnsi="Times New Roman"/>
          <w:noProof/>
          <w:sz w:val="24"/>
          <w:lang w:eastAsia="en-GB"/>
        </w:rPr>
        <w:t>Table 11 provides an overview of main results expected from fusion research funded by the Euratom Programme and Annex 4 provides an overview of important scientific achievements in 2016.</w:t>
      </w:r>
      <w:r>
        <w:rPr>
          <w:rFonts w:ascii="Times New Roman" w:hAnsi="Times New Roman"/>
          <w:i/>
          <w:noProof/>
          <w:sz w:val="24"/>
          <w:lang w:eastAsia="en-GB"/>
        </w:rPr>
        <w:t xml:space="preserve"> </w:t>
      </w:r>
    </w:p>
    <w:p w:rsidR="00EC06FD" w:rsidRDefault="00EC06FD">
      <w:pPr>
        <w:pStyle w:val="Body"/>
        <w:suppressAutoHyphens/>
        <w:rPr>
          <w:rFonts w:ascii="Times New Roman" w:hAnsi="Times New Roman"/>
          <w:i/>
          <w:noProof/>
          <w:sz w:val="24"/>
          <w:lang w:eastAsia="en-GB"/>
        </w:rPr>
      </w:pPr>
    </w:p>
    <w:tbl>
      <w:tblPr>
        <w:tblStyle w:val="TableGrid"/>
        <w:tblW w:w="8505" w:type="dxa"/>
        <w:jc w:val="center"/>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505"/>
      </w:tblGrid>
      <w:tr w:rsidR="00EC06FD">
        <w:trPr>
          <w:trHeight w:val="1211"/>
          <w:jc w:val="center"/>
        </w:trPr>
        <w:tc>
          <w:tcPr>
            <w:tcW w:w="8505" w:type="dxa"/>
            <w:shd w:val="clear" w:color="auto" w:fill="DBE5F1" w:themeFill="accent1" w:themeFillTint="33"/>
            <w:vAlign w:val="center"/>
          </w:tcPr>
          <w:p w:rsidR="00EC06FD" w:rsidRDefault="00F346DE">
            <w:pPr>
              <w:suppressAutoHyphens/>
              <w:spacing w:line="276" w:lineRule="auto"/>
              <w:ind w:left="1877"/>
              <w:jc w:val="both"/>
              <w:rPr>
                <w:rFonts w:asciiTheme="minorHAnsi" w:hAnsiTheme="minorHAnsi"/>
                <w:b/>
                <w:noProof/>
                <w:color w:val="00B0F0"/>
                <w:sz w:val="22"/>
              </w:rPr>
            </w:pPr>
            <w:r>
              <w:rPr>
                <w:b/>
                <w:noProof/>
                <w:color w:val="00B0F0"/>
              </w:rPr>
              <w:drawing>
                <wp:anchor distT="0" distB="0" distL="114300" distR="114300" simplePos="0" relativeHeight="251660288" behindDoc="0" locked="0" layoutInCell="1" allowOverlap="1" wp14:anchorId="22AAE640" wp14:editId="114FF49A">
                  <wp:simplePos x="0" y="0"/>
                  <wp:positionH relativeFrom="column">
                    <wp:posOffset>-8890</wp:posOffset>
                  </wp:positionH>
                  <wp:positionV relativeFrom="paragraph">
                    <wp:posOffset>136525</wp:posOffset>
                  </wp:positionV>
                  <wp:extent cx="1322705" cy="3657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2705" cy="365760"/>
                          </a:xfrm>
                          <a:prstGeom prst="rect">
                            <a:avLst/>
                          </a:prstGeom>
                          <a:noFill/>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EC06FD" w:rsidRDefault="00F346DE">
            <w:pPr>
              <w:suppressAutoHyphens/>
              <w:spacing w:line="276" w:lineRule="auto"/>
              <w:ind w:left="2160"/>
              <w:jc w:val="both"/>
              <w:rPr>
                <w:rFonts w:asciiTheme="minorHAnsi" w:hAnsiTheme="minorHAnsi"/>
                <w:b/>
                <w:noProof/>
                <w:color w:val="00B0F0"/>
                <w:sz w:val="22"/>
              </w:rPr>
            </w:pPr>
            <w:r>
              <w:rPr>
                <w:rFonts w:asciiTheme="minorHAnsi" w:hAnsiTheme="minorHAnsi"/>
                <w:b/>
                <w:noProof/>
                <w:color w:val="00B0F0"/>
                <w:sz w:val="22"/>
              </w:rPr>
              <w:t>Public consultation: fusion research</w:t>
            </w:r>
          </w:p>
          <w:p w:rsidR="00EC06FD" w:rsidRDefault="00EC06FD">
            <w:pPr>
              <w:suppressAutoHyphens/>
              <w:spacing w:line="276" w:lineRule="auto"/>
              <w:ind w:left="2160"/>
              <w:jc w:val="both"/>
              <w:rPr>
                <w:noProof/>
              </w:rPr>
            </w:pPr>
          </w:p>
          <w:p w:rsidR="00EC06FD" w:rsidRDefault="00F346DE">
            <w:pPr>
              <w:suppressAutoHyphens/>
              <w:spacing w:after="120" w:line="276" w:lineRule="auto"/>
              <w:jc w:val="both"/>
              <w:rPr>
                <w:rFonts w:eastAsia="Calibri"/>
                <w:noProof/>
                <w:sz w:val="20"/>
              </w:rPr>
            </w:pPr>
            <w:r>
              <w:rPr>
                <w:rFonts w:eastAsia="Calibri"/>
                <w:noProof/>
                <w:sz w:val="20"/>
              </w:rPr>
              <w:t>Stakeholders commented on the effectiveness of Euratom-supported fusion research as part of the public consultation carried out during the Interim Evaluation of the Euratom Programme 2014-2018. Only 5.3% of respondents thought that the Euratom programme was not making progress towards delivering its objectives in fusion research.</w:t>
            </w:r>
          </w:p>
        </w:tc>
      </w:tr>
    </w:tbl>
    <w:p w:rsidR="00EC06FD" w:rsidRDefault="00EC06FD">
      <w:pPr>
        <w:pStyle w:val="Body"/>
        <w:suppressAutoHyphens/>
        <w:rPr>
          <w:rFonts w:ascii="Times New Roman" w:hAnsi="Times New Roman"/>
          <w:i/>
          <w:noProof/>
          <w:sz w:val="24"/>
          <w:lang w:eastAsia="en-GB"/>
        </w:rPr>
      </w:pPr>
    </w:p>
    <w:p w:rsidR="00EC06FD" w:rsidRDefault="00F346DE">
      <w:pPr>
        <w:pStyle w:val="Heading3"/>
        <w:ind w:left="720"/>
        <w:rPr>
          <w:noProof/>
        </w:rPr>
      </w:pPr>
      <w:bookmarkStart w:id="651" w:name="_Toc494899789"/>
      <w:r>
        <w:rPr>
          <w:noProof/>
        </w:rPr>
        <w:t>Publications in peer-reviewed journals</w:t>
      </w:r>
      <w:bookmarkEnd w:id="651"/>
    </w:p>
    <w:p w:rsidR="00EC06FD" w:rsidRDefault="00F346DE">
      <w:pPr>
        <w:suppressAutoHyphens/>
        <w:spacing w:line="276" w:lineRule="auto"/>
        <w:jc w:val="both"/>
        <w:rPr>
          <w:noProof/>
        </w:rPr>
      </w:pPr>
      <w:r>
        <w:rPr>
          <w:b/>
          <w:noProof/>
        </w:rPr>
        <w:t>The number of published papers in high quality peer-reviewed journals remains consistent with the level during the previous European fusion programme in FP7</w:t>
      </w:r>
      <w:r>
        <w:rPr>
          <w:noProof/>
        </w:rPr>
        <w:t xml:space="preserve">, once </w:t>
      </w:r>
      <w:r>
        <w:rPr>
          <w:noProof/>
        </w:rPr>
        <w:lastRenderedPageBreak/>
        <w:t>allowance is made for the new programme structure. The previous programme included 26 Contracts of Association with national fusion labs, thus effectively ensuring that all fusion research funding in Europe was linked with the Euratom programme. However, from the start of 2014, only approximately 1/3 of national funding has been channelled through EUROfusion. Therefore one cannot compare directly the number of published papers. In reality, the figures since 2014 would be expected to be c. ⅓ to ½ of the historical figure during the period of the 26 Associations, when on average some 800 papers were published per year. This is borne out by the statistics in the table 6 below.</w:t>
      </w:r>
    </w:p>
    <w:p w:rsidR="00EC06FD" w:rsidRDefault="00EC06FD">
      <w:pPr>
        <w:suppressAutoHyphens/>
        <w:spacing w:line="276" w:lineRule="auto"/>
        <w:jc w:val="both"/>
        <w:rPr>
          <w:noProof/>
        </w:rPr>
      </w:pPr>
    </w:p>
    <w:p w:rsidR="00EC06FD" w:rsidRDefault="00F346DE">
      <w:pPr>
        <w:suppressAutoHyphens/>
        <w:spacing w:line="276" w:lineRule="auto"/>
        <w:jc w:val="both"/>
        <w:rPr>
          <w:noProof/>
        </w:rPr>
      </w:pPr>
      <w:r>
        <w:rPr>
          <w:noProof/>
        </w:rPr>
        <w:t>2014 was the first year of EUROfusion, and many papers with the EUROfusion logo would not have appeared until 2015 in view of the time needed to go through the publication procedure. In addition, the somewhat fewer papers published in 2016 than in 2015 is most likely due to an artefact of the conference cycles, with international conferences such as the IAEA's FEC (Fusion Energy Conference) occurring only every two years on even-numbered years (in the autumn). Therefore, in 2015 many papers were published as a result of the 2014 conferences, and this is likely to be seen also in a spike in 2017.</w:t>
      </w:r>
    </w:p>
    <w:p w:rsidR="00EC06FD" w:rsidRDefault="00EC06FD">
      <w:pPr>
        <w:suppressAutoHyphens/>
        <w:spacing w:line="276" w:lineRule="auto"/>
        <w:rPr>
          <w:i/>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0"/>
        <w:gridCol w:w="2255"/>
        <w:gridCol w:w="2255"/>
        <w:gridCol w:w="2255"/>
        <w:gridCol w:w="17"/>
      </w:tblGrid>
      <w:tr w:rsidR="00EC06FD">
        <w:trPr>
          <w:trHeight w:val="227"/>
          <w:jc w:val="center"/>
        </w:trPr>
        <w:tc>
          <w:tcPr>
            <w:tcW w:w="9092" w:type="dxa"/>
            <w:gridSpan w:val="5"/>
            <w:shd w:val="clear" w:color="auto" w:fill="D9D9D9"/>
            <w:tcMar>
              <w:top w:w="0" w:type="dxa"/>
              <w:left w:w="10" w:type="dxa"/>
              <w:bottom w:w="0" w:type="dxa"/>
              <w:right w:w="10" w:type="dxa"/>
            </w:tcMar>
            <w:vAlign w:val="center"/>
          </w:tcPr>
          <w:p w:rsidR="00EC06FD" w:rsidRDefault="00F346DE">
            <w:pPr>
              <w:pStyle w:val="PStabletxtCenter"/>
              <w:suppressAutoHyphens/>
              <w:spacing w:line="276" w:lineRule="auto"/>
              <w:rPr>
                <w:b/>
                <w:noProof/>
                <w:sz w:val="20"/>
              </w:rPr>
            </w:pPr>
            <w:r>
              <w:rPr>
                <w:b/>
                <w:noProof/>
                <w:sz w:val="20"/>
              </w:rPr>
              <w:t>Table 6</w:t>
            </w:r>
          </w:p>
          <w:p w:rsidR="00EC06FD" w:rsidRDefault="00F346DE">
            <w:pPr>
              <w:pStyle w:val="PStabletxtCenter"/>
              <w:suppressAutoHyphens/>
              <w:spacing w:line="276" w:lineRule="auto"/>
              <w:rPr>
                <w:b/>
                <w:noProof/>
                <w:sz w:val="20"/>
              </w:rPr>
            </w:pPr>
            <w:r>
              <w:rPr>
                <w:b/>
                <w:noProof/>
                <w:sz w:val="20"/>
              </w:rPr>
              <w:t>The number of fusion research publications in peer-reviewed high impact journals</w:t>
            </w:r>
          </w:p>
        </w:tc>
      </w:tr>
      <w:tr w:rsidR="00EC06FD">
        <w:trPr>
          <w:trHeight w:val="227"/>
          <w:jc w:val="center"/>
        </w:trPr>
        <w:tc>
          <w:tcPr>
            <w:tcW w:w="2310" w:type="dxa"/>
            <w:shd w:val="clear" w:color="auto" w:fill="D9D9D9"/>
            <w:tcMar>
              <w:top w:w="0" w:type="dxa"/>
              <w:left w:w="10" w:type="dxa"/>
              <w:bottom w:w="0" w:type="dxa"/>
              <w:right w:w="10" w:type="dxa"/>
            </w:tcMar>
            <w:vAlign w:val="center"/>
            <w:hideMark/>
          </w:tcPr>
          <w:p w:rsidR="00EC06FD" w:rsidRDefault="00F346DE">
            <w:pPr>
              <w:pStyle w:val="PStabletxtCenter"/>
              <w:suppressAutoHyphens/>
              <w:spacing w:line="276" w:lineRule="auto"/>
              <w:rPr>
                <w:noProof/>
                <w:sz w:val="20"/>
              </w:rPr>
            </w:pPr>
            <w:r>
              <w:rPr>
                <w:noProof/>
                <w:sz w:val="20"/>
              </w:rPr>
              <w:t>2014</w:t>
            </w:r>
          </w:p>
        </w:tc>
        <w:tc>
          <w:tcPr>
            <w:tcW w:w="2255" w:type="dxa"/>
            <w:shd w:val="clear" w:color="auto" w:fill="D9D9D9"/>
            <w:vAlign w:val="center"/>
          </w:tcPr>
          <w:p w:rsidR="00EC06FD" w:rsidRDefault="00F346DE">
            <w:pPr>
              <w:pStyle w:val="PStabletxtCenter"/>
              <w:suppressAutoHyphens/>
              <w:spacing w:line="276" w:lineRule="auto"/>
              <w:rPr>
                <w:noProof/>
                <w:sz w:val="20"/>
              </w:rPr>
            </w:pPr>
            <w:r>
              <w:rPr>
                <w:noProof/>
                <w:sz w:val="20"/>
              </w:rPr>
              <w:t>2015</w:t>
            </w:r>
          </w:p>
        </w:tc>
        <w:tc>
          <w:tcPr>
            <w:tcW w:w="2255" w:type="dxa"/>
            <w:shd w:val="clear" w:color="auto" w:fill="D9D9D9"/>
            <w:vAlign w:val="center"/>
          </w:tcPr>
          <w:p w:rsidR="00EC06FD" w:rsidRDefault="00F346DE">
            <w:pPr>
              <w:pStyle w:val="PStabletxtCenter"/>
              <w:suppressAutoHyphens/>
              <w:spacing w:line="276" w:lineRule="auto"/>
              <w:rPr>
                <w:noProof/>
                <w:sz w:val="20"/>
              </w:rPr>
            </w:pPr>
            <w:r>
              <w:rPr>
                <w:noProof/>
                <w:sz w:val="20"/>
              </w:rPr>
              <w:t>2016</w:t>
            </w:r>
          </w:p>
        </w:tc>
        <w:tc>
          <w:tcPr>
            <w:tcW w:w="2255" w:type="dxa"/>
            <w:shd w:val="clear" w:color="auto" w:fill="D9D9D9"/>
            <w:vAlign w:val="center"/>
          </w:tcPr>
          <w:p w:rsidR="00EC06FD" w:rsidRDefault="00F346DE">
            <w:pPr>
              <w:pStyle w:val="PStabletxtCenter"/>
              <w:suppressAutoHyphens/>
              <w:spacing w:line="276" w:lineRule="auto"/>
              <w:rPr>
                <w:noProof/>
                <w:sz w:val="20"/>
              </w:rPr>
            </w:pPr>
            <w:r>
              <w:rPr>
                <w:noProof/>
                <w:sz w:val="20"/>
              </w:rPr>
              <w:t>2017</w:t>
            </w:r>
          </w:p>
        </w:tc>
        <w:tc>
          <w:tcPr>
            <w:tcW w:w="17" w:type="dxa"/>
            <w:vAlign w:val="center"/>
            <w:hideMark/>
          </w:tcPr>
          <w:p w:rsidR="00EC06FD" w:rsidRDefault="00EC06FD">
            <w:pPr>
              <w:pStyle w:val="PStabletxtCenter"/>
              <w:suppressAutoHyphens/>
              <w:spacing w:line="276" w:lineRule="auto"/>
              <w:rPr>
                <w:noProof/>
                <w:sz w:val="20"/>
              </w:rPr>
            </w:pPr>
          </w:p>
        </w:tc>
      </w:tr>
      <w:tr w:rsidR="00EC06FD">
        <w:trPr>
          <w:trHeight w:val="227"/>
          <w:jc w:val="center"/>
        </w:trPr>
        <w:tc>
          <w:tcPr>
            <w:tcW w:w="2310" w:type="dxa"/>
            <w:tcMar>
              <w:top w:w="0" w:type="dxa"/>
              <w:left w:w="10" w:type="dxa"/>
              <w:bottom w:w="0" w:type="dxa"/>
              <w:right w:w="57" w:type="dxa"/>
            </w:tcMar>
            <w:vAlign w:val="center"/>
          </w:tcPr>
          <w:p w:rsidR="00EC06FD" w:rsidRDefault="00F346DE">
            <w:pPr>
              <w:pStyle w:val="PStabletxtCenter"/>
              <w:suppressAutoHyphens/>
              <w:spacing w:line="276" w:lineRule="auto"/>
              <w:rPr>
                <w:noProof/>
                <w:sz w:val="20"/>
              </w:rPr>
            </w:pPr>
            <w:r>
              <w:rPr>
                <w:noProof/>
                <w:sz w:val="20"/>
              </w:rPr>
              <w:t>200</w:t>
            </w:r>
          </w:p>
        </w:tc>
        <w:tc>
          <w:tcPr>
            <w:tcW w:w="2255" w:type="dxa"/>
            <w:vAlign w:val="center"/>
          </w:tcPr>
          <w:p w:rsidR="00EC06FD" w:rsidRDefault="00F346DE">
            <w:pPr>
              <w:pStyle w:val="PStabletxtCenter"/>
              <w:suppressAutoHyphens/>
              <w:spacing w:line="276" w:lineRule="auto"/>
              <w:rPr>
                <w:noProof/>
                <w:sz w:val="20"/>
              </w:rPr>
            </w:pPr>
            <w:r>
              <w:rPr>
                <w:noProof/>
                <w:sz w:val="20"/>
              </w:rPr>
              <w:t>450</w:t>
            </w:r>
          </w:p>
        </w:tc>
        <w:tc>
          <w:tcPr>
            <w:tcW w:w="2255" w:type="dxa"/>
            <w:vAlign w:val="center"/>
          </w:tcPr>
          <w:p w:rsidR="00EC06FD" w:rsidRDefault="00F346DE">
            <w:pPr>
              <w:pStyle w:val="PStabletxtCenter"/>
              <w:suppressAutoHyphens/>
              <w:spacing w:line="276" w:lineRule="auto"/>
              <w:rPr>
                <w:noProof/>
                <w:sz w:val="20"/>
              </w:rPr>
            </w:pPr>
            <w:r>
              <w:rPr>
                <w:noProof/>
                <w:sz w:val="20"/>
              </w:rPr>
              <w:t>325</w:t>
            </w:r>
          </w:p>
        </w:tc>
        <w:tc>
          <w:tcPr>
            <w:tcW w:w="2255" w:type="dxa"/>
            <w:vAlign w:val="center"/>
          </w:tcPr>
          <w:p w:rsidR="00EC06FD" w:rsidRDefault="00F346DE">
            <w:pPr>
              <w:pStyle w:val="PStabletxtCenter"/>
              <w:suppressAutoHyphens/>
              <w:spacing w:line="276" w:lineRule="auto"/>
              <w:rPr>
                <w:noProof/>
                <w:sz w:val="20"/>
              </w:rPr>
            </w:pPr>
            <w:r>
              <w:rPr>
                <w:noProof/>
                <w:sz w:val="20"/>
              </w:rPr>
              <w:t>Not available yet</w:t>
            </w:r>
          </w:p>
        </w:tc>
        <w:tc>
          <w:tcPr>
            <w:tcW w:w="17" w:type="dxa"/>
            <w:vAlign w:val="center"/>
            <w:hideMark/>
          </w:tcPr>
          <w:p w:rsidR="00EC06FD" w:rsidRDefault="00EC06FD">
            <w:pPr>
              <w:pStyle w:val="PStabletxtCenter"/>
              <w:suppressAutoHyphens/>
              <w:spacing w:line="276" w:lineRule="auto"/>
              <w:rPr>
                <w:noProof/>
                <w:sz w:val="20"/>
              </w:rPr>
            </w:pPr>
          </w:p>
        </w:tc>
      </w:tr>
    </w:tbl>
    <w:p w:rsidR="00EC06FD" w:rsidRDefault="00F346DE">
      <w:pPr>
        <w:pStyle w:val="Text3"/>
        <w:spacing w:after="120"/>
        <w:ind w:left="0"/>
        <w:rPr>
          <w:i/>
          <w:noProof/>
          <w:sz w:val="20"/>
        </w:rPr>
      </w:pPr>
      <w:r>
        <w:rPr>
          <w:i/>
          <w:noProof/>
          <w:sz w:val="20"/>
        </w:rPr>
        <w:t>Source: Web of Science</w:t>
      </w:r>
    </w:p>
    <w:p w:rsidR="00EC06FD" w:rsidRDefault="00EC06FD">
      <w:pPr>
        <w:suppressAutoHyphens/>
        <w:spacing w:line="276" w:lineRule="auto"/>
        <w:rPr>
          <w:noProof/>
        </w:rPr>
      </w:pPr>
    </w:p>
    <w:p w:rsidR="00EC06FD" w:rsidRDefault="00F346DE">
      <w:pPr>
        <w:pStyle w:val="Heading3"/>
        <w:ind w:left="720"/>
        <w:rPr>
          <w:noProof/>
        </w:rPr>
      </w:pPr>
      <w:bookmarkStart w:id="652" w:name="_Toc494899790"/>
      <w:r>
        <w:rPr>
          <w:noProof/>
        </w:rPr>
        <w:t>Joint exploitation of European fusion research infrastructures</w:t>
      </w:r>
      <w:bookmarkEnd w:id="652"/>
      <w:r>
        <w:rPr>
          <w:noProof/>
        </w:rPr>
        <w:t xml:space="preserve"> </w:t>
      </w:r>
    </w:p>
    <w:p w:rsidR="00EC06FD" w:rsidRDefault="00F346DE">
      <w:pPr>
        <w:suppressAutoHyphens/>
        <w:spacing w:after="120" w:line="276" w:lineRule="auto"/>
        <w:jc w:val="both"/>
        <w:rPr>
          <w:noProof/>
        </w:rPr>
      </w:pPr>
      <w:r>
        <w:rPr>
          <w:noProof/>
        </w:rPr>
        <w:t xml:space="preserve">The JET facility at Culham, UK, is the operational fusion device that is closest to ITER in design, meaning that JET plays a crucial role in deciding design choices for ITER and in the preparations for ITER exploitation. This was further reinforced thanks to the all-metal 'ITER-like' inner wall installed on JET in a major refit in 2009-2011, and </w:t>
      </w:r>
      <w:r>
        <w:rPr>
          <w:b/>
          <w:noProof/>
        </w:rPr>
        <w:t>the current scientific exploitation of JET by the EUROfusion consortium is therefore fully able to support the ultimate success of ITER, through investigating ITER plasma scenarios and mitigating ITER operational risks in ITER-relevant conditions.</w:t>
      </w:r>
      <w:r>
        <w:rPr>
          <w:noProof/>
        </w:rPr>
        <w:t xml:space="preserve"> Indeed, early experimental results from JET following restart after the installation of the 'ITER-like' wall challenged our understanding of the behaviour of plasmas in 'all metal' tokamaks. Technical problems at JET in 2014 &amp; 2015 prevented the carrying out of further cutting-edge research for several months, but these problems have now been resolved and the latest experimental campaign in autumn 2016 was very successful, with JET operating at almost full power and enabling significant progress to be made on improving plasma performance in 'all metal' tokamaks. The fusion research community is confident that remaining plasma performance issues can now be resolved before ITER becomes operational. This will accelerate start of ITER scientific exploitation and enable significant cost savings by shortening preparatory phase - </w:t>
      </w:r>
      <w:r>
        <w:rPr>
          <w:bCs/>
          <w:noProof/>
          <w:color w:val="000000" w:themeColor="text1"/>
        </w:rPr>
        <w:t>each year of additional exploitation of ITER would costs on average ~EUR 250 million/year (2015 prices), of which Euratom would need to contribute on average ~EUR 85 million (equivalent to 34% of the operating costs, the agreed Euratom share)</w:t>
      </w:r>
      <w:r>
        <w:rPr>
          <w:noProof/>
        </w:rPr>
        <w:t xml:space="preserve">. </w:t>
      </w:r>
    </w:p>
    <w:p w:rsidR="00EC06FD" w:rsidRDefault="00EC06FD" w:rsidP="009C49DA">
      <w:pPr>
        <w:spacing w:after="200" w:line="276" w:lineRule="auto"/>
        <w:rPr>
          <w:noProof/>
        </w:rPr>
      </w:pPr>
    </w:p>
    <w:tbl>
      <w:tblPr>
        <w:tblW w:w="2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79"/>
        <w:gridCol w:w="1843"/>
        <w:gridCol w:w="1704"/>
      </w:tblGrid>
      <w:tr w:rsidR="00EC06FD">
        <w:trPr>
          <w:trHeight w:val="506"/>
          <w:jc w:val="center"/>
        </w:trPr>
        <w:tc>
          <w:tcPr>
            <w:tcW w:w="5424" w:type="dxa"/>
            <w:gridSpan w:val="3"/>
            <w:shd w:val="clear" w:color="auto" w:fill="D9D9D9"/>
            <w:tcMar>
              <w:top w:w="0" w:type="dxa"/>
              <w:left w:w="10" w:type="dxa"/>
              <w:bottom w:w="0" w:type="dxa"/>
              <w:right w:w="10" w:type="dxa"/>
            </w:tcMar>
            <w:vAlign w:val="center"/>
          </w:tcPr>
          <w:p w:rsidR="00EC06FD" w:rsidRDefault="00F346DE">
            <w:pPr>
              <w:pStyle w:val="PStabletxtCenter"/>
              <w:suppressAutoHyphens/>
              <w:spacing w:line="276" w:lineRule="auto"/>
              <w:rPr>
                <w:b/>
                <w:noProof/>
                <w:sz w:val="20"/>
              </w:rPr>
            </w:pPr>
            <w:r>
              <w:rPr>
                <w:b/>
                <w:noProof/>
                <w:sz w:val="20"/>
              </w:rPr>
              <w:t>Table 7</w:t>
            </w:r>
          </w:p>
          <w:p w:rsidR="00EC06FD" w:rsidRDefault="00F346DE">
            <w:pPr>
              <w:pStyle w:val="PStabletxtCenter"/>
              <w:suppressAutoHyphens/>
              <w:spacing w:line="276" w:lineRule="auto"/>
              <w:rPr>
                <w:b/>
                <w:noProof/>
                <w:sz w:val="20"/>
              </w:rPr>
            </w:pPr>
            <w:r>
              <w:rPr>
                <w:b/>
                <w:noProof/>
                <w:sz w:val="20"/>
              </w:rPr>
              <w:t xml:space="preserve">The number of researchers having access to fusion research facilities through Euratom Programme support </w:t>
            </w:r>
          </w:p>
        </w:tc>
      </w:tr>
      <w:tr w:rsidR="00EC06FD">
        <w:trPr>
          <w:trHeight w:val="243"/>
          <w:jc w:val="center"/>
        </w:trPr>
        <w:tc>
          <w:tcPr>
            <w:tcW w:w="1880" w:type="dxa"/>
            <w:shd w:val="clear" w:color="auto" w:fill="D9D9D9"/>
            <w:tcMar>
              <w:top w:w="0" w:type="dxa"/>
              <w:left w:w="10" w:type="dxa"/>
              <w:bottom w:w="0" w:type="dxa"/>
              <w:right w:w="10" w:type="dxa"/>
            </w:tcMar>
            <w:vAlign w:val="center"/>
            <w:hideMark/>
          </w:tcPr>
          <w:p w:rsidR="00EC06FD" w:rsidRDefault="00F346DE">
            <w:pPr>
              <w:pStyle w:val="PStabletxtCenter"/>
              <w:suppressAutoHyphens/>
              <w:spacing w:line="276" w:lineRule="auto"/>
              <w:rPr>
                <w:noProof/>
                <w:sz w:val="20"/>
              </w:rPr>
            </w:pPr>
            <w:r>
              <w:rPr>
                <w:noProof/>
                <w:sz w:val="20"/>
              </w:rPr>
              <w:t>2014</w:t>
            </w:r>
          </w:p>
        </w:tc>
        <w:tc>
          <w:tcPr>
            <w:tcW w:w="1843" w:type="dxa"/>
            <w:shd w:val="clear" w:color="auto" w:fill="D9D9D9"/>
            <w:vAlign w:val="center"/>
          </w:tcPr>
          <w:p w:rsidR="00EC06FD" w:rsidRDefault="00F346DE">
            <w:pPr>
              <w:pStyle w:val="PStabletxtCenter"/>
              <w:suppressAutoHyphens/>
              <w:spacing w:line="276" w:lineRule="auto"/>
              <w:rPr>
                <w:noProof/>
                <w:sz w:val="20"/>
              </w:rPr>
            </w:pPr>
            <w:r>
              <w:rPr>
                <w:noProof/>
                <w:sz w:val="20"/>
              </w:rPr>
              <w:t>2015</w:t>
            </w:r>
          </w:p>
        </w:tc>
        <w:tc>
          <w:tcPr>
            <w:tcW w:w="1704" w:type="dxa"/>
            <w:shd w:val="clear" w:color="auto" w:fill="D9D9D9"/>
            <w:vAlign w:val="center"/>
          </w:tcPr>
          <w:p w:rsidR="00EC06FD" w:rsidRDefault="00F346DE">
            <w:pPr>
              <w:pStyle w:val="PStabletxtCenter"/>
              <w:suppressAutoHyphens/>
              <w:spacing w:line="276" w:lineRule="auto"/>
              <w:rPr>
                <w:noProof/>
                <w:sz w:val="20"/>
              </w:rPr>
            </w:pPr>
            <w:r>
              <w:rPr>
                <w:noProof/>
                <w:sz w:val="20"/>
              </w:rPr>
              <w:t>2016</w:t>
            </w:r>
          </w:p>
        </w:tc>
      </w:tr>
      <w:tr w:rsidR="00EC06FD">
        <w:trPr>
          <w:trHeight w:val="227"/>
          <w:jc w:val="center"/>
        </w:trPr>
        <w:tc>
          <w:tcPr>
            <w:tcW w:w="1880" w:type="dxa"/>
            <w:tcMar>
              <w:top w:w="0" w:type="dxa"/>
              <w:left w:w="10" w:type="dxa"/>
              <w:bottom w:w="0" w:type="dxa"/>
              <w:right w:w="57" w:type="dxa"/>
            </w:tcMar>
            <w:vAlign w:val="center"/>
          </w:tcPr>
          <w:p w:rsidR="00EC06FD" w:rsidRDefault="00F346DE">
            <w:pPr>
              <w:pStyle w:val="PStabletxtCenter"/>
              <w:suppressAutoHyphens/>
              <w:spacing w:line="276" w:lineRule="auto"/>
              <w:rPr>
                <w:noProof/>
                <w:sz w:val="20"/>
              </w:rPr>
            </w:pPr>
            <w:r>
              <w:rPr>
                <w:noProof/>
                <w:sz w:val="20"/>
              </w:rPr>
              <w:t>872</w:t>
            </w:r>
          </w:p>
        </w:tc>
        <w:tc>
          <w:tcPr>
            <w:tcW w:w="1843" w:type="dxa"/>
            <w:vAlign w:val="center"/>
          </w:tcPr>
          <w:p w:rsidR="00EC06FD" w:rsidRDefault="00F346DE">
            <w:pPr>
              <w:pStyle w:val="PStabletxtCenter"/>
              <w:suppressAutoHyphens/>
              <w:spacing w:line="276" w:lineRule="auto"/>
              <w:rPr>
                <w:noProof/>
                <w:sz w:val="20"/>
              </w:rPr>
            </w:pPr>
            <w:r>
              <w:rPr>
                <w:noProof/>
                <w:sz w:val="20"/>
              </w:rPr>
              <w:t>958</w:t>
            </w:r>
          </w:p>
        </w:tc>
        <w:tc>
          <w:tcPr>
            <w:tcW w:w="1704" w:type="dxa"/>
            <w:vAlign w:val="center"/>
          </w:tcPr>
          <w:p w:rsidR="00EC06FD" w:rsidRDefault="00F346DE">
            <w:pPr>
              <w:suppressAutoHyphens/>
              <w:spacing w:line="276" w:lineRule="auto"/>
              <w:jc w:val="center"/>
              <w:rPr>
                <w:noProof/>
                <w:sz w:val="20"/>
                <w:szCs w:val="20"/>
              </w:rPr>
            </w:pPr>
            <w:r>
              <w:rPr>
                <w:noProof/>
                <w:sz w:val="20"/>
                <w:szCs w:val="20"/>
              </w:rPr>
              <w:t>1039</w:t>
            </w:r>
          </w:p>
        </w:tc>
      </w:tr>
    </w:tbl>
    <w:p w:rsidR="00EC06FD" w:rsidRDefault="00F346DE">
      <w:pPr>
        <w:pStyle w:val="Text3"/>
        <w:spacing w:after="120"/>
        <w:ind w:left="0"/>
        <w:jc w:val="center"/>
        <w:rPr>
          <w:i/>
          <w:noProof/>
          <w:sz w:val="22"/>
        </w:rPr>
      </w:pPr>
      <w:r>
        <w:rPr>
          <w:i/>
          <w:noProof/>
          <w:sz w:val="22"/>
        </w:rPr>
        <w:t>Source: annual reports from EUROfusion</w:t>
      </w:r>
    </w:p>
    <w:p w:rsidR="00EC06FD" w:rsidRDefault="00F346DE">
      <w:pPr>
        <w:pStyle w:val="Body"/>
        <w:suppressAutoHyphens/>
        <w:rPr>
          <w:rFonts w:ascii="Times New Roman" w:hAnsi="Times New Roman"/>
          <w:noProof/>
          <w:sz w:val="24"/>
          <w:szCs w:val="24"/>
          <w:lang w:eastAsia="en-GB"/>
        </w:rPr>
      </w:pPr>
      <w:r>
        <w:rPr>
          <w:rFonts w:ascii="Times New Roman" w:hAnsi="Times New Roman"/>
          <w:noProof/>
          <w:sz w:val="24"/>
          <w:szCs w:val="24"/>
          <w:lang w:eastAsia="en-GB"/>
        </w:rPr>
        <w:t>In EUROfusion, it is not only JET that is exploited but also other key 'medium-sized' tokamaks (MSTs) and linear plasma devices in other European countries (e.g. ASDEX-Upgrade at IPP, Germany, TCV at EPFL, Switzerland, and now W7-X at IPP Greifswald, Germany, with MAST-Upgrade at CCFE, UK, due to be co-exploited from 2017).</w:t>
      </w:r>
    </w:p>
    <w:p w:rsidR="00EC06FD" w:rsidRDefault="00F346DE">
      <w:pPr>
        <w:pStyle w:val="Body"/>
        <w:suppressAutoHyphens/>
        <w:rPr>
          <w:rFonts w:ascii="Times New Roman" w:hAnsi="Times New Roman"/>
          <w:noProof/>
          <w:sz w:val="24"/>
          <w:szCs w:val="24"/>
          <w:lang w:eastAsia="en-GB"/>
        </w:rPr>
      </w:pPr>
      <w:r>
        <w:rPr>
          <w:rFonts w:ascii="Times New Roman" w:hAnsi="Times New Roman"/>
          <w:noProof/>
          <w:sz w:val="24"/>
          <w:szCs w:val="24"/>
          <w:lang w:eastAsia="en-GB"/>
        </w:rPr>
        <w:t>Until the end of Euratom FP7 (2013) the exploitation of these devices, although supported by Euratom, was under the responsibility of their home laboratories. Bilateral collaborations were in place and exchange of personnel was supported through Euratom mobility funds. Now, under the Euratom Programme 2014-2018, a substantial part of the experimental programme is carried out under the EUROfusion responsibility, in a way similar to the exploitation of JET. The experimental programme is discussed collectively and implemented under the responsibility of the relevant EUROfusion Taskforce Leaders and Project Leaders.</w:t>
      </w:r>
    </w:p>
    <w:p w:rsidR="00EC06FD" w:rsidRDefault="00F346DE">
      <w:pPr>
        <w:pStyle w:val="Body"/>
        <w:suppressAutoHyphens/>
        <w:rPr>
          <w:rFonts w:ascii="Times New Roman" w:hAnsi="Times New Roman"/>
          <w:noProof/>
          <w:sz w:val="24"/>
          <w:szCs w:val="24"/>
          <w:lang w:eastAsia="en-GB"/>
        </w:rPr>
      </w:pPr>
      <w:r>
        <w:rPr>
          <w:rFonts w:ascii="Times New Roman" w:hAnsi="Times New Roman"/>
          <w:noProof/>
          <w:sz w:val="24"/>
          <w:szCs w:val="24"/>
          <w:lang w:eastAsia="en-GB"/>
        </w:rPr>
        <w:t xml:space="preserve">The Commission Expert Group concluded that the </w:t>
      </w:r>
      <w:r>
        <w:rPr>
          <w:rFonts w:ascii="Times New Roman" w:hAnsi="Times New Roman"/>
          <w:b/>
          <w:noProof/>
          <w:sz w:val="24"/>
          <w:szCs w:val="24"/>
          <w:lang w:eastAsia="en-GB"/>
        </w:rPr>
        <w:t>main advantage of the new system is the more effective integration of the experimental programmes of the various facilities. This allows an optimal allocation of tasks to the various European facilities (JET, MSTs and plasma-wall interaction devices) through the selection of the facility best suited for the execution of each task.</w:t>
      </w:r>
      <w:r>
        <w:rPr>
          <w:rFonts w:ascii="Times New Roman" w:hAnsi="Times New Roman"/>
          <w:noProof/>
          <w:sz w:val="24"/>
          <w:szCs w:val="24"/>
          <w:lang w:eastAsia="en-GB"/>
        </w:rPr>
        <w:t xml:space="preserve"> The execution of the programmes has been harmonised, for example in joint planning meetings, to allow the participation of key scientists to each task. The view of the Group it that this approach has substantially increased the added value of the Euratom contribution.</w:t>
      </w:r>
    </w:p>
    <w:p w:rsidR="00EC06FD" w:rsidRDefault="00F346DE">
      <w:pPr>
        <w:pStyle w:val="Body"/>
        <w:suppressAutoHyphens/>
        <w:spacing w:after="120"/>
        <w:rPr>
          <w:rFonts w:ascii="Times New Roman" w:hAnsi="Times New Roman"/>
          <w:noProof/>
          <w:sz w:val="24"/>
          <w:szCs w:val="24"/>
          <w:lang w:eastAsia="en-GB"/>
        </w:rPr>
      </w:pPr>
      <w:r>
        <w:rPr>
          <w:rFonts w:ascii="Times New Roman" w:hAnsi="Times New Roman"/>
          <w:noProof/>
          <w:sz w:val="24"/>
          <w:szCs w:val="24"/>
          <w:lang w:eastAsia="en-GB"/>
        </w:rPr>
        <w:t>This joint programming approach is central to the EUROfusion ethos. The related access and mobility of researchers (see table 7), together with the dissemination and sharing of results, are assured through the joint programme, once again underlining that the fusion research programme is the best example that Europe can offer of ERA – the 'European Research Area' – in action.</w:t>
      </w:r>
    </w:p>
    <w:p w:rsidR="00EC06FD" w:rsidRDefault="00F346DE">
      <w:pPr>
        <w:suppressAutoHyphens/>
        <w:spacing w:after="240" w:line="276" w:lineRule="auto"/>
        <w:jc w:val="both"/>
        <w:rPr>
          <w:noProof/>
        </w:rPr>
      </w:pPr>
      <w:r>
        <w:rPr>
          <w:noProof/>
        </w:rPr>
        <w:t>One of the latest additions to the group of world-beating fusion research devices in Europe is the Wendelstein7-X (W7-X) stellarator, located at IPP, Greifswald in Germany. The construction of this cutting-edge facility was co-funded in the initial phase by Euratom programmes in the past, and W7-X has now been fully integrated into the EUROfusion joint programme following successful commissioning and the 'first plasma' achieved in December 2015, with access assured by researchers from across Europe as part of this programme.</w:t>
      </w:r>
    </w:p>
    <w:p w:rsidR="00EC06FD" w:rsidRDefault="00F346DE">
      <w:pPr>
        <w:pStyle w:val="Heading3"/>
        <w:ind w:left="720"/>
        <w:rPr>
          <w:noProof/>
        </w:rPr>
      </w:pPr>
      <w:bookmarkStart w:id="653" w:name="_Toc494899791"/>
      <w:r>
        <w:rPr>
          <w:noProof/>
        </w:rPr>
        <w:t>Fusion education, training and mobility</w:t>
      </w:r>
      <w:bookmarkEnd w:id="653"/>
    </w:p>
    <w:p w:rsidR="00EC06FD" w:rsidRDefault="00F346DE">
      <w:pPr>
        <w:suppressAutoHyphens/>
        <w:spacing w:line="276" w:lineRule="auto"/>
        <w:jc w:val="both"/>
        <w:rPr>
          <w:noProof/>
        </w:rPr>
      </w:pPr>
      <w:r>
        <w:rPr>
          <w:noProof/>
        </w:rPr>
        <w:t xml:space="preserve">One of the principal objectives of EUROfusion and the Euratom Programme is to ensure the availability of appropriate human resources in the fusion research effort over the longer term, </w:t>
      </w:r>
      <w:r>
        <w:rPr>
          <w:noProof/>
        </w:rPr>
        <w:lastRenderedPageBreak/>
        <w:t>in particular in view of the need to train an 'ITER generation' of scientists and engineers to operate and exploit ITER, and to ensure the right balance and competences of physicists and engineers in a DEMO programme focusing increasingly on CDA (conceptual design activity) and EDA (engineering design activity) over the course of the next 10-15 years. In 2005, a major survey of the HR requirements of the fusion programme was carried out by the Commission with the support of EFDA and the national labs, and this was updated in 2015 under EUROfusion, again with Commission support. Issues such as PhD and Masters programmes, role of FuseNet</w:t>
      </w:r>
      <w:r>
        <w:rPr>
          <w:rStyle w:val="FootnoteReference"/>
          <w:noProof/>
        </w:rPr>
        <w:footnoteReference w:id="36"/>
      </w:r>
      <w:r>
        <w:rPr>
          <w:noProof/>
        </w:rPr>
        <w:t>, training instruments, numbers of researchers, physicists, engineers and technical staff needed in the programme, role of industry, gender balance, etc. were all covered in the survey, with particular focus on the evolution since the 2005 survey. A number of recommendations were issued, which have since been taken up by EUROfusion, though other stakeholders (FuseNet, labs, F4E, industry) are also concerned. FuseNet is a key actor in this field, and efforts are now on-going within EUROfusion to reinforce FuseNet's role through ensuring linked third party status within the joint programme. The Commission will continue to monitor the situation, in consultation with the EUROfusion, and may propose further actions as part of future Euratom programmes and/or amendments to the EUROfusion Grant Agreement.</w:t>
      </w:r>
    </w:p>
    <w:p w:rsidR="00EC06FD" w:rsidRDefault="00EC06FD">
      <w:pPr>
        <w:suppressAutoHyphens/>
        <w:spacing w:line="276" w:lineRule="auto"/>
        <w:jc w:val="both"/>
        <w:rPr>
          <w:noProof/>
        </w:rPr>
      </w:pPr>
    </w:p>
    <w:p w:rsidR="00EC06FD" w:rsidRDefault="00F346DE">
      <w:pPr>
        <w:suppressAutoHyphens/>
        <w:spacing w:line="276" w:lineRule="auto"/>
        <w:jc w:val="both"/>
        <w:rPr>
          <w:b/>
          <w:noProof/>
        </w:rPr>
      </w:pPr>
      <w:r>
        <w:rPr>
          <w:noProof/>
        </w:rPr>
        <w:t xml:space="preserve">One of the tasks of the EUROfusion consortium is to support PhD students in the research institutions working on fusion-relevant thesis subjects, i.e. mainly on fusion plasma physics and engineering. Both magnetic confinement fusion and inertial confinement fusion are covered, but 90% of the funding is earmarked for the former. The allocation of funding to individual research institutions is based on the number of students and theses supported each year (weighting 65%) and a quality assessment of the student training provided (weighting 35%). Furthermore, the thesis subjects are screened by EUROfusion to ensure they are relevant for the fusion roadmap implementation. Table 8 shows the evolution of the budget for PhD students and number of active students for each year. About 24 % of on-going PhDs are technology related and women account for 15% and 18% of all PhDs (technology and physics respectively). </w:t>
      </w:r>
      <w:r>
        <w:rPr>
          <w:b/>
          <w:noProof/>
        </w:rPr>
        <w:t>Current data shows positive trend in number of PhDs which should allow keeping the manpower of fusion programme at current level</w:t>
      </w:r>
      <w:r>
        <w:rPr>
          <w:rStyle w:val="FootnoteReference"/>
          <w:b/>
          <w:noProof/>
        </w:rPr>
        <w:footnoteReference w:id="37"/>
      </w:r>
      <w:r>
        <w:rPr>
          <w:b/>
          <w:noProof/>
        </w:rPr>
        <w:t>.</w:t>
      </w:r>
    </w:p>
    <w:p w:rsidR="00EC06FD" w:rsidRDefault="00EC06FD">
      <w:pPr>
        <w:suppressAutoHyphens/>
        <w:spacing w:line="276" w:lineRule="auto"/>
        <w:jc w:val="both"/>
        <w:rPr>
          <w:noProof/>
        </w:rPr>
      </w:pP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5"/>
        <w:gridCol w:w="2253"/>
        <w:gridCol w:w="2256"/>
        <w:gridCol w:w="2256"/>
      </w:tblGrid>
      <w:tr w:rsidR="00EC06FD">
        <w:trPr>
          <w:trHeight w:val="467"/>
        </w:trPr>
        <w:tc>
          <w:tcPr>
            <w:tcW w:w="9180" w:type="dxa"/>
            <w:gridSpan w:val="4"/>
            <w:tcBorders>
              <w:bottom w:val="single" w:sz="4" w:space="0" w:color="auto"/>
            </w:tcBorders>
            <w:shd w:val="clear" w:color="auto" w:fill="BFBFBF" w:themeFill="background1" w:themeFillShade="BF"/>
          </w:tcPr>
          <w:p w:rsidR="00EC06FD" w:rsidRDefault="00F346DE">
            <w:pPr>
              <w:spacing w:line="276" w:lineRule="auto"/>
              <w:ind w:right="-270"/>
              <w:jc w:val="center"/>
              <w:rPr>
                <w:b/>
                <w:noProof/>
                <w:sz w:val="20"/>
                <w:szCs w:val="20"/>
              </w:rPr>
            </w:pPr>
            <w:r>
              <w:rPr>
                <w:b/>
                <w:noProof/>
                <w:sz w:val="20"/>
                <w:szCs w:val="20"/>
              </w:rPr>
              <w:t>Table 8: EUROfusion support for PhD studies:</w:t>
            </w:r>
          </w:p>
          <w:p w:rsidR="00EC06FD" w:rsidRDefault="00F346DE">
            <w:pPr>
              <w:spacing w:line="276" w:lineRule="auto"/>
              <w:ind w:right="-270"/>
              <w:jc w:val="center"/>
              <w:rPr>
                <w:rFonts w:eastAsiaTheme="minorHAnsi"/>
                <w:b/>
                <w:noProof/>
                <w:sz w:val="20"/>
                <w:szCs w:val="20"/>
                <w:lang w:eastAsia="en-US"/>
              </w:rPr>
            </w:pPr>
            <w:r>
              <w:rPr>
                <w:b/>
                <w:noProof/>
                <w:sz w:val="20"/>
                <w:szCs w:val="20"/>
              </w:rPr>
              <w:t xml:space="preserve">evolution of budget (Mio EUR) and number of PhD students </w:t>
            </w:r>
          </w:p>
        </w:tc>
      </w:tr>
      <w:tr w:rsidR="00EC06FD">
        <w:tc>
          <w:tcPr>
            <w:tcW w:w="2415" w:type="dxa"/>
            <w:shd w:val="clear" w:color="auto" w:fill="BFBFBF" w:themeFill="background1" w:themeFillShade="BF"/>
          </w:tcPr>
          <w:p w:rsidR="00EC06FD" w:rsidRDefault="00F346DE">
            <w:pPr>
              <w:spacing w:line="276" w:lineRule="auto"/>
              <w:ind w:right="-270"/>
              <w:jc w:val="center"/>
              <w:rPr>
                <w:b/>
                <w:noProof/>
                <w:sz w:val="20"/>
                <w:szCs w:val="20"/>
              </w:rPr>
            </w:pPr>
            <w:r>
              <w:rPr>
                <w:b/>
                <w:noProof/>
                <w:sz w:val="20"/>
                <w:szCs w:val="20"/>
              </w:rPr>
              <w:t>Year</w:t>
            </w:r>
          </w:p>
        </w:tc>
        <w:tc>
          <w:tcPr>
            <w:tcW w:w="2253" w:type="dxa"/>
            <w:shd w:val="clear" w:color="auto" w:fill="BFBFBF" w:themeFill="background1" w:themeFillShade="BF"/>
            <w:tcMar>
              <w:top w:w="0" w:type="dxa"/>
              <w:left w:w="108" w:type="dxa"/>
              <w:bottom w:w="0" w:type="dxa"/>
              <w:right w:w="108" w:type="dxa"/>
            </w:tcMar>
            <w:vAlign w:val="center"/>
            <w:hideMark/>
          </w:tcPr>
          <w:p w:rsidR="00EC06FD" w:rsidRDefault="00F346DE">
            <w:pPr>
              <w:spacing w:line="276" w:lineRule="auto"/>
              <w:ind w:right="-270"/>
              <w:jc w:val="center"/>
              <w:rPr>
                <w:rFonts w:eastAsiaTheme="minorHAnsi"/>
                <w:b/>
                <w:noProof/>
                <w:sz w:val="20"/>
                <w:szCs w:val="20"/>
                <w:lang w:eastAsia="en-US"/>
              </w:rPr>
            </w:pPr>
            <w:r>
              <w:rPr>
                <w:b/>
                <w:noProof/>
                <w:sz w:val="20"/>
                <w:szCs w:val="20"/>
              </w:rPr>
              <w:t>2014</w:t>
            </w:r>
          </w:p>
        </w:tc>
        <w:tc>
          <w:tcPr>
            <w:tcW w:w="2256" w:type="dxa"/>
            <w:shd w:val="clear" w:color="auto" w:fill="BFBFBF" w:themeFill="background1" w:themeFillShade="BF"/>
            <w:tcMar>
              <w:top w:w="0" w:type="dxa"/>
              <w:left w:w="108" w:type="dxa"/>
              <w:bottom w:w="0" w:type="dxa"/>
              <w:right w:w="108" w:type="dxa"/>
            </w:tcMar>
            <w:vAlign w:val="center"/>
            <w:hideMark/>
          </w:tcPr>
          <w:p w:rsidR="00EC06FD" w:rsidRDefault="00F346DE">
            <w:pPr>
              <w:spacing w:line="276" w:lineRule="auto"/>
              <w:ind w:right="-270"/>
              <w:jc w:val="center"/>
              <w:rPr>
                <w:rFonts w:eastAsiaTheme="minorHAnsi"/>
                <w:b/>
                <w:noProof/>
                <w:sz w:val="20"/>
                <w:szCs w:val="20"/>
                <w:lang w:eastAsia="en-US"/>
              </w:rPr>
            </w:pPr>
            <w:r>
              <w:rPr>
                <w:b/>
                <w:noProof/>
                <w:sz w:val="20"/>
                <w:szCs w:val="20"/>
              </w:rPr>
              <w:t>2015</w:t>
            </w:r>
          </w:p>
        </w:tc>
        <w:tc>
          <w:tcPr>
            <w:tcW w:w="2256" w:type="dxa"/>
            <w:shd w:val="clear" w:color="auto" w:fill="BFBFBF" w:themeFill="background1" w:themeFillShade="BF"/>
            <w:tcMar>
              <w:top w:w="0" w:type="dxa"/>
              <w:left w:w="108" w:type="dxa"/>
              <w:bottom w:w="0" w:type="dxa"/>
              <w:right w:w="108" w:type="dxa"/>
            </w:tcMar>
            <w:vAlign w:val="center"/>
            <w:hideMark/>
          </w:tcPr>
          <w:p w:rsidR="00EC06FD" w:rsidRDefault="00F346DE">
            <w:pPr>
              <w:spacing w:line="276" w:lineRule="auto"/>
              <w:ind w:right="-270"/>
              <w:jc w:val="center"/>
              <w:rPr>
                <w:rFonts w:eastAsiaTheme="minorHAnsi"/>
                <w:b/>
                <w:noProof/>
                <w:sz w:val="20"/>
                <w:szCs w:val="20"/>
                <w:lang w:eastAsia="en-US"/>
              </w:rPr>
            </w:pPr>
            <w:r>
              <w:rPr>
                <w:b/>
                <w:noProof/>
                <w:sz w:val="20"/>
                <w:szCs w:val="20"/>
              </w:rPr>
              <w:t>2016</w:t>
            </w:r>
          </w:p>
        </w:tc>
      </w:tr>
      <w:tr w:rsidR="00EC06FD">
        <w:tc>
          <w:tcPr>
            <w:tcW w:w="2415" w:type="dxa"/>
          </w:tcPr>
          <w:p w:rsidR="00EC06FD" w:rsidRDefault="00F346DE">
            <w:pPr>
              <w:spacing w:line="276" w:lineRule="auto"/>
              <w:ind w:right="-270"/>
              <w:jc w:val="center"/>
              <w:rPr>
                <w:noProof/>
                <w:sz w:val="20"/>
                <w:szCs w:val="20"/>
              </w:rPr>
            </w:pPr>
            <w:r>
              <w:rPr>
                <w:noProof/>
                <w:sz w:val="20"/>
                <w:szCs w:val="20"/>
              </w:rPr>
              <w:t>Budget for PhD studies</w:t>
            </w:r>
          </w:p>
        </w:tc>
        <w:tc>
          <w:tcPr>
            <w:tcW w:w="2253" w:type="dxa"/>
            <w:tcMar>
              <w:top w:w="0" w:type="dxa"/>
              <w:left w:w="108" w:type="dxa"/>
              <w:bottom w:w="0" w:type="dxa"/>
              <w:right w:w="108" w:type="dxa"/>
            </w:tcMar>
            <w:vAlign w:val="center"/>
            <w:hideMark/>
          </w:tcPr>
          <w:p w:rsidR="00EC06FD" w:rsidRDefault="00F346DE">
            <w:pPr>
              <w:spacing w:line="276" w:lineRule="auto"/>
              <w:ind w:right="-270"/>
              <w:jc w:val="center"/>
              <w:rPr>
                <w:rFonts w:eastAsiaTheme="minorHAnsi"/>
                <w:noProof/>
                <w:sz w:val="20"/>
                <w:szCs w:val="20"/>
                <w:lang w:eastAsia="en-US"/>
              </w:rPr>
            </w:pPr>
            <w:r>
              <w:rPr>
                <w:noProof/>
                <w:sz w:val="20"/>
                <w:szCs w:val="20"/>
              </w:rPr>
              <w:t>9,000</w:t>
            </w:r>
          </w:p>
        </w:tc>
        <w:tc>
          <w:tcPr>
            <w:tcW w:w="2256" w:type="dxa"/>
            <w:tcMar>
              <w:top w:w="0" w:type="dxa"/>
              <w:left w:w="108" w:type="dxa"/>
              <w:bottom w:w="0" w:type="dxa"/>
              <w:right w:w="108" w:type="dxa"/>
            </w:tcMar>
            <w:vAlign w:val="center"/>
            <w:hideMark/>
          </w:tcPr>
          <w:p w:rsidR="00EC06FD" w:rsidRDefault="00F346DE">
            <w:pPr>
              <w:spacing w:line="276" w:lineRule="auto"/>
              <w:ind w:left="16" w:right="-270"/>
              <w:jc w:val="center"/>
              <w:rPr>
                <w:rFonts w:eastAsiaTheme="minorHAnsi"/>
                <w:noProof/>
                <w:sz w:val="20"/>
                <w:szCs w:val="20"/>
                <w:lang w:eastAsia="en-US"/>
              </w:rPr>
            </w:pPr>
            <w:r>
              <w:rPr>
                <w:noProof/>
                <w:sz w:val="20"/>
                <w:szCs w:val="20"/>
              </w:rPr>
              <w:t>7,868</w:t>
            </w:r>
          </w:p>
        </w:tc>
        <w:tc>
          <w:tcPr>
            <w:tcW w:w="2256" w:type="dxa"/>
            <w:tcMar>
              <w:top w:w="0" w:type="dxa"/>
              <w:left w:w="108" w:type="dxa"/>
              <w:bottom w:w="0" w:type="dxa"/>
              <w:right w:w="108" w:type="dxa"/>
            </w:tcMar>
            <w:vAlign w:val="center"/>
            <w:hideMark/>
          </w:tcPr>
          <w:p w:rsidR="00EC06FD" w:rsidRDefault="00F346DE">
            <w:pPr>
              <w:spacing w:line="276" w:lineRule="auto"/>
              <w:ind w:left="16" w:right="-270"/>
              <w:jc w:val="center"/>
              <w:rPr>
                <w:rFonts w:eastAsiaTheme="minorHAnsi"/>
                <w:noProof/>
                <w:sz w:val="20"/>
                <w:szCs w:val="20"/>
                <w:lang w:eastAsia="en-US"/>
              </w:rPr>
            </w:pPr>
            <w:r>
              <w:rPr>
                <w:noProof/>
                <w:sz w:val="20"/>
                <w:szCs w:val="20"/>
              </w:rPr>
              <w:t>7,908</w:t>
            </w:r>
          </w:p>
        </w:tc>
      </w:tr>
      <w:tr w:rsidR="00EC06FD">
        <w:tc>
          <w:tcPr>
            <w:tcW w:w="2415" w:type="dxa"/>
          </w:tcPr>
          <w:p w:rsidR="00EC06FD" w:rsidRDefault="00F346DE">
            <w:pPr>
              <w:spacing w:line="276" w:lineRule="auto"/>
              <w:ind w:right="-270"/>
              <w:jc w:val="center"/>
              <w:rPr>
                <w:noProof/>
                <w:sz w:val="20"/>
                <w:szCs w:val="20"/>
              </w:rPr>
            </w:pPr>
            <w:r>
              <w:rPr>
                <w:noProof/>
                <w:sz w:val="20"/>
                <w:szCs w:val="20"/>
              </w:rPr>
              <w:t>Number of PhD students</w:t>
            </w:r>
          </w:p>
        </w:tc>
        <w:tc>
          <w:tcPr>
            <w:tcW w:w="2253" w:type="dxa"/>
            <w:tcMar>
              <w:top w:w="0" w:type="dxa"/>
              <w:left w:w="108" w:type="dxa"/>
              <w:bottom w:w="0" w:type="dxa"/>
              <w:right w:w="108" w:type="dxa"/>
            </w:tcMar>
            <w:vAlign w:val="center"/>
          </w:tcPr>
          <w:p w:rsidR="00EC06FD" w:rsidRDefault="00F346DE">
            <w:pPr>
              <w:spacing w:line="276" w:lineRule="auto"/>
              <w:ind w:right="-270"/>
              <w:jc w:val="center"/>
              <w:rPr>
                <w:noProof/>
                <w:sz w:val="20"/>
                <w:szCs w:val="20"/>
              </w:rPr>
            </w:pPr>
            <w:r>
              <w:rPr>
                <w:noProof/>
                <w:sz w:val="20"/>
                <w:szCs w:val="20"/>
              </w:rPr>
              <w:t>658</w:t>
            </w:r>
          </w:p>
        </w:tc>
        <w:tc>
          <w:tcPr>
            <w:tcW w:w="2256" w:type="dxa"/>
            <w:tcMar>
              <w:top w:w="0" w:type="dxa"/>
              <w:left w:w="108" w:type="dxa"/>
              <w:bottom w:w="0" w:type="dxa"/>
              <w:right w:w="108" w:type="dxa"/>
            </w:tcMar>
            <w:vAlign w:val="center"/>
          </w:tcPr>
          <w:p w:rsidR="00EC06FD" w:rsidRDefault="00F346DE">
            <w:pPr>
              <w:spacing w:line="276" w:lineRule="auto"/>
              <w:ind w:left="16" w:right="-270"/>
              <w:jc w:val="center"/>
              <w:rPr>
                <w:noProof/>
                <w:sz w:val="20"/>
                <w:szCs w:val="20"/>
              </w:rPr>
            </w:pPr>
            <w:r>
              <w:rPr>
                <w:noProof/>
                <w:sz w:val="20"/>
                <w:szCs w:val="20"/>
              </w:rPr>
              <w:t>713</w:t>
            </w:r>
          </w:p>
        </w:tc>
        <w:tc>
          <w:tcPr>
            <w:tcW w:w="2256" w:type="dxa"/>
            <w:tcMar>
              <w:top w:w="0" w:type="dxa"/>
              <w:left w:w="108" w:type="dxa"/>
              <w:bottom w:w="0" w:type="dxa"/>
              <w:right w:w="108" w:type="dxa"/>
            </w:tcMar>
            <w:vAlign w:val="center"/>
          </w:tcPr>
          <w:p w:rsidR="00EC06FD" w:rsidRDefault="00F346DE">
            <w:pPr>
              <w:spacing w:line="276" w:lineRule="auto"/>
              <w:ind w:left="16" w:right="-270"/>
              <w:jc w:val="center"/>
              <w:rPr>
                <w:noProof/>
                <w:sz w:val="20"/>
                <w:szCs w:val="20"/>
              </w:rPr>
            </w:pPr>
            <w:r>
              <w:rPr>
                <w:noProof/>
                <w:sz w:val="20"/>
                <w:szCs w:val="20"/>
              </w:rPr>
              <w:t>756</w:t>
            </w:r>
          </w:p>
        </w:tc>
      </w:tr>
    </w:tbl>
    <w:p w:rsidR="00EC06FD" w:rsidRDefault="00F346DE">
      <w:pPr>
        <w:pStyle w:val="xmsonormal"/>
        <w:suppressAutoHyphens/>
        <w:spacing w:before="0" w:beforeAutospacing="0" w:after="0" w:afterAutospacing="0" w:line="276" w:lineRule="auto"/>
        <w:jc w:val="both"/>
        <w:rPr>
          <w:i/>
          <w:noProof/>
          <w:sz w:val="20"/>
        </w:rPr>
      </w:pPr>
      <w:r>
        <w:rPr>
          <w:i/>
          <w:noProof/>
          <w:sz w:val="20"/>
        </w:rPr>
        <w:t>Source: Annual reports from EUROfusion</w:t>
      </w:r>
    </w:p>
    <w:p w:rsidR="00EC06FD" w:rsidRDefault="00EC06FD">
      <w:pPr>
        <w:pStyle w:val="xmsonormal"/>
        <w:suppressAutoHyphens/>
        <w:spacing w:before="0" w:beforeAutospacing="0" w:after="0" w:afterAutospacing="0" w:line="276" w:lineRule="auto"/>
        <w:jc w:val="both"/>
        <w:rPr>
          <w:noProof/>
          <w:highlight w:val="yellow"/>
        </w:rPr>
      </w:pPr>
    </w:p>
    <w:p w:rsidR="00EC06FD" w:rsidRDefault="00F346DE">
      <w:pPr>
        <w:pStyle w:val="xmsonormal"/>
        <w:suppressAutoHyphens/>
        <w:spacing w:before="0" w:beforeAutospacing="0" w:after="0" w:afterAutospacing="0" w:line="276" w:lineRule="auto"/>
        <w:jc w:val="both"/>
        <w:rPr>
          <w:noProof/>
        </w:rPr>
      </w:pPr>
      <w:r>
        <w:rPr>
          <w:noProof/>
        </w:rPr>
        <w:t xml:space="preserve">Fusion research and technology development requires staff with skills going beyond PhD level. For this reason and in order to maintain highly qualified staff, EUROfusion has set up </w:t>
      </w:r>
      <w:r>
        <w:rPr>
          <w:noProof/>
        </w:rPr>
        <w:lastRenderedPageBreak/>
        <w:t>EUROfusion Researcher Grants (ERG) and EUROfusion Engineering Grants (EEG). The ERG are post-doc grants to scientists who have recently finalised their PhD, while EEG aims to encourage excellence and career development of young engineers. Support for EEG grants is constantly adjusted to the expected shortage of skills in specific missions of the fusion roadmap. Current data (table 9) shows positive trends in number of grants awarded. Since the first grantees are roughly halfway through their contract, it is premature to elaborate on the outcome and success rate of the ERG and EEG. But given the success of similar grants awarded under Euratom FP7, it is to be expected that many of the grantees will stay in fusion research.</w:t>
      </w:r>
    </w:p>
    <w:p w:rsidR="00EC06FD" w:rsidRDefault="00EC06FD">
      <w:pPr>
        <w:pStyle w:val="xmsonormal"/>
        <w:suppressAutoHyphens/>
        <w:spacing w:before="0" w:beforeAutospacing="0" w:after="0" w:afterAutospacing="0" w:line="276" w:lineRule="auto"/>
        <w:jc w:val="both"/>
        <w:rPr>
          <w:noProof/>
        </w:rPr>
      </w:pPr>
    </w:p>
    <w:tbl>
      <w:tblPr>
        <w:tblW w:w="7175" w:type="dxa"/>
        <w:jc w:val="center"/>
        <w:tblInd w:w="3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42"/>
        <w:gridCol w:w="640"/>
        <w:gridCol w:w="705"/>
        <w:gridCol w:w="616"/>
        <w:gridCol w:w="672"/>
      </w:tblGrid>
      <w:tr w:rsidR="00EC06FD">
        <w:trPr>
          <w:trHeight w:val="287"/>
          <w:jc w:val="center"/>
        </w:trPr>
        <w:tc>
          <w:tcPr>
            <w:tcW w:w="7175" w:type="dxa"/>
            <w:gridSpan w:val="5"/>
            <w:shd w:val="clear" w:color="auto" w:fill="BFBFBF" w:themeFill="background1" w:themeFillShade="BF"/>
            <w:tcMar>
              <w:top w:w="0" w:type="dxa"/>
              <w:left w:w="108" w:type="dxa"/>
              <w:bottom w:w="0" w:type="dxa"/>
              <w:right w:w="108" w:type="dxa"/>
            </w:tcMar>
            <w:vAlign w:val="center"/>
          </w:tcPr>
          <w:p w:rsidR="00EC06FD" w:rsidRDefault="00F346DE">
            <w:pPr>
              <w:jc w:val="center"/>
              <w:rPr>
                <w:b/>
                <w:noProof/>
                <w:sz w:val="20"/>
                <w:szCs w:val="20"/>
              </w:rPr>
            </w:pPr>
            <w:r>
              <w:rPr>
                <w:b/>
                <w:noProof/>
                <w:sz w:val="20"/>
                <w:szCs w:val="20"/>
              </w:rPr>
              <w:t>Table 9 - EUROfusion training actions</w:t>
            </w:r>
          </w:p>
        </w:tc>
      </w:tr>
      <w:tr w:rsidR="00EC06FD">
        <w:trPr>
          <w:trHeight w:val="321"/>
          <w:jc w:val="center"/>
        </w:trPr>
        <w:tc>
          <w:tcPr>
            <w:tcW w:w="4542" w:type="dxa"/>
            <w:shd w:val="clear" w:color="auto" w:fill="BFBFBF" w:themeFill="background1" w:themeFillShade="BF"/>
            <w:tcMar>
              <w:top w:w="0" w:type="dxa"/>
              <w:left w:w="108" w:type="dxa"/>
              <w:bottom w:w="0" w:type="dxa"/>
              <w:right w:w="108" w:type="dxa"/>
            </w:tcMar>
            <w:vAlign w:val="center"/>
            <w:hideMark/>
          </w:tcPr>
          <w:p w:rsidR="00EC06FD" w:rsidRDefault="00EC06FD">
            <w:pPr>
              <w:rPr>
                <w:noProof/>
                <w:sz w:val="20"/>
                <w:szCs w:val="20"/>
              </w:rPr>
            </w:pPr>
          </w:p>
        </w:tc>
        <w:tc>
          <w:tcPr>
            <w:tcW w:w="640" w:type="dxa"/>
            <w:shd w:val="clear" w:color="auto" w:fill="BFBFBF" w:themeFill="background1" w:themeFillShade="BF"/>
            <w:noWrap/>
            <w:tcMar>
              <w:top w:w="0" w:type="dxa"/>
              <w:left w:w="108" w:type="dxa"/>
              <w:bottom w:w="0" w:type="dxa"/>
              <w:right w:w="108" w:type="dxa"/>
            </w:tcMar>
            <w:vAlign w:val="center"/>
            <w:hideMark/>
          </w:tcPr>
          <w:p w:rsidR="00EC06FD" w:rsidRDefault="00F346DE">
            <w:pPr>
              <w:rPr>
                <w:b/>
                <w:noProof/>
                <w:sz w:val="20"/>
                <w:szCs w:val="20"/>
              </w:rPr>
            </w:pPr>
            <w:r>
              <w:rPr>
                <w:b/>
                <w:noProof/>
                <w:sz w:val="20"/>
                <w:szCs w:val="20"/>
              </w:rPr>
              <w:t>2014</w:t>
            </w:r>
          </w:p>
        </w:tc>
        <w:tc>
          <w:tcPr>
            <w:tcW w:w="705" w:type="dxa"/>
            <w:shd w:val="clear" w:color="auto" w:fill="BFBFBF" w:themeFill="background1" w:themeFillShade="BF"/>
            <w:tcMar>
              <w:top w:w="0" w:type="dxa"/>
              <w:left w:w="108" w:type="dxa"/>
              <w:bottom w:w="0" w:type="dxa"/>
              <w:right w:w="108" w:type="dxa"/>
            </w:tcMar>
            <w:vAlign w:val="center"/>
            <w:hideMark/>
          </w:tcPr>
          <w:p w:rsidR="00EC06FD" w:rsidRDefault="00F346DE">
            <w:pPr>
              <w:rPr>
                <w:b/>
                <w:noProof/>
                <w:sz w:val="20"/>
                <w:szCs w:val="20"/>
              </w:rPr>
            </w:pPr>
            <w:r>
              <w:rPr>
                <w:b/>
                <w:noProof/>
                <w:sz w:val="20"/>
                <w:szCs w:val="20"/>
              </w:rPr>
              <w:t>2015</w:t>
            </w:r>
          </w:p>
        </w:tc>
        <w:tc>
          <w:tcPr>
            <w:tcW w:w="616" w:type="dxa"/>
            <w:shd w:val="clear" w:color="auto" w:fill="BFBFBF" w:themeFill="background1" w:themeFillShade="BF"/>
            <w:tcMar>
              <w:top w:w="0" w:type="dxa"/>
              <w:left w:w="108" w:type="dxa"/>
              <w:bottom w:w="0" w:type="dxa"/>
              <w:right w:w="108" w:type="dxa"/>
            </w:tcMar>
            <w:vAlign w:val="center"/>
            <w:hideMark/>
          </w:tcPr>
          <w:p w:rsidR="00EC06FD" w:rsidRDefault="00F346DE">
            <w:pPr>
              <w:rPr>
                <w:b/>
                <w:noProof/>
                <w:sz w:val="20"/>
                <w:szCs w:val="20"/>
              </w:rPr>
            </w:pPr>
            <w:r>
              <w:rPr>
                <w:b/>
                <w:noProof/>
                <w:sz w:val="20"/>
                <w:szCs w:val="20"/>
              </w:rPr>
              <w:t>2016</w:t>
            </w:r>
          </w:p>
        </w:tc>
        <w:tc>
          <w:tcPr>
            <w:tcW w:w="672" w:type="dxa"/>
            <w:shd w:val="clear" w:color="auto" w:fill="BFBFBF" w:themeFill="background1" w:themeFillShade="BF"/>
            <w:tcMar>
              <w:top w:w="0" w:type="dxa"/>
              <w:left w:w="108" w:type="dxa"/>
              <w:bottom w:w="0" w:type="dxa"/>
              <w:right w:w="108" w:type="dxa"/>
            </w:tcMar>
            <w:vAlign w:val="center"/>
            <w:hideMark/>
          </w:tcPr>
          <w:p w:rsidR="00EC06FD" w:rsidRDefault="00F346DE">
            <w:pPr>
              <w:rPr>
                <w:b/>
                <w:noProof/>
                <w:sz w:val="20"/>
                <w:szCs w:val="20"/>
              </w:rPr>
            </w:pPr>
            <w:r>
              <w:rPr>
                <w:b/>
                <w:noProof/>
                <w:sz w:val="20"/>
                <w:szCs w:val="20"/>
              </w:rPr>
              <w:t>Total</w:t>
            </w:r>
          </w:p>
        </w:tc>
      </w:tr>
      <w:tr w:rsidR="00EC06FD">
        <w:trPr>
          <w:trHeight w:val="398"/>
          <w:jc w:val="center"/>
        </w:trPr>
        <w:tc>
          <w:tcPr>
            <w:tcW w:w="4542" w:type="dxa"/>
            <w:shd w:val="clear" w:color="auto" w:fill="FFFFFF"/>
            <w:tcMar>
              <w:top w:w="0" w:type="dxa"/>
              <w:left w:w="108" w:type="dxa"/>
              <w:bottom w:w="0" w:type="dxa"/>
              <w:right w:w="108" w:type="dxa"/>
            </w:tcMar>
            <w:vAlign w:val="center"/>
            <w:hideMark/>
          </w:tcPr>
          <w:p w:rsidR="00EC06FD" w:rsidRDefault="00F346DE">
            <w:pPr>
              <w:rPr>
                <w:noProof/>
                <w:sz w:val="20"/>
                <w:szCs w:val="20"/>
              </w:rPr>
            </w:pPr>
            <w:r>
              <w:rPr>
                <w:noProof/>
                <w:sz w:val="20"/>
                <w:szCs w:val="20"/>
              </w:rPr>
              <w:t>The number of researcher grants awarded per year</w:t>
            </w:r>
          </w:p>
        </w:tc>
        <w:tc>
          <w:tcPr>
            <w:tcW w:w="640" w:type="dxa"/>
            <w:shd w:val="clear" w:color="auto" w:fill="FFFFFF"/>
            <w:noWrap/>
            <w:tcMar>
              <w:top w:w="0" w:type="dxa"/>
              <w:left w:w="108" w:type="dxa"/>
              <w:bottom w:w="0" w:type="dxa"/>
              <w:right w:w="108" w:type="dxa"/>
            </w:tcMar>
            <w:vAlign w:val="center"/>
            <w:hideMark/>
          </w:tcPr>
          <w:p w:rsidR="00EC06FD" w:rsidRDefault="00F346DE">
            <w:pPr>
              <w:rPr>
                <w:noProof/>
                <w:sz w:val="20"/>
                <w:szCs w:val="20"/>
              </w:rPr>
            </w:pPr>
            <w:r>
              <w:rPr>
                <w:noProof/>
                <w:sz w:val="20"/>
                <w:szCs w:val="20"/>
              </w:rPr>
              <w:t>17</w:t>
            </w:r>
          </w:p>
        </w:tc>
        <w:tc>
          <w:tcPr>
            <w:tcW w:w="705" w:type="dxa"/>
            <w:shd w:val="clear" w:color="auto" w:fill="FFFFFF"/>
            <w:tcMar>
              <w:top w:w="0" w:type="dxa"/>
              <w:left w:w="108" w:type="dxa"/>
              <w:bottom w:w="0" w:type="dxa"/>
              <w:right w:w="108" w:type="dxa"/>
            </w:tcMar>
            <w:vAlign w:val="center"/>
            <w:hideMark/>
          </w:tcPr>
          <w:p w:rsidR="00EC06FD" w:rsidRDefault="00F346DE">
            <w:pPr>
              <w:rPr>
                <w:noProof/>
                <w:sz w:val="20"/>
                <w:szCs w:val="20"/>
              </w:rPr>
            </w:pPr>
            <w:r>
              <w:rPr>
                <w:noProof/>
                <w:sz w:val="20"/>
                <w:szCs w:val="20"/>
              </w:rPr>
              <w:t>11</w:t>
            </w:r>
          </w:p>
        </w:tc>
        <w:tc>
          <w:tcPr>
            <w:tcW w:w="616" w:type="dxa"/>
            <w:shd w:val="clear" w:color="auto" w:fill="FFFFFF"/>
            <w:tcMar>
              <w:top w:w="0" w:type="dxa"/>
              <w:left w:w="108" w:type="dxa"/>
              <w:bottom w:w="0" w:type="dxa"/>
              <w:right w:w="108" w:type="dxa"/>
            </w:tcMar>
            <w:vAlign w:val="center"/>
            <w:hideMark/>
          </w:tcPr>
          <w:p w:rsidR="00EC06FD" w:rsidRDefault="00F346DE">
            <w:pPr>
              <w:rPr>
                <w:noProof/>
                <w:sz w:val="20"/>
                <w:szCs w:val="20"/>
              </w:rPr>
            </w:pPr>
            <w:r>
              <w:rPr>
                <w:noProof/>
                <w:sz w:val="20"/>
                <w:szCs w:val="20"/>
              </w:rPr>
              <w:t>11</w:t>
            </w:r>
          </w:p>
        </w:tc>
        <w:tc>
          <w:tcPr>
            <w:tcW w:w="672" w:type="dxa"/>
            <w:shd w:val="clear" w:color="auto" w:fill="FFFFFF"/>
            <w:tcMar>
              <w:top w:w="0" w:type="dxa"/>
              <w:left w:w="108" w:type="dxa"/>
              <w:bottom w:w="0" w:type="dxa"/>
              <w:right w:w="108" w:type="dxa"/>
            </w:tcMar>
            <w:vAlign w:val="center"/>
            <w:hideMark/>
          </w:tcPr>
          <w:p w:rsidR="00EC06FD" w:rsidRDefault="00F346DE">
            <w:pPr>
              <w:rPr>
                <w:noProof/>
                <w:sz w:val="20"/>
                <w:szCs w:val="20"/>
              </w:rPr>
            </w:pPr>
            <w:r>
              <w:rPr>
                <w:noProof/>
                <w:sz w:val="20"/>
                <w:szCs w:val="20"/>
              </w:rPr>
              <w:t>39</w:t>
            </w:r>
          </w:p>
        </w:tc>
      </w:tr>
      <w:tr w:rsidR="00EC06FD">
        <w:trPr>
          <w:trHeight w:val="431"/>
          <w:jc w:val="center"/>
        </w:trPr>
        <w:tc>
          <w:tcPr>
            <w:tcW w:w="4542" w:type="dxa"/>
            <w:shd w:val="clear" w:color="auto" w:fill="FFFFFF"/>
            <w:tcMar>
              <w:top w:w="0" w:type="dxa"/>
              <w:left w:w="108" w:type="dxa"/>
              <w:bottom w:w="0" w:type="dxa"/>
              <w:right w:w="108" w:type="dxa"/>
            </w:tcMar>
            <w:vAlign w:val="center"/>
            <w:hideMark/>
          </w:tcPr>
          <w:p w:rsidR="00EC06FD" w:rsidRDefault="00F346DE">
            <w:pPr>
              <w:rPr>
                <w:noProof/>
                <w:sz w:val="20"/>
                <w:szCs w:val="20"/>
              </w:rPr>
            </w:pPr>
            <w:r>
              <w:rPr>
                <w:noProof/>
                <w:sz w:val="20"/>
                <w:szCs w:val="20"/>
              </w:rPr>
              <w:t>The number of engineering grants awarded per year</w:t>
            </w:r>
          </w:p>
        </w:tc>
        <w:tc>
          <w:tcPr>
            <w:tcW w:w="640" w:type="dxa"/>
            <w:shd w:val="clear" w:color="auto" w:fill="FFFFFF"/>
            <w:noWrap/>
            <w:tcMar>
              <w:top w:w="0" w:type="dxa"/>
              <w:left w:w="108" w:type="dxa"/>
              <w:bottom w:w="0" w:type="dxa"/>
              <w:right w:w="108" w:type="dxa"/>
            </w:tcMar>
            <w:vAlign w:val="center"/>
            <w:hideMark/>
          </w:tcPr>
          <w:p w:rsidR="00EC06FD" w:rsidRDefault="00F346DE">
            <w:pPr>
              <w:rPr>
                <w:noProof/>
                <w:sz w:val="20"/>
                <w:szCs w:val="20"/>
              </w:rPr>
            </w:pPr>
            <w:r>
              <w:rPr>
                <w:noProof/>
                <w:sz w:val="20"/>
                <w:szCs w:val="20"/>
              </w:rPr>
              <w:t>-</w:t>
            </w:r>
          </w:p>
        </w:tc>
        <w:tc>
          <w:tcPr>
            <w:tcW w:w="705" w:type="dxa"/>
            <w:shd w:val="clear" w:color="auto" w:fill="FFFFFF"/>
            <w:tcMar>
              <w:top w:w="0" w:type="dxa"/>
              <w:left w:w="108" w:type="dxa"/>
              <w:bottom w:w="0" w:type="dxa"/>
              <w:right w:w="108" w:type="dxa"/>
            </w:tcMar>
            <w:vAlign w:val="center"/>
            <w:hideMark/>
          </w:tcPr>
          <w:p w:rsidR="00EC06FD" w:rsidRDefault="00F346DE">
            <w:pPr>
              <w:rPr>
                <w:noProof/>
                <w:sz w:val="20"/>
                <w:szCs w:val="20"/>
              </w:rPr>
            </w:pPr>
            <w:r>
              <w:rPr>
                <w:noProof/>
                <w:sz w:val="20"/>
                <w:szCs w:val="20"/>
              </w:rPr>
              <w:t>17</w:t>
            </w:r>
          </w:p>
        </w:tc>
        <w:tc>
          <w:tcPr>
            <w:tcW w:w="616" w:type="dxa"/>
            <w:shd w:val="clear" w:color="auto" w:fill="FFFFFF"/>
            <w:tcMar>
              <w:top w:w="0" w:type="dxa"/>
              <w:left w:w="108" w:type="dxa"/>
              <w:bottom w:w="0" w:type="dxa"/>
              <w:right w:w="108" w:type="dxa"/>
            </w:tcMar>
            <w:vAlign w:val="center"/>
            <w:hideMark/>
          </w:tcPr>
          <w:p w:rsidR="00EC06FD" w:rsidRDefault="00F346DE">
            <w:pPr>
              <w:rPr>
                <w:noProof/>
                <w:sz w:val="20"/>
                <w:szCs w:val="20"/>
              </w:rPr>
            </w:pPr>
            <w:r>
              <w:rPr>
                <w:noProof/>
                <w:sz w:val="20"/>
                <w:szCs w:val="20"/>
              </w:rPr>
              <w:t>20</w:t>
            </w:r>
          </w:p>
        </w:tc>
        <w:tc>
          <w:tcPr>
            <w:tcW w:w="672" w:type="dxa"/>
            <w:shd w:val="clear" w:color="auto" w:fill="FFFFFF"/>
            <w:tcMar>
              <w:top w:w="0" w:type="dxa"/>
              <w:left w:w="108" w:type="dxa"/>
              <w:bottom w:w="0" w:type="dxa"/>
              <w:right w:w="108" w:type="dxa"/>
            </w:tcMar>
            <w:vAlign w:val="center"/>
            <w:hideMark/>
          </w:tcPr>
          <w:p w:rsidR="00EC06FD" w:rsidRDefault="00F346DE">
            <w:pPr>
              <w:rPr>
                <w:noProof/>
                <w:sz w:val="20"/>
                <w:szCs w:val="20"/>
              </w:rPr>
            </w:pPr>
            <w:r>
              <w:rPr>
                <w:noProof/>
                <w:sz w:val="20"/>
                <w:szCs w:val="20"/>
              </w:rPr>
              <w:t>37</w:t>
            </w:r>
          </w:p>
        </w:tc>
      </w:tr>
      <w:tr w:rsidR="00EC06FD">
        <w:trPr>
          <w:trHeight w:val="267"/>
          <w:jc w:val="center"/>
        </w:trPr>
        <w:tc>
          <w:tcPr>
            <w:tcW w:w="4542" w:type="dxa"/>
            <w:shd w:val="clear" w:color="auto" w:fill="FFFFFF"/>
            <w:tcMar>
              <w:top w:w="0" w:type="dxa"/>
              <w:left w:w="108" w:type="dxa"/>
              <w:bottom w:w="0" w:type="dxa"/>
              <w:right w:w="108" w:type="dxa"/>
            </w:tcMar>
            <w:vAlign w:val="center"/>
            <w:hideMark/>
          </w:tcPr>
          <w:p w:rsidR="00EC06FD" w:rsidRDefault="00F346DE">
            <w:pPr>
              <w:jc w:val="center"/>
              <w:rPr>
                <w:b/>
                <w:noProof/>
                <w:sz w:val="20"/>
                <w:szCs w:val="20"/>
              </w:rPr>
            </w:pPr>
            <w:r>
              <w:rPr>
                <w:b/>
                <w:noProof/>
                <w:sz w:val="20"/>
                <w:szCs w:val="20"/>
              </w:rPr>
              <w:t>Total</w:t>
            </w:r>
          </w:p>
        </w:tc>
        <w:tc>
          <w:tcPr>
            <w:tcW w:w="640" w:type="dxa"/>
            <w:shd w:val="clear" w:color="auto" w:fill="FFFFFF"/>
            <w:noWrap/>
            <w:tcMar>
              <w:top w:w="0" w:type="dxa"/>
              <w:left w:w="108" w:type="dxa"/>
              <w:bottom w:w="0" w:type="dxa"/>
              <w:right w:w="108" w:type="dxa"/>
            </w:tcMar>
            <w:vAlign w:val="center"/>
            <w:hideMark/>
          </w:tcPr>
          <w:p w:rsidR="00EC06FD" w:rsidRDefault="00F346DE">
            <w:pPr>
              <w:rPr>
                <w:noProof/>
                <w:sz w:val="20"/>
                <w:szCs w:val="20"/>
              </w:rPr>
            </w:pPr>
            <w:r>
              <w:rPr>
                <w:noProof/>
                <w:sz w:val="20"/>
                <w:szCs w:val="20"/>
              </w:rPr>
              <w:t>17</w:t>
            </w:r>
          </w:p>
        </w:tc>
        <w:tc>
          <w:tcPr>
            <w:tcW w:w="705" w:type="dxa"/>
            <w:shd w:val="clear" w:color="auto" w:fill="FFFFFF"/>
            <w:tcMar>
              <w:top w:w="0" w:type="dxa"/>
              <w:left w:w="108" w:type="dxa"/>
              <w:bottom w:w="0" w:type="dxa"/>
              <w:right w:w="108" w:type="dxa"/>
            </w:tcMar>
            <w:vAlign w:val="center"/>
            <w:hideMark/>
          </w:tcPr>
          <w:p w:rsidR="00EC06FD" w:rsidRDefault="00F346DE">
            <w:pPr>
              <w:rPr>
                <w:noProof/>
                <w:sz w:val="20"/>
                <w:szCs w:val="20"/>
              </w:rPr>
            </w:pPr>
            <w:r>
              <w:rPr>
                <w:noProof/>
                <w:sz w:val="20"/>
                <w:szCs w:val="20"/>
              </w:rPr>
              <w:t>28</w:t>
            </w:r>
          </w:p>
        </w:tc>
        <w:tc>
          <w:tcPr>
            <w:tcW w:w="616" w:type="dxa"/>
            <w:shd w:val="clear" w:color="auto" w:fill="FFFFFF"/>
            <w:tcMar>
              <w:top w:w="0" w:type="dxa"/>
              <w:left w:w="108" w:type="dxa"/>
              <w:bottom w:w="0" w:type="dxa"/>
              <w:right w:w="108" w:type="dxa"/>
            </w:tcMar>
            <w:vAlign w:val="center"/>
            <w:hideMark/>
          </w:tcPr>
          <w:p w:rsidR="00EC06FD" w:rsidRDefault="00F346DE">
            <w:pPr>
              <w:rPr>
                <w:noProof/>
                <w:sz w:val="20"/>
                <w:szCs w:val="20"/>
              </w:rPr>
            </w:pPr>
            <w:r>
              <w:rPr>
                <w:noProof/>
                <w:sz w:val="20"/>
                <w:szCs w:val="20"/>
              </w:rPr>
              <w:t>31</w:t>
            </w:r>
          </w:p>
        </w:tc>
        <w:tc>
          <w:tcPr>
            <w:tcW w:w="672" w:type="dxa"/>
            <w:shd w:val="clear" w:color="auto" w:fill="FFFFFF"/>
            <w:tcMar>
              <w:top w:w="0" w:type="dxa"/>
              <w:left w:w="108" w:type="dxa"/>
              <w:bottom w:w="0" w:type="dxa"/>
              <w:right w:w="108" w:type="dxa"/>
            </w:tcMar>
            <w:vAlign w:val="center"/>
            <w:hideMark/>
          </w:tcPr>
          <w:p w:rsidR="00EC06FD" w:rsidRDefault="00F346DE">
            <w:pPr>
              <w:rPr>
                <w:noProof/>
                <w:sz w:val="20"/>
                <w:szCs w:val="20"/>
              </w:rPr>
            </w:pPr>
            <w:r>
              <w:rPr>
                <w:noProof/>
                <w:sz w:val="20"/>
                <w:szCs w:val="20"/>
              </w:rPr>
              <w:t>76</w:t>
            </w:r>
          </w:p>
        </w:tc>
      </w:tr>
    </w:tbl>
    <w:p w:rsidR="00EC06FD" w:rsidRDefault="00F346DE">
      <w:pPr>
        <w:pStyle w:val="xmsonormal"/>
        <w:suppressAutoHyphens/>
        <w:spacing w:before="0" w:beforeAutospacing="0" w:after="0" w:afterAutospacing="0" w:line="276" w:lineRule="auto"/>
        <w:jc w:val="both"/>
        <w:rPr>
          <w:i/>
          <w:noProof/>
          <w:sz w:val="18"/>
        </w:rPr>
      </w:pPr>
      <w:r>
        <w:rPr>
          <w:noProof/>
          <w:sz w:val="18"/>
        </w:rPr>
        <w:tab/>
      </w:r>
      <w:r>
        <w:rPr>
          <w:i/>
          <w:noProof/>
          <w:sz w:val="18"/>
        </w:rPr>
        <w:t>Source: Annual reports from EUROfusion</w:t>
      </w:r>
    </w:p>
    <w:p w:rsidR="00EC06FD" w:rsidRDefault="00EC06FD">
      <w:pPr>
        <w:pStyle w:val="xmsoplaintext"/>
        <w:suppressAutoHyphens/>
        <w:spacing w:before="0" w:beforeAutospacing="0" w:after="0" w:afterAutospacing="0" w:line="276" w:lineRule="auto"/>
        <w:jc w:val="both"/>
        <w:rPr>
          <w:noProof/>
        </w:rPr>
      </w:pPr>
    </w:p>
    <w:p w:rsidR="00EC06FD" w:rsidRDefault="00F346DE">
      <w:pPr>
        <w:pStyle w:val="xmsonormal"/>
        <w:suppressAutoHyphens/>
        <w:spacing w:before="0" w:beforeAutospacing="0" w:after="120" w:afterAutospacing="0" w:line="276" w:lineRule="auto"/>
        <w:jc w:val="both"/>
        <w:rPr>
          <w:noProof/>
        </w:rPr>
      </w:pPr>
      <w:r>
        <w:rPr>
          <w:noProof/>
        </w:rPr>
        <w:t xml:space="preserve">Mobility of researchers and scientists within the joint programme is one of the cornerstones on which the success of EUROfusion depends. Mobility support covers funding for visiting scientists for joint research, long-term secondees, and fellowships. Within EUROfusion, mobility for joint research activities is approved in line with the project-oriented approach and is directly integrated into the programme budget and managed under the responsibility of each Project Leader and Taskforce Leader. </w:t>
      </w:r>
    </w:p>
    <w:p w:rsidR="00EC06FD" w:rsidRDefault="00F346DE">
      <w:pPr>
        <w:pStyle w:val="xmsonormal"/>
        <w:suppressAutoHyphens/>
        <w:spacing w:before="0" w:beforeAutospacing="0" w:after="0" w:afterAutospacing="0" w:line="276" w:lineRule="auto"/>
        <w:jc w:val="both"/>
        <w:rPr>
          <w:noProof/>
        </w:rPr>
      </w:pPr>
      <w:r>
        <w:rPr>
          <w:noProof/>
        </w:rPr>
        <w:t>The Commission Expert Group concluded that short-term mobility has become more clearly focused on the implementation of the roadmap. However, mobility support appears to be overwhelmingly concentrated on the physics side of EUROfusion's activities (e.g., experimental campaigns at JET and the medium-sized tokamaks). In addition, as in previous Euratom programmes, mobility remains important as a means to creating scientific networks between the various national research labs involved, particularly in view of the often fragmented and geographically dispersed project teams.</w:t>
      </w:r>
    </w:p>
    <w:p w:rsidR="00EC06FD" w:rsidRDefault="00EC06FD">
      <w:pPr>
        <w:pStyle w:val="xmsonormal"/>
        <w:suppressAutoHyphens/>
        <w:spacing w:before="0" w:beforeAutospacing="0" w:after="0" w:afterAutospacing="0" w:line="276" w:lineRule="auto"/>
        <w:jc w:val="both"/>
        <w:rPr>
          <w:noProof/>
        </w:rPr>
      </w:pPr>
    </w:p>
    <w:p w:rsidR="00EC06FD" w:rsidRDefault="00F346DE">
      <w:pPr>
        <w:pStyle w:val="xmsonormal"/>
        <w:suppressAutoHyphens/>
        <w:spacing w:before="0" w:beforeAutospacing="0" w:after="120" w:afterAutospacing="0" w:line="276" w:lineRule="auto"/>
        <w:jc w:val="both"/>
        <w:rPr>
          <w:noProof/>
        </w:rPr>
      </w:pPr>
      <w:r>
        <w:rPr>
          <w:noProof/>
        </w:rPr>
        <w:t>The issues regarding long-term mobility (e.g. secondments) within the programme are quite different from those of shorter-term mobility. The Unit Cost Decision</w:t>
      </w:r>
      <w:r>
        <w:rPr>
          <w:noProof/>
          <w:vertAlign w:val="superscript"/>
        </w:rPr>
        <w:footnoteReference w:id="38"/>
      </w:r>
      <w:r>
        <w:rPr>
          <w:noProof/>
        </w:rPr>
        <w:t xml:space="preserve"> provides the basis for the supplementary remuneration of secondees to the Programme Management Unit (PMU), ensuring a level playing field for all labs and secondees from across Europe (to the extent possible in view of the various tax regulations in force across Member States, which are not under Commission competence). However, experience has shown that the Unit Cost Decision has required additional administrative effort in some laboratories, and in some of the larger labs it is not compatible with normal working practices. On the other hand it has been welcomed in the majority of Member States joining the EU since 2004, who otherwise would not be able to afford the cost of travel. </w:t>
      </w:r>
    </w:p>
    <w:p w:rsidR="00EC06FD" w:rsidRDefault="00F346DE">
      <w:pPr>
        <w:pStyle w:val="Heading3"/>
        <w:ind w:left="720"/>
        <w:rPr>
          <w:noProof/>
        </w:rPr>
      </w:pPr>
      <w:bookmarkStart w:id="654" w:name="_Toc494899792"/>
      <w:r>
        <w:rPr>
          <w:noProof/>
        </w:rPr>
        <w:lastRenderedPageBreak/>
        <w:t>Spin offs and patents from Euratom fusion programme</w:t>
      </w:r>
      <w:bookmarkEnd w:id="654"/>
    </w:p>
    <w:p w:rsidR="00EC06FD" w:rsidRDefault="00F346DE">
      <w:pPr>
        <w:pStyle w:val="Text3"/>
        <w:ind w:left="0"/>
        <w:rPr>
          <w:noProof/>
          <w:szCs w:val="24"/>
          <w:lang w:eastAsia="en-GB"/>
        </w:rPr>
      </w:pPr>
      <w:r>
        <w:rPr>
          <w:noProof/>
          <w:szCs w:val="24"/>
          <w:lang w:eastAsia="en-GB"/>
        </w:rPr>
        <w:t>Development of fusion energy requires scientific advances in many different areas which frequently lead to unexpected applications beyond fusion energy. Table 10 shows first spin-offs from fusion research since 2014. In addition, researchers from European fusion laboratories supported by EUROfusion made so far 4 applications for patents.</w:t>
      </w:r>
    </w:p>
    <w:tbl>
      <w:tblPr>
        <w:tblStyle w:val="TableGrid"/>
        <w:tblW w:w="0" w:type="auto"/>
        <w:jc w:val="center"/>
        <w:tblLook w:val="04A0" w:firstRow="1" w:lastRow="0" w:firstColumn="1" w:lastColumn="0" w:noHBand="0" w:noVBand="1"/>
      </w:tblPr>
      <w:tblGrid>
        <w:gridCol w:w="8613"/>
      </w:tblGrid>
      <w:tr w:rsidR="00EC06FD">
        <w:trPr>
          <w:jc w:val="center"/>
        </w:trPr>
        <w:tc>
          <w:tcPr>
            <w:tcW w:w="8613" w:type="dxa"/>
            <w:shd w:val="clear" w:color="auto" w:fill="BFBFBF" w:themeFill="background1" w:themeFillShade="BF"/>
            <w:vAlign w:val="center"/>
          </w:tcPr>
          <w:p w:rsidR="00EC06FD" w:rsidRDefault="00F346DE">
            <w:pPr>
              <w:jc w:val="center"/>
              <w:rPr>
                <w:b/>
                <w:noProof/>
                <w:sz w:val="18"/>
                <w:szCs w:val="18"/>
              </w:rPr>
            </w:pPr>
            <w:r>
              <w:rPr>
                <w:b/>
                <w:noProof/>
                <w:sz w:val="22"/>
                <w:szCs w:val="18"/>
              </w:rPr>
              <w:t>Table 10 – Recent spin offs from fusion research</w:t>
            </w:r>
          </w:p>
        </w:tc>
      </w:tr>
      <w:tr w:rsidR="00EC06FD">
        <w:trPr>
          <w:jc w:val="center"/>
        </w:trPr>
        <w:tc>
          <w:tcPr>
            <w:tcW w:w="8613" w:type="dxa"/>
          </w:tcPr>
          <w:p w:rsidR="00EC06FD" w:rsidRDefault="00F346DE">
            <w:pPr>
              <w:pStyle w:val="ListParagraph"/>
              <w:numPr>
                <w:ilvl w:val="0"/>
                <w:numId w:val="44"/>
              </w:numPr>
              <w:spacing w:after="0"/>
              <w:rPr>
                <w:noProof/>
                <w:sz w:val="18"/>
                <w:szCs w:val="18"/>
              </w:rPr>
            </w:pPr>
            <w:r>
              <w:rPr>
                <w:noProof/>
                <w:sz w:val="18"/>
                <w:szCs w:val="18"/>
              </w:rPr>
              <w:t xml:space="preserve">Fusion lab in Poland (IPPLM) established in 2014 the Scientific and Industrial Centre for New Energy Technologies (Centrum naukowo-przemysłowe Nowe Technologie Energetyczme (CeNTE). The CeNTE consists of 12 entities: 4 Research Institutes, 7 Universities and 1 busines-oriented organisation. </w:t>
            </w:r>
          </w:p>
        </w:tc>
      </w:tr>
      <w:tr w:rsidR="00EC06FD">
        <w:trPr>
          <w:trHeight w:val="64"/>
          <w:jc w:val="center"/>
        </w:trPr>
        <w:tc>
          <w:tcPr>
            <w:tcW w:w="8613" w:type="dxa"/>
          </w:tcPr>
          <w:p w:rsidR="00EC06FD" w:rsidRDefault="00F346DE">
            <w:pPr>
              <w:pStyle w:val="Default"/>
              <w:numPr>
                <w:ilvl w:val="0"/>
                <w:numId w:val="44"/>
              </w:numPr>
              <w:jc w:val="both"/>
              <w:rPr>
                <w:noProof/>
                <w:sz w:val="18"/>
                <w:szCs w:val="18"/>
              </w:rPr>
            </w:pPr>
            <w:r>
              <w:rPr>
                <w:noProof/>
                <w:sz w:val="18"/>
                <w:szCs w:val="18"/>
              </w:rPr>
              <w:t xml:space="preserve">Culham Center for Fusion Energy in UK has produced in 2015 the "SPILADY'', a computer programme with a spin-lattice dynamics code intended to serve as an introductory computer simulation tool for undergraduate students, scientists, researchers, and interested members of the public familiar with molecular dynamics. </w:t>
            </w:r>
          </w:p>
        </w:tc>
      </w:tr>
      <w:tr w:rsidR="00EC06FD">
        <w:trPr>
          <w:jc w:val="center"/>
        </w:trPr>
        <w:tc>
          <w:tcPr>
            <w:tcW w:w="8613" w:type="dxa"/>
          </w:tcPr>
          <w:p w:rsidR="00EC06FD" w:rsidRDefault="00F346DE">
            <w:pPr>
              <w:pStyle w:val="ListParagraph"/>
              <w:numPr>
                <w:ilvl w:val="0"/>
                <w:numId w:val="44"/>
              </w:numPr>
              <w:spacing w:after="0"/>
              <w:rPr>
                <w:noProof/>
                <w:sz w:val="18"/>
                <w:szCs w:val="18"/>
              </w:rPr>
            </w:pPr>
            <w:r>
              <w:rPr>
                <w:noProof/>
                <w:sz w:val="18"/>
                <w:szCs w:val="18"/>
              </w:rPr>
              <w:t xml:space="preserve">MAGICS Instruments NV (MAGICS) is a fusion spin-off company </w:t>
            </w:r>
            <w:r>
              <w:rPr>
                <w:bCs/>
                <w:noProof/>
                <w:sz w:val="18"/>
                <w:szCs w:val="18"/>
              </w:rPr>
              <w:t>from the University of Leuven, Belgium</w:t>
            </w:r>
            <w:r>
              <w:rPr>
                <w:noProof/>
                <w:sz w:val="18"/>
                <w:szCs w:val="18"/>
              </w:rPr>
              <w:t xml:space="preserve"> </w:t>
            </w:r>
            <w:r>
              <w:rPr>
                <w:bCs/>
                <w:noProof/>
                <w:sz w:val="18"/>
                <w:szCs w:val="18"/>
              </w:rPr>
              <w:t>and SCK-CEN (the Belgium Nuclear Research Centre)</w:t>
            </w:r>
            <w:r>
              <w:rPr>
                <w:noProof/>
                <w:sz w:val="18"/>
                <w:szCs w:val="18"/>
              </w:rPr>
              <w:t xml:space="preserve">. MAGICS’ core competence lies in the design of radiation hardened integrated circuits, more specifically electronic devices that reliably operate in nuclear environments that yield accumulated doses in excess of Mega Gray. MAGICS addresses customers’ demands by offering standard rad-hard products or customized IC design services. The company also provides MGy-level radiation qualification services on its own products or other commercial-of-the-shelf components. (http://www.magics.tech/about-us/ ) </w:t>
            </w:r>
          </w:p>
        </w:tc>
      </w:tr>
    </w:tbl>
    <w:p w:rsidR="00EC06FD" w:rsidRDefault="00F346DE">
      <w:pPr>
        <w:pStyle w:val="Body"/>
        <w:suppressAutoHyphens/>
        <w:spacing w:before="0"/>
        <w:rPr>
          <w:rFonts w:ascii="Times New Roman" w:hAnsi="Times New Roman"/>
          <w:i/>
          <w:noProof/>
        </w:rPr>
      </w:pPr>
      <w:r>
        <w:rPr>
          <w:rFonts w:ascii="Times New Roman" w:hAnsi="Times New Roman"/>
          <w:i/>
          <w:noProof/>
        </w:rPr>
        <w:tab/>
        <w:t>Source: EUROfusion</w:t>
      </w:r>
    </w:p>
    <w:p w:rsidR="00EC06FD" w:rsidRDefault="00EC06FD">
      <w:pPr>
        <w:pStyle w:val="Body"/>
        <w:suppressAutoHyphens/>
        <w:spacing w:before="0"/>
        <w:rPr>
          <w:rFonts w:ascii="Times New Roman" w:hAnsi="Times New Roman"/>
          <w:i/>
          <w:noProof/>
        </w:rPr>
      </w:pPr>
    </w:p>
    <w:p w:rsidR="00EC06FD" w:rsidRDefault="00F346DE">
      <w:pPr>
        <w:pStyle w:val="Heading3"/>
        <w:ind w:left="720"/>
        <w:rPr>
          <w:noProof/>
        </w:rPr>
      </w:pPr>
      <w:bookmarkStart w:id="655" w:name="_Toc494899793"/>
      <w:r>
        <w:rPr>
          <w:noProof/>
        </w:rPr>
        <w:t>The European Prize for Innovation in Fusion Research (SOFT Innovation Prize)</w:t>
      </w:r>
      <w:bookmarkEnd w:id="655"/>
    </w:p>
    <w:p w:rsidR="00EC06FD" w:rsidRDefault="00F346DE">
      <w:pPr>
        <w:suppressAutoHyphens/>
        <w:spacing w:after="120" w:line="276" w:lineRule="auto"/>
        <w:jc w:val="both"/>
        <w:rPr>
          <w:noProof/>
        </w:rPr>
      </w:pPr>
      <w:r>
        <w:rPr>
          <w:noProof/>
        </w:rPr>
        <w:t>The European Prize for Innovation in Fusion Research (SOFT Innovation Prize) was first awarded at the international Symposium on Fusion Technology (SOFT) in September 2014, with the second edition awarded at the following SOFT in September 2016. The SOFT Innovation Prize has been promoted by the Commission through the respective Euratom Work Programmes, with the support of the SOFT organising committees, and is a recognition prize highlighting and rewarding excellence in innovation in fusion energy research as well as the quality of the researchers and industries involved. The objective of the SOFT Innovation Prize is to reward outstanding researchers and industries in the search for innovative solutions to challenging problems, possibly with wider applications outside fusion. This promotes and supports innovation in a range of future technologies of importance in the fusion sector, and contributes to the spin-off applications of these technologies in other fields, with potential impact on jobs and growth.</w:t>
      </w:r>
    </w:p>
    <w:p w:rsidR="00EC06FD" w:rsidRDefault="00F346DE">
      <w:pPr>
        <w:pStyle w:val="NormalWeb"/>
        <w:suppressAutoHyphens/>
        <w:spacing w:line="276" w:lineRule="auto"/>
        <w:jc w:val="both"/>
        <w:rPr>
          <w:rFonts w:eastAsia="Times New Roman"/>
          <w:noProof/>
        </w:rPr>
      </w:pPr>
      <w:r>
        <w:rPr>
          <w:rFonts w:eastAsia="Times New Roman"/>
          <w:noProof/>
        </w:rPr>
        <w:t xml:space="preserve">The first edition </w:t>
      </w:r>
      <w:r>
        <w:rPr>
          <w:noProof/>
        </w:rPr>
        <w:t xml:space="preserve">of the SOFT Innovation Prize in </w:t>
      </w:r>
      <w:r>
        <w:rPr>
          <w:rFonts w:eastAsia="Times New Roman"/>
          <w:noProof/>
        </w:rPr>
        <w:t xml:space="preserve">2014 was </w:t>
      </w:r>
      <w:r>
        <w:rPr>
          <w:noProof/>
        </w:rPr>
        <w:t>limited to</w:t>
      </w:r>
      <w:r>
        <w:rPr>
          <w:rFonts w:eastAsia="Times New Roman"/>
          <w:noProof/>
        </w:rPr>
        <w:t xml:space="preserve"> EU member states </w:t>
      </w:r>
      <w:r>
        <w:rPr>
          <w:noProof/>
        </w:rPr>
        <w:t>(</w:t>
      </w:r>
      <w:r>
        <w:rPr>
          <w:rFonts w:eastAsia="Times New Roman"/>
          <w:noProof/>
        </w:rPr>
        <w:t xml:space="preserve">and Switzerland). </w:t>
      </w:r>
      <w:r>
        <w:rPr>
          <w:noProof/>
        </w:rPr>
        <w:t>Since the</w:t>
      </w:r>
      <w:r>
        <w:rPr>
          <w:rFonts w:eastAsia="Times New Roman"/>
          <w:noProof/>
        </w:rPr>
        <w:t xml:space="preserve"> 2016 edition, applicants </w:t>
      </w:r>
      <w:r>
        <w:rPr>
          <w:noProof/>
        </w:rPr>
        <w:t>have been</w:t>
      </w:r>
      <w:r>
        <w:rPr>
          <w:rFonts w:eastAsia="Times New Roman"/>
          <w:noProof/>
        </w:rPr>
        <w:t xml:space="preserve"> welcomed from all ITER parties plus </w:t>
      </w:r>
      <w:r>
        <w:rPr>
          <w:noProof/>
        </w:rPr>
        <w:t xml:space="preserve">other third </w:t>
      </w:r>
      <w:r>
        <w:rPr>
          <w:rFonts w:eastAsia="Times New Roman"/>
          <w:noProof/>
        </w:rPr>
        <w:t xml:space="preserve">countries with </w:t>
      </w:r>
      <w:r>
        <w:rPr>
          <w:noProof/>
        </w:rPr>
        <w:t>Euratom</w:t>
      </w:r>
      <w:r>
        <w:rPr>
          <w:rFonts w:eastAsia="Times New Roman"/>
          <w:noProof/>
        </w:rPr>
        <w:t xml:space="preserve"> fusion bilateral agreements (Ukraine, Kazakhstan and Brazil). A participant can be a researcher, a research team or an industry. The</w:t>
      </w:r>
      <w:r>
        <w:rPr>
          <w:noProof/>
        </w:rPr>
        <w:t xml:space="preserve"> 2016</w:t>
      </w:r>
      <w:r>
        <w:rPr>
          <w:rFonts w:eastAsia="Times New Roman"/>
          <w:noProof/>
        </w:rPr>
        <w:t xml:space="preserve"> edition </w:t>
      </w:r>
      <w:r>
        <w:rPr>
          <w:noProof/>
        </w:rPr>
        <w:t>saw</w:t>
      </w:r>
      <w:r>
        <w:rPr>
          <w:rFonts w:eastAsia="Times New Roman"/>
          <w:noProof/>
        </w:rPr>
        <w:t xml:space="preserve"> more </w:t>
      </w:r>
      <w:r>
        <w:rPr>
          <w:noProof/>
        </w:rPr>
        <w:t>applicants, and a higher quality of submissions, including one</w:t>
      </w:r>
      <w:r>
        <w:rPr>
          <w:rFonts w:eastAsia="Times New Roman"/>
          <w:noProof/>
        </w:rPr>
        <w:t xml:space="preserve"> from outside </w:t>
      </w:r>
      <w:r>
        <w:rPr>
          <w:noProof/>
        </w:rPr>
        <w:t xml:space="preserve">the </w:t>
      </w:r>
      <w:r>
        <w:rPr>
          <w:rFonts w:eastAsia="Times New Roman"/>
          <w:noProof/>
        </w:rPr>
        <w:t>EU (China).</w:t>
      </w:r>
      <w:r>
        <w:rPr>
          <w:noProof/>
        </w:rPr>
        <w:t xml:space="preserve"> In 2016, t</w:t>
      </w:r>
      <w:r>
        <w:rPr>
          <w:rFonts w:eastAsia="Times New Roman"/>
          <w:noProof/>
        </w:rPr>
        <w:t>hree prizes were awarded: 1st prize: 50 000 EUR, 2nd prize: 25 000 EUR and 3rd prize: 12 500 EUR. Prizes are awarded during the SOFT conferences, which every two years gather about 800 participants from all over the world active in universities, research laboratories and in industries. The SOFT is the largest technology-oriented fusion event in the world, offering scientists, engineers, developers, manufacturers and students the opportunity to exchange views, visions and experiences and to establish contacts.</w:t>
      </w:r>
    </w:p>
    <w:p w:rsidR="00EC06FD" w:rsidRDefault="00F346DE">
      <w:pPr>
        <w:pStyle w:val="Body"/>
        <w:suppressAutoHyphens/>
        <w:rPr>
          <w:rFonts w:ascii="Times New Roman" w:hAnsi="Times New Roman"/>
          <w:noProof/>
          <w:sz w:val="24"/>
          <w:szCs w:val="24"/>
          <w:lang w:eastAsia="en-GB"/>
        </w:rPr>
      </w:pPr>
      <w:r>
        <w:rPr>
          <w:rFonts w:ascii="Times New Roman" w:hAnsi="Times New Roman"/>
          <w:noProof/>
          <w:sz w:val="24"/>
          <w:szCs w:val="24"/>
          <w:lang w:eastAsia="en-GB"/>
        </w:rPr>
        <w:lastRenderedPageBreak/>
        <w:t xml:space="preserve">In 2016 SOFT Innovation Prizes were awarded to a partnership from the Karlsruhe Institute of Technology (KIT) and Ecole Polytechnique Fédérale de Lausanne, a partnership from ENEA and CEA, and a young researcher from CCFE. The technologies were respectively a new type of high temperature superconducting cable, an innovative membrane to produce ultra-pure hydrogen, and cutting-edge VR software to improve radiation protection during access to contaminated areas. </w:t>
      </w:r>
    </w:p>
    <w:p w:rsidR="00EC06FD" w:rsidRDefault="00F346DE">
      <w:pPr>
        <w:pStyle w:val="Body"/>
        <w:suppressAutoHyphens/>
        <w:spacing w:after="240"/>
        <w:rPr>
          <w:rFonts w:ascii="Times New Roman" w:hAnsi="Times New Roman"/>
          <w:noProof/>
          <w:sz w:val="24"/>
          <w:szCs w:val="24"/>
          <w:lang w:eastAsia="en-GB"/>
        </w:rPr>
      </w:pPr>
      <w:r>
        <w:rPr>
          <w:rFonts w:ascii="Times New Roman" w:hAnsi="Times New Roman"/>
          <w:b/>
          <w:noProof/>
          <w:sz w:val="24"/>
          <w:szCs w:val="24"/>
          <w:lang w:eastAsia="en-GB"/>
        </w:rPr>
        <w:t>Thanks to the SOFT Innovation Prize, the winning researchers have had good visibility</w:t>
      </w:r>
      <w:r>
        <w:rPr>
          <w:rFonts w:ascii="Times New Roman" w:hAnsi="Times New Roman"/>
          <w:b/>
          <w:noProof/>
          <w:sz w:val="24"/>
          <w:lang w:eastAsia="en-GB"/>
        </w:rPr>
        <w:t xml:space="preserve"> and the </w:t>
      </w:r>
      <w:r>
        <w:rPr>
          <w:rFonts w:ascii="Times New Roman" w:hAnsi="Times New Roman"/>
          <w:b/>
          <w:noProof/>
          <w:sz w:val="24"/>
          <w:szCs w:val="24"/>
          <w:lang w:eastAsia="en-GB"/>
        </w:rPr>
        <w:t xml:space="preserve">innovation aspects of the </w:t>
      </w:r>
      <w:r>
        <w:rPr>
          <w:rFonts w:ascii="Times New Roman" w:hAnsi="Times New Roman"/>
          <w:b/>
          <w:noProof/>
          <w:sz w:val="24"/>
          <w:lang w:eastAsia="en-GB"/>
        </w:rPr>
        <w:t xml:space="preserve">fusion </w:t>
      </w:r>
      <w:r>
        <w:rPr>
          <w:rFonts w:ascii="Times New Roman" w:hAnsi="Times New Roman"/>
          <w:b/>
          <w:noProof/>
          <w:sz w:val="24"/>
          <w:szCs w:val="24"/>
          <w:lang w:eastAsia="en-GB"/>
        </w:rPr>
        <w:t>programme as a whole have also been put in the spotlight</w:t>
      </w:r>
      <w:r>
        <w:rPr>
          <w:rFonts w:ascii="Times New Roman" w:hAnsi="Times New Roman"/>
          <w:b/>
          <w:noProof/>
          <w:sz w:val="24"/>
          <w:lang w:eastAsia="en-GB"/>
        </w:rPr>
        <w:t xml:space="preserve">. </w:t>
      </w:r>
      <w:r>
        <w:rPr>
          <w:rFonts w:ascii="Times New Roman" w:hAnsi="Times New Roman"/>
          <w:b/>
          <w:noProof/>
          <w:sz w:val="24"/>
          <w:szCs w:val="24"/>
          <w:lang w:eastAsia="en-GB"/>
        </w:rPr>
        <w:t xml:space="preserve">Some of the projects have also </w:t>
      </w:r>
      <w:r>
        <w:rPr>
          <w:rFonts w:ascii="Times New Roman" w:hAnsi="Times New Roman"/>
          <w:b/>
          <w:noProof/>
          <w:sz w:val="24"/>
          <w:lang w:eastAsia="en-GB"/>
        </w:rPr>
        <w:t xml:space="preserve">filed </w:t>
      </w:r>
      <w:r>
        <w:rPr>
          <w:rFonts w:ascii="Times New Roman" w:hAnsi="Times New Roman"/>
          <w:b/>
          <w:noProof/>
          <w:sz w:val="24"/>
          <w:szCs w:val="24"/>
          <w:lang w:eastAsia="en-GB"/>
        </w:rPr>
        <w:t xml:space="preserve">patents, </w:t>
      </w:r>
      <w:r>
        <w:rPr>
          <w:rFonts w:ascii="Times New Roman" w:hAnsi="Times New Roman"/>
          <w:b/>
          <w:noProof/>
          <w:sz w:val="24"/>
          <w:lang w:eastAsia="en-GB"/>
        </w:rPr>
        <w:t xml:space="preserve">which </w:t>
      </w:r>
      <w:r>
        <w:rPr>
          <w:rFonts w:ascii="Times New Roman" w:hAnsi="Times New Roman"/>
          <w:b/>
          <w:noProof/>
          <w:sz w:val="24"/>
          <w:szCs w:val="24"/>
          <w:lang w:eastAsia="en-GB"/>
        </w:rPr>
        <w:t>could raise the</w:t>
      </w:r>
      <w:r>
        <w:rPr>
          <w:rFonts w:ascii="Times New Roman" w:hAnsi="Times New Roman"/>
          <w:b/>
          <w:noProof/>
          <w:sz w:val="24"/>
          <w:lang w:eastAsia="en-GB"/>
        </w:rPr>
        <w:t xml:space="preserve"> interest </w:t>
      </w:r>
      <w:r>
        <w:rPr>
          <w:rFonts w:ascii="Times New Roman" w:hAnsi="Times New Roman"/>
          <w:b/>
          <w:noProof/>
          <w:sz w:val="24"/>
          <w:szCs w:val="24"/>
          <w:lang w:eastAsia="en-GB"/>
        </w:rPr>
        <w:t>of</w:t>
      </w:r>
      <w:r>
        <w:rPr>
          <w:rFonts w:ascii="Times New Roman" w:hAnsi="Times New Roman"/>
          <w:b/>
          <w:noProof/>
          <w:sz w:val="24"/>
          <w:lang w:eastAsia="en-GB"/>
        </w:rPr>
        <w:t xml:space="preserve"> European industry.</w:t>
      </w:r>
      <w:r>
        <w:rPr>
          <w:rFonts w:ascii="Times New Roman" w:hAnsi="Times New Roman"/>
          <w:noProof/>
          <w:sz w:val="24"/>
          <w:lang w:eastAsia="en-GB"/>
        </w:rPr>
        <w:t xml:space="preserve"> The prize also raises awareness among </w:t>
      </w:r>
      <w:r>
        <w:rPr>
          <w:rFonts w:ascii="Times New Roman" w:hAnsi="Times New Roman"/>
          <w:noProof/>
          <w:sz w:val="24"/>
          <w:szCs w:val="24"/>
          <w:lang w:eastAsia="en-GB"/>
        </w:rPr>
        <w:t xml:space="preserve">fusion </w:t>
      </w:r>
      <w:r>
        <w:rPr>
          <w:rFonts w:ascii="Times New Roman" w:hAnsi="Times New Roman"/>
          <w:noProof/>
          <w:sz w:val="24"/>
          <w:lang w:eastAsia="en-GB"/>
        </w:rPr>
        <w:t xml:space="preserve">researchers </w:t>
      </w:r>
      <w:r>
        <w:rPr>
          <w:rFonts w:ascii="Times New Roman" w:hAnsi="Times New Roman"/>
          <w:noProof/>
          <w:sz w:val="24"/>
          <w:szCs w:val="24"/>
          <w:lang w:eastAsia="en-GB"/>
        </w:rPr>
        <w:t xml:space="preserve">in general </w:t>
      </w:r>
      <w:r>
        <w:rPr>
          <w:rFonts w:ascii="Times New Roman" w:hAnsi="Times New Roman"/>
          <w:noProof/>
          <w:sz w:val="24"/>
          <w:lang w:eastAsia="en-GB"/>
        </w:rPr>
        <w:t xml:space="preserve">on </w:t>
      </w:r>
      <w:r>
        <w:rPr>
          <w:rFonts w:ascii="Times New Roman" w:hAnsi="Times New Roman"/>
          <w:noProof/>
          <w:sz w:val="24"/>
          <w:szCs w:val="24"/>
          <w:lang w:eastAsia="en-GB"/>
        </w:rPr>
        <w:t>the importance of</w:t>
      </w:r>
      <w:r>
        <w:rPr>
          <w:rFonts w:ascii="Times New Roman" w:hAnsi="Times New Roman"/>
          <w:noProof/>
          <w:sz w:val="24"/>
          <w:lang w:eastAsia="en-GB"/>
        </w:rPr>
        <w:t xml:space="preserve"> entrepreneurship, patents, market readiness and spin-offs. </w:t>
      </w:r>
      <w:r>
        <w:rPr>
          <w:rFonts w:ascii="Times New Roman" w:hAnsi="Times New Roman"/>
          <w:noProof/>
          <w:sz w:val="24"/>
          <w:szCs w:val="24"/>
          <w:lang w:eastAsia="en-GB"/>
        </w:rPr>
        <w:t xml:space="preserve">Annex 3 provides more details of the prize winning projects. </w:t>
      </w:r>
    </w:p>
    <w:p w:rsidR="00EC06FD" w:rsidRDefault="00EC06FD">
      <w:pPr>
        <w:pStyle w:val="Body"/>
        <w:suppressAutoHyphens/>
        <w:spacing w:after="240"/>
        <w:rPr>
          <w:noProof/>
        </w:rPr>
      </w:pPr>
    </w:p>
    <w:p w:rsidR="00EC06FD" w:rsidRDefault="00EC06FD">
      <w:pPr>
        <w:spacing w:after="200" w:line="276" w:lineRule="auto"/>
        <w:rPr>
          <w:noProof/>
        </w:rPr>
        <w:sectPr w:rsidR="00EC06FD">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17" w:right="1417" w:bottom="1417" w:left="1417" w:header="601" w:footer="1077" w:gutter="0"/>
          <w:cols w:space="720"/>
          <w:titlePg/>
        </w:sectPr>
      </w:pPr>
    </w:p>
    <w:tbl>
      <w:tblPr>
        <w:tblStyle w:val="TableGrid"/>
        <w:tblW w:w="0" w:type="auto"/>
        <w:tblLook w:val="04A0" w:firstRow="1" w:lastRow="0" w:firstColumn="1" w:lastColumn="0" w:noHBand="0" w:noVBand="1"/>
      </w:tblPr>
      <w:tblGrid>
        <w:gridCol w:w="4077"/>
        <w:gridCol w:w="4820"/>
        <w:gridCol w:w="3544"/>
        <w:gridCol w:w="3173"/>
      </w:tblGrid>
      <w:tr w:rsidR="00EC06FD">
        <w:tc>
          <w:tcPr>
            <w:tcW w:w="15614" w:type="dxa"/>
            <w:gridSpan w:val="4"/>
            <w:shd w:val="clear" w:color="auto" w:fill="BFBFBF" w:themeFill="background1" w:themeFillShade="BF"/>
          </w:tcPr>
          <w:p w:rsidR="00EC06FD" w:rsidRDefault="00F346DE">
            <w:pPr>
              <w:jc w:val="center"/>
              <w:rPr>
                <w:b/>
                <w:noProof/>
                <w:sz w:val="22"/>
                <w:szCs w:val="18"/>
              </w:rPr>
            </w:pPr>
            <w:r>
              <w:rPr>
                <w:b/>
                <w:noProof/>
                <w:sz w:val="22"/>
                <w:szCs w:val="18"/>
              </w:rPr>
              <w:lastRenderedPageBreak/>
              <w:t>Table 11 - Expected main outputs and results of Euratom Research and Training Programme 2014-2018</w:t>
            </w:r>
          </w:p>
          <w:p w:rsidR="00EC06FD" w:rsidRDefault="00F346DE">
            <w:pPr>
              <w:jc w:val="center"/>
              <w:rPr>
                <w:i/>
                <w:noProof/>
                <w:sz w:val="18"/>
                <w:szCs w:val="18"/>
              </w:rPr>
            </w:pPr>
            <w:r>
              <w:rPr>
                <w:i/>
                <w:noProof/>
                <w:sz w:val="18"/>
                <w:szCs w:val="18"/>
              </w:rPr>
              <w:t>(on the basis of description of work for projects launched until September 2017 and Work Programme 2018)</w:t>
            </w:r>
          </w:p>
        </w:tc>
      </w:tr>
      <w:tr w:rsidR="00EC06FD" w:rsidTr="009C49DA">
        <w:trPr>
          <w:trHeight w:val="240"/>
        </w:trPr>
        <w:tc>
          <w:tcPr>
            <w:tcW w:w="4077" w:type="dxa"/>
            <w:tcBorders>
              <w:bottom w:val="single" w:sz="4" w:space="0" w:color="auto"/>
            </w:tcBorders>
            <w:shd w:val="clear" w:color="auto" w:fill="BFBFBF" w:themeFill="background1" w:themeFillShade="BF"/>
          </w:tcPr>
          <w:p w:rsidR="00EC06FD" w:rsidRDefault="00F346DE">
            <w:pPr>
              <w:jc w:val="center"/>
              <w:rPr>
                <w:b/>
                <w:noProof/>
                <w:sz w:val="18"/>
                <w:szCs w:val="18"/>
              </w:rPr>
            </w:pPr>
            <w:r>
              <w:rPr>
                <w:b/>
                <w:noProof/>
                <w:sz w:val="18"/>
                <w:szCs w:val="18"/>
              </w:rPr>
              <w:t xml:space="preserve"> Fusion</w:t>
            </w:r>
          </w:p>
        </w:tc>
        <w:tc>
          <w:tcPr>
            <w:tcW w:w="4820" w:type="dxa"/>
            <w:tcBorders>
              <w:bottom w:val="single" w:sz="4" w:space="0" w:color="auto"/>
            </w:tcBorders>
            <w:shd w:val="clear" w:color="auto" w:fill="BFBFBF" w:themeFill="background1" w:themeFillShade="BF"/>
          </w:tcPr>
          <w:p w:rsidR="00EC06FD" w:rsidRDefault="00F346DE">
            <w:pPr>
              <w:jc w:val="center"/>
              <w:rPr>
                <w:b/>
                <w:noProof/>
                <w:sz w:val="18"/>
                <w:szCs w:val="18"/>
              </w:rPr>
            </w:pPr>
            <w:r>
              <w:rPr>
                <w:b/>
                <w:noProof/>
                <w:sz w:val="18"/>
                <w:szCs w:val="18"/>
              </w:rPr>
              <w:t>Nuclear Safety</w:t>
            </w:r>
          </w:p>
        </w:tc>
        <w:tc>
          <w:tcPr>
            <w:tcW w:w="3544" w:type="dxa"/>
            <w:tcBorders>
              <w:bottom w:val="single" w:sz="4" w:space="0" w:color="auto"/>
            </w:tcBorders>
            <w:shd w:val="clear" w:color="auto" w:fill="BFBFBF" w:themeFill="background1" w:themeFillShade="BF"/>
          </w:tcPr>
          <w:p w:rsidR="00EC06FD" w:rsidRDefault="00F346DE">
            <w:pPr>
              <w:jc w:val="center"/>
              <w:rPr>
                <w:b/>
                <w:noProof/>
                <w:sz w:val="18"/>
                <w:szCs w:val="18"/>
              </w:rPr>
            </w:pPr>
            <w:r>
              <w:rPr>
                <w:b/>
                <w:noProof/>
                <w:sz w:val="18"/>
                <w:szCs w:val="18"/>
              </w:rPr>
              <w:t>Waste Management</w:t>
            </w:r>
          </w:p>
        </w:tc>
        <w:tc>
          <w:tcPr>
            <w:tcW w:w="3173" w:type="dxa"/>
            <w:tcBorders>
              <w:bottom w:val="single" w:sz="4" w:space="0" w:color="auto"/>
            </w:tcBorders>
            <w:shd w:val="clear" w:color="auto" w:fill="BFBFBF" w:themeFill="background1" w:themeFillShade="BF"/>
          </w:tcPr>
          <w:p w:rsidR="00EC06FD" w:rsidRDefault="00F346DE">
            <w:pPr>
              <w:jc w:val="center"/>
              <w:rPr>
                <w:b/>
                <w:noProof/>
                <w:sz w:val="18"/>
                <w:szCs w:val="18"/>
              </w:rPr>
            </w:pPr>
            <w:r>
              <w:rPr>
                <w:b/>
                <w:noProof/>
                <w:sz w:val="18"/>
                <w:szCs w:val="18"/>
              </w:rPr>
              <w:t>Radiation Protection</w:t>
            </w:r>
          </w:p>
        </w:tc>
      </w:tr>
      <w:tr w:rsidR="00726F91" w:rsidTr="009C49DA">
        <w:trPr>
          <w:trHeight w:val="240"/>
        </w:trPr>
        <w:tc>
          <w:tcPr>
            <w:tcW w:w="4077" w:type="dxa"/>
            <w:shd w:val="clear" w:color="auto" w:fill="FFFFFF" w:themeFill="background1"/>
          </w:tcPr>
          <w:p w:rsidR="00B460C4" w:rsidRDefault="00B460C4" w:rsidP="00726F91">
            <w:pPr>
              <w:jc w:val="both"/>
              <w:rPr>
                <w:b/>
                <w:noProof/>
                <w:sz w:val="18"/>
                <w:szCs w:val="18"/>
              </w:rPr>
            </w:pPr>
          </w:p>
          <w:p w:rsidR="00726F91" w:rsidRDefault="00726F91" w:rsidP="00726F91">
            <w:pPr>
              <w:jc w:val="both"/>
              <w:rPr>
                <w:noProof/>
                <w:color w:val="000000" w:themeColor="text1"/>
                <w:sz w:val="18"/>
                <w:szCs w:val="18"/>
              </w:rPr>
            </w:pPr>
            <w:r>
              <w:rPr>
                <w:b/>
                <w:noProof/>
                <w:sz w:val="18"/>
                <w:szCs w:val="18"/>
              </w:rPr>
              <w:t>Integration of research:</w:t>
            </w:r>
            <w:r>
              <w:rPr>
                <w:noProof/>
                <w:sz w:val="18"/>
                <w:szCs w:val="18"/>
              </w:rPr>
              <w:t xml:space="preserve"> launch of European Joint Programme, update of fusion roadmap.</w:t>
            </w:r>
          </w:p>
          <w:p w:rsidR="00B460C4" w:rsidRDefault="00B460C4" w:rsidP="00726F91">
            <w:pPr>
              <w:pStyle w:val="Body"/>
              <w:spacing w:before="0"/>
              <w:rPr>
                <w:rFonts w:ascii="Times New Roman" w:hAnsi="Times New Roman"/>
                <w:b/>
                <w:noProof/>
                <w:sz w:val="18"/>
                <w:szCs w:val="18"/>
              </w:rPr>
            </w:pPr>
          </w:p>
          <w:p w:rsidR="00726F91" w:rsidRDefault="00726F91" w:rsidP="00726F91">
            <w:pPr>
              <w:pStyle w:val="Body"/>
              <w:spacing w:before="0"/>
              <w:rPr>
                <w:rFonts w:ascii="Times New Roman" w:hAnsi="Times New Roman"/>
                <w:b/>
                <w:noProof/>
                <w:sz w:val="18"/>
                <w:szCs w:val="18"/>
              </w:rPr>
            </w:pPr>
            <w:r>
              <w:rPr>
                <w:rFonts w:ascii="Times New Roman" w:hAnsi="Times New Roman"/>
                <w:b/>
                <w:noProof/>
                <w:sz w:val="18"/>
                <w:szCs w:val="18"/>
              </w:rPr>
              <w:t>Development and qualification of plasma regimes of operation for ITER and DEMO (Mission 1)</w:t>
            </w:r>
          </w:p>
          <w:p w:rsidR="00726F91" w:rsidRDefault="00726F91" w:rsidP="00726F91">
            <w:pPr>
              <w:pStyle w:val="ListParagraph"/>
              <w:numPr>
                <w:ilvl w:val="0"/>
                <w:numId w:val="46"/>
              </w:numPr>
              <w:spacing w:after="0"/>
              <w:ind w:left="207"/>
              <w:rPr>
                <w:noProof/>
                <w:sz w:val="18"/>
                <w:szCs w:val="18"/>
              </w:rPr>
            </w:pPr>
            <w:r>
              <w:rPr>
                <w:noProof/>
                <w:sz w:val="18"/>
                <w:szCs w:val="18"/>
              </w:rPr>
              <w:t>Further optimisation of plasma regimes of operation with metallic wall;</w:t>
            </w:r>
          </w:p>
          <w:p w:rsidR="00726F91" w:rsidRDefault="00726F91" w:rsidP="00726F91">
            <w:pPr>
              <w:pStyle w:val="ListParagraph"/>
              <w:numPr>
                <w:ilvl w:val="0"/>
                <w:numId w:val="46"/>
              </w:numPr>
              <w:spacing w:after="0"/>
              <w:ind w:left="207"/>
              <w:rPr>
                <w:noProof/>
                <w:sz w:val="18"/>
                <w:szCs w:val="18"/>
              </w:rPr>
            </w:pPr>
            <w:r>
              <w:rPr>
                <w:noProof/>
                <w:sz w:val="18"/>
                <w:szCs w:val="18"/>
              </w:rPr>
              <w:t>Further development of mitigation and control of disruption and runaway electrons;</w:t>
            </w:r>
          </w:p>
          <w:p w:rsidR="00726F91" w:rsidRDefault="00726F91" w:rsidP="00726F91">
            <w:pPr>
              <w:pStyle w:val="ListParagraph"/>
              <w:numPr>
                <w:ilvl w:val="0"/>
                <w:numId w:val="46"/>
              </w:numPr>
              <w:spacing w:after="0"/>
              <w:ind w:left="207"/>
              <w:rPr>
                <w:noProof/>
                <w:sz w:val="18"/>
                <w:szCs w:val="18"/>
              </w:rPr>
            </w:pPr>
            <w:r>
              <w:rPr>
                <w:noProof/>
                <w:sz w:val="18"/>
                <w:szCs w:val="18"/>
              </w:rPr>
              <w:t>Control of plasma edge instabilities;</w:t>
            </w:r>
          </w:p>
          <w:p w:rsidR="00726F91" w:rsidRDefault="00726F91" w:rsidP="00726F91">
            <w:pPr>
              <w:pStyle w:val="ListParagraph"/>
              <w:numPr>
                <w:ilvl w:val="0"/>
                <w:numId w:val="46"/>
              </w:numPr>
              <w:spacing w:after="0"/>
              <w:ind w:left="207"/>
              <w:rPr>
                <w:noProof/>
                <w:sz w:val="18"/>
                <w:szCs w:val="18"/>
              </w:rPr>
            </w:pPr>
            <w:r>
              <w:rPr>
                <w:noProof/>
                <w:sz w:val="18"/>
                <w:szCs w:val="18"/>
              </w:rPr>
              <w:t>Establishment of regimes of operation with high radiated power;</w:t>
            </w:r>
          </w:p>
          <w:p w:rsidR="00726F91" w:rsidRDefault="00726F91" w:rsidP="00726F91">
            <w:pPr>
              <w:pStyle w:val="ListParagraph"/>
              <w:numPr>
                <w:ilvl w:val="0"/>
                <w:numId w:val="46"/>
              </w:numPr>
              <w:spacing w:after="0"/>
              <w:ind w:left="207"/>
              <w:rPr>
                <w:noProof/>
                <w:sz w:val="18"/>
                <w:szCs w:val="18"/>
              </w:rPr>
            </w:pPr>
            <w:r>
              <w:rPr>
                <w:noProof/>
                <w:sz w:val="18"/>
                <w:szCs w:val="18"/>
              </w:rPr>
              <w:t xml:space="preserve">Enhanced predictive capabilities of fusion plasma performance by numerical simulations and validation of models. </w:t>
            </w:r>
          </w:p>
          <w:p w:rsidR="00B460C4" w:rsidRDefault="00B460C4" w:rsidP="00726F91">
            <w:pPr>
              <w:pStyle w:val="Body"/>
              <w:spacing w:before="0"/>
              <w:rPr>
                <w:rFonts w:ascii="Times New Roman" w:hAnsi="Times New Roman"/>
                <w:b/>
                <w:noProof/>
                <w:sz w:val="18"/>
                <w:szCs w:val="18"/>
              </w:rPr>
            </w:pPr>
          </w:p>
          <w:p w:rsidR="00726F91" w:rsidRDefault="00726F91" w:rsidP="00726F91">
            <w:pPr>
              <w:pStyle w:val="Body"/>
              <w:spacing w:before="0"/>
              <w:rPr>
                <w:rFonts w:ascii="Times New Roman" w:hAnsi="Times New Roman"/>
                <w:b/>
                <w:noProof/>
                <w:sz w:val="18"/>
                <w:szCs w:val="18"/>
              </w:rPr>
            </w:pPr>
            <w:r>
              <w:rPr>
                <w:rFonts w:ascii="Times New Roman" w:hAnsi="Times New Roman"/>
                <w:b/>
                <w:noProof/>
                <w:sz w:val="18"/>
                <w:szCs w:val="18"/>
              </w:rPr>
              <w:t>Development of heat exhaust systems (Mission 2):</w:t>
            </w:r>
          </w:p>
          <w:p w:rsidR="00726F91" w:rsidRDefault="00726F91" w:rsidP="00726F91">
            <w:pPr>
              <w:pStyle w:val="ListParagraph"/>
              <w:numPr>
                <w:ilvl w:val="0"/>
                <w:numId w:val="46"/>
              </w:numPr>
              <w:spacing w:after="0"/>
              <w:ind w:left="207"/>
              <w:rPr>
                <w:noProof/>
                <w:sz w:val="18"/>
                <w:szCs w:val="18"/>
              </w:rPr>
            </w:pPr>
            <w:r>
              <w:rPr>
                <w:noProof/>
                <w:sz w:val="18"/>
                <w:szCs w:val="18"/>
              </w:rPr>
              <w:t>Demonstration of significant reduction of tritium retention in plasma facing materials;</w:t>
            </w:r>
          </w:p>
          <w:p w:rsidR="00726F91" w:rsidRDefault="00726F91" w:rsidP="00726F91">
            <w:pPr>
              <w:pStyle w:val="ListParagraph"/>
              <w:numPr>
                <w:ilvl w:val="0"/>
                <w:numId w:val="46"/>
              </w:numPr>
              <w:spacing w:after="0"/>
              <w:ind w:left="207"/>
              <w:rPr>
                <w:noProof/>
                <w:sz w:val="18"/>
                <w:szCs w:val="18"/>
              </w:rPr>
            </w:pPr>
            <w:r>
              <w:rPr>
                <w:noProof/>
                <w:sz w:val="18"/>
                <w:szCs w:val="18"/>
              </w:rPr>
              <w:t>Completion of a preliminary design and technology development for the divertor;</w:t>
            </w:r>
          </w:p>
          <w:p w:rsidR="00726F91" w:rsidRDefault="00726F91" w:rsidP="00726F91">
            <w:pPr>
              <w:pStyle w:val="ListParagraph"/>
              <w:numPr>
                <w:ilvl w:val="0"/>
                <w:numId w:val="46"/>
              </w:numPr>
              <w:spacing w:after="0"/>
              <w:ind w:left="207"/>
              <w:rPr>
                <w:noProof/>
                <w:sz w:val="18"/>
                <w:szCs w:val="18"/>
              </w:rPr>
            </w:pPr>
            <w:r>
              <w:rPr>
                <w:noProof/>
                <w:sz w:val="18"/>
                <w:szCs w:val="18"/>
              </w:rPr>
              <w:t>Definition of the scope and feasibility of a divertor tokamak test facility.</w:t>
            </w:r>
          </w:p>
          <w:p w:rsidR="00B460C4" w:rsidRDefault="00B460C4" w:rsidP="00726F91">
            <w:pPr>
              <w:pStyle w:val="Body"/>
              <w:spacing w:before="0"/>
              <w:rPr>
                <w:rFonts w:ascii="Times New Roman" w:hAnsi="Times New Roman"/>
                <w:b/>
                <w:noProof/>
                <w:sz w:val="18"/>
                <w:szCs w:val="18"/>
              </w:rPr>
            </w:pPr>
          </w:p>
          <w:p w:rsidR="00726F91" w:rsidRDefault="00726F91" w:rsidP="00726F91">
            <w:pPr>
              <w:pStyle w:val="Body"/>
              <w:spacing w:before="0"/>
              <w:rPr>
                <w:rFonts w:ascii="Times New Roman" w:hAnsi="Times New Roman"/>
                <w:noProof/>
                <w:sz w:val="18"/>
                <w:szCs w:val="18"/>
              </w:rPr>
            </w:pPr>
            <w:r>
              <w:rPr>
                <w:rFonts w:ascii="Times New Roman" w:hAnsi="Times New Roman"/>
                <w:b/>
                <w:noProof/>
                <w:sz w:val="18"/>
                <w:szCs w:val="18"/>
              </w:rPr>
              <w:t xml:space="preserve">Development of neutron resistant materials (Mission 3): </w:t>
            </w:r>
            <w:r>
              <w:rPr>
                <w:rFonts w:ascii="Times New Roman" w:hAnsi="Times New Roman"/>
                <w:noProof/>
                <w:sz w:val="18"/>
                <w:szCs w:val="18"/>
              </w:rPr>
              <w:t>Substantial progress in the qualification</w:t>
            </w:r>
            <w:r>
              <w:rPr>
                <w:rFonts w:ascii="Times New Roman" w:hAnsi="Times New Roman"/>
                <w:noProof/>
                <w:color w:val="000000" w:themeColor="text1"/>
                <w:sz w:val="18"/>
                <w:szCs w:val="18"/>
              </w:rPr>
              <w:t xml:space="preserve"> of the </w:t>
            </w:r>
            <w:r>
              <w:rPr>
                <w:rFonts w:ascii="Times New Roman" w:hAnsi="Times New Roman"/>
                <w:noProof/>
                <w:sz w:val="18"/>
                <w:szCs w:val="18"/>
              </w:rPr>
              <w:t xml:space="preserve">neutron resistant materials </w:t>
            </w:r>
            <w:r>
              <w:rPr>
                <w:rFonts w:ascii="Times New Roman" w:hAnsi="Times New Roman"/>
                <w:noProof/>
                <w:color w:val="000000" w:themeColor="text1"/>
                <w:sz w:val="18"/>
                <w:szCs w:val="18"/>
              </w:rPr>
              <w:t xml:space="preserve">and in </w:t>
            </w:r>
            <w:r>
              <w:rPr>
                <w:rFonts w:ascii="Times New Roman" w:hAnsi="Times New Roman"/>
                <w:noProof/>
                <w:sz w:val="18"/>
                <w:szCs w:val="18"/>
              </w:rPr>
              <w:t>increasing their working temperature range.</w:t>
            </w:r>
          </w:p>
          <w:p w:rsidR="00B460C4" w:rsidRDefault="00B460C4" w:rsidP="00726F91">
            <w:pPr>
              <w:pStyle w:val="Body"/>
              <w:spacing w:before="0"/>
              <w:rPr>
                <w:rFonts w:ascii="Times New Roman" w:hAnsi="Times New Roman"/>
                <w:b/>
                <w:noProof/>
                <w:sz w:val="18"/>
                <w:szCs w:val="18"/>
              </w:rPr>
            </w:pPr>
          </w:p>
          <w:p w:rsidR="00726F91" w:rsidRDefault="00726F91" w:rsidP="00726F91">
            <w:pPr>
              <w:pStyle w:val="Body"/>
              <w:spacing w:before="0"/>
              <w:rPr>
                <w:rFonts w:ascii="Times New Roman" w:hAnsi="Times New Roman"/>
                <w:noProof/>
                <w:color w:val="000000" w:themeColor="text1"/>
                <w:sz w:val="18"/>
                <w:szCs w:val="18"/>
              </w:rPr>
            </w:pPr>
            <w:r>
              <w:rPr>
                <w:rFonts w:ascii="Times New Roman" w:hAnsi="Times New Roman"/>
                <w:b/>
                <w:noProof/>
                <w:sz w:val="18"/>
                <w:szCs w:val="18"/>
              </w:rPr>
              <w:t xml:space="preserve">Development of components to ensure tritium self-sufficiency (Mission 4): </w:t>
            </w:r>
            <w:r>
              <w:rPr>
                <w:rFonts w:ascii="Times New Roman" w:hAnsi="Times New Roman"/>
                <w:noProof/>
                <w:color w:val="000000" w:themeColor="text1"/>
                <w:sz w:val="18"/>
                <w:szCs w:val="18"/>
              </w:rPr>
              <w:t>Substantial progress in the design of the four breeding blanket concepts.</w:t>
            </w:r>
          </w:p>
          <w:p w:rsidR="00B460C4" w:rsidRDefault="00B460C4" w:rsidP="00726F91">
            <w:pPr>
              <w:pStyle w:val="Body"/>
              <w:spacing w:before="0"/>
              <w:rPr>
                <w:rFonts w:ascii="Times New Roman" w:hAnsi="Times New Roman"/>
                <w:b/>
                <w:noProof/>
                <w:sz w:val="18"/>
                <w:szCs w:val="18"/>
              </w:rPr>
            </w:pPr>
          </w:p>
          <w:p w:rsidR="00726F91" w:rsidRDefault="00726F91" w:rsidP="00726F91">
            <w:pPr>
              <w:pStyle w:val="Body"/>
              <w:spacing w:before="0"/>
              <w:rPr>
                <w:rFonts w:ascii="Times New Roman" w:hAnsi="Times New Roman"/>
                <w:noProof/>
                <w:sz w:val="18"/>
                <w:szCs w:val="18"/>
              </w:rPr>
            </w:pPr>
            <w:r>
              <w:rPr>
                <w:rFonts w:ascii="Times New Roman" w:hAnsi="Times New Roman"/>
                <w:b/>
                <w:noProof/>
                <w:sz w:val="18"/>
                <w:szCs w:val="18"/>
              </w:rPr>
              <w:t xml:space="preserve">Implementation of the intrinsic safety features of </w:t>
            </w:r>
            <w:r>
              <w:rPr>
                <w:rFonts w:ascii="Times New Roman" w:hAnsi="Times New Roman"/>
                <w:b/>
                <w:noProof/>
                <w:sz w:val="18"/>
                <w:szCs w:val="18"/>
              </w:rPr>
              <w:lastRenderedPageBreak/>
              <w:t xml:space="preserve">fusion into the DEMO design (Mission 5): </w:t>
            </w:r>
            <w:r>
              <w:rPr>
                <w:rFonts w:ascii="Times New Roman" w:hAnsi="Times New Roman"/>
                <w:noProof/>
                <w:sz w:val="18"/>
                <w:szCs w:val="18"/>
              </w:rPr>
              <w:t>Definition of the safety and licensing requirements.</w:t>
            </w:r>
          </w:p>
          <w:p w:rsidR="00B460C4" w:rsidRDefault="00B460C4" w:rsidP="00726F91">
            <w:pPr>
              <w:pStyle w:val="Body"/>
              <w:spacing w:before="0"/>
              <w:rPr>
                <w:rFonts w:ascii="Times New Roman" w:hAnsi="Times New Roman"/>
                <w:b/>
                <w:noProof/>
                <w:sz w:val="18"/>
                <w:szCs w:val="18"/>
              </w:rPr>
            </w:pPr>
          </w:p>
          <w:p w:rsidR="00726F91" w:rsidRDefault="00726F91" w:rsidP="00726F91">
            <w:pPr>
              <w:pStyle w:val="Body"/>
              <w:spacing w:before="0"/>
              <w:rPr>
                <w:rFonts w:ascii="Times New Roman" w:hAnsi="Times New Roman"/>
                <w:noProof/>
                <w:sz w:val="18"/>
                <w:szCs w:val="18"/>
              </w:rPr>
            </w:pPr>
            <w:r>
              <w:rPr>
                <w:rFonts w:ascii="Times New Roman" w:hAnsi="Times New Roman"/>
                <w:b/>
                <w:noProof/>
                <w:sz w:val="18"/>
                <w:szCs w:val="18"/>
              </w:rPr>
              <w:t xml:space="preserve">Integrated DEMO design (Mission 6&amp;7): </w:t>
            </w:r>
            <w:r>
              <w:rPr>
                <w:rFonts w:ascii="Times New Roman" w:hAnsi="Times New Roman"/>
                <w:noProof/>
                <w:sz w:val="18"/>
                <w:szCs w:val="18"/>
              </w:rPr>
              <w:t>Pre-conceptual DEMO design activity, preparation of the Stakeholder and Plant Requirements document. DEMO-relevant samples of superconducting magnets fabricated and tested. Significant progress in the remote maintenance.</w:t>
            </w:r>
          </w:p>
          <w:p w:rsidR="00B460C4" w:rsidRDefault="00B460C4" w:rsidP="005C4FC5">
            <w:pPr>
              <w:jc w:val="both"/>
              <w:rPr>
                <w:b/>
                <w:noProof/>
                <w:sz w:val="18"/>
                <w:szCs w:val="18"/>
              </w:rPr>
            </w:pPr>
          </w:p>
          <w:p w:rsidR="00726F91" w:rsidRDefault="00726F91" w:rsidP="005C4FC5">
            <w:pPr>
              <w:jc w:val="both"/>
              <w:rPr>
                <w:b/>
                <w:noProof/>
                <w:sz w:val="18"/>
                <w:szCs w:val="18"/>
              </w:rPr>
            </w:pPr>
            <w:r>
              <w:rPr>
                <w:b/>
                <w:noProof/>
                <w:sz w:val="18"/>
                <w:szCs w:val="18"/>
              </w:rPr>
              <w:t xml:space="preserve">Stellarator development (Mission 8): </w:t>
            </w:r>
            <w:r>
              <w:rPr>
                <w:noProof/>
                <w:sz w:val="18"/>
                <w:szCs w:val="18"/>
              </w:rPr>
              <w:t>Commissioning and operation of the W7X facility.</w:t>
            </w:r>
          </w:p>
        </w:tc>
        <w:tc>
          <w:tcPr>
            <w:tcW w:w="4820" w:type="dxa"/>
            <w:shd w:val="clear" w:color="auto" w:fill="FFFFFF" w:themeFill="background1"/>
          </w:tcPr>
          <w:p w:rsidR="00B460C4" w:rsidRDefault="00B460C4" w:rsidP="00726F91">
            <w:pPr>
              <w:jc w:val="both"/>
              <w:rPr>
                <w:b/>
                <w:noProof/>
                <w:sz w:val="18"/>
                <w:szCs w:val="18"/>
              </w:rPr>
            </w:pPr>
          </w:p>
          <w:p w:rsidR="00726F91" w:rsidRDefault="00726F91" w:rsidP="00726F91">
            <w:pPr>
              <w:jc w:val="both"/>
              <w:rPr>
                <w:b/>
                <w:noProof/>
                <w:sz w:val="18"/>
                <w:szCs w:val="18"/>
              </w:rPr>
            </w:pPr>
            <w:r>
              <w:rPr>
                <w:b/>
                <w:noProof/>
                <w:sz w:val="18"/>
                <w:szCs w:val="18"/>
              </w:rPr>
              <w:t>Safety of existing Nuclear power plants:</w:t>
            </w:r>
          </w:p>
          <w:p w:rsidR="00726F91" w:rsidRDefault="00726F91" w:rsidP="00726F91">
            <w:pPr>
              <w:pStyle w:val="ListParagraph"/>
              <w:numPr>
                <w:ilvl w:val="0"/>
                <w:numId w:val="46"/>
              </w:numPr>
              <w:spacing w:after="0"/>
              <w:ind w:left="150"/>
              <w:rPr>
                <w:noProof/>
                <w:sz w:val="18"/>
                <w:szCs w:val="18"/>
              </w:rPr>
            </w:pPr>
            <w:r>
              <w:rPr>
                <w:noProof/>
                <w:sz w:val="18"/>
                <w:szCs w:val="18"/>
              </w:rPr>
              <w:t>Better understanding of physical processes involved in nuclear reactors' anomalies and development of a non-intrusive innovative core-monitoring technique for detection and characterisation of anomalies;</w:t>
            </w:r>
          </w:p>
          <w:p w:rsidR="00726F91" w:rsidRDefault="00726F91" w:rsidP="00726F91">
            <w:pPr>
              <w:pStyle w:val="ListParagraph"/>
              <w:numPr>
                <w:ilvl w:val="0"/>
                <w:numId w:val="46"/>
              </w:numPr>
              <w:spacing w:after="0"/>
              <w:ind w:left="150"/>
              <w:rPr>
                <w:noProof/>
                <w:sz w:val="18"/>
                <w:szCs w:val="18"/>
              </w:rPr>
            </w:pPr>
            <w:r>
              <w:rPr>
                <w:noProof/>
                <w:sz w:val="18"/>
                <w:szCs w:val="18"/>
              </w:rPr>
              <w:t>Progress in development of accident-tolerant fuels;</w:t>
            </w:r>
          </w:p>
          <w:p w:rsidR="00726F91" w:rsidRDefault="00726F91" w:rsidP="00726F91">
            <w:pPr>
              <w:pStyle w:val="ListParagraph"/>
              <w:numPr>
                <w:ilvl w:val="0"/>
                <w:numId w:val="46"/>
              </w:numPr>
              <w:spacing w:after="0"/>
              <w:ind w:left="150"/>
              <w:rPr>
                <w:noProof/>
                <w:sz w:val="18"/>
                <w:szCs w:val="18"/>
              </w:rPr>
            </w:pPr>
            <w:r>
              <w:rPr>
                <w:noProof/>
                <w:sz w:val="18"/>
                <w:szCs w:val="18"/>
              </w:rPr>
              <w:t>Improved assessment techniques of structural integrity of nuclear power plants' components;</w:t>
            </w:r>
          </w:p>
          <w:p w:rsidR="00726F91" w:rsidRDefault="00726F91" w:rsidP="00726F91">
            <w:pPr>
              <w:pStyle w:val="ListParagraph"/>
              <w:numPr>
                <w:ilvl w:val="0"/>
                <w:numId w:val="46"/>
              </w:numPr>
              <w:spacing w:after="0"/>
              <w:ind w:left="150"/>
              <w:rPr>
                <w:noProof/>
                <w:sz w:val="18"/>
                <w:szCs w:val="18"/>
              </w:rPr>
            </w:pPr>
            <w:r>
              <w:rPr>
                <w:noProof/>
                <w:sz w:val="18"/>
                <w:szCs w:val="18"/>
              </w:rPr>
              <w:t>Better understanding of the ageing phenomena occurring in reactor pressure vessel steels. Development of predictive approaches in support of surveillance programs;</w:t>
            </w:r>
          </w:p>
          <w:p w:rsidR="00726F91" w:rsidRDefault="00726F91" w:rsidP="00726F91">
            <w:pPr>
              <w:pStyle w:val="ListParagraph"/>
              <w:numPr>
                <w:ilvl w:val="0"/>
                <w:numId w:val="46"/>
              </w:numPr>
              <w:spacing w:after="0"/>
              <w:ind w:left="150"/>
              <w:rPr>
                <w:noProof/>
                <w:sz w:val="18"/>
                <w:szCs w:val="18"/>
              </w:rPr>
            </w:pPr>
            <w:r>
              <w:rPr>
                <w:noProof/>
                <w:sz w:val="18"/>
                <w:szCs w:val="18"/>
              </w:rPr>
              <w:t>Establishment of a procedure for fatigue analysis in NPPs based upon experimental test data, integrating also impact of environmental effects;</w:t>
            </w:r>
          </w:p>
          <w:p w:rsidR="00726F91" w:rsidRDefault="00726F91" w:rsidP="00726F91">
            <w:pPr>
              <w:pStyle w:val="ListParagraph"/>
              <w:numPr>
                <w:ilvl w:val="0"/>
                <w:numId w:val="46"/>
              </w:numPr>
              <w:spacing w:after="0"/>
              <w:ind w:left="150"/>
              <w:rPr>
                <w:noProof/>
                <w:sz w:val="18"/>
                <w:szCs w:val="18"/>
              </w:rPr>
            </w:pPr>
            <w:r>
              <w:rPr>
                <w:noProof/>
                <w:sz w:val="18"/>
                <w:szCs w:val="18"/>
              </w:rPr>
              <w:t>Development of mitigation techniques for environmentally-assisted cracking of nuclear power plants components;</w:t>
            </w:r>
          </w:p>
          <w:p w:rsidR="00726F91" w:rsidRDefault="00726F91" w:rsidP="00726F91">
            <w:pPr>
              <w:pStyle w:val="ListParagraph"/>
              <w:numPr>
                <w:ilvl w:val="0"/>
                <w:numId w:val="46"/>
              </w:numPr>
              <w:spacing w:after="0"/>
              <w:ind w:left="150"/>
              <w:rPr>
                <w:noProof/>
                <w:sz w:val="18"/>
                <w:szCs w:val="18"/>
              </w:rPr>
            </w:pPr>
            <w:r>
              <w:rPr>
                <w:noProof/>
                <w:sz w:val="18"/>
                <w:szCs w:val="18"/>
              </w:rPr>
              <w:t>Improvement of the detection limits of the ultrasonic inspection techniques of complex structures;</w:t>
            </w:r>
          </w:p>
          <w:p w:rsidR="00726F91" w:rsidRDefault="00726F91" w:rsidP="00726F91">
            <w:pPr>
              <w:pStyle w:val="ListParagraph"/>
              <w:numPr>
                <w:ilvl w:val="0"/>
                <w:numId w:val="46"/>
              </w:numPr>
              <w:spacing w:after="0"/>
              <w:ind w:left="150"/>
              <w:rPr>
                <w:noProof/>
                <w:sz w:val="18"/>
                <w:szCs w:val="18"/>
              </w:rPr>
            </w:pPr>
            <w:r>
              <w:rPr>
                <w:noProof/>
                <w:sz w:val="18"/>
                <w:szCs w:val="18"/>
              </w:rPr>
              <w:t>Development of non-destructive evaluation tools for characterisation of the embrittlement level in reactor pressure vessels;</w:t>
            </w:r>
          </w:p>
          <w:p w:rsidR="00726F91" w:rsidRDefault="00726F91" w:rsidP="00726F91">
            <w:pPr>
              <w:pStyle w:val="ListParagraph"/>
              <w:numPr>
                <w:ilvl w:val="0"/>
                <w:numId w:val="46"/>
              </w:numPr>
              <w:spacing w:after="0"/>
              <w:ind w:left="150"/>
              <w:rPr>
                <w:noProof/>
                <w:sz w:val="18"/>
                <w:szCs w:val="18"/>
              </w:rPr>
            </w:pPr>
            <w:r>
              <w:rPr>
                <w:noProof/>
                <w:sz w:val="18"/>
                <w:szCs w:val="18"/>
              </w:rPr>
              <w:t>Updated elements for Probabilistic Safety Assessment of Nuclear Power Plants focusing on external natural events like earthquake, tsunami, flooding, high speed winds, etc.;</w:t>
            </w:r>
          </w:p>
          <w:p w:rsidR="00726F91" w:rsidRDefault="00726F91" w:rsidP="00726F91">
            <w:pPr>
              <w:pStyle w:val="ListParagraph"/>
              <w:numPr>
                <w:ilvl w:val="0"/>
                <w:numId w:val="46"/>
              </w:numPr>
              <w:spacing w:after="0"/>
              <w:ind w:left="150"/>
              <w:rPr>
                <w:noProof/>
                <w:sz w:val="18"/>
                <w:szCs w:val="18"/>
              </w:rPr>
            </w:pPr>
            <w:r>
              <w:rPr>
                <w:noProof/>
                <w:sz w:val="18"/>
                <w:szCs w:val="18"/>
              </w:rPr>
              <w:t>Further development of in-vessel retention of melted core;</w:t>
            </w:r>
          </w:p>
          <w:p w:rsidR="00726F91" w:rsidRDefault="00726F91" w:rsidP="00726F91">
            <w:pPr>
              <w:pStyle w:val="ListParagraph"/>
              <w:numPr>
                <w:ilvl w:val="0"/>
                <w:numId w:val="46"/>
              </w:numPr>
              <w:spacing w:after="0"/>
              <w:ind w:left="150"/>
              <w:rPr>
                <w:noProof/>
                <w:sz w:val="18"/>
                <w:szCs w:val="18"/>
              </w:rPr>
            </w:pPr>
            <w:r>
              <w:rPr>
                <w:noProof/>
                <w:sz w:val="18"/>
                <w:szCs w:val="18"/>
              </w:rPr>
              <w:t>Update and validation of simulation tools to improve accident management and emergency response;</w:t>
            </w:r>
          </w:p>
          <w:p w:rsidR="00726F91" w:rsidRDefault="00726F91" w:rsidP="00726F91">
            <w:pPr>
              <w:pStyle w:val="ListParagraph"/>
              <w:numPr>
                <w:ilvl w:val="0"/>
                <w:numId w:val="46"/>
              </w:numPr>
              <w:spacing w:after="0"/>
              <w:ind w:left="150"/>
              <w:rPr>
                <w:noProof/>
                <w:sz w:val="18"/>
                <w:szCs w:val="18"/>
              </w:rPr>
            </w:pPr>
            <w:r>
              <w:rPr>
                <w:noProof/>
                <w:sz w:val="18"/>
                <w:szCs w:val="18"/>
              </w:rPr>
              <w:t>Development of a backup cooling system to upgrade LWRs passive safety systems.</w:t>
            </w:r>
          </w:p>
          <w:p w:rsidR="00B460C4" w:rsidRDefault="00B460C4" w:rsidP="00726F91">
            <w:pPr>
              <w:jc w:val="both"/>
              <w:rPr>
                <w:b/>
                <w:noProof/>
                <w:sz w:val="18"/>
                <w:szCs w:val="18"/>
              </w:rPr>
            </w:pPr>
          </w:p>
          <w:p w:rsidR="00726F91" w:rsidRDefault="00726F91" w:rsidP="00726F91">
            <w:pPr>
              <w:jc w:val="both"/>
              <w:rPr>
                <w:b/>
                <w:noProof/>
                <w:sz w:val="18"/>
                <w:szCs w:val="18"/>
              </w:rPr>
            </w:pPr>
            <w:r>
              <w:rPr>
                <w:b/>
                <w:noProof/>
                <w:sz w:val="18"/>
                <w:szCs w:val="18"/>
              </w:rPr>
              <w:t>Future nuclear power plants:</w:t>
            </w:r>
          </w:p>
          <w:p w:rsidR="00726F91" w:rsidRDefault="00726F91" w:rsidP="00726F91">
            <w:pPr>
              <w:pStyle w:val="ListParagraph"/>
              <w:numPr>
                <w:ilvl w:val="0"/>
                <w:numId w:val="46"/>
              </w:numPr>
              <w:spacing w:after="0"/>
              <w:ind w:left="150"/>
              <w:rPr>
                <w:noProof/>
                <w:sz w:val="18"/>
                <w:szCs w:val="18"/>
              </w:rPr>
            </w:pPr>
            <w:r>
              <w:rPr>
                <w:noProof/>
                <w:sz w:val="18"/>
                <w:szCs w:val="18"/>
              </w:rPr>
              <w:t>Improved modelling and safety assessment of different future reactor concepts;</w:t>
            </w:r>
          </w:p>
          <w:p w:rsidR="00726F91" w:rsidRDefault="00726F91" w:rsidP="00726F91">
            <w:pPr>
              <w:pStyle w:val="ListParagraph"/>
              <w:numPr>
                <w:ilvl w:val="0"/>
                <w:numId w:val="46"/>
              </w:numPr>
              <w:spacing w:after="0"/>
              <w:ind w:left="150"/>
              <w:rPr>
                <w:noProof/>
                <w:sz w:val="18"/>
                <w:szCs w:val="18"/>
              </w:rPr>
            </w:pPr>
            <w:r>
              <w:rPr>
                <w:noProof/>
                <w:sz w:val="18"/>
                <w:szCs w:val="18"/>
              </w:rPr>
              <w:t>Improvement of nuclear fuel cycles for advanced systems;</w:t>
            </w:r>
          </w:p>
          <w:p w:rsidR="00726F91" w:rsidRDefault="00726F91" w:rsidP="00726F91">
            <w:pPr>
              <w:pStyle w:val="ListParagraph"/>
              <w:numPr>
                <w:ilvl w:val="0"/>
                <w:numId w:val="46"/>
              </w:numPr>
              <w:spacing w:after="0"/>
              <w:ind w:left="150"/>
              <w:rPr>
                <w:noProof/>
                <w:sz w:val="18"/>
                <w:szCs w:val="18"/>
              </w:rPr>
            </w:pPr>
            <w:r>
              <w:rPr>
                <w:noProof/>
                <w:sz w:val="18"/>
                <w:szCs w:val="18"/>
              </w:rPr>
              <w:t>Qualification of structural materials for future nuclear systems;</w:t>
            </w:r>
          </w:p>
          <w:p w:rsidR="00726F91" w:rsidRDefault="00726F91" w:rsidP="005C4FC5">
            <w:pPr>
              <w:pStyle w:val="ListParagraph"/>
              <w:numPr>
                <w:ilvl w:val="0"/>
                <w:numId w:val="46"/>
              </w:numPr>
              <w:spacing w:after="0"/>
              <w:ind w:left="150"/>
              <w:rPr>
                <w:noProof/>
                <w:sz w:val="18"/>
                <w:szCs w:val="18"/>
              </w:rPr>
            </w:pPr>
            <w:r>
              <w:rPr>
                <w:noProof/>
                <w:sz w:val="18"/>
                <w:szCs w:val="18"/>
              </w:rPr>
              <w:t xml:space="preserve">Testing of safety features and waste management of future </w:t>
            </w:r>
            <w:r>
              <w:rPr>
                <w:noProof/>
                <w:sz w:val="18"/>
                <w:szCs w:val="18"/>
              </w:rPr>
              <w:lastRenderedPageBreak/>
              <w:t>concepts;</w:t>
            </w:r>
          </w:p>
          <w:p w:rsidR="00726F91" w:rsidRPr="005C4FC5" w:rsidRDefault="00726F91" w:rsidP="005C4FC5">
            <w:pPr>
              <w:pStyle w:val="ListParagraph"/>
              <w:numPr>
                <w:ilvl w:val="0"/>
                <w:numId w:val="46"/>
              </w:numPr>
              <w:spacing w:after="0"/>
              <w:ind w:left="150"/>
              <w:rPr>
                <w:noProof/>
                <w:sz w:val="18"/>
                <w:szCs w:val="18"/>
              </w:rPr>
            </w:pPr>
            <w:r w:rsidRPr="005C4FC5">
              <w:rPr>
                <w:noProof/>
                <w:sz w:val="18"/>
                <w:szCs w:val="18"/>
              </w:rPr>
              <w:t xml:space="preserve">Conceptual design for a high </w:t>
            </w:r>
            <w:r w:rsidR="005C4FC5">
              <w:rPr>
                <w:noProof/>
                <w:sz w:val="18"/>
                <w:szCs w:val="18"/>
              </w:rPr>
              <w:t>t</w:t>
            </w:r>
            <w:r w:rsidRPr="005C4FC5">
              <w:rPr>
                <w:noProof/>
                <w:sz w:val="18"/>
                <w:szCs w:val="18"/>
              </w:rPr>
              <w:t>emperature nuclear cogeneration system to supply process steam to industry – licencing framework and business plan for full scale demonstration.</w:t>
            </w:r>
          </w:p>
        </w:tc>
        <w:tc>
          <w:tcPr>
            <w:tcW w:w="3544" w:type="dxa"/>
            <w:shd w:val="clear" w:color="auto" w:fill="FFFFFF" w:themeFill="background1"/>
          </w:tcPr>
          <w:p w:rsidR="00B460C4" w:rsidRDefault="00B460C4" w:rsidP="00726F91">
            <w:pPr>
              <w:jc w:val="both"/>
              <w:rPr>
                <w:b/>
                <w:noProof/>
                <w:sz w:val="18"/>
                <w:szCs w:val="18"/>
              </w:rPr>
            </w:pPr>
          </w:p>
          <w:p w:rsidR="00726F91" w:rsidRDefault="00726F91" w:rsidP="00726F91">
            <w:pPr>
              <w:jc w:val="both"/>
              <w:rPr>
                <w:noProof/>
                <w:sz w:val="18"/>
                <w:szCs w:val="18"/>
              </w:rPr>
            </w:pPr>
            <w:r>
              <w:rPr>
                <w:b/>
                <w:noProof/>
                <w:sz w:val="18"/>
                <w:szCs w:val="18"/>
              </w:rPr>
              <w:t>Integration of research</w:t>
            </w:r>
            <w:r>
              <w:rPr>
                <w:noProof/>
                <w:sz w:val="18"/>
                <w:szCs w:val="18"/>
              </w:rPr>
              <w:t>: establishment of a European Joint Research Programme in the management and disposal of radioactive waste.</w:t>
            </w:r>
          </w:p>
          <w:p w:rsidR="00B460C4" w:rsidRDefault="00B460C4" w:rsidP="00726F91">
            <w:pPr>
              <w:jc w:val="both"/>
              <w:rPr>
                <w:b/>
                <w:noProof/>
                <w:sz w:val="18"/>
                <w:szCs w:val="18"/>
              </w:rPr>
            </w:pPr>
          </w:p>
          <w:p w:rsidR="00726F91" w:rsidRDefault="00726F91" w:rsidP="00726F91">
            <w:pPr>
              <w:jc w:val="both"/>
              <w:rPr>
                <w:b/>
                <w:noProof/>
                <w:sz w:val="18"/>
                <w:szCs w:val="18"/>
              </w:rPr>
            </w:pPr>
            <w:r>
              <w:rPr>
                <w:b/>
                <w:noProof/>
                <w:sz w:val="18"/>
                <w:szCs w:val="18"/>
              </w:rPr>
              <w:t>Geological disposal of HLW &amp; SF:</w:t>
            </w:r>
          </w:p>
          <w:p w:rsidR="00726F91" w:rsidRDefault="00726F91" w:rsidP="00726F91">
            <w:pPr>
              <w:pStyle w:val="ListParagraph"/>
              <w:numPr>
                <w:ilvl w:val="0"/>
                <w:numId w:val="46"/>
              </w:numPr>
              <w:spacing w:after="0"/>
              <w:ind w:left="150"/>
              <w:rPr>
                <w:noProof/>
                <w:sz w:val="18"/>
                <w:szCs w:val="18"/>
              </w:rPr>
            </w:pPr>
            <w:r>
              <w:rPr>
                <w:noProof/>
                <w:sz w:val="18"/>
                <w:szCs w:val="18"/>
              </w:rPr>
              <w:t>Development of means and conditions for a sustainable network of independent technical expertise for safety case reviews;</w:t>
            </w:r>
          </w:p>
          <w:p w:rsidR="00726F91" w:rsidRDefault="00726F91" w:rsidP="00726F91">
            <w:pPr>
              <w:pStyle w:val="ListParagraph"/>
              <w:numPr>
                <w:ilvl w:val="0"/>
                <w:numId w:val="46"/>
              </w:numPr>
              <w:spacing w:after="0"/>
              <w:ind w:left="150"/>
              <w:rPr>
                <w:noProof/>
                <w:sz w:val="18"/>
                <w:szCs w:val="18"/>
              </w:rPr>
            </w:pPr>
            <w:r>
              <w:rPr>
                <w:noProof/>
                <w:sz w:val="18"/>
                <w:szCs w:val="18"/>
              </w:rPr>
              <w:t>Improved knowledge on the impact of cement materials in contact with bentonite barriers and the host rocks on the mobility of radionuclides;</w:t>
            </w:r>
          </w:p>
          <w:p w:rsidR="00726F91" w:rsidRDefault="00726F91" w:rsidP="00726F91">
            <w:pPr>
              <w:pStyle w:val="ListParagraph"/>
              <w:numPr>
                <w:ilvl w:val="0"/>
                <w:numId w:val="46"/>
              </w:numPr>
              <w:spacing w:after="0"/>
              <w:ind w:left="150"/>
              <w:rPr>
                <w:noProof/>
                <w:sz w:val="18"/>
                <w:szCs w:val="18"/>
              </w:rPr>
            </w:pPr>
            <w:r>
              <w:rPr>
                <w:noProof/>
                <w:sz w:val="18"/>
                <w:szCs w:val="18"/>
              </w:rPr>
              <w:t>Assessment of the impact of microbial metabolisms on the safety of geological repositories;</w:t>
            </w:r>
          </w:p>
          <w:p w:rsidR="00726F91" w:rsidRDefault="00726F91" w:rsidP="00726F91">
            <w:pPr>
              <w:pStyle w:val="ListParagraph"/>
              <w:numPr>
                <w:ilvl w:val="0"/>
                <w:numId w:val="46"/>
              </w:numPr>
              <w:spacing w:after="0"/>
              <w:ind w:left="150"/>
              <w:rPr>
                <w:noProof/>
                <w:sz w:val="18"/>
                <w:szCs w:val="18"/>
              </w:rPr>
            </w:pPr>
            <w:r>
              <w:rPr>
                <w:noProof/>
                <w:sz w:val="18"/>
                <w:szCs w:val="18"/>
              </w:rPr>
              <w:t>Development and demonstration of monitoring strategies &amp; technologies for geological repositories;</w:t>
            </w:r>
          </w:p>
          <w:p w:rsidR="00726F91" w:rsidRDefault="00726F91" w:rsidP="00726F91">
            <w:pPr>
              <w:pStyle w:val="ListParagraph"/>
              <w:numPr>
                <w:ilvl w:val="0"/>
                <w:numId w:val="46"/>
              </w:numPr>
              <w:spacing w:after="0"/>
              <w:ind w:left="150"/>
              <w:rPr>
                <w:noProof/>
                <w:sz w:val="18"/>
                <w:szCs w:val="18"/>
              </w:rPr>
            </w:pPr>
            <w:r>
              <w:rPr>
                <w:noProof/>
                <w:sz w:val="18"/>
                <w:szCs w:val="18"/>
              </w:rPr>
              <w:t>Development of tools for the assessment of the bentonite barriers mechanical evolution;</w:t>
            </w:r>
          </w:p>
          <w:p w:rsidR="00726F91" w:rsidRDefault="00726F91" w:rsidP="00726F91">
            <w:pPr>
              <w:pStyle w:val="ListParagraph"/>
              <w:numPr>
                <w:ilvl w:val="0"/>
                <w:numId w:val="46"/>
              </w:numPr>
              <w:spacing w:after="0"/>
              <w:ind w:left="150"/>
              <w:rPr>
                <w:noProof/>
                <w:sz w:val="18"/>
                <w:szCs w:val="18"/>
              </w:rPr>
            </w:pPr>
            <w:r>
              <w:rPr>
                <w:noProof/>
                <w:sz w:val="18"/>
                <w:szCs w:val="18"/>
              </w:rPr>
              <w:t>Improved understanding of the dissolution and chemistry of modern spent fuels in failed container conditions.</w:t>
            </w:r>
          </w:p>
          <w:p w:rsidR="00B460C4" w:rsidRDefault="00B460C4" w:rsidP="00726F91">
            <w:pPr>
              <w:jc w:val="both"/>
              <w:rPr>
                <w:b/>
                <w:noProof/>
                <w:sz w:val="18"/>
                <w:szCs w:val="18"/>
              </w:rPr>
            </w:pPr>
          </w:p>
          <w:p w:rsidR="00726F91" w:rsidRDefault="00726F91" w:rsidP="00726F91">
            <w:pPr>
              <w:jc w:val="both"/>
              <w:rPr>
                <w:b/>
                <w:noProof/>
                <w:sz w:val="18"/>
                <w:szCs w:val="18"/>
              </w:rPr>
            </w:pPr>
            <w:r>
              <w:rPr>
                <w:b/>
                <w:noProof/>
                <w:sz w:val="18"/>
                <w:szCs w:val="18"/>
              </w:rPr>
              <w:t>Management of other radioactive waste:</w:t>
            </w:r>
          </w:p>
          <w:p w:rsidR="00726F91" w:rsidRDefault="00726F91" w:rsidP="00726F91">
            <w:pPr>
              <w:pStyle w:val="ListParagraph"/>
              <w:numPr>
                <w:ilvl w:val="0"/>
                <w:numId w:val="46"/>
              </w:numPr>
              <w:spacing w:after="0"/>
              <w:ind w:left="150"/>
              <w:rPr>
                <w:noProof/>
                <w:sz w:val="18"/>
                <w:szCs w:val="18"/>
              </w:rPr>
            </w:pPr>
            <w:r>
              <w:rPr>
                <w:noProof/>
                <w:sz w:val="18"/>
                <w:szCs w:val="18"/>
              </w:rPr>
              <w:t>Development and validation of new techniques for the characterization of conditioned radioactive waste;</w:t>
            </w:r>
          </w:p>
          <w:p w:rsidR="00726F91" w:rsidRDefault="00726F91" w:rsidP="00726F91">
            <w:pPr>
              <w:pStyle w:val="ListParagraph"/>
              <w:numPr>
                <w:ilvl w:val="0"/>
                <w:numId w:val="46"/>
              </w:numPr>
              <w:spacing w:after="0"/>
              <w:ind w:left="150"/>
              <w:rPr>
                <w:noProof/>
                <w:sz w:val="18"/>
                <w:szCs w:val="18"/>
              </w:rPr>
            </w:pPr>
            <w:r>
              <w:rPr>
                <w:noProof/>
                <w:sz w:val="18"/>
                <w:szCs w:val="18"/>
              </w:rPr>
              <w:t>Assessment of thermal treatment technologies providing waste volume reduction.</w:t>
            </w:r>
          </w:p>
          <w:p w:rsidR="00B460C4" w:rsidRDefault="00B460C4" w:rsidP="00726F91">
            <w:pPr>
              <w:jc w:val="both"/>
              <w:rPr>
                <w:b/>
                <w:noProof/>
                <w:sz w:val="18"/>
                <w:szCs w:val="18"/>
              </w:rPr>
            </w:pPr>
          </w:p>
          <w:p w:rsidR="00726F91" w:rsidRDefault="00726F91" w:rsidP="00726F91">
            <w:pPr>
              <w:jc w:val="both"/>
              <w:rPr>
                <w:b/>
                <w:noProof/>
                <w:sz w:val="18"/>
                <w:szCs w:val="18"/>
              </w:rPr>
            </w:pPr>
            <w:r>
              <w:rPr>
                <w:b/>
                <w:noProof/>
                <w:sz w:val="18"/>
                <w:szCs w:val="18"/>
              </w:rPr>
              <w:t>Decommissioning:</w:t>
            </w:r>
          </w:p>
          <w:p w:rsidR="00726F91" w:rsidRDefault="00726F91" w:rsidP="005C4FC5">
            <w:pPr>
              <w:pStyle w:val="ListParagraph"/>
              <w:numPr>
                <w:ilvl w:val="0"/>
                <w:numId w:val="46"/>
              </w:numPr>
              <w:spacing w:after="0"/>
              <w:ind w:left="150"/>
              <w:rPr>
                <w:noProof/>
                <w:sz w:val="18"/>
                <w:szCs w:val="18"/>
              </w:rPr>
            </w:pPr>
            <w:r>
              <w:rPr>
                <w:noProof/>
                <w:sz w:val="18"/>
                <w:szCs w:val="18"/>
              </w:rPr>
              <w:t xml:space="preserve">Development of a roadmap for decommissioning research aiming at safety improvement, environmental impact </w:t>
            </w:r>
            <w:r>
              <w:rPr>
                <w:noProof/>
                <w:sz w:val="18"/>
                <w:szCs w:val="18"/>
              </w:rPr>
              <w:lastRenderedPageBreak/>
              <w:t>minimisation and cost reduction;</w:t>
            </w:r>
          </w:p>
          <w:p w:rsidR="00726F91" w:rsidRPr="005C4FC5" w:rsidRDefault="00726F91" w:rsidP="005C4FC5">
            <w:pPr>
              <w:pStyle w:val="ListParagraph"/>
              <w:numPr>
                <w:ilvl w:val="0"/>
                <w:numId w:val="46"/>
              </w:numPr>
              <w:spacing w:after="0"/>
              <w:ind w:left="150"/>
              <w:rPr>
                <w:noProof/>
                <w:sz w:val="18"/>
                <w:szCs w:val="18"/>
              </w:rPr>
            </w:pPr>
            <w:r w:rsidRPr="005C4FC5">
              <w:rPr>
                <w:noProof/>
                <w:sz w:val="18"/>
                <w:szCs w:val="18"/>
              </w:rPr>
              <w:t>Development of methodologies for more accurate estimation of the characteristics and the volume of contaminated materials as well as for improved Decommissioning and Dismantling (D&amp;D) planning.</w:t>
            </w:r>
          </w:p>
        </w:tc>
        <w:tc>
          <w:tcPr>
            <w:tcW w:w="3173" w:type="dxa"/>
            <w:shd w:val="clear" w:color="auto" w:fill="FFFFFF" w:themeFill="background1"/>
          </w:tcPr>
          <w:p w:rsidR="00B460C4" w:rsidRDefault="00B460C4" w:rsidP="00726F91">
            <w:pPr>
              <w:jc w:val="both"/>
              <w:rPr>
                <w:b/>
                <w:noProof/>
                <w:sz w:val="18"/>
                <w:szCs w:val="18"/>
              </w:rPr>
            </w:pPr>
          </w:p>
          <w:p w:rsidR="00726F91" w:rsidRDefault="00726F91" w:rsidP="00726F91">
            <w:pPr>
              <w:jc w:val="both"/>
              <w:rPr>
                <w:noProof/>
                <w:sz w:val="18"/>
                <w:szCs w:val="18"/>
              </w:rPr>
            </w:pPr>
            <w:r>
              <w:rPr>
                <w:b/>
                <w:noProof/>
                <w:sz w:val="18"/>
                <w:szCs w:val="18"/>
              </w:rPr>
              <w:t>Integration of research</w:t>
            </w:r>
            <w:r>
              <w:rPr>
                <w:noProof/>
                <w:sz w:val="18"/>
                <w:szCs w:val="18"/>
              </w:rPr>
              <w:t xml:space="preserve">: establishment of European Joint Programme in radiation research (CONCERT), implementation of Strategic Research Agenda, implementation by CONCERT of a portfolio of projects in radiation protection; </w:t>
            </w:r>
          </w:p>
          <w:p w:rsidR="00B460C4" w:rsidRDefault="00B460C4" w:rsidP="00726F91">
            <w:pPr>
              <w:jc w:val="both"/>
              <w:rPr>
                <w:b/>
                <w:noProof/>
                <w:sz w:val="18"/>
                <w:szCs w:val="18"/>
              </w:rPr>
            </w:pPr>
          </w:p>
          <w:p w:rsidR="00726F91" w:rsidRDefault="00726F91" w:rsidP="00726F91">
            <w:pPr>
              <w:jc w:val="both"/>
              <w:rPr>
                <w:noProof/>
                <w:sz w:val="18"/>
                <w:szCs w:val="18"/>
              </w:rPr>
            </w:pPr>
            <w:r>
              <w:rPr>
                <w:b/>
                <w:noProof/>
                <w:sz w:val="18"/>
                <w:szCs w:val="18"/>
              </w:rPr>
              <w:t>Nuclear emergency preparedness</w:t>
            </w:r>
            <w:r>
              <w:rPr>
                <w:noProof/>
                <w:sz w:val="18"/>
                <w:szCs w:val="18"/>
              </w:rPr>
              <w:t xml:space="preserve">: </w:t>
            </w:r>
          </w:p>
          <w:p w:rsidR="00726F91" w:rsidRDefault="00726F91" w:rsidP="00726F91">
            <w:pPr>
              <w:jc w:val="both"/>
              <w:rPr>
                <w:noProof/>
                <w:sz w:val="18"/>
                <w:szCs w:val="18"/>
              </w:rPr>
            </w:pPr>
            <w:r>
              <w:rPr>
                <w:noProof/>
                <w:sz w:val="18"/>
                <w:szCs w:val="18"/>
              </w:rPr>
              <w:t>Development of improved nuclear emergencies modelling for</w:t>
            </w:r>
            <w:r>
              <w:rPr>
                <w:noProof/>
                <w:color w:val="000000"/>
                <w:sz w:val="18"/>
                <w:szCs w:val="18"/>
              </w:rPr>
              <w:t xml:space="preserve"> atmospheric dispersion, dose estimation, food chain and countermeasure simulations and their propagation in decision support systems</w:t>
            </w:r>
          </w:p>
          <w:p w:rsidR="00B460C4" w:rsidRDefault="00B460C4" w:rsidP="00726F91">
            <w:pPr>
              <w:jc w:val="both"/>
              <w:rPr>
                <w:b/>
                <w:noProof/>
                <w:sz w:val="18"/>
                <w:szCs w:val="18"/>
              </w:rPr>
            </w:pPr>
          </w:p>
          <w:p w:rsidR="00726F91" w:rsidRDefault="00726F91" w:rsidP="00726F91">
            <w:pPr>
              <w:jc w:val="both"/>
              <w:rPr>
                <w:noProof/>
                <w:sz w:val="18"/>
                <w:szCs w:val="18"/>
              </w:rPr>
            </w:pPr>
            <w:r>
              <w:rPr>
                <w:b/>
                <w:noProof/>
                <w:sz w:val="18"/>
                <w:szCs w:val="18"/>
              </w:rPr>
              <w:t>Radiation biology:</w:t>
            </w:r>
            <w:r>
              <w:rPr>
                <w:noProof/>
                <w:sz w:val="18"/>
                <w:szCs w:val="18"/>
              </w:rPr>
              <w:t xml:space="preserve"> better understanding of low dose radiation induced effects at molecular, cellular and tissue level</w:t>
            </w:r>
          </w:p>
          <w:p w:rsidR="00B460C4" w:rsidRDefault="00B460C4" w:rsidP="00726F91">
            <w:pPr>
              <w:jc w:val="both"/>
              <w:rPr>
                <w:b/>
                <w:noProof/>
                <w:sz w:val="18"/>
                <w:szCs w:val="18"/>
              </w:rPr>
            </w:pPr>
          </w:p>
          <w:p w:rsidR="00726F91" w:rsidRDefault="00726F91" w:rsidP="00726F91">
            <w:pPr>
              <w:jc w:val="both"/>
              <w:rPr>
                <w:noProof/>
                <w:sz w:val="18"/>
                <w:szCs w:val="18"/>
              </w:rPr>
            </w:pPr>
            <w:r>
              <w:rPr>
                <w:b/>
                <w:noProof/>
                <w:sz w:val="18"/>
                <w:szCs w:val="18"/>
              </w:rPr>
              <w:t>Radioecology:</w:t>
            </w:r>
            <w:r>
              <w:rPr>
                <w:noProof/>
                <w:sz w:val="18"/>
                <w:szCs w:val="18"/>
              </w:rPr>
              <w:t xml:space="preserve"> preparation of novel guidance documents for dose assessment, risk management, and remediation of radioactively contaminated sites</w:t>
            </w:r>
          </w:p>
          <w:p w:rsidR="00B460C4" w:rsidRDefault="00B460C4" w:rsidP="00726F91">
            <w:pPr>
              <w:jc w:val="both"/>
              <w:rPr>
                <w:b/>
                <w:noProof/>
                <w:sz w:val="18"/>
                <w:szCs w:val="18"/>
              </w:rPr>
            </w:pPr>
          </w:p>
          <w:p w:rsidR="00726F91" w:rsidRDefault="00726F91" w:rsidP="00726F91">
            <w:pPr>
              <w:jc w:val="both"/>
              <w:rPr>
                <w:b/>
                <w:noProof/>
                <w:sz w:val="18"/>
                <w:szCs w:val="18"/>
              </w:rPr>
            </w:pPr>
            <w:r>
              <w:rPr>
                <w:b/>
                <w:noProof/>
                <w:sz w:val="18"/>
                <w:szCs w:val="18"/>
              </w:rPr>
              <w:t>Supply of medical radioisotopes:</w:t>
            </w:r>
          </w:p>
          <w:p w:rsidR="00726F91" w:rsidRDefault="00726F91" w:rsidP="00726F91">
            <w:pPr>
              <w:jc w:val="both"/>
              <w:rPr>
                <w:noProof/>
                <w:sz w:val="18"/>
                <w:szCs w:val="18"/>
              </w:rPr>
            </w:pPr>
            <w:r>
              <w:rPr>
                <w:noProof/>
                <w:sz w:val="18"/>
                <w:szCs w:val="18"/>
              </w:rPr>
              <w:t>In order to maintain supply chain of medical radioisotopes, development of a new, safe, high-density fuel for high performance research reactors while addressing proliferation concerns.</w:t>
            </w:r>
          </w:p>
          <w:p w:rsidR="00B460C4" w:rsidRDefault="00B460C4" w:rsidP="00726F91">
            <w:pPr>
              <w:jc w:val="both"/>
              <w:rPr>
                <w:b/>
                <w:bCs/>
                <w:noProof/>
                <w:sz w:val="18"/>
                <w:szCs w:val="18"/>
              </w:rPr>
            </w:pPr>
          </w:p>
          <w:p w:rsidR="00726F91" w:rsidRDefault="00726F91" w:rsidP="00726F91">
            <w:pPr>
              <w:jc w:val="both"/>
              <w:rPr>
                <w:b/>
                <w:bCs/>
                <w:noProof/>
                <w:sz w:val="18"/>
                <w:szCs w:val="18"/>
              </w:rPr>
            </w:pPr>
            <w:r>
              <w:rPr>
                <w:b/>
                <w:bCs/>
                <w:noProof/>
                <w:sz w:val="18"/>
                <w:szCs w:val="18"/>
              </w:rPr>
              <w:t>Medical low dose radiation exposure:</w:t>
            </w:r>
          </w:p>
          <w:p w:rsidR="00726F91" w:rsidRDefault="00726F91" w:rsidP="005C4FC5">
            <w:pPr>
              <w:jc w:val="both"/>
              <w:rPr>
                <w:b/>
                <w:noProof/>
                <w:sz w:val="18"/>
                <w:szCs w:val="18"/>
              </w:rPr>
            </w:pPr>
            <w:r>
              <w:rPr>
                <w:noProof/>
                <w:sz w:val="18"/>
                <w:szCs w:val="18"/>
              </w:rPr>
              <w:t xml:space="preserve">Contribution to refined </w:t>
            </w:r>
            <w:r>
              <w:rPr>
                <w:bCs/>
                <w:noProof/>
                <w:sz w:val="18"/>
                <w:szCs w:val="18"/>
              </w:rPr>
              <w:t>radiation protection</w:t>
            </w:r>
            <w:r>
              <w:rPr>
                <w:noProof/>
                <w:sz w:val="18"/>
                <w:szCs w:val="18"/>
              </w:rPr>
              <w:t xml:space="preserve"> in the medical field by: i) improving organ </w:t>
            </w:r>
            <w:r>
              <w:rPr>
                <w:bCs/>
                <w:noProof/>
                <w:sz w:val="18"/>
                <w:szCs w:val="18"/>
              </w:rPr>
              <w:t>dose estimation</w:t>
            </w:r>
            <w:r>
              <w:rPr>
                <w:noProof/>
                <w:sz w:val="18"/>
                <w:szCs w:val="18"/>
              </w:rPr>
              <w:t xml:space="preserve">, ii) </w:t>
            </w:r>
            <w:r>
              <w:rPr>
                <w:noProof/>
                <w:sz w:val="18"/>
                <w:szCs w:val="18"/>
              </w:rPr>
              <w:lastRenderedPageBreak/>
              <w:t>evaluating the </w:t>
            </w:r>
            <w:r>
              <w:rPr>
                <w:bCs/>
                <w:noProof/>
                <w:sz w:val="18"/>
                <w:szCs w:val="18"/>
              </w:rPr>
              <w:t>effects</w:t>
            </w:r>
            <w:r>
              <w:rPr>
                <w:noProof/>
                <w:sz w:val="18"/>
                <w:szCs w:val="18"/>
              </w:rPr>
              <w:t> of low to moderate doses of radiation, with a focus on cardiovascular disease as a result of radiotherapy and cancer risk as a result of CT scans, and iii) formulating a series of evidence-based</w:t>
            </w:r>
            <w:r>
              <w:rPr>
                <w:bCs/>
                <w:noProof/>
                <w:sz w:val="18"/>
                <w:szCs w:val="18"/>
              </w:rPr>
              <w:t> recommendations </w:t>
            </w:r>
            <w:r>
              <w:rPr>
                <w:noProof/>
                <w:sz w:val="18"/>
                <w:szCs w:val="18"/>
              </w:rPr>
              <w:t>to improve radiation protection of patients, medical workers and general public.</w:t>
            </w:r>
          </w:p>
        </w:tc>
      </w:tr>
    </w:tbl>
    <w:p w:rsidR="00EC06FD" w:rsidRDefault="00EC06FD">
      <w:pPr>
        <w:spacing w:after="200" w:line="276" w:lineRule="auto"/>
        <w:rPr>
          <w:noProof/>
        </w:rPr>
        <w:sectPr w:rsidR="00EC06FD">
          <w:headerReference w:type="even" r:id="rId42"/>
          <w:headerReference w:type="default" r:id="rId43"/>
          <w:footerReference w:type="even" r:id="rId44"/>
          <w:footerReference w:type="default" r:id="rId45"/>
          <w:headerReference w:type="first" r:id="rId46"/>
          <w:footerReference w:type="first" r:id="rId47"/>
          <w:pgSz w:w="16838" w:h="11906" w:orient="landscape"/>
          <w:pgMar w:top="567" w:right="567" w:bottom="567" w:left="567" w:header="601" w:footer="1077" w:gutter="0"/>
          <w:cols w:space="720"/>
          <w:titlePg/>
        </w:sectPr>
      </w:pPr>
    </w:p>
    <w:p w:rsidR="00EC06FD" w:rsidRDefault="00F346DE">
      <w:pPr>
        <w:pStyle w:val="Heading2"/>
        <w:suppressAutoHyphens/>
        <w:spacing w:line="276" w:lineRule="auto"/>
        <w:ind w:left="720"/>
        <w:rPr>
          <w:noProof/>
        </w:rPr>
      </w:pPr>
      <w:bookmarkStart w:id="656" w:name="_Toc494899794"/>
      <w:r>
        <w:rPr>
          <w:noProof/>
        </w:rPr>
        <w:lastRenderedPageBreak/>
        <w:t>Effectiveness of Euratom supported fission research</w:t>
      </w:r>
      <w:bookmarkEnd w:id="656"/>
    </w:p>
    <w:p w:rsidR="00EC06FD" w:rsidRDefault="00F346DE">
      <w:pPr>
        <w:suppressAutoHyphens/>
        <w:spacing w:after="120" w:line="276" w:lineRule="auto"/>
        <w:jc w:val="both"/>
        <w:rPr>
          <w:noProof/>
        </w:rPr>
      </w:pPr>
      <w:r>
        <w:rPr>
          <w:noProof/>
        </w:rPr>
        <w:t>Following three calls for proposals (2014/15 and 2016/17), the Commission launched 48 projects and other actions which address specific objectives in nuclear safety, waste management and radiation protection set by the Council Regulation establishing the Programme (see table 12). The first 23 projects were launched in 2015 following signature of the grant agreements. The second group of 25 projects (including 2 cross-cutting fission-fusion projects) were launched in June 2017. In view of the recent launch of these fission projects, this interim evaluation is based on limited feedback. The Commission has only recently received first periodic reports from the projects launched in 2015, and in the case of projects launched in 2017, the Commission services have at their disposal only the descriptions of planned research work.</w:t>
      </w:r>
    </w:p>
    <w:p w:rsidR="00EC06FD" w:rsidRDefault="00F346DE">
      <w:pPr>
        <w:suppressAutoHyphens/>
        <w:spacing w:after="120" w:line="276" w:lineRule="auto"/>
        <w:jc w:val="both"/>
        <w:rPr>
          <w:noProof/>
        </w:rPr>
        <w:sectPr w:rsidR="00EC06FD">
          <w:headerReference w:type="even" r:id="rId48"/>
          <w:headerReference w:type="default" r:id="rId49"/>
          <w:footerReference w:type="even" r:id="rId50"/>
          <w:footerReference w:type="default" r:id="rId51"/>
          <w:headerReference w:type="first" r:id="rId52"/>
          <w:footerReference w:type="first" r:id="rId53"/>
          <w:pgSz w:w="11906" w:h="16838"/>
          <w:pgMar w:top="1417" w:right="1417" w:bottom="1417" w:left="1417" w:header="601" w:footer="1077" w:gutter="0"/>
          <w:cols w:space="720"/>
          <w:titlePg/>
        </w:sectPr>
      </w:pPr>
      <w:r>
        <w:rPr>
          <w:noProof/>
        </w:rPr>
        <w:t xml:space="preserve">Nonetheless, the currently available data as well as the report from the Commission Expert Group confirm that </w:t>
      </w:r>
      <w:r>
        <w:rPr>
          <w:b/>
          <w:noProof/>
        </w:rPr>
        <w:t>the scope of the 48 projects supported by Euratom addresses the objectives set by the Council Regulation in the specific area of fission research</w:t>
      </w:r>
      <w:r>
        <w:rPr>
          <w:noProof/>
        </w:rPr>
        <w:t>. The 23 projects in the field of nuclear safety represent 48% of all projects, the total Euratom contribution to these projects accounting for 41% of the total budget for fission R&amp;D during the period 2014-2017. Projects in nuclear safety support research on existing Nuclear Power Plants as well as the safety aspects of future designs. The 2</w:t>
      </w:r>
      <w:r>
        <w:rPr>
          <w:noProof/>
          <w:vertAlign w:val="superscript"/>
        </w:rPr>
        <w:t>nd</w:t>
      </w:r>
      <w:r>
        <w:rPr>
          <w:noProof/>
        </w:rPr>
        <w:t xml:space="preserve"> area of research in terms of Euratom expenditure (22% of the total) concerns support for research infrastructures, including the access to Jules Horowitz Research Reactor and InnovFin loans for fission research infrastructures in general (loans to be available from 2017).</w:t>
      </w:r>
    </w:p>
    <w:p w:rsidR="00EC06FD" w:rsidRDefault="00EC06FD">
      <w:pPr>
        <w:suppressAutoHyphens/>
        <w:spacing w:after="120" w:line="276" w:lineRule="auto"/>
        <w:jc w:val="both"/>
        <w:rPr>
          <w:noProof/>
        </w:rPr>
      </w:pPr>
    </w:p>
    <w:p w:rsidR="00EC06FD" w:rsidRDefault="00EC06FD">
      <w:pPr>
        <w:suppressAutoHyphens/>
        <w:spacing w:after="120" w:line="276" w:lineRule="auto"/>
        <w:jc w:val="both"/>
        <w:rPr>
          <w:rFonts w:asciiTheme="minorHAnsi" w:hAnsiTheme="minorHAnsi"/>
          <w:b/>
          <w:bCs/>
          <w:noProof/>
          <w:color w:val="000000" w:themeColor="text1"/>
          <w:sz w:val="20"/>
          <w:szCs w:val="20"/>
        </w:rPr>
      </w:pPr>
    </w:p>
    <w:tbl>
      <w:tblPr>
        <w:tblW w:w="14768" w:type="dxa"/>
        <w:jc w:val="center"/>
        <w:tblLayout w:type="fixed"/>
        <w:tblLook w:val="04A0" w:firstRow="1" w:lastRow="0" w:firstColumn="1" w:lastColumn="0" w:noHBand="0" w:noVBand="1"/>
      </w:tblPr>
      <w:tblGrid>
        <w:gridCol w:w="1702"/>
        <w:gridCol w:w="1775"/>
        <w:gridCol w:w="1621"/>
        <w:gridCol w:w="1621"/>
        <w:gridCol w:w="86"/>
        <w:gridCol w:w="1535"/>
        <w:gridCol w:w="1499"/>
        <w:gridCol w:w="1688"/>
        <w:gridCol w:w="1499"/>
        <w:gridCol w:w="1742"/>
      </w:tblGrid>
      <w:tr w:rsidR="00EC06FD">
        <w:trPr>
          <w:trHeight w:val="525"/>
          <w:jc w:val="center"/>
        </w:trPr>
        <w:tc>
          <w:tcPr>
            <w:tcW w:w="14768" w:type="dxa"/>
            <w:gridSpan w:val="10"/>
            <w:tcBorders>
              <w:top w:val="nil"/>
              <w:left w:val="nil"/>
              <w:right w:val="nil"/>
            </w:tcBorders>
            <w:shd w:val="clear" w:color="auto" w:fill="auto"/>
            <w:vAlign w:val="bottom"/>
          </w:tcPr>
          <w:p w:rsidR="00EC06FD" w:rsidRDefault="00F346DE">
            <w:pPr>
              <w:suppressAutoHyphens/>
              <w:spacing w:after="120" w:line="276" w:lineRule="auto"/>
              <w:jc w:val="both"/>
              <w:rPr>
                <w:b/>
                <w:noProof/>
              </w:rPr>
            </w:pPr>
            <w:r>
              <w:rPr>
                <w:b/>
                <w:noProof/>
              </w:rPr>
              <w:t>Table 12 – Euratom funding and number of projects launched in fission and distribution per specific objective during 2014-2017 (in Euro)</w:t>
            </w:r>
          </w:p>
          <w:p w:rsidR="00EC06FD" w:rsidRDefault="00EC06FD">
            <w:pPr>
              <w:jc w:val="center"/>
              <w:rPr>
                <w:b/>
                <w:noProof/>
              </w:rPr>
            </w:pPr>
          </w:p>
        </w:tc>
      </w:tr>
      <w:tr w:rsidR="00EC06FD">
        <w:trPr>
          <w:trHeight w:val="293"/>
          <w:jc w:val="center"/>
        </w:trPr>
        <w:tc>
          <w:tcPr>
            <w:tcW w:w="1702" w:type="dxa"/>
            <w:vMerge w:val="restart"/>
            <w:tcBorders>
              <w:top w:val="single" w:sz="8" w:space="0" w:color="auto"/>
              <w:left w:val="single" w:sz="8" w:space="0" w:color="auto"/>
              <w:bottom w:val="single" w:sz="8" w:space="0" w:color="000000"/>
              <w:right w:val="single" w:sz="8" w:space="0" w:color="auto"/>
            </w:tcBorders>
            <w:shd w:val="clear" w:color="000000" w:fill="FCD5B4"/>
            <w:vAlign w:val="center"/>
            <w:hideMark/>
          </w:tcPr>
          <w:p w:rsidR="00EC06FD" w:rsidRDefault="00F346DE">
            <w:pPr>
              <w:rPr>
                <w:rFonts w:ascii="Calibri" w:hAnsi="Calibri" w:cs="Arial"/>
                <w:noProof/>
                <w:color w:val="000000"/>
              </w:rPr>
            </w:pPr>
            <w:r>
              <w:rPr>
                <w:rFonts w:ascii="Calibri" w:hAnsi="Calibri" w:cs="Arial"/>
                <w:noProof/>
                <w:color w:val="000000"/>
              </w:rPr>
              <w:t> </w:t>
            </w:r>
          </w:p>
        </w:tc>
        <w:tc>
          <w:tcPr>
            <w:tcW w:w="1775" w:type="dxa"/>
            <w:vMerge w:val="restart"/>
            <w:tcBorders>
              <w:top w:val="single" w:sz="8" w:space="0" w:color="auto"/>
              <w:left w:val="single" w:sz="8" w:space="0" w:color="auto"/>
              <w:bottom w:val="single" w:sz="8" w:space="0" w:color="000000"/>
              <w:right w:val="nil"/>
            </w:tcBorders>
            <w:shd w:val="clear" w:color="000000" w:fill="FCD5B4"/>
            <w:vAlign w:val="center"/>
            <w:hideMark/>
          </w:tcPr>
          <w:p w:rsidR="00EC06FD" w:rsidRDefault="00F346DE">
            <w:pPr>
              <w:rPr>
                <w:rFonts w:ascii="Calibri" w:hAnsi="Calibri" w:cs="Arial"/>
                <w:b/>
                <w:i/>
                <w:iCs/>
                <w:noProof/>
                <w:color w:val="000000"/>
                <w:sz w:val="22"/>
                <w:szCs w:val="22"/>
              </w:rPr>
            </w:pPr>
            <w:r>
              <w:rPr>
                <w:rFonts w:ascii="Calibri" w:hAnsi="Calibri" w:cs="Arial"/>
                <w:b/>
                <w:i/>
                <w:iCs/>
                <w:noProof/>
                <w:color w:val="000000"/>
                <w:sz w:val="22"/>
                <w:szCs w:val="22"/>
              </w:rPr>
              <w:t>Nuclear Safety</w:t>
            </w:r>
          </w:p>
        </w:tc>
        <w:tc>
          <w:tcPr>
            <w:tcW w:w="1621" w:type="dxa"/>
            <w:vMerge w:val="restart"/>
            <w:tcBorders>
              <w:top w:val="single" w:sz="8" w:space="0" w:color="auto"/>
              <w:left w:val="nil"/>
              <w:bottom w:val="single" w:sz="8" w:space="0" w:color="000000"/>
              <w:right w:val="nil"/>
            </w:tcBorders>
            <w:shd w:val="clear" w:color="000000" w:fill="FCD5B4"/>
            <w:vAlign w:val="center"/>
            <w:hideMark/>
          </w:tcPr>
          <w:p w:rsidR="00EC06FD" w:rsidRDefault="00F346DE">
            <w:pPr>
              <w:rPr>
                <w:rFonts w:ascii="Calibri" w:hAnsi="Calibri" w:cs="Arial"/>
                <w:b/>
                <w:i/>
                <w:iCs/>
                <w:noProof/>
                <w:color w:val="000000"/>
                <w:sz w:val="22"/>
                <w:szCs w:val="22"/>
              </w:rPr>
            </w:pPr>
            <w:r>
              <w:rPr>
                <w:rFonts w:ascii="Calibri" w:hAnsi="Calibri" w:cs="Arial"/>
                <w:b/>
                <w:i/>
                <w:iCs/>
                <w:noProof/>
                <w:color w:val="000000"/>
                <w:sz w:val="22"/>
                <w:szCs w:val="22"/>
              </w:rPr>
              <w:t>Waste Management</w:t>
            </w:r>
          </w:p>
        </w:tc>
        <w:tc>
          <w:tcPr>
            <w:tcW w:w="1707" w:type="dxa"/>
            <w:gridSpan w:val="2"/>
            <w:vMerge w:val="restart"/>
            <w:tcBorders>
              <w:top w:val="single" w:sz="8" w:space="0" w:color="auto"/>
              <w:left w:val="nil"/>
              <w:bottom w:val="single" w:sz="8" w:space="0" w:color="000000"/>
              <w:right w:val="nil"/>
            </w:tcBorders>
            <w:shd w:val="clear" w:color="000000" w:fill="FCD5B4"/>
            <w:vAlign w:val="center"/>
            <w:hideMark/>
          </w:tcPr>
          <w:p w:rsidR="00EC06FD" w:rsidRDefault="00F346DE">
            <w:pPr>
              <w:rPr>
                <w:rFonts w:ascii="Calibri" w:hAnsi="Calibri" w:cs="Arial"/>
                <w:b/>
                <w:i/>
                <w:iCs/>
                <w:noProof/>
                <w:color w:val="000000"/>
                <w:sz w:val="22"/>
                <w:szCs w:val="22"/>
              </w:rPr>
            </w:pPr>
            <w:r>
              <w:rPr>
                <w:rFonts w:ascii="Calibri" w:hAnsi="Calibri" w:cs="Arial"/>
                <w:b/>
                <w:i/>
                <w:iCs/>
                <w:noProof/>
                <w:color w:val="000000"/>
                <w:sz w:val="22"/>
                <w:szCs w:val="22"/>
              </w:rPr>
              <w:t>Nuclear expertise and excellence</w:t>
            </w:r>
          </w:p>
        </w:tc>
        <w:tc>
          <w:tcPr>
            <w:tcW w:w="1535" w:type="dxa"/>
            <w:vMerge w:val="restart"/>
            <w:tcBorders>
              <w:top w:val="single" w:sz="8" w:space="0" w:color="auto"/>
              <w:left w:val="nil"/>
              <w:bottom w:val="single" w:sz="8" w:space="0" w:color="000000"/>
              <w:right w:val="nil"/>
            </w:tcBorders>
            <w:shd w:val="clear" w:color="000000" w:fill="FCD5B4"/>
            <w:vAlign w:val="center"/>
            <w:hideMark/>
          </w:tcPr>
          <w:p w:rsidR="00EC06FD" w:rsidRDefault="00F346DE">
            <w:pPr>
              <w:rPr>
                <w:rFonts w:ascii="Calibri" w:hAnsi="Calibri" w:cs="Arial"/>
                <w:b/>
                <w:i/>
                <w:iCs/>
                <w:noProof/>
                <w:color w:val="000000"/>
                <w:sz w:val="22"/>
                <w:szCs w:val="22"/>
              </w:rPr>
            </w:pPr>
            <w:r>
              <w:rPr>
                <w:rFonts w:ascii="Calibri" w:hAnsi="Calibri" w:cs="Arial"/>
                <w:b/>
                <w:i/>
                <w:iCs/>
                <w:noProof/>
                <w:color w:val="000000"/>
                <w:sz w:val="22"/>
                <w:szCs w:val="22"/>
              </w:rPr>
              <w:t xml:space="preserve">Radiation </w:t>
            </w:r>
          </w:p>
          <w:p w:rsidR="00EC06FD" w:rsidRDefault="00F346DE">
            <w:pPr>
              <w:rPr>
                <w:rFonts w:ascii="Calibri" w:hAnsi="Calibri" w:cs="Arial"/>
                <w:b/>
                <w:i/>
                <w:iCs/>
                <w:noProof/>
                <w:color w:val="000000"/>
                <w:sz w:val="22"/>
                <w:szCs w:val="22"/>
              </w:rPr>
            </w:pPr>
            <w:r>
              <w:rPr>
                <w:rFonts w:ascii="Calibri" w:hAnsi="Calibri" w:cs="Arial"/>
                <w:b/>
                <w:i/>
                <w:iCs/>
                <w:noProof/>
                <w:color w:val="000000"/>
                <w:sz w:val="22"/>
                <w:szCs w:val="22"/>
              </w:rPr>
              <w:t>Protection</w:t>
            </w:r>
          </w:p>
        </w:tc>
        <w:tc>
          <w:tcPr>
            <w:tcW w:w="1499" w:type="dxa"/>
            <w:vMerge w:val="restart"/>
            <w:tcBorders>
              <w:top w:val="single" w:sz="8" w:space="0" w:color="auto"/>
              <w:left w:val="nil"/>
              <w:bottom w:val="single" w:sz="8" w:space="0" w:color="000000"/>
              <w:right w:val="nil"/>
            </w:tcBorders>
            <w:shd w:val="clear" w:color="000000" w:fill="FCD5B4"/>
            <w:vAlign w:val="center"/>
            <w:hideMark/>
          </w:tcPr>
          <w:p w:rsidR="00EC06FD" w:rsidRDefault="00F346DE">
            <w:pPr>
              <w:rPr>
                <w:rFonts w:ascii="Calibri" w:hAnsi="Calibri" w:cs="Arial"/>
                <w:b/>
                <w:i/>
                <w:iCs/>
                <w:noProof/>
                <w:color w:val="000000"/>
                <w:sz w:val="22"/>
                <w:szCs w:val="22"/>
              </w:rPr>
            </w:pPr>
            <w:r>
              <w:rPr>
                <w:rFonts w:ascii="Calibri" w:hAnsi="Calibri" w:cs="Arial"/>
                <w:b/>
                <w:i/>
                <w:iCs/>
                <w:noProof/>
                <w:color w:val="000000"/>
                <w:sz w:val="22"/>
                <w:szCs w:val="22"/>
              </w:rPr>
              <w:t>Innovation</w:t>
            </w:r>
          </w:p>
        </w:tc>
        <w:tc>
          <w:tcPr>
            <w:tcW w:w="1688" w:type="dxa"/>
            <w:vMerge w:val="restart"/>
            <w:tcBorders>
              <w:top w:val="single" w:sz="8" w:space="0" w:color="auto"/>
              <w:left w:val="nil"/>
              <w:bottom w:val="single" w:sz="8" w:space="0" w:color="000000"/>
              <w:right w:val="nil"/>
            </w:tcBorders>
            <w:shd w:val="clear" w:color="000000" w:fill="FCD5B4"/>
            <w:vAlign w:val="center"/>
            <w:hideMark/>
          </w:tcPr>
          <w:p w:rsidR="00EC06FD" w:rsidRDefault="00F346DE">
            <w:pPr>
              <w:rPr>
                <w:rFonts w:ascii="Calibri" w:hAnsi="Calibri" w:cs="Arial"/>
                <w:b/>
                <w:i/>
                <w:iCs/>
                <w:noProof/>
                <w:color w:val="000000"/>
                <w:sz w:val="22"/>
                <w:szCs w:val="22"/>
              </w:rPr>
            </w:pPr>
            <w:r>
              <w:rPr>
                <w:rFonts w:ascii="Calibri" w:hAnsi="Calibri" w:cs="Arial"/>
                <w:b/>
                <w:i/>
                <w:iCs/>
                <w:noProof/>
                <w:color w:val="000000"/>
                <w:sz w:val="22"/>
                <w:szCs w:val="22"/>
                <w:lang w:val="es-ES"/>
              </w:rPr>
              <w:t>Infrastructures</w:t>
            </w:r>
          </w:p>
        </w:tc>
        <w:tc>
          <w:tcPr>
            <w:tcW w:w="1499" w:type="dxa"/>
            <w:vMerge w:val="restart"/>
            <w:tcBorders>
              <w:top w:val="single" w:sz="8" w:space="0" w:color="auto"/>
              <w:left w:val="nil"/>
              <w:bottom w:val="single" w:sz="8" w:space="0" w:color="000000"/>
              <w:right w:val="single" w:sz="8" w:space="0" w:color="auto"/>
            </w:tcBorders>
            <w:shd w:val="clear" w:color="000000" w:fill="FCD5B4"/>
            <w:vAlign w:val="center"/>
            <w:hideMark/>
          </w:tcPr>
          <w:p w:rsidR="00EC06FD" w:rsidRDefault="00F346DE">
            <w:pPr>
              <w:rPr>
                <w:rFonts w:ascii="Calibri" w:hAnsi="Calibri" w:cs="Arial"/>
                <w:b/>
                <w:i/>
                <w:iCs/>
                <w:noProof/>
                <w:color w:val="000000"/>
                <w:sz w:val="22"/>
                <w:szCs w:val="22"/>
              </w:rPr>
            </w:pPr>
            <w:r>
              <w:rPr>
                <w:rFonts w:ascii="Calibri" w:hAnsi="Calibri" w:cs="Arial"/>
                <w:b/>
                <w:i/>
                <w:iCs/>
                <w:noProof/>
                <w:color w:val="000000"/>
                <w:sz w:val="22"/>
                <w:szCs w:val="22"/>
              </w:rPr>
              <w:t>Social aspects</w:t>
            </w:r>
          </w:p>
        </w:tc>
        <w:tc>
          <w:tcPr>
            <w:tcW w:w="1742" w:type="dxa"/>
            <w:vMerge w:val="restart"/>
            <w:tcBorders>
              <w:top w:val="single" w:sz="8" w:space="0" w:color="auto"/>
              <w:left w:val="single" w:sz="8" w:space="0" w:color="auto"/>
              <w:bottom w:val="single" w:sz="8" w:space="0" w:color="000000"/>
              <w:right w:val="single" w:sz="8" w:space="0" w:color="auto"/>
            </w:tcBorders>
            <w:shd w:val="clear" w:color="000000" w:fill="FCD5B4"/>
            <w:vAlign w:val="center"/>
            <w:hideMark/>
          </w:tcPr>
          <w:p w:rsidR="00EC06FD" w:rsidRDefault="00F346DE">
            <w:pPr>
              <w:jc w:val="center"/>
              <w:rPr>
                <w:rFonts w:ascii="Calibri" w:hAnsi="Calibri" w:cs="Arial"/>
                <w:b/>
                <w:bCs/>
                <w:noProof/>
                <w:color w:val="000000"/>
                <w:sz w:val="22"/>
                <w:szCs w:val="22"/>
              </w:rPr>
            </w:pPr>
            <w:r>
              <w:rPr>
                <w:rFonts w:ascii="Calibri" w:hAnsi="Calibri" w:cs="Arial"/>
                <w:b/>
                <w:bCs/>
                <w:noProof/>
                <w:color w:val="000000"/>
                <w:sz w:val="22"/>
                <w:szCs w:val="22"/>
              </w:rPr>
              <w:t>Total</w:t>
            </w:r>
          </w:p>
        </w:tc>
      </w:tr>
      <w:tr w:rsidR="00EC06FD">
        <w:trPr>
          <w:trHeight w:val="293"/>
          <w:jc w:val="center"/>
        </w:trPr>
        <w:tc>
          <w:tcPr>
            <w:tcW w:w="1702" w:type="dxa"/>
            <w:vMerge/>
            <w:tcBorders>
              <w:top w:val="single" w:sz="8" w:space="0" w:color="auto"/>
              <w:left w:val="single" w:sz="8" w:space="0" w:color="auto"/>
              <w:bottom w:val="single" w:sz="8" w:space="0" w:color="000000"/>
              <w:right w:val="single" w:sz="8" w:space="0" w:color="auto"/>
            </w:tcBorders>
            <w:shd w:val="clear" w:color="000000" w:fill="FCD5B4"/>
            <w:vAlign w:val="center"/>
          </w:tcPr>
          <w:p w:rsidR="00EC06FD" w:rsidRDefault="00EC06FD">
            <w:pPr>
              <w:rPr>
                <w:rFonts w:ascii="Calibri" w:hAnsi="Calibri" w:cs="Arial"/>
                <w:noProof/>
                <w:color w:val="000000"/>
              </w:rPr>
            </w:pPr>
          </w:p>
        </w:tc>
        <w:tc>
          <w:tcPr>
            <w:tcW w:w="1775" w:type="dxa"/>
            <w:vMerge/>
            <w:tcBorders>
              <w:top w:val="single" w:sz="8" w:space="0" w:color="auto"/>
              <w:left w:val="single" w:sz="8" w:space="0" w:color="auto"/>
              <w:bottom w:val="single" w:sz="8" w:space="0" w:color="000000"/>
              <w:right w:val="nil"/>
            </w:tcBorders>
            <w:shd w:val="clear" w:color="000000" w:fill="FCD5B4"/>
            <w:vAlign w:val="center"/>
          </w:tcPr>
          <w:p w:rsidR="00EC06FD" w:rsidRDefault="00EC06FD">
            <w:pPr>
              <w:rPr>
                <w:rFonts w:ascii="Calibri" w:hAnsi="Calibri" w:cs="Arial"/>
                <w:b/>
                <w:i/>
                <w:iCs/>
                <w:noProof/>
                <w:color w:val="000000"/>
              </w:rPr>
            </w:pPr>
          </w:p>
        </w:tc>
        <w:tc>
          <w:tcPr>
            <w:tcW w:w="1621" w:type="dxa"/>
            <w:vMerge/>
            <w:tcBorders>
              <w:top w:val="single" w:sz="8" w:space="0" w:color="auto"/>
              <w:left w:val="nil"/>
              <w:bottom w:val="single" w:sz="8" w:space="0" w:color="000000"/>
              <w:right w:val="nil"/>
            </w:tcBorders>
            <w:shd w:val="clear" w:color="000000" w:fill="FCD5B4"/>
            <w:vAlign w:val="center"/>
          </w:tcPr>
          <w:p w:rsidR="00EC06FD" w:rsidRDefault="00EC06FD">
            <w:pPr>
              <w:rPr>
                <w:rFonts w:ascii="Calibri" w:hAnsi="Calibri" w:cs="Arial"/>
                <w:b/>
                <w:i/>
                <w:iCs/>
                <w:noProof/>
                <w:color w:val="000000"/>
              </w:rPr>
            </w:pPr>
          </w:p>
        </w:tc>
        <w:tc>
          <w:tcPr>
            <w:tcW w:w="1707" w:type="dxa"/>
            <w:gridSpan w:val="2"/>
            <w:vMerge/>
            <w:tcBorders>
              <w:top w:val="single" w:sz="8" w:space="0" w:color="auto"/>
              <w:left w:val="nil"/>
              <w:bottom w:val="single" w:sz="8" w:space="0" w:color="000000"/>
              <w:right w:val="nil"/>
            </w:tcBorders>
            <w:shd w:val="clear" w:color="000000" w:fill="FCD5B4"/>
            <w:vAlign w:val="center"/>
          </w:tcPr>
          <w:p w:rsidR="00EC06FD" w:rsidRDefault="00EC06FD">
            <w:pPr>
              <w:rPr>
                <w:rFonts w:ascii="Calibri" w:hAnsi="Calibri" w:cs="Arial"/>
                <w:b/>
                <w:i/>
                <w:iCs/>
                <w:noProof/>
                <w:color w:val="000000"/>
              </w:rPr>
            </w:pPr>
          </w:p>
        </w:tc>
        <w:tc>
          <w:tcPr>
            <w:tcW w:w="1535" w:type="dxa"/>
            <w:vMerge/>
            <w:tcBorders>
              <w:top w:val="single" w:sz="8" w:space="0" w:color="auto"/>
              <w:left w:val="nil"/>
              <w:bottom w:val="single" w:sz="8" w:space="0" w:color="000000"/>
              <w:right w:val="nil"/>
            </w:tcBorders>
            <w:shd w:val="clear" w:color="000000" w:fill="FCD5B4"/>
            <w:vAlign w:val="center"/>
          </w:tcPr>
          <w:p w:rsidR="00EC06FD" w:rsidRDefault="00EC06FD">
            <w:pPr>
              <w:rPr>
                <w:rFonts w:ascii="Calibri" w:hAnsi="Calibri" w:cs="Arial"/>
                <w:b/>
                <w:i/>
                <w:iCs/>
                <w:noProof/>
                <w:color w:val="000000"/>
              </w:rPr>
            </w:pPr>
          </w:p>
        </w:tc>
        <w:tc>
          <w:tcPr>
            <w:tcW w:w="1499" w:type="dxa"/>
            <w:vMerge/>
            <w:tcBorders>
              <w:top w:val="single" w:sz="8" w:space="0" w:color="auto"/>
              <w:left w:val="nil"/>
              <w:bottom w:val="single" w:sz="8" w:space="0" w:color="000000"/>
              <w:right w:val="nil"/>
            </w:tcBorders>
            <w:shd w:val="clear" w:color="000000" w:fill="FCD5B4"/>
            <w:vAlign w:val="center"/>
          </w:tcPr>
          <w:p w:rsidR="00EC06FD" w:rsidRDefault="00EC06FD">
            <w:pPr>
              <w:rPr>
                <w:rFonts w:ascii="Calibri" w:hAnsi="Calibri" w:cs="Arial"/>
                <w:b/>
                <w:i/>
                <w:iCs/>
                <w:noProof/>
                <w:color w:val="000000"/>
              </w:rPr>
            </w:pPr>
          </w:p>
        </w:tc>
        <w:tc>
          <w:tcPr>
            <w:tcW w:w="1688" w:type="dxa"/>
            <w:vMerge/>
            <w:tcBorders>
              <w:top w:val="single" w:sz="8" w:space="0" w:color="auto"/>
              <w:left w:val="nil"/>
              <w:bottom w:val="single" w:sz="8" w:space="0" w:color="000000"/>
              <w:right w:val="nil"/>
            </w:tcBorders>
            <w:shd w:val="clear" w:color="000000" w:fill="FCD5B4"/>
            <w:vAlign w:val="center"/>
          </w:tcPr>
          <w:p w:rsidR="00EC06FD" w:rsidRDefault="00EC06FD">
            <w:pPr>
              <w:rPr>
                <w:rFonts w:ascii="Calibri" w:hAnsi="Calibri" w:cs="Arial"/>
                <w:b/>
                <w:i/>
                <w:iCs/>
                <w:noProof/>
                <w:color w:val="000000"/>
                <w:lang w:val="es-ES"/>
              </w:rPr>
            </w:pPr>
          </w:p>
        </w:tc>
        <w:tc>
          <w:tcPr>
            <w:tcW w:w="1499" w:type="dxa"/>
            <w:vMerge/>
            <w:tcBorders>
              <w:top w:val="single" w:sz="8" w:space="0" w:color="auto"/>
              <w:left w:val="nil"/>
              <w:bottom w:val="single" w:sz="8" w:space="0" w:color="000000"/>
              <w:right w:val="single" w:sz="8" w:space="0" w:color="auto"/>
            </w:tcBorders>
            <w:shd w:val="clear" w:color="000000" w:fill="FCD5B4"/>
            <w:vAlign w:val="center"/>
          </w:tcPr>
          <w:p w:rsidR="00EC06FD" w:rsidRDefault="00EC06FD">
            <w:pPr>
              <w:rPr>
                <w:rFonts w:ascii="Calibri" w:hAnsi="Calibri" w:cs="Arial"/>
                <w:b/>
                <w:i/>
                <w:iCs/>
                <w:noProof/>
                <w:color w:val="000000"/>
              </w:rPr>
            </w:pPr>
          </w:p>
        </w:tc>
        <w:tc>
          <w:tcPr>
            <w:tcW w:w="1742" w:type="dxa"/>
            <w:vMerge/>
            <w:tcBorders>
              <w:top w:val="single" w:sz="8" w:space="0" w:color="auto"/>
              <w:left w:val="single" w:sz="8" w:space="0" w:color="auto"/>
              <w:bottom w:val="single" w:sz="8" w:space="0" w:color="000000"/>
              <w:right w:val="single" w:sz="8" w:space="0" w:color="auto"/>
            </w:tcBorders>
            <w:shd w:val="clear" w:color="000000" w:fill="FCD5B4"/>
            <w:vAlign w:val="center"/>
          </w:tcPr>
          <w:p w:rsidR="00EC06FD" w:rsidRDefault="00EC06FD">
            <w:pPr>
              <w:jc w:val="center"/>
              <w:rPr>
                <w:rFonts w:ascii="Calibri" w:hAnsi="Calibri" w:cs="Arial"/>
                <w:b/>
                <w:bCs/>
                <w:noProof/>
                <w:color w:val="000000"/>
              </w:rPr>
            </w:pPr>
          </w:p>
        </w:tc>
      </w:tr>
      <w:tr w:rsidR="00EC06FD">
        <w:trPr>
          <w:trHeight w:val="293"/>
          <w:jc w:val="center"/>
        </w:trPr>
        <w:tc>
          <w:tcPr>
            <w:tcW w:w="1702" w:type="dxa"/>
            <w:vMerge/>
            <w:tcBorders>
              <w:top w:val="single" w:sz="8" w:space="0" w:color="auto"/>
              <w:left w:val="single" w:sz="8" w:space="0" w:color="auto"/>
              <w:bottom w:val="single" w:sz="8" w:space="0" w:color="000000"/>
              <w:right w:val="single" w:sz="8" w:space="0" w:color="auto"/>
            </w:tcBorders>
            <w:vAlign w:val="center"/>
            <w:hideMark/>
          </w:tcPr>
          <w:p w:rsidR="00EC06FD" w:rsidRDefault="00EC06FD">
            <w:pPr>
              <w:rPr>
                <w:rFonts w:ascii="Calibri" w:hAnsi="Calibri" w:cs="Arial"/>
                <w:noProof/>
                <w:color w:val="000000"/>
              </w:rPr>
            </w:pPr>
          </w:p>
        </w:tc>
        <w:tc>
          <w:tcPr>
            <w:tcW w:w="1775" w:type="dxa"/>
            <w:vMerge/>
            <w:tcBorders>
              <w:top w:val="single" w:sz="8" w:space="0" w:color="auto"/>
              <w:left w:val="single" w:sz="8" w:space="0" w:color="auto"/>
              <w:bottom w:val="single" w:sz="8" w:space="0" w:color="000000"/>
              <w:right w:val="nil"/>
            </w:tcBorders>
            <w:vAlign w:val="center"/>
            <w:hideMark/>
          </w:tcPr>
          <w:p w:rsidR="00EC06FD" w:rsidRDefault="00EC06FD">
            <w:pPr>
              <w:rPr>
                <w:rFonts w:ascii="Calibri" w:hAnsi="Calibri" w:cs="Arial"/>
                <w:i/>
                <w:iCs/>
                <w:noProof/>
                <w:color w:val="000000"/>
              </w:rPr>
            </w:pPr>
          </w:p>
        </w:tc>
        <w:tc>
          <w:tcPr>
            <w:tcW w:w="1621" w:type="dxa"/>
            <w:vMerge/>
            <w:tcBorders>
              <w:top w:val="single" w:sz="8" w:space="0" w:color="auto"/>
              <w:left w:val="nil"/>
              <w:bottom w:val="single" w:sz="8" w:space="0" w:color="000000"/>
              <w:right w:val="nil"/>
            </w:tcBorders>
            <w:vAlign w:val="center"/>
            <w:hideMark/>
          </w:tcPr>
          <w:p w:rsidR="00EC06FD" w:rsidRDefault="00EC06FD">
            <w:pPr>
              <w:rPr>
                <w:rFonts w:ascii="Calibri" w:hAnsi="Calibri" w:cs="Arial"/>
                <w:i/>
                <w:iCs/>
                <w:noProof/>
                <w:color w:val="000000"/>
              </w:rPr>
            </w:pPr>
          </w:p>
        </w:tc>
        <w:tc>
          <w:tcPr>
            <w:tcW w:w="1707" w:type="dxa"/>
            <w:gridSpan w:val="2"/>
            <w:vMerge/>
            <w:tcBorders>
              <w:top w:val="single" w:sz="8" w:space="0" w:color="auto"/>
              <w:left w:val="nil"/>
              <w:bottom w:val="single" w:sz="8" w:space="0" w:color="000000"/>
              <w:right w:val="nil"/>
            </w:tcBorders>
            <w:vAlign w:val="center"/>
            <w:hideMark/>
          </w:tcPr>
          <w:p w:rsidR="00EC06FD" w:rsidRDefault="00EC06FD">
            <w:pPr>
              <w:rPr>
                <w:rFonts w:ascii="Calibri" w:hAnsi="Calibri" w:cs="Arial"/>
                <w:i/>
                <w:iCs/>
                <w:noProof/>
                <w:color w:val="000000"/>
              </w:rPr>
            </w:pPr>
          </w:p>
        </w:tc>
        <w:tc>
          <w:tcPr>
            <w:tcW w:w="1535" w:type="dxa"/>
            <w:vMerge/>
            <w:tcBorders>
              <w:top w:val="single" w:sz="8" w:space="0" w:color="auto"/>
              <w:left w:val="nil"/>
              <w:bottom w:val="single" w:sz="8" w:space="0" w:color="000000"/>
              <w:right w:val="nil"/>
            </w:tcBorders>
            <w:vAlign w:val="center"/>
            <w:hideMark/>
          </w:tcPr>
          <w:p w:rsidR="00EC06FD" w:rsidRDefault="00EC06FD">
            <w:pPr>
              <w:rPr>
                <w:rFonts w:ascii="Calibri" w:hAnsi="Calibri" w:cs="Arial"/>
                <w:i/>
                <w:iCs/>
                <w:noProof/>
                <w:color w:val="000000"/>
              </w:rPr>
            </w:pPr>
          </w:p>
        </w:tc>
        <w:tc>
          <w:tcPr>
            <w:tcW w:w="1499" w:type="dxa"/>
            <w:vMerge/>
            <w:tcBorders>
              <w:top w:val="single" w:sz="8" w:space="0" w:color="auto"/>
              <w:left w:val="nil"/>
              <w:bottom w:val="single" w:sz="8" w:space="0" w:color="000000"/>
              <w:right w:val="nil"/>
            </w:tcBorders>
            <w:vAlign w:val="center"/>
            <w:hideMark/>
          </w:tcPr>
          <w:p w:rsidR="00EC06FD" w:rsidRDefault="00EC06FD">
            <w:pPr>
              <w:rPr>
                <w:rFonts w:ascii="Calibri" w:hAnsi="Calibri" w:cs="Arial"/>
                <w:i/>
                <w:iCs/>
                <w:noProof/>
                <w:color w:val="000000"/>
              </w:rPr>
            </w:pPr>
          </w:p>
        </w:tc>
        <w:tc>
          <w:tcPr>
            <w:tcW w:w="1688" w:type="dxa"/>
            <w:vMerge/>
            <w:tcBorders>
              <w:top w:val="single" w:sz="8" w:space="0" w:color="auto"/>
              <w:left w:val="nil"/>
              <w:bottom w:val="single" w:sz="8" w:space="0" w:color="000000"/>
              <w:right w:val="nil"/>
            </w:tcBorders>
            <w:vAlign w:val="center"/>
            <w:hideMark/>
          </w:tcPr>
          <w:p w:rsidR="00EC06FD" w:rsidRDefault="00EC06FD">
            <w:pPr>
              <w:rPr>
                <w:rFonts w:ascii="Calibri" w:hAnsi="Calibri" w:cs="Arial"/>
                <w:i/>
                <w:iCs/>
                <w:noProof/>
                <w:color w:val="000000"/>
              </w:rPr>
            </w:pPr>
          </w:p>
        </w:tc>
        <w:tc>
          <w:tcPr>
            <w:tcW w:w="1499" w:type="dxa"/>
            <w:vMerge/>
            <w:tcBorders>
              <w:top w:val="single" w:sz="8" w:space="0" w:color="auto"/>
              <w:left w:val="nil"/>
              <w:bottom w:val="single" w:sz="8" w:space="0" w:color="000000"/>
              <w:right w:val="single" w:sz="8" w:space="0" w:color="auto"/>
            </w:tcBorders>
            <w:vAlign w:val="center"/>
            <w:hideMark/>
          </w:tcPr>
          <w:p w:rsidR="00EC06FD" w:rsidRDefault="00EC06FD">
            <w:pPr>
              <w:rPr>
                <w:rFonts w:ascii="Calibri" w:hAnsi="Calibri" w:cs="Arial"/>
                <w:i/>
                <w:iCs/>
                <w:noProof/>
                <w:color w:val="000000"/>
              </w:rPr>
            </w:pPr>
          </w:p>
        </w:tc>
        <w:tc>
          <w:tcPr>
            <w:tcW w:w="1742" w:type="dxa"/>
            <w:vMerge/>
            <w:tcBorders>
              <w:top w:val="single" w:sz="8" w:space="0" w:color="auto"/>
              <w:left w:val="single" w:sz="8" w:space="0" w:color="auto"/>
              <w:bottom w:val="single" w:sz="8" w:space="0" w:color="000000"/>
              <w:right w:val="single" w:sz="8" w:space="0" w:color="auto"/>
            </w:tcBorders>
            <w:vAlign w:val="center"/>
            <w:hideMark/>
          </w:tcPr>
          <w:p w:rsidR="00EC06FD" w:rsidRDefault="00EC06FD">
            <w:pPr>
              <w:rPr>
                <w:rFonts w:ascii="Calibri" w:hAnsi="Calibri" w:cs="Arial"/>
                <w:b/>
                <w:bCs/>
                <w:noProof/>
                <w:color w:val="000000"/>
              </w:rPr>
            </w:pPr>
          </w:p>
        </w:tc>
      </w:tr>
      <w:tr w:rsidR="00EC06FD">
        <w:trPr>
          <w:trHeight w:val="255"/>
          <w:jc w:val="center"/>
        </w:trPr>
        <w:tc>
          <w:tcPr>
            <w:tcW w:w="14768" w:type="dxa"/>
            <w:gridSpan w:val="10"/>
            <w:tcBorders>
              <w:top w:val="single" w:sz="8" w:space="0" w:color="000000"/>
              <w:left w:val="single" w:sz="8" w:space="0" w:color="auto"/>
              <w:bottom w:val="single" w:sz="4" w:space="0" w:color="auto"/>
              <w:right w:val="single" w:sz="8" w:space="0" w:color="auto"/>
            </w:tcBorders>
            <w:shd w:val="clear" w:color="000000" w:fill="D9D9D9" w:themeFill="background1" w:themeFillShade="D9"/>
            <w:vAlign w:val="center"/>
          </w:tcPr>
          <w:p w:rsidR="00EC06FD" w:rsidRDefault="00F346DE">
            <w:pPr>
              <w:jc w:val="center"/>
              <w:rPr>
                <w:rFonts w:ascii="Calibri" w:hAnsi="Calibri" w:cs="Arial"/>
                <w:b/>
                <w:noProof/>
                <w:color w:val="000000"/>
                <w:sz w:val="22"/>
                <w:szCs w:val="22"/>
              </w:rPr>
            </w:pPr>
            <w:r>
              <w:rPr>
                <w:rFonts w:ascii="Calibri" w:hAnsi="Calibri" w:cs="Arial"/>
                <w:b/>
                <w:noProof/>
                <w:color w:val="000000"/>
                <w:sz w:val="22"/>
                <w:szCs w:val="22"/>
              </w:rPr>
              <w:t>Work Programme 2014-2015</w:t>
            </w:r>
          </w:p>
        </w:tc>
      </w:tr>
      <w:tr w:rsidR="00EC06FD">
        <w:trPr>
          <w:trHeight w:val="255"/>
          <w:jc w:val="center"/>
        </w:trPr>
        <w:tc>
          <w:tcPr>
            <w:tcW w:w="1702" w:type="dxa"/>
            <w:vMerge w:val="restart"/>
            <w:tcBorders>
              <w:top w:val="single" w:sz="4" w:space="0" w:color="auto"/>
              <w:left w:val="single" w:sz="8" w:space="0" w:color="auto"/>
              <w:right w:val="nil"/>
            </w:tcBorders>
            <w:shd w:val="clear" w:color="000000" w:fill="FFFFFF"/>
            <w:tcMar>
              <w:left w:w="57" w:type="dxa"/>
              <w:right w:w="57" w:type="dxa"/>
            </w:tcMar>
            <w:vAlign w:val="center"/>
            <w:hideMark/>
          </w:tcPr>
          <w:p w:rsidR="00EC06FD" w:rsidRDefault="00F346DE">
            <w:pPr>
              <w:rPr>
                <w:rFonts w:ascii="Calibri" w:hAnsi="Calibri" w:cs="Arial"/>
                <w:b/>
                <w:bCs/>
                <w:noProof/>
                <w:color w:val="000000"/>
                <w:sz w:val="22"/>
                <w:szCs w:val="22"/>
              </w:rPr>
            </w:pPr>
            <w:r>
              <w:rPr>
                <w:rFonts w:ascii="Calibri" w:hAnsi="Calibri" w:cs="Arial"/>
                <w:b/>
                <w:bCs/>
                <w:noProof/>
                <w:color w:val="000000"/>
                <w:sz w:val="22"/>
                <w:szCs w:val="22"/>
              </w:rPr>
              <w:t xml:space="preserve">Projects </w:t>
            </w:r>
          </w:p>
        </w:tc>
        <w:tc>
          <w:tcPr>
            <w:tcW w:w="1775" w:type="dxa"/>
            <w:tcBorders>
              <w:top w:val="single" w:sz="4" w:space="0" w:color="auto"/>
              <w:left w:val="single" w:sz="8" w:space="0" w:color="auto"/>
              <w:bottom w:val="nil"/>
              <w:right w:val="nil"/>
            </w:tcBorders>
            <w:shd w:val="clear" w:color="auto" w:fill="auto"/>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35,046,832.86</w:t>
            </w:r>
          </w:p>
        </w:tc>
        <w:tc>
          <w:tcPr>
            <w:tcW w:w="1621" w:type="dxa"/>
            <w:tcBorders>
              <w:top w:val="single" w:sz="4" w:space="0" w:color="auto"/>
              <w:left w:val="nil"/>
              <w:bottom w:val="nil"/>
              <w:right w:val="nil"/>
            </w:tcBorders>
            <w:shd w:val="clear" w:color="auto" w:fill="auto"/>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16,303,167.25</w:t>
            </w:r>
          </w:p>
        </w:tc>
        <w:tc>
          <w:tcPr>
            <w:tcW w:w="1621" w:type="dxa"/>
            <w:tcBorders>
              <w:top w:val="single" w:sz="4" w:space="0" w:color="auto"/>
              <w:left w:val="nil"/>
              <w:bottom w:val="nil"/>
              <w:right w:val="nil"/>
            </w:tcBorders>
            <w:shd w:val="clear" w:color="auto" w:fill="auto"/>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3,552,269.00</w:t>
            </w:r>
          </w:p>
        </w:tc>
        <w:tc>
          <w:tcPr>
            <w:tcW w:w="1621" w:type="dxa"/>
            <w:gridSpan w:val="2"/>
            <w:tcBorders>
              <w:top w:val="single" w:sz="4" w:space="0" w:color="auto"/>
              <w:left w:val="nil"/>
              <w:bottom w:val="nil"/>
              <w:right w:val="nil"/>
            </w:tcBorders>
            <w:shd w:val="clear" w:color="auto" w:fill="auto"/>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19,822,878.00</w:t>
            </w:r>
          </w:p>
        </w:tc>
        <w:tc>
          <w:tcPr>
            <w:tcW w:w="1499" w:type="dxa"/>
            <w:vMerge w:val="restart"/>
            <w:tcBorders>
              <w:top w:val="single" w:sz="4" w:space="0" w:color="auto"/>
              <w:left w:val="nil"/>
              <w:bottom w:val="single" w:sz="8" w:space="0" w:color="000000"/>
              <w:right w:val="nil"/>
            </w:tcBorders>
            <w:shd w:val="clear" w:color="auto" w:fill="auto"/>
            <w:vAlign w:val="center"/>
            <w:hideMark/>
          </w:tcPr>
          <w:p w:rsidR="00EC06FD" w:rsidRDefault="00F346DE">
            <w:pPr>
              <w:ind w:left="-108" w:firstLine="108"/>
              <w:jc w:val="center"/>
              <w:rPr>
                <w:rFonts w:ascii="Calibri" w:hAnsi="Calibri" w:cs="Arial"/>
                <w:noProof/>
                <w:color w:val="000000"/>
                <w:sz w:val="22"/>
                <w:szCs w:val="22"/>
              </w:rPr>
            </w:pPr>
            <w:r>
              <w:rPr>
                <w:rFonts w:ascii="Calibri" w:hAnsi="Calibri" w:cs="Arial"/>
                <w:noProof/>
                <w:color w:val="000000"/>
                <w:sz w:val="22"/>
                <w:szCs w:val="22"/>
              </w:rPr>
              <w:t>-</w:t>
            </w:r>
          </w:p>
        </w:tc>
        <w:tc>
          <w:tcPr>
            <w:tcW w:w="1688" w:type="dxa"/>
            <w:tcBorders>
              <w:top w:val="single" w:sz="4" w:space="0" w:color="auto"/>
              <w:left w:val="nil"/>
              <w:bottom w:val="nil"/>
              <w:right w:val="nil"/>
            </w:tcBorders>
            <w:shd w:val="clear" w:color="auto" w:fill="auto"/>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10,087,286.00</w:t>
            </w:r>
          </w:p>
        </w:tc>
        <w:tc>
          <w:tcPr>
            <w:tcW w:w="1499" w:type="dxa"/>
            <w:tcBorders>
              <w:top w:val="single" w:sz="4" w:space="0" w:color="auto"/>
              <w:left w:val="nil"/>
              <w:bottom w:val="nil"/>
              <w:right w:val="nil"/>
            </w:tcBorders>
            <w:shd w:val="clear" w:color="auto" w:fill="auto"/>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5,331,899.00</w:t>
            </w:r>
          </w:p>
        </w:tc>
        <w:tc>
          <w:tcPr>
            <w:tcW w:w="1742" w:type="dxa"/>
            <w:tcBorders>
              <w:top w:val="single" w:sz="4" w:space="0" w:color="auto"/>
              <w:left w:val="single" w:sz="8" w:space="0" w:color="auto"/>
              <w:bottom w:val="nil"/>
              <w:right w:val="single" w:sz="8" w:space="0" w:color="auto"/>
            </w:tcBorders>
            <w:shd w:val="clear" w:color="auto" w:fill="auto"/>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90,144,332.11</w:t>
            </w:r>
          </w:p>
        </w:tc>
      </w:tr>
      <w:tr w:rsidR="00EC06FD">
        <w:trPr>
          <w:trHeight w:val="270"/>
          <w:jc w:val="center"/>
        </w:trPr>
        <w:tc>
          <w:tcPr>
            <w:tcW w:w="1702" w:type="dxa"/>
            <w:vMerge/>
            <w:tcBorders>
              <w:left w:val="single" w:sz="8" w:space="0" w:color="auto"/>
              <w:bottom w:val="single" w:sz="8" w:space="0" w:color="auto"/>
              <w:right w:val="nil"/>
            </w:tcBorders>
            <w:shd w:val="clear" w:color="000000" w:fill="FFFFFF"/>
            <w:tcMar>
              <w:left w:w="57" w:type="dxa"/>
              <w:right w:w="57" w:type="dxa"/>
            </w:tcMar>
            <w:vAlign w:val="center"/>
            <w:hideMark/>
          </w:tcPr>
          <w:p w:rsidR="00EC06FD" w:rsidRDefault="00EC06FD">
            <w:pPr>
              <w:rPr>
                <w:rFonts w:ascii="Calibri" w:hAnsi="Calibri" w:cs="Arial"/>
                <w:b/>
                <w:bCs/>
                <w:noProof/>
                <w:color w:val="000000"/>
                <w:sz w:val="22"/>
                <w:szCs w:val="22"/>
              </w:rPr>
            </w:pPr>
          </w:p>
        </w:tc>
        <w:tc>
          <w:tcPr>
            <w:tcW w:w="1775" w:type="dxa"/>
            <w:tcBorders>
              <w:top w:val="nil"/>
              <w:left w:val="single" w:sz="8" w:space="0" w:color="auto"/>
              <w:bottom w:val="single" w:sz="8" w:space="0" w:color="auto"/>
              <w:right w:val="nil"/>
            </w:tcBorders>
            <w:shd w:val="clear" w:color="auto" w:fill="auto"/>
            <w:vAlign w:val="center"/>
            <w:hideMark/>
          </w:tcPr>
          <w:p w:rsidR="00EC06FD" w:rsidRDefault="00F346DE">
            <w:pPr>
              <w:jc w:val="center"/>
              <w:rPr>
                <w:rFonts w:ascii="Calibri" w:hAnsi="Calibri" w:cs="Arial"/>
                <w:b/>
                <w:noProof/>
                <w:color w:val="000000"/>
                <w:sz w:val="22"/>
                <w:szCs w:val="22"/>
              </w:rPr>
            </w:pPr>
            <w:r>
              <w:rPr>
                <w:rFonts w:ascii="Calibri" w:hAnsi="Calibri" w:cs="Arial"/>
                <w:b/>
                <w:noProof/>
                <w:color w:val="000000"/>
                <w:sz w:val="22"/>
                <w:szCs w:val="22"/>
              </w:rPr>
              <w:t xml:space="preserve"> 9 projects</w:t>
            </w:r>
          </w:p>
        </w:tc>
        <w:tc>
          <w:tcPr>
            <w:tcW w:w="1621" w:type="dxa"/>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noProof/>
                <w:color w:val="000000"/>
                <w:sz w:val="22"/>
                <w:szCs w:val="22"/>
              </w:rPr>
            </w:pPr>
            <w:r>
              <w:rPr>
                <w:rFonts w:ascii="Calibri" w:hAnsi="Calibri" w:cs="Arial"/>
                <w:b/>
                <w:noProof/>
                <w:color w:val="000000"/>
                <w:sz w:val="22"/>
                <w:szCs w:val="22"/>
              </w:rPr>
              <w:t>5 projects</w:t>
            </w:r>
          </w:p>
        </w:tc>
        <w:tc>
          <w:tcPr>
            <w:tcW w:w="1621" w:type="dxa"/>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noProof/>
                <w:color w:val="000000"/>
                <w:sz w:val="22"/>
                <w:szCs w:val="22"/>
              </w:rPr>
            </w:pPr>
            <w:r>
              <w:rPr>
                <w:rFonts w:ascii="Calibri" w:hAnsi="Calibri" w:cs="Arial"/>
                <w:b/>
                <w:noProof/>
                <w:color w:val="000000"/>
                <w:sz w:val="22"/>
                <w:szCs w:val="22"/>
              </w:rPr>
              <w:t>2 projects</w:t>
            </w:r>
          </w:p>
        </w:tc>
        <w:tc>
          <w:tcPr>
            <w:tcW w:w="1621" w:type="dxa"/>
            <w:gridSpan w:val="2"/>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noProof/>
                <w:color w:val="000000"/>
                <w:sz w:val="22"/>
                <w:szCs w:val="22"/>
              </w:rPr>
            </w:pPr>
            <w:r>
              <w:rPr>
                <w:rFonts w:ascii="Calibri" w:hAnsi="Calibri" w:cs="Arial"/>
                <w:b/>
                <w:noProof/>
                <w:color w:val="000000"/>
                <w:sz w:val="22"/>
                <w:szCs w:val="22"/>
              </w:rPr>
              <w:t>1 project (EJP)</w:t>
            </w:r>
          </w:p>
        </w:tc>
        <w:tc>
          <w:tcPr>
            <w:tcW w:w="1499" w:type="dxa"/>
            <w:vMerge/>
            <w:tcBorders>
              <w:top w:val="nil"/>
              <w:left w:val="nil"/>
              <w:bottom w:val="single" w:sz="8" w:space="0" w:color="000000"/>
              <w:right w:val="nil"/>
            </w:tcBorders>
            <w:vAlign w:val="center"/>
            <w:hideMark/>
          </w:tcPr>
          <w:p w:rsidR="00EC06FD" w:rsidRDefault="00EC06FD">
            <w:pPr>
              <w:rPr>
                <w:rFonts w:ascii="Calibri" w:hAnsi="Calibri" w:cs="Arial"/>
                <w:b/>
                <w:noProof/>
                <w:color w:val="000000"/>
                <w:sz w:val="22"/>
                <w:szCs w:val="22"/>
              </w:rPr>
            </w:pPr>
          </w:p>
        </w:tc>
        <w:tc>
          <w:tcPr>
            <w:tcW w:w="1688" w:type="dxa"/>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noProof/>
                <w:color w:val="000000"/>
                <w:sz w:val="22"/>
                <w:szCs w:val="22"/>
              </w:rPr>
            </w:pPr>
            <w:r>
              <w:rPr>
                <w:rFonts w:ascii="Calibri" w:hAnsi="Calibri" w:cs="Arial"/>
                <w:b/>
                <w:noProof/>
                <w:color w:val="000000"/>
                <w:sz w:val="22"/>
                <w:szCs w:val="22"/>
              </w:rPr>
              <w:t>2 projects</w:t>
            </w:r>
          </w:p>
        </w:tc>
        <w:tc>
          <w:tcPr>
            <w:tcW w:w="1499" w:type="dxa"/>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noProof/>
                <w:color w:val="000000"/>
                <w:sz w:val="22"/>
                <w:szCs w:val="22"/>
              </w:rPr>
            </w:pPr>
            <w:r>
              <w:rPr>
                <w:rFonts w:ascii="Calibri" w:hAnsi="Calibri" w:cs="Arial"/>
                <w:b/>
                <w:noProof/>
                <w:color w:val="000000"/>
                <w:sz w:val="22"/>
                <w:szCs w:val="22"/>
              </w:rPr>
              <w:t>4 projects</w:t>
            </w:r>
          </w:p>
        </w:tc>
        <w:tc>
          <w:tcPr>
            <w:tcW w:w="1742" w:type="dxa"/>
            <w:tcBorders>
              <w:top w:val="nil"/>
              <w:left w:val="single" w:sz="8" w:space="0" w:color="auto"/>
              <w:bottom w:val="single" w:sz="8" w:space="0" w:color="auto"/>
              <w:right w:val="single" w:sz="8" w:space="0" w:color="auto"/>
            </w:tcBorders>
            <w:shd w:val="clear" w:color="auto" w:fill="auto"/>
            <w:noWrap/>
            <w:vAlign w:val="bottom"/>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 </w:t>
            </w:r>
          </w:p>
        </w:tc>
      </w:tr>
      <w:tr w:rsidR="00EC06FD">
        <w:trPr>
          <w:trHeight w:val="255"/>
          <w:jc w:val="center"/>
        </w:trPr>
        <w:tc>
          <w:tcPr>
            <w:tcW w:w="1702" w:type="dxa"/>
            <w:vMerge w:val="restart"/>
            <w:tcBorders>
              <w:top w:val="nil"/>
              <w:left w:val="single" w:sz="8" w:space="0" w:color="auto"/>
              <w:bottom w:val="single" w:sz="8" w:space="0" w:color="000000"/>
              <w:right w:val="single" w:sz="8" w:space="0" w:color="auto"/>
            </w:tcBorders>
            <w:shd w:val="clear" w:color="auto" w:fill="auto"/>
            <w:tcMar>
              <w:left w:w="57" w:type="dxa"/>
              <w:right w:w="57" w:type="dxa"/>
            </w:tcMar>
            <w:vAlign w:val="center"/>
            <w:hideMark/>
          </w:tcPr>
          <w:p w:rsidR="00EC06FD" w:rsidRDefault="00F346DE">
            <w:pPr>
              <w:rPr>
                <w:rFonts w:ascii="Calibri" w:hAnsi="Calibri" w:cs="Arial"/>
                <w:b/>
                <w:bCs/>
                <w:noProof/>
                <w:color w:val="000000"/>
                <w:sz w:val="22"/>
                <w:szCs w:val="22"/>
              </w:rPr>
            </w:pPr>
            <w:r>
              <w:rPr>
                <w:rFonts w:ascii="Calibri" w:hAnsi="Calibri" w:cs="Arial"/>
                <w:b/>
                <w:bCs/>
                <w:noProof/>
                <w:color w:val="000000"/>
                <w:sz w:val="22"/>
                <w:szCs w:val="22"/>
              </w:rPr>
              <w:t>Other actions</w:t>
            </w:r>
          </w:p>
        </w:tc>
        <w:tc>
          <w:tcPr>
            <w:tcW w:w="1775" w:type="dxa"/>
            <w:vMerge w:val="restart"/>
            <w:tcBorders>
              <w:top w:val="nil"/>
              <w:left w:val="single" w:sz="8" w:space="0" w:color="auto"/>
              <w:bottom w:val="single" w:sz="8" w:space="0" w:color="000000"/>
              <w:right w:val="nil"/>
            </w:tcBorders>
            <w:shd w:val="clear" w:color="auto" w:fill="auto"/>
            <w:vAlign w:val="center"/>
            <w:hideMark/>
          </w:tcPr>
          <w:p w:rsidR="00EC06FD" w:rsidRDefault="00F346DE">
            <w:pPr>
              <w:rPr>
                <w:rFonts w:ascii="Calibri" w:hAnsi="Calibri" w:cs="Arial"/>
                <w:noProof/>
                <w:color w:val="000000"/>
                <w:sz w:val="22"/>
                <w:szCs w:val="22"/>
              </w:rPr>
            </w:pPr>
            <w:r>
              <w:rPr>
                <w:rFonts w:ascii="Calibri" w:hAnsi="Calibri" w:cs="Arial"/>
                <w:noProof/>
                <w:color w:val="000000"/>
                <w:sz w:val="22"/>
                <w:szCs w:val="22"/>
              </w:rPr>
              <w:t> </w:t>
            </w:r>
          </w:p>
        </w:tc>
        <w:tc>
          <w:tcPr>
            <w:tcW w:w="1621" w:type="dxa"/>
            <w:vMerge w:val="restart"/>
            <w:tcBorders>
              <w:top w:val="nil"/>
              <w:left w:val="nil"/>
              <w:bottom w:val="single" w:sz="8" w:space="0" w:color="000000"/>
              <w:right w:val="nil"/>
            </w:tcBorders>
            <w:shd w:val="clear" w:color="auto" w:fill="auto"/>
            <w:vAlign w:val="center"/>
            <w:hideMark/>
          </w:tcPr>
          <w:p w:rsidR="00EC06FD" w:rsidRDefault="00F346DE">
            <w:pPr>
              <w:rPr>
                <w:rFonts w:ascii="Calibri" w:hAnsi="Calibri" w:cs="Arial"/>
                <w:noProof/>
                <w:color w:val="000000"/>
                <w:sz w:val="22"/>
                <w:szCs w:val="22"/>
              </w:rPr>
            </w:pPr>
            <w:r>
              <w:rPr>
                <w:rFonts w:ascii="Calibri" w:hAnsi="Calibri" w:cs="Arial"/>
                <w:noProof/>
                <w:color w:val="000000"/>
                <w:sz w:val="22"/>
                <w:szCs w:val="22"/>
              </w:rPr>
              <w:t> </w:t>
            </w:r>
          </w:p>
        </w:tc>
        <w:tc>
          <w:tcPr>
            <w:tcW w:w="1621" w:type="dxa"/>
            <w:vMerge w:val="restart"/>
            <w:tcBorders>
              <w:top w:val="nil"/>
              <w:left w:val="nil"/>
              <w:bottom w:val="single" w:sz="8" w:space="0" w:color="000000"/>
              <w:right w:val="nil"/>
            </w:tcBorders>
            <w:shd w:val="clear" w:color="auto" w:fill="auto"/>
            <w:vAlign w:val="center"/>
            <w:hideMark/>
          </w:tcPr>
          <w:p w:rsidR="00EC06FD" w:rsidRDefault="00F346DE">
            <w:pPr>
              <w:rPr>
                <w:rFonts w:ascii="Calibri" w:hAnsi="Calibri" w:cs="Arial"/>
                <w:noProof/>
                <w:color w:val="000000"/>
                <w:sz w:val="22"/>
                <w:szCs w:val="22"/>
              </w:rPr>
            </w:pPr>
            <w:r>
              <w:rPr>
                <w:rFonts w:ascii="Calibri" w:hAnsi="Calibri" w:cs="Arial"/>
                <w:noProof/>
                <w:color w:val="000000"/>
                <w:sz w:val="22"/>
                <w:szCs w:val="22"/>
              </w:rPr>
              <w:t> </w:t>
            </w:r>
          </w:p>
        </w:tc>
        <w:tc>
          <w:tcPr>
            <w:tcW w:w="1621" w:type="dxa"/>
            <w:gridSpan w:val="2"/>
            <w:vMerge w:val="restart"/>
            <w:tcBorders>
              <w:top w:val="nil"/>
              <w:left w:val="nil"/>
              <w:bottom w:val="single" w:sz="8" w:space="0" w:color="000000"/>
              <w:right w:val="nil"/>
            </w:tcBorders>
            <w:shd w:val="clear" w:color="auto" w:fill="auto"/>
            <w:vAlign w:val="center"/>
            <w:hideMark/>
          </w:tcPr>
          <w:p w:rsidR="00EC06FD" w:rsidRDefault="00F346DE">
            <w:pPr>
              <w:rPr>
                <w:rFonts w:ascii="Calibri" w:hAnsi="Calibri" w:cs="Arial"/>
                <w:noProof/>
                <w:color w:val="000000"/>
                <w:sz w:val="22"/>
                <w:szCs w:val="22"/>
              </w:rPr>
            </w:pPr>
            <w:r>
              <w:rPr>
                <w:rFonts w:ascii="Calibri" w:hAnsi="Calibri" w:cs="Arial"/>
                <w:noProof/>
                <w:color w:val="000000"/>
                <w:sz w:val="22"/>
                <w:szCs w:val="22"/>
              </w:rPr>
              <w:t> </w:t>
            </w:r>
          </w:p>
        </w:tc>
        <w:tc>
          <w:tcPr>
            <w:tcW w:w="1499" w:type="dxa"/>
            <w:vMerge w:val="restart"/>
            <w:tcBorders>
              <w:top w:val="nil"/>
              <w:left w:val="nil"/>
              <w:bottom w:val="single" w:sz="8" w:space="0" w:color="000000"/>
              <w:right w:val="nil"/>
            </w:tcBorders>
            <w:shd w:val="clear" w:color="auto" w:fill="auto"/>
            <w:vAlign w:val="center"/>
            <w:hideMark/>
          </w:tcPr>
          <w:p w:rsidR="00EC06FD" w:rsidRDefault="00F346DE">
            <w:pPr>
              <w:rPr>
                <w:rFonts w:ascii="Calibri" w:hAnsi="Calibri" w:cs="Arial"/>
                <w:noProof/>
                <w:color w:val="000000"/>
                <w:sz w:val="22"/>
                <w:szCs w:val="22"/>
              </w:rPr>
            </w:pPr>
            <w:r>
              <w:rPr>
                <w:rFonts w:ascii="Calibri" w:hAnsi="Calibri" w:cs="Arial"/>
                <w:noProof/>
                <w:color w:val="000000"/>
                <w:sz w:val="22"/>
                <w:szCs w:val="22"/>
              </w:rPr>
              <w:t> </w:t>
            </w:r>
          </w:p>
        </w:tc>
        <w:tc>
          <w:tcPr>
            <w:tcW w:w="1688" w:type="dxa"/>
            <w:tcBorders>
              <w:top w:val="nil"/>
              <w:left w:val="nil"/>
              <w:bottom w:val="nil"/>
              <w:right w:val="nil"/>
            </w:tcBorders>
            <w:shd w:val="clear" w:color="auto" w:fill="auto"/>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15.000.000</w:t>
            </w:r>
          </w:p>
        </w:tc>
        <w:tc>
          <w:tcPr>
            <w:tcW w:w="1499" w:type="dxa"/>
            <w:vMerge w:val="restart"/>
            <w:tcBorders>
              <w:top w:val="nil"/>
              <w:left w:val="nil"/>
              <w:bottom w:val="single" w:sz="8" w:space="0" w:color="000000"/>
              <w:right w:val="single" w:sz="8" w:space="0" w:color="auto"/>
            </w:tcBorders>
            <w:shd w:val="clear" w:color="auto" w:fill="auto"/>
            <w:vAlign w:val="center"/>
            <w:hideMark/>
          </w:tcPr>
          <w:p w:rsidR="00EC06FD" w:rsidRDefault="00F346DE">
            <w:pPr>
              <w:rPr>
                <w:rFonts w:ascii="Calibri" w:hAnsi="Calibri" w:cs="Arial"/>
                <w:noProof/>
                <w:color w:val="000000"/>
                <w:sz w:val="22"/>
                <w:szCs w:val="22"/>
              </w:rPr>
            </w:pPr>
            <w:r>
              <w:rPr>
                <w:rFonts w:ascii="Calibri" w:hAnsi="Calibri" w:cs="Arial"/>
                <w:noProof/>
                <w:color w:val="000000"/>
                <w:sz w:val="22"/>
                <w:szCs w:val="22"/>
              </w:rPr>
              <w:t> </w:t>
            </w:r>
          </w:p>
        </w:tc>
        <w:tc>
          <w:tcPr>
            <w:tcW w:w="1742" w:type="dxa"/>
            <w:vMerge w:val="restart"/>
            <w:tcBorders>
              <w:top w:val="nil"/>
              <w:left w:val="single" w:sz="8" w:space="0" w:color="auto"/>
              <w:bottom w:val="single" w:sz="8" w:space="0" w:color="000000"/>
              <w:right w:val="single" w:sz="8" w:space="0" w:color="auto"/>
            </w:tcBorders>
            <w:shd w:val="clear" w:color="auto" w:fill="auto"/>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15.000.000</w:t>
            </w:r>
          </w:p>
        </w:tc>
      </w:tr>
      <w:tr w:rsidR="00EC06FD">
        <w:trPr>
          <w:trHeight w:val="270"/>
          <w:jc w:val="center"/>
        </w:trPr>
        <w:tc>
          <w:tcPr>
            <w:tcW w:w="1702" w:type="dxa"/>
            <w:vMerge/>
            <w:tcBorders>
              <w:top w:val="nil"/>
              <w:left w:val="single" w:sz="8" w:space="0" w:color="auto"/>
              <w:bottom w:val="single" w:sz="8" w:space="0" w:color="000000"/>
              <w:right w:val="single" w:sz="8" w:space="0" w:color="auto"/>
            </w:tcBorders>
            <w:tcMar>
              <w:left w:w="57" w:type="dxa"/>
              <w:right w:w="57" w:type="dxa"/>
            </w:tcMar>
            <w:vAlign w:val="center"/>
            <w:hideMark/>
          </w:tcPr>
          <w:p w:rsidR="00EC06FD" w:rsidRDefault="00EC06FD">
            <w:pPr>
              <w:rPr>
                <w:rFonts w:ascii="Calibri" w:hAnsi="Calibri" w:cs="Arial"/>
                <w:b/>
                <w:bCs/>
                <w:noProof/>
                <w:color w:val="000000"/>
                <w:sz w:val="22"/>
                <w:szCs w:val="22"/>
              </w:rPr>
            </w:pPr>
          </w:p>
        </w:tc>
        <w:tc>
          <w:tcPr>
            <w:tcW w:w="1775" w:type="dxa"/>
            <w:vMerge/>
            <w:tcBorders>
              <w:top w:val="nil"/>
              <w:left w:val="single" w:sz="8" w:space="0" w:color="auto"/>
              <w:bottom w:val="single" w:sz="8" w:space="0" w:color="000000"/>
              <w:right w:val="nil"/>
            </w:tcBorders>
            <w:vAlign w:val="center"/>
            <w:hideMark/>
          </w:tcPr>
          <w:p w:rsidR="00EC06FD" w:rsidRDefault="00EC06FD">
            <w:pPr>
              <w:rPr>
                <w:rFonts w:ascii="Calibri" w:hAnsi="Calibri" w:cs="Arial"/>
                <w:noProof/>
                <w:color w:val="000000"/>
                <w:sz w:val="22"/>
                <w:szCs w:val="22"/>
              </w:rPr>
            </w:pPr>
          </w:p>
        </w:tc>
        <w:tc>
          <w:tcPr>
            <w:tcW w:w="1621" w:type="dxa"/>
            <w:vMerge/>
            <w:tcBorders>
              <w:top w:val="nil"/>
              <w:left w:val="nil"/>
              <w:bottom w:val="single" w:sz="8" w:space="0" w:color="000000"/>
              <w:right w:val="nil"/>
            </w:tcBorders>
            <w:vAlign w:val="center"/>
            <w:hideMark/>
          </w:tcPr>
          <w:p w:rsidR="00EC06FD" w:rsidRDefault="00EC06FD">
            <w:pPr>
              <w:rPr>
                <w:rFonts w:ascii="Calibri" w:hAnsi="Calibri" w:cs="Arial"/>
                <w:noProof/>
                <w:color w:val="000000"/>
                <w:sz w:val="22"/>
                <w:szCs w:val="22"/>
              </w:rPr>
            </w:pPr>
          </w:p>
        </w:tc>
        <w:tc>
          <w:tcPr>
            <w:tcW w:w="1621" w:type="dxa"/>
            <w:vMerge/>
            <w:tcBorders>
              <w:top w:val="nil"/>
              <w:left w:val="nil"/>
              <w:bottom w:val="single" w:sz="8" w:space="0" w:color="000000"/>
              <w:right w:val="nil"/>
            </w:tcBorders>
            <w:vAlign w:val="center"/>
            <w:hideMark/>
          </w:tcPr>
          <w:p w:rsidR="00EC06FD" w:rsidRDefault="00EC06FD">
            <w:pPr>
              <w:rPr>
                <w:rFonts w:ascii="Calibri" w:hAnsi="Calibri" w:cs="Arial"/>
                <w:noProof/>
                <w:color w:val="000000"/>
                <w:sz w:val="22"/>
                <w:szCs w:val="22"/>
              </w:rPr>
            </w:pPr>
          </w:p>
        </w:tc>
        <w:tc>
          <w:tcPr>
            <w:tcW w:w="1621" w:type="dxa"/>
            <w:gridSpan w:val="2"/>
            <w:vMerge/>
            <w:tcBorders>
              <w:top w:val="nil"/>
              <w:left w:val="nil"/>
              <w:bottom w:val="single" w:sz="8" w:space="0" w:color="000000"/>
              <w:right w:val="nil"/>
            </w:tcBorders>
            <w:vAlign w:val="center"/>
            <w:hideMark/>
          </w:tcPr>
          <w:p w:rsidR="00EC06FD" w:rsidRDefault="00EC06FD">
            <w:pPr>
              <w:rPr>
                <w:rFonts w:ascii="Calibri" w:hAnsi="Calibri" w:cs="Arial"/>
                <w:noProof/>
                <w:color w:val="000000"/>
                <w:sz w:val="22"/>
                <w:szCs w:val="22"/>
              </w:rPr>
            </w:pPr>
          </w:p>
        </w:tc>
        <w:tc>
          <w:tcPr>
            <w:tcW w:w="1499" w:type="dxa"/>
            <w:vMerge/>
            <w:tcBorders>
              <w:top w:val="nil"/>
              <w:left w:val="nil"/>
              <w:bottom w:val="single" w:sz="8" w:space="0" w:color="000000"/>
              <w:right w:val="nil"/>
            </w:tcBorders>
            <w:vAlign w:val="center"/>
            <w:hideMark/>
          </w:tcPr>
          <w:p w:rsidR="00EC06FD" w:rsidRDefault="00EC06FD">
            <w:pPr>
              <w:rPr>
                <w:rFonts w:ascii="Calibri" w:hAnsi="Calibri" w:cs="Arial"/>
                <w:noProof/>
                <w:color w:val="000000"/>
                <w:sz w:val="22"/>
                <w:szCs w:val="22"/>
              </w:rPr>
            </w:pPr>
          </w:p>
        </w:tc>
        <w:tc>
          <w:tcPr>
            <w:tcW w:w="1688" w:type="dxa"/>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(support for access to JHR)</w:t>
            </w:r>
          </w:p>
        </w:tc>
        <w:tc>
          <w:tcPr>
            <w:tcW w:w="1499" w:type="dxa"/>
            <w:vMerge/>
            <w:tcBorders>
              <w:top w:val="nil"/>
              <w:left w:val="nil"/>
              <w:bottom w:val="single" w:sz="8" w:space="0" w:color="000000"/>
              <w:right w:val="single" w:sz="8" w:space="0" w:color="auto"/>
            </w:tcBorders>
            <w:vAlign w:val="center"/>
            <w:hideMark/>
          </w:tcPr>
          <w:p w:rsidR="00EC06FD" w:rsidRDefault="00EC06FD">
            <w:pPr>
              <w:rPr>
                <w:rFonts w:ascii="Calibri" w:hAnsi="Calibri" w:cs="Arial"/>
                <w:noProof/>
                <w:color w:val="000000"/>
                <w:sz w:val="22"/>
                <w:szCs w:val="22"/>
              </w:rPr>
            </w:pPr>
          </w:p>
        </w:tc>
        <w:tc>
          <w:tcPr>
            <w:tcW w:w="1742" w:type="dxa"/>
            <w:vMerge/>
            <w:tcBorders>
              <w:top w:val="nil"/>
              <w:left w:val="single" w:sz="8" w:space="0" w:color="auto"/>
              <w:bottom w:val="single" w:sz="8" w:space="0" w:color="000000"/>
              <w:right w:val="single" w:sz="8" w:space="0" w:color="auto"/>
            </w:tcBorders>
            <w:vAlign w:val="center"/>
            <w:hideMark/>
          </w:tcPr>
          <w:p w:rsidR="00EC06FD" w:rsidRDefault="00EC06FD">
            <w:pPr>
              <w:rPr>
                <w:rFonts w:ascii="Calibri" w:hAnsi="Calibri" w:cs="Arial"/>
                <w:noProof/>
                <w:color w:val="000000"/>
                <w:sz w:val="22"/>
                <w:szCs w:val="22"/>
              </w:rPr>
            </w:pPr>
          </w:p>
        </w:tc>
      </w:tr>
      <w:tr w:rsidR="00EC06FD">
        <w:trPr>
          <w:trHeight w:val="270"/>
          <w:jc w:val="center"/>
        </w:trPr>
        <w:tc>
          <w:tcPr>
            <w:tcW w:w="1702" w:type="dxa"/>
            <w:tcBorders>
              <w:top w:val="nil"/>
              <w:left w:val="single" w:sz="8" w:space="0" w:color="auto"/>
              <w:bottom w:val="single" w:sz="8" w:space="0" w:color="auto"/>
              <w:right w:val="nil"/>
            </w:tcBorders>
            <w:shd w:val="clear" w:color="000000" w:fill="F2F2F2"/>
            <w:tcMar>
              <w:left w:w="57" w:type="dxa"/>
              <w:right w:w="57" w:type="dxa"/>
            </w:tcMar>
            <w:vAlign w:val="center"/>
            <w:hideMark/>
          </w:tcPr>
          <w:p w:rsidR="00EC06FD" w:rsidRDefault="00F346DE">
            <w:pPr>
              <w:rPr>
                <w:rFonts w:ascii="Calibri" w:hAnsi="Calibri" w:cs="Arial"/>
                <w:b/>
                <w:bCs/>
                <w:noProof/>
                <w:color w:val="000000"/>
                <w:sz w:val="22"/>
                <w:szCs w:val="22"/>
              </w:rPr>
            </w:pPr>
            <w:r>
              <w:rPr>
                <w:rFonts w:ascii="Calibri" w:hAnsi="Calibri" w:cs="Arial"/>
                <w:b/>
                <w:bCs/>
                <w:noProof/>
                <w:color w:val="000000"/>
                <w:sz w:val="22"/>
                <w:szCs w:val="22"/>
              </w:rPr>
              <w:t>Total</w:t>
            </w:r>
          </w:p>
        </w:tc>
        <w:tc>
          <w:tcPr>
            <w:tcW w:w="1775" w:type="dxa"/>
            <w:tcBorders>
              <w:top w:val="nil"/>
              <w:left w:val="single" w:sz="8" w:space="0" w:color="auto"/>
              <w:bottom w:val="single" w:sz="8" w:space="0" w:color="auto"/>
              <w:right w:val="nil"/>
            </w:tcBorders>
            <w:shd w:val="clear" w:color="000000" w:fill="F2F2F2"/>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35,046,832.46</w:t>
            </w:r>
          </w:p>
        </w:tc>
        <w:tc>
          <w:tcPr>
            <w:tcW w:w="1621" w:type="dxa"/>
            <w:tcBorders>
              <w:top w:val="nil"/>
              <w:left w:val="nil"/>
              <w:bottom w:val="single" w:sz="8" w:space="0" w:color="auto"/>
              <w:right w:val="nil"/>
            </w:tcBorders>
            <w:shd w:val="clear" w:color="000000" w:fill="F2F2F2"/>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16,303,167.25</w:t>
            </w:r>
          </w:p>
        </w:tc>
        <w:tc>
          <w:tcPr>
            <w:tcW w:w="1621" w:type="dxa"/>
            <w:tcBorders>
              <w:top w:val="nil"/>
              <w:left w:val="nil"/>
              <w:bottom w:val="single" w:sz="8" w:space="0" w:color="auto"/>
              <w:right w:val="nil"/>
            </w:tcBorders>
            <w:shd w:val="clear" w:color="000000" w:fill="F2F2F2"/>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3,552,269.00</w:t>
            </w:r>
          </w:p>
        </w:tc>
        <w:tc>
          <w:tcPr>
            <w:tcW w:w="1621" w:type="dxa"/>
            <w:gridSpan w:val="2"/>
            <w:tcBorders>
              <w:top w:val="nil"/>
              <w:left w:val="nil"/>
              <w:bottom w:val="single" w:sz="8" w:space="0" w:color="auto"/>
              <w:right w:val="nil"/>
            </w:tcBorders>
            <w:shd w:val="clear" w:color="000000" w:fill="F2F2F2"/>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19,822,878.00</w:t>
            </w:r>
          </w:p>
        </w:tc>
        <w:tc>
          <w:tcPr>
            <w:tcW w:w="1499" w:type="dxa"/>
            <w:tcBorders>
              <w:top w:val="nil"/>
              <w:left w:val="nil"/>
              <w:bottom w:val="single" w:sz="8" w:space="0" w:color="auto"/>
              <w:right w:val="nil"/>
            </w:tcBorders>
            <w:shd w:val="clear" w:color="000000" w:fill="F2F2F2"/>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 </w:t>
            </w:r>
          </w:p>
        </w:tc>
        <w:tc>
          <w:tcPr>
            <w:tcW w:w="1688" w:type="dxa"/>
            <w:tcBorders>
              <w:top w:val="nil"/>
              <w:left w:val="nil"/>
              <w:bottom w:val="single" w:sz="8" w:space="0" w:color="auto"/>
              <w:right w:val="nil"/>
            </w:tcBorders>
            <w:shd w:val="clear" w:color="000000" w:fill="F2F2F2"/>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25,087,286.00</w:t>
            </w:r>
          </w:p>
        </w:tc>
        <w:tc>
          <w:tcPr>
            <w:tcW w:w="1499" w:type="dxa"/>
            <w:tcBorders>
              <w:top w:val="nil"/>
              <w:left w:val="nil"/>
              <w:bottom w:val="single" w:sz="8" w:space="0" w:color="auto"/>
              <w:right w:val="single" w:sz="8" w:space="0" w:color="auto"/>
            </w:tcBorders>
            <w:shd w:val="clear" w:color="000000" w:fill="F2F2F2"/>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5,331,899.00</w:t>
            </w:r>
          </w:p>
        </w:tc>
        <w:tc>
          <w:tcPr>
            <w:tcW w:w="1742" w:type="dxa"/>
            <w:tcBorders>
              <w:top w:val="nil"/>
              <w:left w:val="nil"/>
              <w:bottom w:val="single" w:sz="8" w:space="0" w:color="auto"/>
              <w:right w:val="single" w:sz="8" w:space="0" w:color="auto"/>
            </w:tcBorders>
            <w:shd w:val="clear" w:color="000000" w:fill="F2F2F2"/>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105,144,332.11</w:t>
            </w:r>
          </w:p>
        </w:tc>
      </w:tr>
      <w:tr w:rsidR="00EC06FD">
        <w:trPr>
          <w:trHeight w:val="255"/>
          <w:jc w:val="center"/>
        </w:trPr>
        <w:tc>
          <w:tcPr>
            <w:tcW w:w="14768" w:type="dxa"/>
            <w:gridSpan w:val="10"/>
            <w:tcBorders>
              <w:top w:val="single" w:sz="8" w:space="0" w:color="auto"/>
              <w:left w:val="single" w:sz="8" w:space="0" w:color="auto"/>
              <w:bottom w:val="single" w:sz="4" w:space="0" w:color="auto"/>
              <w:right w:val="single" w:sz="8" w:space="0" w:color="auto"/>
            </w:tcBorders>
            <w:shd w:val="clear" w:color="auto" w:fill="D9D9D9" w:themeFill="background1" w:themeFillShade="D9"/>
            <w:tcMar>
              <w:left w:w="57" w:type="dxa"/>
              <w:right w:w="57" w:type="dxa"/>
            </w:tcMar>
            <w:vAlign w:val="center"/>
          </w:tcPr>
          <w:p w:rsidR="00EC06FD" w:rsidRDefault="00F346DE">
            <w:pPr>
              <w:jc w:val="center"/>
              <w:rPr>
                <w:rFonts w:ascii="Calibri" w:hAnsi="Calibri" w:cs="Arial"/>
                <w:b/>
                <w:noProof/>
                <w:color w:val="000000"/>
                <w:sz w:val="22"/>
                <w:szCs w:val="22"/>
              </w:rPr>
            </w:pPr>
            <w:r>
              <w:rPr>
                <w:rFonts w:ascii="Calibri" w:hAnsi="Calibri" w:cs="Arial"/>
                <w:b/>
                <w:noProof/>
                <w:color w:val="000000"/>
                <w:sz w:val="22"/>
                <w:szCs w:val="22"/>
              </w:rPr>
              <w:t>Work Programme 2016-2017</w:t>
            </w:r>
          </w:p>
        </w:tc>
      </w:tr>
      <w:tr w:rsidR="00EC06FD">
        <w:trPr>
          <w:trHeight w:val="255"/>
          <w:jc w:val="center"/>
        </w:trPr>
        <w:tc>
          <w:tcPr>
            <w:tcW w:w="1702" w:type="dxa"/>
            <w:vMerge w:val="restart"/>
            <w:tcBorders>
              <w:top w:val="single" w:sz="4" w:space="0" w:color="auto"/>
              <w:left w:val="single" w:sz="8" w:space="0" w:color="auto"/>
              <w:bottom w:val="single" w:sz="8" w:space="0" w:color="000000"/>
              <w:right w:val="single" w:sz="8" w:space="0" w:color="auto"/>
            </w:tcBorders>
            <w:shd w:val="clear" w:color="auto" w:fill="auto"/>
            <w:tcMar>
              <w:left w:w="57" w:type="dxa"/>
              <w:right w:w="57" w:type="dxa"/>
            </w:tcMar>
            <w:vAlign w:val="center"/>
            <w:hideMark/>
          </w:tcPr>
          <w:p w:rsidR="00EC06FD" w:rsidRDefault="00F346DE">
            <w:pPr>
              <w:rPr>
                <w:rFonts w:ascii="Calibri" w:hAnsi="Calibri" w:cs="Arial"/>
                <w:b/>
                <w:bCs/>
                <w:noProof/>
                <w:color w:val="000000"/>
                <w:sz w:val="22"/>
                <w:szCs w:val="22"/>
              </w:rPr>
            </w:pPr>
            <w:r>
              <w:rPr>
                <w:rFonts w:ascii="Calibri" w:hAnsi="Calibri" w:cs="Arial"/>
                <w:b/>
                <w:bCs/>
                <w:noProof/>
                <w:color w:val="000000"/>
                <w:sz w:val="22"/>
                <w:szCs w:val="22"/>
              </w:rPr>
              <w:t xml:space="preserve">Projects </w:t>
            </w:r>
          </w:p>
        </w:tc>
        <w:tc>
          <w:tcPr>
            <w:tcW w:w="1775" w:type="dxa"/>
            <w:tcBorders>
              <w:top w:val="single" w:sz="4" w:space="0" w:color="auto"/>
              <w:left w:val="nil"/>
              <w:bottom w:val="nil"/>
              <w:right w:val="nil"/>
            </w:tcBorders>
            <w:shd w:val="clear" w:color="auto" w:fill="auto"/>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59,708,662.80</w:t>
            </w:r>
          </w:p>
        </w:tc>
        <w:tc>
          <w:tcPr>
            <w:tcW w:w="1621" w:type="dxa"/>
            <w:tcBorders>
              <w:top w:val="single" w:sz="4" w:space="0" w:color="auto"/>
              <w:left w:val="nil"/>
              <w:bottom w:val="nil"/>
              <w:right w:val="nil"/>
            </w:tcBorders>
            <w:shd w:val="clear" w:color="auto" w:fill="auto"/>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19,455,488.90</w:t>
            </w:r>
          </w:p>
        </w:tc>
        <w:tc>
          <w:tcPr>
            <w:tcW w:w="1621" w:type="dxa"/>
            <w:tcBorders>
              <w:top w:val="single" w:sz="4" w:space="0" w:color="auto"/>
              <w:left w:val="nil"/>
              <w:bottom w:val="nil"/>
              <w:right w:val="nil"/>
            </w:tcBorders>
            <w:shd w:val="clear" w:color="auto" w:fill="auto"/>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9,096,239.25</w:t>
            </w:r>
          </w:p>
        </w:tc>
        <w:tc>
          <w:tcPr>
            <w:tcW w:w="1621" w:type="dxa"/>
            <w:gridSpan w:val="2"/>
            <w:tcBorders>
              <w:top w:val="single" w:sz="4" w:space="0" w:color="auto"/>
              <w:left w:val="nil"/>
              <w:bottom w:val="nil"/>
              <w:right w:val="nil"/>
            </w:tcBorders>
            <w:shd w:val="clear" w:color="auto" w:fill="auto"/>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9,995,145.75</w:t>
            </w:r>
          </w:p>
        </w:tc>
        <w:tc>
          <w:tcPr>
            <w:tcW w:w="1499" w:type="dxa"/>
            <w:tcBorders>
              <w:top w:val="single" w:sz="4" w:space="0" w:color="auto"/>
              <w:left w:val="nil"/>
              <w:bottom w:val="nil"/>
              <w:right w:val="nil"/>
            </w:tcBorders>
            <w:shd w:val="clear" w:color="auto" w:fill="auto"/>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3,999,259.69</w:t>
            </w:r>
          </w:p>
        </w:tc>
        <w:tc>
          <w:tcPr>
            <w:tcW w:w="1688" w:type="dxa"/>
            <w:tcBorders>
              <w:top w:val="single" w:sz="4" w:space="0" w:color="auto"/>
              <w:left w:val="nil"/>
              <w:bottom w:val="nil"/>
              <w:right w:val="nil"/>
            </w:tcBorders>
            <w:shd w:val="clear" w:color="auto" w:fill="auto"/>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6,598,148.25</w:t>
            </w:r>
          </w:p>
        </w:tc>
        <w:tc>
          <w:tcPr>
            <w:tcW w:w="1499" w:type="dxa"/>
            <w:vMerge w:val="restart"/>
            <w:tcBorders>
              <w:top w:val="single" w:sz="4" w:space="0" w:color="auto"/>
              <w:left w:val="nil"/>
              <w:bottom w:val="single" w:sz="8" w:space="0" w:color="000000"/>
              <w:right w:val="single" w:sz="8" w:space="0" w:color="auto"/>
            </w:tcBorders>
            <w:shd w:val="clear" w:color="auto" w:fill="auto"/>
            <w:vAlign w:val="center"/>
            <w:hideMark/>
          </w:tcPr>
          <w:p w:rsidR="00EC06FD" w:rsidRDefault="00F346DE">
            <w:pPr>
              <w:rPr>
                <w:rFonts w:ascii="Calibri" w:hAnsi="Calibri" w:cs="Arial"/>
                <w:noProof/>
                <w:color w:val="000000"/>
                <w:sz w:val="22"/>
                <w:szCs w:val="22"/>
              </w:rPr>
            </w:pPr>
            <w:r>
              <w:rPr>
                <w:rFonts w:ascii="Calibri" w:hAnsi="Calibri" w:cs="Arial"/>
                <w:noProof/>
                <w:color w:val="000000"/>
                <w:sz w:val="22"/>
                <w:szCs w:val="22"/>
              </w:rPr>
              <w:t> </w:t>
            </w:r>
          </w:p>
        </w:tc>
        <w:tc>
          <w:tcPr>
            <w:tcW w:w="1742"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108,852,944.64</w:t>
            </w:r>
          </w:p>
        </w:tc>
      </w:tr>
      <w:tr w:rsidR="00EC06FD">
        <w:trPr>
          <w:trHeight w:val="270"/>
          <w:jc w:val="center"/>
        </w:trPr>
        <w:tc>
          <w:tcPr>
            <w:tcW w:w="1702" w:type="dxa"/>
            <w:vMerge/>
            <w:tcBorders>
              <w:top w:val="nil"/>
              <w:left w:val="single" w:sz="8" w:space="0" w:color="auto"/>
              <w:bottom w:val="single" w:sz="8" w:space="0" w:color="000000"/>
              <w:right w:val="single" w:sz="8" w:space="0" w:color="auto"/>
            </w:tcBorders>
            <w:tcMar>
              <w:left w:w="57" w:type="dxa"/>
              <w:right w:w="57" w:type="dxa"/>
            </w:tcMar>
            <w:vAlign w:val="center"/>
            <w:hideMark/>
          </w:tcPr>
          <w:p w:rsidR="00EC06FD" w:rsidRDefault="00EC06FD">
            <w:pPr>
              <w:rPr>
                <w:rFonts w:ascii="Calibri" w:hAnsi="Calibri" w:cs="Arial"/>
                <w:b/>
                <w:bCs/>
                <w:noProof/>
                <w:color w:val="000000"/>
                <w:sz w:val="22"/>
                <w:szCs w:val="22"/>
              </w:rPr>
            </w:pPr>
          </w:p>
        </w:tc>
        <w:tc>
          <w:tcPr>
            <w:tcW w:w="1775" w:type="dxa"/>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noProof/>
                <w:color w:val="000000"/>
                <w:sz w:val="22"/>
                <w:szCs w:val="22"/>
              </w:rPr>
            </w:pPr>
            <w:r>
              <w:rPr>
                <w:rFonts w:ascii="Calibri" w:hAnsi="Calibri" w:cs="Arial"/>
                <w:b/>
                <w:noProof/>
                <w:color w:val="000000"/>
                <w:sz w:val="22"/>
                <w:szCs w:val="22"/>
              </w:rPr>
              <w:t>14 projects</w:t>
            </w:r>
          </w:p>
        </w:tc>
        <w:tc>
          <w:tcPr>
            <w:tcW w:w="1621" w:type="dxa"/>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noProof/>
                <w:color w:val="000000"/>
                <w:sz w:val="22"/>
                <w:szCs w:val="22"/>
              </w:rPr>
            </w:pPr>
            <w:r>
              <w:rPr>
                <w:rFonts w:ascii="Calibri" w:hAnsi="Calibri" w:cs="Arial"/>
                <w:b/>
                <w:noProof/>
                <w:color w:val="000000"/>
                <w:sz w:val="22"/>
                <w:szCs w:val="22"/>
              </w:rPr>
              <w:t>5 projects</w:t>
            </w:r>
          </w:p>
        </w:tc>
        <w:tc>
          <w:tcPr>
            <w:tcW w:w="1621" w:type="dxa"/>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noProof/>
                <w:color w:val="000000"/>
                <w:sz w:val="22"/>
                <w:szCs w:val="22"/>
              </w:rPr>
            </w:pPr>
            <w:r>
              <w:rPr>
                <w:rFonts w:ascii="Calibri" w:hAnsi="Calibri" w:cs="Arial"/>
                <w:b/>
                <w:noProof/>
                <w:color w:val="000000"/>
                <w:sz w:val="22"/>
                <w:szCs w:val="22"/>
              </w:rPr>
              <w:t>3 projects</w:t>
            </w:r>
          </w:p>
        </w:tc>
        <w:tc>
          <w:tcPr>
            <w:tcW w:w="1621" w:type="dxa"/>
            <w:gridSpan w:val="2"/>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noProof/>
                <w:color w:val="000000"/>
                <w:sz w:val="22"/>
                <w:szCs w:val="22"/>
              </w:rPr>
            </w:pPr>
            <w:r>
              <w:rPr>
                <w:rFonts w:ascii="Calibri" w:hAnsi="Calibri" w:cs="Arial"/>
                <w:b/>
                <w:noProof/>
                <w:color w:val="000000"/>
                <w:sz w:val="22"/>
                <w:szCs w:val="22"/>
              </w:rPr>
              <w:t>1 project</w:t>
            </w:r>
          </w:p>
        </w:tc>
        <w:tc>
          <w:tcPr>
            <w:tcW w:w="1499" w:type="dxa"/>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noProof/>
                <w:color w:val="000000"/>
                <w:sz w:val="22"/>
                <w:szCs w:val="22"/>
              </w:rPr>
            </w:pPr>
            <w:r>
              <w:rPr>
                <w:rFonts w:ascii="Calibri" w:hAnsi="Calibri" w:cs="Arial"/>
                <w:b/>
                <w:noProof/>
                <w:color w:val="000000"/>
                <w:sz w:val="22"/>
                <w:szCs w:val="22"/>
              </w:rPr>
              <w:t>1 project</w:t>
            </w:r>
          </w:p>
        </w:tc>
        <w:tc>
          <w:tcPr>
            <w:tcW w:w="1688" w:type="dxa"/>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noProof/>
                <w:color w:val="000000"/>
                <w:sz w:val="22"/>
                <w:szCs w:val="22"/>
              </w:rPr>
            </w:pPr>
            <w:r>
              <w:rPr>
                <w:rFonts w:ascii="Calibri" w:hAnsi="Calibri" w:cs="Arial"/>
                <w:b/>
                <w:noProof/>
                <w:color w:val="000000"/>
                <w:sz w:val="22"/>
                <w:szCs w:val="22"/>
              </w:rPr>
              <w:t>1 project</w:t>
            </w:r>
          </w:p>
        </w:tc>
        <w:tc>
          <w:tcPr>
            <w:tcW w:w="1499" w:type="dxa"/>
            <w:vMerge/>
            <w:tcBorders>
              <w:top w:val="nil"/>
              <w:left w:val="nil"/>
              <w:bottom w:val="single" w:sz="8" w:space="0" w:color="000000"/>
              <w:right w:val="single" w:sz="8" w:space="0" w:color="auto"/>
            </w:tcBorders>
            <w:vAlign w:val="center"/>
            <w:hideMark/>
          </w:tcPr>
          <w:p w:rsidR="00EC06FD" w:rsidRDefault="00EC06FD">
            <w:pPr>
              <w:rPr>
                <w:rFonts w:ascii="Calibri" w:hAnsi="Calibri" w:cs="Arial"/>
                <w:noProof/>
                <w:color w:val="000000"/>
                <w:sz w:val="22"/>
                <w:szCs w:val="22"/>
              </w:rPr>
            </w:pPr>
          </w:p>
        </w:tc>
        <w:tc>
          <w:tcPr>
            <w:tcW w:w="1742" w:type="dxa"/>
            <w:vMerge/>
            <w:tcBorders>
              <w:top w:val="nil"/>
              <w:left w:val="single" w:sz="8" w:space="0" w:color="auto"/>
              <w:bottom w:val="single" w:sz="8" w:space="0" w:color="000000"/>
              <w:right w:val="single" w:sz="8" w:space="0" w:color="auto"/>
            </w:tcBorders>
            <w:vAlign w:val="center"/>
            <w:hideMark/>
          </w:tcPr>
          <w:p w:rsidR="00EC06FD" w:rsidRDefault="00EC06FD">
            <w:pPr>
              <w:rPr>
                <w:rFonts w:ascii="Calibri" w:hAnsi="Calibri" w:cs="Arial"/>
                <w:noProof/>
                <w:color w:val="000000"/>
                <w:sz w:val="22"/>
                <w:szCs w:val="22"/>
              </w:rPr>
            </w:pPr>
          </w:p>
        </w:tc>
      </w:tr>
      <w:tr w:rsidR="00EC06FD">
        <w:trPr>
          <w:trHeight w:val="255"/>
          <w:jc w:val="center"/>
        </w:trPr>
        <w:tc>
          <w:tcPr>
            <w:tcW w:w="1702" w:type="dxa"/>
            <w:vMerge w:val="restart"/>
            <w:tcBorders>
              <w:top w:val="nil"/>
              <w:left w:val="single" w:sz="8" w:space="0" w:color="auto"/>
              <w:bottom w:val="single" w:sz="8" w:space="0" w:color="000000"/>
              <w:right w:val="single" w:sz="8" w:space="0" w:color="auto"/>
            </w:tcBorders>
            <w:shd w:val="clear" w:color="auto" w:fill="auto"/>
            <w:tcMar>
              <w:left w:w="57" w:type="dxa"/>
              <w:right w:w="57" w:type="dxa"/>
            </w:tcMar>
            <w:vAlign w:val="center"/>
            <w:hideMark/>
          </w:tcPr>
          <w:p w:rsidR="00EC06FD" w:rsidRDefault="00F346DE">
            <w:pPr>
              <w:rPr>
                <w:rFonts w:ascii="Calibri" w:hAnsi="Calibri" w:cs="Arial"/>
                <w:b/>
                <w:bCs/>
                <w:noProof/>
                <w:color w:val="000000"/>
                <w:sz w:val="22"/>
                <w:szCs w:val="22"/>
              </w:rPr>
            </w:pPr>
            <w:r>
              <w:rPr>
                <w:rFonts w:ascii="Calibri" w:hAnsi="Calibri" w:cs="Arial"/>
                <w:b/>
                <w:bCs/>
                <w:noProof/>
                <w:color w:val="000000"/>
                <w:sz w:val="22"/>
                <w:szCs w:val="22"/>
              </w:rPr>
              <w:t>Other actions</w:t>
            </w:r>
          </w:p>
        </w:tc>
        <w:tc>
          <w:tcPr>
            <w:tcW w:w="1775" w:type="dxa"/>
            <w:vMerge w:val="restart"/>
            <w:tcBorders>
              <w:top w:val="nil"/>
              <w:left w:val="single" w:sz="8" w:space="0" w:color="auto"/>
              <w:bottom w:val="single" w:sz="8" w:space="0" w:color="000000"/>
              <w:right w:val="nil"/>
            </w:tcBorders>
            <w:shd w:val="clear" w:color="auto" w:fill="auto"/>
            <w:vAlign w:val="center"/>
            <w:hideMark/>
          </w:tcPr>
          <w:p w:rsidR="00EC06FD" w:rsidRDefault="00F346DE">
            <w:pPr>
              <w:rPr>
                <w:rFonts w:ascii="Calibri" w:hAnsi="Calibri" w:cs="Arial"/>
                <w:noProof/>
                <w:color w:val="000000"/>
                <w:sz w:val="22"/>
                <w:szCs w:val="22"/>
              </w:rPr>
            </w:pPr>
            <w:r>
              <w:rPr>
                <w:rFonts w:ascii="Calibri" w:hAnsi="Calibri" w:cs="Arial"/>
                <w:noProof/>
                <w:color w:val="000000"/>
                <w:sz w:val="22"/>
                <w:szCs w:val="22"/>
              </w:rPr>
              <w:t> </w:t>
            </w:r>
          </w:p>
        </w:tc>
        <w:tc>
          <w:tcPr>
            <w:tcW w:w="1621" w:type="dxa"/>
            <w:vMerge w:val="restart"/>
            <w:tcBorders>
              <w:top w:val="nil"/>
              <w:left w:val="nil"/>
              <w:bottom w:val="single" w:sz="8" w:space="0" w:color="000000"/>
              <w:right w:val="nil"/>
            </w:tcBorders>
            <w:shd w:val="clear" w:color="auto" w:fill="auto"/>
            <w:vAlign w:val="center"/>
            <w:hideMark/>
          </w:tcPr>
          <w:p w:rsidR="00EC06FD" w:rsidRDefault="00F346DE">
            <w:pPr>
              <w:rPr>
                <w:rFonts w:ascii="Calibri" w:hAnsi="Calibri" w:cs="Arial"/>
                <w:noProof/>
                <w:color w:val="000000"/>
                <w:sz w:val="22"/>
                <w:szCs w:val="22"/>
              </w:rPr>
            </w:pPr>
            <w:r>
              <w:rPr>
                <w:rFonts w:ascii="Calibri" w:hAnsi="Calibri" w:cs="Arial"/>
                <w:noProof/>
                <w:color w:val="000000"/>
                <w:sz w:val="22"/>
                <w:szCs w:val="22"/>
              </w:rPr>
              <w:t> </w:t>
            </w:r>
          </w:p>
        </w:tc>
        <w:tc>
          <w:tcPr>
            <w:tcW w:w="1621" w:type="dxa"/>
            <w:vMerge w:val="restart"/>
            <w:tcBorders>
              <w:top w:val="nil"/>
              <w:left w:val="nil"/>
              <w:bottom w:val="single" w:sz="8" w:space="0" w:color="000000"/>
              <w:right w:val="nil"/>
            </w:tcBorders>
            <w:shd w:val="clear" w:color="auto" w:fill="auto"/>
            <w:vAlign w:val="center"/>
            <w:hideMark/>
          </w:tcPr>
          <w:p w:rsidR="00EC06FD" w:rsidRDefault="00F346DE">
            <w:pPr>
              <w:rPr>
                <w:rFonts w:ascii="Calibri" w:hAnsi="Calibri" w:cs="Arial"/>
                <w:noProof/>
                <w:color w:val="000000"/>
                <w:sz w:val="22"/>
                <w:szCs w:val="22"/>
              </w:rPr>
            </w:pPr>
            <w:r>
              <w:rPr>
                <w:rFonts w:ascii="Calibri" w:hAnsi="Calibri" w:cs="Arial"/>
                <w:noProof/>
                <w:color w:val="000000"/>
                <w:sz w:val="22"/>
                <w:szCs w:val="22"/>
              </w:rPr>
              <w:t> </w:t>
            </w:r>
          </w:p>
        </w:tc>
        <w:tc>
          <w:tcPr>
            <w:tcW w:w="1621" w:type="dxa"/>
            <w:gridSpan w:val="2"/>
            <w:vMerge w:val="restart"/>
            <w:tcBorders>
              <w:top w:val="nil"/>
              <w:left w:val="nil"/>
              <w:bottom w:val="single" w:sz="8" w:space="0" w:color="000000"/>
              <w:right w:val="nil"/>
            </w:tcBorders>
            <w:shd w:val="clear" w:color="auto" w:fill="auto"/>
            <w:vAlign w:val="center"/>
            <w:hideMark/>
          </w:tcPr>
          <w:p w:rsidR="00EC06FD" w:rsidRDefault="00F346DE">
            <w:pPr>
              <w:rPr>
                <w:rFonts w:ascii="Calibri" w:hAnsi="Calibri" w:cs="Arial"/>
                <w:noProof/>
                <w:color w:val="000000"/>
                <w:sz w:val="22"/>
                <w:szCs w:val="22"/>
              </w:rPr>
            </w:pPr>
            <w:r>
              <w:rPr>
                <w:rFonts w:ascii="Calibri" w:hAnsi="Calibri" w:cs="Arial"/>
                <w:noProof/>
                <w:color w:val="000000"/>
                <w:sz w:val="22"/>
                <w:szCs w:val="22"/>
              </w:rPr>
              <w:t> </w:t>
            </w:r>
          </w:p>
        </w:tc>
        <w:tc>
          <w:tcPr>
            <w:tcW w:w="1499" w:type="dxa"/>
            <w:vMerge w:val="restart"/>
            <w:tcBorders>
              <w:top w:val="nil"/>
              <w:left w:val="nil"/>
              <w:bottom w:val="single" w:sz="8" w:space="0" w:color="000000"/>
              <w:right w:val="nil"/>
            </w:tcBorders>
            <w:shd w:val="clear" w:color="auto" w:fill="auto"/>
            <w:vAlign w:val="center"/>
            <w:hideMark/>
          </w:tcPr>
          <w:p w:rsidR="00EC06FD" w:rsidRDefault="00F346DE">
            <w:pPr>
              <w:rPr>
                <w:rFonts w:ascii="Calibri" w:hAnsi="Calibri" w:cs="Arial"/>
                <w:noProof/>
                <w:color w:val="000000"/>
                <w:sz w:val="22"/>
                <w:szCs w:val="22"/>
              </w:rPr>
            </w:pPr>
            <w:r>
              <w:rPr>
                <w:rFonts w:ascii="Calibri" w:hAnsi="Calibri" w:cs="Arial"/>
                <w:noProof/>
                <w:color w:val="000000"/>
                <w:sz w:val="22"/>
                <w:szCs w:val="22"/>
              </w:rPr>
              <w:t> </w:t>
            </w:r>
          </w:p>
        </w:tc>
        <w:tc>
          <w:tcPr>
            <w:tcW w:w="1688" w:type="dxa"/>
            <w:tcBorders>
              <w:top w:val="nil"/>
              <w:left w:val="nil"/>
              <w:bottom w:val="nil"/>
              <w:right w:val="nil"/>
            </w:tcBorders>
            <w:shd w:val="clear" w:color="auto" w:fill="auto"/>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20,000,000.00</w:t>
            </w:r>
          </w:p>
        </w:tc>
        <w:tc>
          <w:tcPr>
            <w:tcW w:w="1499" w:type="dxa"/>
            <w:vMerge w:val="restart"/>
            <w:tcBorders>
              <w:top w:val="nil"/>
              <w:left w:val="nil"/>
              <w:bottom w:val="single" w:sz="8" w:space="0" w:color="000000"/>
              <w:right w:val="single" w:sz="8" w:space="0" w:color="auto"/>
            </w:tcBorders>
            <w:shd w:val="clear" w:color="auto" w:fill="auto"/>
            <w:vAlign w:val="center"/>
            <w:hideMark/>
          </w:tcPr>
          <w:p w:rsidR="00EC06FD" w:rsidRDefault="00F346DE">
            <w:pPr>
              <w:rPr>
                <w:rFonts w:ascii="Calibri" w:hAnsi="Calibri" w:cs="Arial"/>
                <w:noProof/>
                <w:color w:val="000000"/>
                <w:sz w:val="22"/>
                <w:szCs w:val="22"/>
              </w:rPr>
            </w:pPr>
            <w:r>
              <w:rPr>
                <w:rFonts w:ascii="Calibri" w:hAnsi="Calibri" w:cs="Arial"/>
                <w:noProof/>
                <w:color w:val="000000"/>
                <w:sz w:val="22"/>
                <w:szCs w:val="22"/>
              </w:rPr>
              <w:t> </w:t>
            </w:r>
          </w:p>
        </w:tc>
        <w:tc>
          <w:tcPr>
            <w:tcW w:w="174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20,000,000.00</w:t>
            </w:r>
          </w:p>
        </w:tc>
      </w:tr>
      <w:tr w:rsidR="00EC06FD">
        <w:trPr>
          <w:trHeight w:val="495"/>
          <w:jc w:val="center"/>
        </w:trPr>
        <w:tc>
          <w:tcPr>
            <w:tcW w:w="1702" w:type="dxa"/>
            <w:vMerge/>
            <w:tcBorders>
              <w:top w:val="nil"/>
              <w:left w:val="single" w:sz="8" w:space="0" w:color="auto"/>
              <w:bottom w:val="single" w:sz="8" w:space="0" w:color="000000"/>
              <w:right w:val="single" w:sz="8" w:space="0" w:color="auto"/>
            </w:tcBorders>
            <w:tcMar>
              <w:left w:w="57" w:type="dxa"/>
              <w:right w:w="57" w:type="dxa"/>
            </w:tcMar>
            <w:vAlign w:val="center"/>
            <w:hideMark/>
          </w:tcPr>
          <w:p w:rsidR="00EC06FD" w:rsidRDefault="00EC06FD">
            <w:pPr>
              <w:rPr>
                <w:rFonts w:ascii="Calibri" w:hAnsi="Calibri" w:cs="Arial"/>
                <w:b/>
                <w:bCs/>
                <w:noProof/>
                <w:color w:val="000000"/>
                <w:sz w:val="22"/>
                <w:szCs w:val="22"/>
              </w:rPr>
            </w:pPr>
          </w:p>
        </w:tc>
        <w:tc>
          <w:tcPr>
            <w:tcW w:w="1775" w:type="dxa"/>
            <w:vMerge/>
            <w:tcBorders>
              <w:top w:val="nil"/>
              <w:left w:val="single" w:sz="8" w:space="0" w:color="auto"/>
              <w:bottom w:val="single" w:sz="8" w:space="0" w:color="000000"/>
              <w:right w:val="nil"/>
            </w:tcBorders>
            <w:vAlign w:val="center"/>
            <w:hideMark/>
          </w:tcPr>
          <w:p w:rsidR="00EC06FD" w:rsidRDefault="00EC06FD">
            <w:pPr>
              <w:rPr>
                <w:rFonts w:ascii="Calibri" w:hAnsi="Calibri" w:cs="Arial"/>
                <w:noProof/>
                <w:color w:val="000000"/>
                <w:sz w:val="22"/>
                <w:szCs w:val="22"/>
              </w:rPr>
            </w:pPr>
          </w:p>
        </w:tc>
        <w:tc>
          <w:tcPr>
            <w:tcW w:w="1621" w:type="dxa"/>
            <w:vMerge/>
            <w:tcBorders>
              <w:top w:val="nil"/>
              <w:left w:val="nil"/>
              <w:bottom w:val="single" w:sz="8" w:space="0" w:color="000000"/>
              <w:right w:val="nil"/>
            </w:tcBorders>
            <w:vAlign w:val="center"/>
            <w:hideMark/>
          </w:tcPr>
          <w:p w:rsidR="00EC06FD" w:rsidRDefault="00EC06FD">
            <w:pPr>
              <w:rPr>
                <w:rFonts w:ascii="Calibri" w:hAnsi="Calibri" w:cs="Arial"/>
                <w:noProof/>
                <w:color w:val="000000"/>
                <w:sz w:val="22"/>
                <w:szCs w:val="22"/>
              </w:rPr>
            </w:pPr>
          </w:p>
        </w:tc>
        <w:tc>
          <w:tcPr>
            <w:tcW w:w="1621" w:type="dxa"/>
            <w:vMerge/>
            <w:tcBorders>
              <w:top w:val="nil"/>
              <w:left w:val="nil"/>
              <w:bottom w:val="single" w:sz="8" w:space="0" w:color="000000"/>
              <w:right w:val="nil"/>
            </w:tcBorders>
            <w:vAlign w:val="center"/>
            <w:hideMark/>
          </w:tcPr>
          <w:p w:rsidR="00EC06FD" w:rsidRDefault="00EC06FD">
            <w:pPr>
              <w:rPr>
                <w:rFonts w:ascii="Calibri" w:hAnsi="Calibri" w:cs="Arial"/>
                <w:noProof/>
                <w:color w:val="000000"/>
                <w:sz w:val="22"/>
                <w:szCs w:val="22"/>
              </w:rPr>
            </w:pPr>
          </w:p>
        </w:tc>
        <w:tc>
          <w:tcPr>
            <w:tcW w:w="1621" w:type="dxa"/>
            <w:gridSpan w:val="2"/>
            <w:vMerge/>
            <w:tcBorders>
              <w:top w:val="nil"/>
              <w:left w:val="nil"/>
              <w:bottom w:val="single" w:sz="8" w:space="0" w:color="000000"/>
              <w:right w:val="nil"/>
            </w:tcBorders>
            <w:vAlign w:val="center"/>
            <w:hideMark/>
          </w:tcPr>
          <w:p w:rsidR="00EC06FD" w:rsidRDefault="00EC06FD">
            <w:pPr>
              <w:rPr>
                <w:rFonts w:ascii="Calibri" w:hAnsi="Calibri" w:cs="Arial"/>
                <w:noProof/>
                <w:color w:val="000000"/>
                <w:sz w:val="22"/>
                <w:szCs w:val="22"/>
              </w:rPr>
            </w:pPr>
          </w:p>
        </w:tc>
        <w:tc>
          <w:tcPr>
            <w:tcW w:w="1499" w:type="dxa"/>
            <w:vMerge/>
            <w:tcBorders>
              <w:top w:val="nil"/>
              <w:left w:val="nil"/>
              <w:bottom w:val="single" w:sz="8" w:space="0" w:color="000000"/>
              <w:right w:val="nil"/>
            </w:tcBorders>
            <w:vAlign w:val="center"/>
            <w:hideMark/>
          </w:tcPr>
          <w:p w:rsidR="00EC06FD" w:rsidRDefault="00EC06FD">
            <w:pPr>
              <w:rPr>
                <w:rFonts w:ascii="Calibri" w:hAnsi="Calibri" w:cs="Arial"/>
                <w:noProof/>
                <w:color w:val="000000"/>
                <w:sz w:val="22"/>
                <w:szCs w:val="22"/>
              </w:rPr>
            </w:pPr>
          </w:p>
        </w:tc>
        <w:tc>
          <w:tcPr>
            <w:tcW w:w="1688" w:type="dxa"/>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(Innovfin for Euratom)</w:t>
            </w:r>
          </w:p>
        </w:tc>
        <w:tc>
          <w:tcPr>
            <w:tcW w:w="1499" w:type="dxa"/>
            <w:vMerge/>
            <w:tcBorders>
              <w:top w:val="nil"/>
              <w:left w:val="nil"/>
              <w:bottom w:val="single" w:sz="8" w:space="0" w:color="000000"/>
              <w:right w:val="single" w:sz="8" w:space="0" w:color="auto"/>
            </w:tcBorders>
            <w:vAlign w:val="center"/>
            <w:hideMark/>
          </w:tcPr>
          <w:p w:rsidR="00EC06FD" w:rsidRDefault="00EC06FD">
            <w:pPr>
              <w:rPr>
                <w:rFonts w:ascii="Calibri" w:hAnsi="Calibri" w:cs="Arial"/>
                <w:noProof/>
                <w:color w:val="000000"/>
                <w:sz w:val="22"/>
                <w:szCs w:val="22"/>
              </w:rPr>
            </w:pPr>
          </w:p>
        </w:tc>
        <w:tc>
          <w:tcPr>
            <w:tcW w:w="1742" w:type="dxa"/>
            <w:vMerge/>
            <w:tcBorders>
              <w:top w:val="nil"/>
              <w:left w:val="single" w:sz="8" w:space="0" w:color="auto"/>
              <w:bottom w:val="single" w:sz="8" w:space="0" w:color="000000"/>
              <w:right w:val="single" w:sz="8" w:space="0" w:color="auto"/>
            </w:tcBorders>
            <w:vAlign w:val="center"/>
            <w:hideMark/>
          </w:tcPr>
          <w:p w:rsidR="00EC06FD" w:rsidRDefault="00EC06FD">
            <w:pPr>
              <w:rPr>
                <w:rFonts w:ascii="Calibri" w:hAnsi="Calibri" w:cs="Arial"/>
                <w:noProof/>
                <w:color w:val="000000"/>
                <w:sz w:val="22"/>
                <w:szCs w:val="22"/>
              </w:rPr>
            </w:pPr>
          </w:p>
        </w:tc>
      </w:tr>
      <w:tr w:rsidR="00EC06FD">
        <w:trPr>
          <w:trHeight w:val="315"/>
          <w:jc w:val="center"/>
        </w:trPr>
        <w:tc>
          <w:tcPr>
            <w:tcW w:w="1702" w:type="dxa"/>
            <w:tcBorders>
              <w:top w:val="nil"/>
              <w:left w:val="single" w:sz="8" w:space="0" w:color="auto"/>
              <w:bottom w:val="single" w:sz="8" w:space="0" w:color="auto"/>
              <w:right w:val="nil"/>
            </w:tcBorders>
            <w:shd w:val="clear" w:color="000000" w:fill="F2F2F2"/>
            <w:tcMar>
              <w:left w:w="57" w:type="dxa"/>
              <w:right w:w="57" w:type="dxa"/>
            </w:tcMar>
            <w:vAlign w:val="center"/>
            <w:hideMark/>
          </w:tcPr>
          <w:p w:rsidR="00EC06FD" w:rsidRDefault="00F346DE">
            <w:pPr>
              <w:rPr>
                <w:rFonts w:ascii="Calibri" w:hAnsi="Calibri" w:cs="Arial"/>
                <w:b/>
                <w:bCs/>
                <w:noProof/>
                <w:color w:val="000000"/>
                <w:sz w:val="22"/>
                <w:szCs w:val="22"/>
              </w:rPr>
            </w:pPr>
            <w:r>
              <w:rPr>
                <w:rFonts w:ascii="Calibri" w:hAnsi="Calibri" w:cs="Arial"/>
                <w:b/>
                <w:bCs/>
                <w:noProof/>
                <w:color w:val="000000"/>
                <w:sz w:val="22"/>
                <w:szCs w:val="22"/>
              </w:rPr>
              <w:t>Total</w:t>
            </w:r>
          </w:p>
        </w:tc>
        <w:tc>
          <w:tcPr>
            <w:tcW w:w="1775" w:type="dxa"/>
            <w:tcBorders>
              <w:top w:val="nil"/>
              <w:left w:val="single" w:sz="8" w:space="0" w:color="auto"/>
              <w:bottom w:val="single" w:sz="8" w:space="0" w:color="auto"/>
              <w:right w:val="nil"/>
            </w:tcBorders>
            <w:shd w:val="clear" w:color="000000" w:fill="F2F2F2"/>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59,708,662.80</w:t>
            </w:r>
          </w:p>
        </w:tc>
        <w:tc>
          <w:tcPr>
            <w:tcW w:w="1621" w:type="dxa"/>
            <w:tcBorders>
              <w:top w:val="nil"/>
              <w:left w:val="nil"/>
              <w:bottom w:val="single" w:sz="8" w:space="0" w:color="auto"/>
              <w:right w:val="nil"/>
            </w:tcBorders>
            <w:shd w:val="clear" w:color="000000" w:fill="F2F2F2"/>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19,455,488.90</w:t>
            </w:r>
          </w:p>
        </w:tc>
        <w:tc>
          <w:tcPr>
            <w:tcW w:w="1621" w:type="dxa"/>
            <w:tcBorders>
              <w:top w:val="nil"/>
              <w:left w:val="nil"/>
              <w:bottom w:val="single" w:sz="8" w:space="0" w:color="auto"/>
              <w:right w:val="nil"/>
            </w:tcBorders>
            <w:shd w:val="clear" w:color="000000" w:fill="F2F2F2"/>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9,096,239.25</w:t>
            </w:r>
          </w:p>
        </w:tc>
        <w:tc>
          <w:tcPr>
            <w:tcW w:w="1621" w:type="dxa"/>
            <w:gridSpan w:val="2"/>
            <w:tcBorders>
              <w:top w:val="nil"/>
              <w:left w:val="nil"/>
              <w:bottom w:val="single" w:sz="8" w:space="0" w:color="auto"/>
              <w:right w:val="nil"/>
            </w:tcBorders>
            <w:shd w:val="clear" w:color="000000" w:fill="F2F2F2"/>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9,995,145.75</w:t>
            </w:r>
          </w:p>
        </w:tc>
        <w:tc>
          <w:tcPr>
            <w:tcW w:w="1499" w:type="dxa"/>
            <w:tcBorders>
              <w:top w:val="nil"/>
              <w:left w:val="nil"/>
              <w:bottom w:val="single" w:sz="8" w:space="0" w:color="auto"/>
              <w:right w:val="nil"/>
            </w:tcBorders>
            <w:shd w:val="clear" w:color="000000" w:fill="F2F2F2"/>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3,999,259.69</w:t>
            </w:r>
          </w:p>
        </w:tc>
        <w:tc>
          <w:tcPr>
            <w:tcW w:w="1688" w:type="dxa"/>
            <w:tcBorders>
              <w:top w:val="nil"/>
              <w:left w:val="nil"/>
              <w:bottom w:val="single" w:sz="8" w:space="0" w:color="auto"/>
              <w:right w:val="nil"/>
            </w:tcBorders>
            <w:shd w:val="clear" w:color="000000" w:fill="F2F2F2"/>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26,598,148.25</w:t>
            </w:r>
          </w:p>
        </w:tc>
        <w:tc>
          <w:tcPr>
            <w:tcW w:w="1499" w:type="dxa"/>
            <w:tcBorders>
              <w:top w:val="nil"/>
              <w:left w:val="nil"/>
              <w:bottom w:val="single" w:sz="8" w:space="0" w:color="auto"/>
              <w:right w:val="nil"/>
            </w:tcBorders>
            <w:shd w:val="clear" w:color="000000" w:fill="F2F2F2"/>
            <w:vAlign w:val="center"/>
            <w:hideMark/>
          </w:tcPr>
          <w:p w:rsidR="00EC06FD" w:rsidRDefault="00F346DE">
            <w:pPr>
              <w:rPr>
                <w:rFonts w:ascii="Calibri" w:hAnsi="Calibri" w:cs="Arial"/>
                <w:noProof/>
                <w:color w:val="000000"/>
                <w:sz w:val="22"/>
                <w:szCs w:val="22"/>
              </w:rPr>
            </w:pPr>
            <w:r>
              <w:rPr>
                <w:rFonts w:ascii="Calibri" w:hAnsi="Calibri" w:cs="Arial"/>
                <w:noProof/>
                <w:color w:val="000000"/>
                <w:sz w:val="22"/>
                <w:szCs w:val="22"/>
              </w:rPr>
              <w:t> </w:t>
            </w:r>
          </w:p>
        </w:tc>
        <w:tc>
          <w:tcPr>
            <w:tcW w:w="1742" w:type="dxa"/>
            <w:tcBorders>
              <w:top w:val="nil"/>
              <w:left w:val="single" w:sz="8" w:space="0" w:color="auto"/>
              <w:bottom w:val="single" w:sz="8" w:space="0" w:color="auto"/>
              <w:right w:val="single" w:sz="8" w:space="0" w:color="auto"/>
            </w:tcBorders>
            <w:shd w:val="clear" w:color="000000" w:fill="F2F2F2"/>
            <w:noWrap/>
            <w:vAlign w:val="center"/>
            <w:hideMark/>
          </w:tcPr>
          <w:p w:rsidR="00EC06FD" w:rsidRDefault="00F346DE">
            <w:pPr>
              <w:jc w:val="center"/>
              <w:rPr>
                <w:rFonts w:ascii="Calibri" w:hAnsi="Calibri" w:cs="Arial"/>
                <w:noProof/>
                <w:color w:val="000000"/>
                <w:sz w:val="22"/>
                <w:szCs w:val="22"/>
              </w:rPr>
            </w:pPr>
            <w:r>
              <w:rPr>
                <w:rFonts w:ascii="Calibri" w:hAnsi="Calibri" w:cs="Arial"/>
                <w:noProof/>
                <w:color w:val="000000"/>
                <w:sz w:val="22"/>
                <w:szCs w:val="22"/>
              </w:rPr>
              <w:t>128,852,944.64</w:t>
            </w:r>
          </w:p>
        </w:tc>
      </w:tr>
      <w:tr w:rsidR="00EC06FD">
        <w:trPr>
          <w:trHeight w:val="270"/>
          <w:jc w:val="center"/>
        </w:trPr>
        <w:tc>
          <w:tcPr>
            <w:tcW w:w="1702" w:type="dxa"/>
            <w:tcBorders>
              <w:top w:val="nil"/>
              <w:left w:val="single" w:sz="8" w:space="0" w:color="auto"/>
              <w:bottom w:val="single" w:sz="8" w:space="0" w:color="auto"/>
              <w:right w:val="nil"/>
            </w:tcBorders>
            <w:shd w:val="clear" w:color="auto" w:fill="auto"/>
            <w:tcMar>
              <w:left w:w="57" w:type="dxa"/>
              <w:right w:w="57" w:type="dxa"/>
            </w:tcMar>
            <w:vAlign w:val="center"/>
            <w:hideMark/>
          </w:tcPr>
          <w:p w:rsidR="00EC06FD" w:rsidRDefault="00F346DE">
            <w:pPr>
              <w:rPr>
                <w:rFonts w:ascii="Calibri" w:hAnsi="Calibri" w:cs="Arial"/>
                <w:b/>
                <w:bCs/>
                <w:noProof/>
                <w:color w:val="000000"/>
                <w:sz w:val="22"/>
                <w:szCs w:val="22"/>
              </w:rPr>
            </w:pPr>
            <w:r>
              <w:rPr>
                <w:rFonts w:ascii="Calibri" w:hAnsi="Calibri" w:cs="Arial"/>
                <w:b/>
                <w:bCs/>
                <w:noProof/>
                <w:color w:val="000000"/>
                <w:sz w:val="22"/>
                <w:szCs w:val="22"/>
              </w:rPr>
              <w:t>Total for 2014-17</w:t>
            </w:r>
          </w:p>
        </w:tc>
        <w:tc>
          <w:tcPr>
            <w:tcW w:w="1775" w:type="dxa"/>
            <w:tcBorders>
              <w:top w:val="nil"/>
              <w:left w:val="single" w:sz="8" w:space="0" w:color="auto"/>
              <w:bottom w:val="single" w:sz="8" w:space="0" w:color="auto"/>
              <w:right w:val="nil"/>
            </w:tcBorders>
            <w:shd w:val="clear" w:color="auto" w:fill="auto"/>
            <w:vAlign w:val="center"/>
            <w:hideMark/>
          </w:tcPr>
          <w:p w:rsidR="00EC06FD" w:rsidRDefault="00F346DE">
            <w:pPr>
              <w:jc w:val="center"/>
              <w:rPr>
                <w:rFonts w:ascii="Calibri" w:hAnsi="Calibri" w:cs="Arial"/>
                <w:b/>
                <w:bCs/>
                <w:noProof/>
                <w:color w:val="000000"/>
                <w:sz w:val="22"/>
                <w:szCs w:val="22"/>
              </w:rPr>
            </w:pPr>
            <w:r>
              <w:rPr>
                <w:rFonts w:ascii="Calibri" w:hAnsi="Calibri" w:cs="Arial"/>
                <w:b/>
                <w:bCs/>
                <w:noProof/>
                <w:color w:val="000000"/>
                <w:sz w:val="22"/>
                <w:szCs w:val="22"/>
              </w:rPr>
              <w:t>94,755,495.26</w:t>
            </w:r>
          </w:p>
        </w:tc>
        <w:tc>
          <w:tcPr>
            <w:tcW w:w="1621" w:type="dxa"/>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bCs/>
                <w:noProof/>
                <w:color w:val="000000"/>
                <w:sz w:val="22"/>
                <w:szCs w:val="22"/>
              </w:rPr>
            </w:pPr>
            <w:r>
              <w:rPr>
                <w:rFonts w:ascii="Calibri" w:hAnsi="Calibri" w:cs="Arial"/>
                <w:b/>
                <w:bCs/>
                <w:noProof/>
                <w:color w:val="000000"/>
                <w:sz w:val="22"/>
                <w:szCs w:val="22"/>
              </w:rPr>
              <w:t>35,758,656.15</w:t>
            </w:r>
          </w:p>
        </w:tc>
        <w:tc>
          <w:tcPr>
            <w:tcW w:w="1621" w:type="dxa"/>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bCs/>
                <w:noProof/>
                <w:color w:val="000000"/>
                <w:sz w:val="22"/>
                <w:szCs w:val="22"/>
              </w:rPr>
            </w:pPr>
            <w:r>
              <w:rPr>
                <w:rFonts w:ascii="Calibri" w:hAnsi="Calibri" w:cs="Arial"/>
                <w:b/>
                <w:bCs/>
                <w:noProof/>
                <w:color w:val="000000"/>
                <w:sz w:val="22"/>
                <w:szCs w:val="22"/>
              </w:rPr>
              <w:t>12,648,508.25</w:t>
            </w:r>
          </w:p>
        </w:tc>
        <w:tc>
          <w:tcPr>
            <w:tcW w:w="1621" w:type="dxa"/>
            <w:gridSpan w:val="2"/>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bCs/>
                <w:noProof/>
                <w:color w:val="000000"/>
                <w:sz w:val="22"/>
                <w:szCs w:val="22"/>
              </w:rPr>
            </w:pPr>
            <w:r>
              <w:rPr>
                <w:rFonts w:ascii="Calibri" w:hAnsi="Calibri" w:cs="Arial"/>
                <w:b/>
                <w:bCs/>
                <w:noProof/>
                <w:color w:val="000000"/>
                <w:sz w:val="22"/>
                <w:szCs w:val="22"/>
              </w:rPr>
              <w:t>29,818,023.75</w:t>
            </w:r>
          </w:p>
        </w:tc>
        <w:tc>
          <w:tcPr>
            <w:tcW w:w="1499" w:type="dxa"/>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bCs/>
                <w:noProof/>
                <w:color w:val="000000"/>
                <w:sz w:val="22"/>
                <w:szCs w:val="22"/>
              </w:rPr>
            </w:pPr>
            <w:r>
              <w:rPr>
                <w:rFonts w:ascii="Calibri" w:hAnsi="Calibri" w:cs="Arial"/>
                <w:b/>
                <w:bCs/>
                <w:noProof/>
                <w:color w:val="000000"/>
                <w:sz w:val="22"/>
                <w:szCs w:val="22"/>
              </w:rPr>
              <w:t>3,999,259.69</w:t>
            </w:r>
          </w:p>
        </w:tc>
        <w:tc>
          <w:tcPr>
            <w:tcW w:w="1688" w:type="dxa"/>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bCs/>
                <w:noProof/>
                <w:color w:val="000000"/>
                <w:sz w:val="22"/>
                <w:szCs w:val="22"/>
              </w:rPr>
            </w:pPr>
            <w:r>
              <w:rPr>
                <w:rFonts w:ascii="Calibri" w:hAnsi="Calibri" w:cs="Arial"/>
                <w:b/>
                <w:bCs/>
                <w:noProof/>
                <w:color w:val="000000"/>
                <w:sz w:val="22"/>
                <w:szCs w:val="22"/>
              </w:rPr>
              <w:t>51,685,434.25</w:t>
            </w:r>
          </w:p>
        </w:tc>
        <w:tc>
          <w:tcPr>
            <w:tcW w:w="1499" w:type="dxa"/>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bCs/>
                <w:noProof/>
                <w:color w:val="000000"/>
                <w:sz w:val="22"/>
                <w:szCs w:val="22"/>
              </w:rPr>
            </w:pPr>
            <w:r>
              <w:rPr>
                <w:rFonts w:ascii="Calibri" w:hAnsi="Calibri" w:cs="Arial"/>
                <w:b/>
                <w:bCs/>
                <w:noProof/>
                <w:color w:val="000000"/>
                <w:sz w:val="22"/>
                <w:szCs w:val="22"/>
              </w:rPr>
              <w:t>5,331,899.00</w:t>
            </w:r>
          </w:p>
        </w:tc>
        <w:tc>
          <w:tcPr>
            <w:tcW w:w="1742" w:type="dxa"/>
            <w:tcBorders>
              <w:top w:val="nil"/>
              <w:left w:val="single" w:sz="8" w:space="0" w:color="auto"/>
              <w:bottom w:val="single" w:sz="8" w:space="0" w:color="auto"/>
              <w:right w:val="single" w:sz="8" w:space="0" w:color="auto"/>
            </w:tcBorders>
            <w:shd w:val="clear" w:color="auto" w:fill="auto"/>
            <w:noWrap/>
            <w:vAlign w:val="center"/>
            <w:hideMark/>
          </w:tcPr>
          <w:p w:rsidR="00EC06FD" w:rsidRDefault="00F346DE">
            <w:pPr>
              <w:jc w:val="center"/>
              <w:rPr>
                <w:rFonts w:ascii="Calibri" w:hAnsi="Calibri" w:cs="Arial"/>
                <w:b/>
                <w:bCs/>
                <w:noProof/>
                <w:color w:val="000000"/>
                <w:sz w:val="22"/>
                <w:szCs w:val="22"/>
              </w:rPr>
            </w:pPr>
            <w:r>
              <w:rPr>
                <w:rFonts w:ascii="Calibri" w:hAnsi="Calibri" w:cs="Arial"/>
                <w:b/>
                <w:bCs/>
                <w:noProof/>
                <w:color w:val="000000"/>
                <w:sz w:val="22"/>
                <w:szCs w:val="22"/>
              </w:rPr>
              <w:t>233,997,276.75</w:t>
            </w:r>
          </w:p>
        </w:tc>
      </w:tr>
      <w:tr w:rsidR="00EC06FD">
        <w:trPr>
          <w:trHeight w:val="270"/>
          <w:jc w:val="center"/>
        </w:trPr>
        <w:tc>
          <w:tcPr>
            <w:tcW w:w="1702" w:type="dxa"/>
            <w:tcBorders>
              <w:top w:val="nil"/>
              <w:left w:val="single" w:sz="8" w:space="0" w:color="auto"/>
              <w:bottom w:val="single" w:sz="8" w:space="0" w:color="auto"/>
              <w:right w:val="nil"/>
            </w:tcBorders>
            <w:shd w:val="clear" w:color="auto" w:fill="auto"/>
            <w:tcMar>
              <w:left w:w="57" w:type="dxa"/>
              <w:right w:w="57" w:type="dxa"/>
            </w:tcMar>
            <w:vAlign w:val="center"/>
            <w:hideMark/>
          </w:tcPr>
          <w:p w:rsidR="00EC06FD" w:rsidRDefault="00F346DE">
            <w:pPr>
              <w:rPr>
                <w:rFonts w:ascii="Calibri" w:hAnsi="Calibri" w:cs="Arial"/>
                <w:b/>
                <w:bCs/>
                <w:noProof/>
                <w:color w:val="000000"/>
                <w:sz w:val="22"/>
                <w:szCs w:val="22"/>
              </w:rPr>
            </w:pPr>
            <w:r>
              <w:rPr>
                <w:rFonts w:ascii="Calibri" w:hAnsi="Calibri" w:cs="Arial"/>
                <w:b/>
                <w:bCs/>
                <w:noProof/>
                <w:color w:val="000000"/>
                <w:sz w:val="22"/>
                <w:szCs w:val="22"/>
              </w:rPr>
              <w:t>% of budget 2014-17</w:t>
            </w:r>
          </w:p>
        </w:tc>
        <w:tc>
          <w:tcPr>
            <w:tcW w:w="1775" w:type="dxa"/>
            <w:tcBorders>
              <w:top w:val="nil"/>
              <w:left w:val="single" w:sz="8" w:space="0" w:color="auto"/>
              <w:bottom w:val="single" w:sz="8" w:space="0" w:color="auto"/>
              <w:right w:val="nil"/>
            </w:tcBorders>
            <w:shd w:val="clear" w:color="auto" w:fill="auto"/>
            <w:vAlign w:val="center"/>
            <w:hideMark/>
          </w:tcPr>
          <w:p w:rsidR="00EC06FD" w:rsidRDefault="00F346DE">
            <w:pPr>
              <w:jc w:val="center"/>
              <w:rPr>
                <w:rFonts w:ascii="Calibri" w:hAnsi="Calibri" w:cs="Arial"/>
                <w:b/>
                <w:bCs/>
                <w:i/>
                <w:iCs/>
                <w:noProof/>
                <w:color w:val="000000"/>
                <w:sz w:val="22"/>
                <w:szCs w:val="22"/>
              </w:rPr>
            </w:pPr>
            <w:r>
              <w:rPr>
                <w:rFonts w:ascii="Calibri" w:hAnsi="Calibri" w:cs="Arial"/>
                <w:b/>
                <w:bCs/>
                <w:i/>
                <w:iCs/>
                <w:noProof/>
                <w:color w:val="000000"/>
                <w:sz w:val="22"/>
                <w:szCs w:val="22"/>
              </w:rPr>
              <w:t>41%</w:t>
            </w:r>
          </w:p>
        </w:tc>
        <w:tc>
          <w:tcPr>
            <w:tcW w:w="1621" w:type="dxa"/>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bCs/>
                <w:i/>
                <w:iCs/>
                <w:noProof/>
                <w:color w:val="000000"/>
                <w:sz w:val="22"/>
                <w:szCs w:val="22"/>
              </w:rPr>
            </w:pPr>
            <w:r>
              <w:rPr>
                <w:rFonts w:ascii="Calibri" w:hAnsi="Calibri" w:cs="Arial"/>
                <w:b/>
                <w:bCs/>
                <w:i/>
                <w:iCs/>
                <w:noProof/>
                <w:color w:val="000000"/>
                <w:sz w:val="22"/>
                <w:szCs w:val="22"/>
              </w:rPr>
              <w:t>15%</w:t>
            </w:r>
          </w:p>
        </w:tc>
        <w:tc>
          <w:tcPr>
            <w:tcW w:w="1621" w:type="dxa"/>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bCs/>
                <w:i/>
                <w:iCs/>
                <w:noProof/>
                <w:color w:val="000000"/>
                <w:sz w:val="22"/>
                <w:szCs w:val="22"/>
              </w:rPr>
            </w:pPr>
            <w:r>
              <w:rPr>
                <w:rFonts w:ascii="Calibri" w:hAnsi="Calibri" w:cs="Arial"/>
                <w:b/>
                <w:bCs/>
                <w:i/>
                <w:iCs/>
                <w:noProof/>
                <w:color w:val="000000"/>
                <w:sz w:val="22"/>
                <w:szCs w:val="22"/>
              </w:rPr>
              <w:t>5%</w:t>
            </w:r>
          </w:p>
        </w:tc>
        <w:tc>
          <w:tcPr>
            <w:tcW w:w="1621" w:type="dxa"/>
            <w:gridSpan w:val="2"/>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bCs/>
                <w:i/>
                <w:iCs/>
                <w:noProof/>
                <w:color w:val="000000"/>
                <w:sz w:val="22"/>
                <w:szCs w:val="22"/>
              </w:rPr>
            </w:pPr>
            <w:r>
              <w:rPr>
                <w:rFonts w:ascii="Calibri" w:hAnsi="Calibri" w:cs="Arial"/>
                <w:b/>
                <w:bCs/>
                <w:i/>
                <w:iCs/>
                <w:noProof/>
                <w:color w:val="000000"/>
                <w:sz w:val="22"/>
                <w:szCs w:val="22"/>
              </w:rPr>
              <w:t>13%</w:t>
            </w:r>
          </w:p>
        </w:tc>
        <w:tc>
          <w:tcPr>
            <w:tcW w:w="1499" w:type="dxa"/>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bCs/>
                <w:i/>
                <w:iCs/>
                <w:noProof/>
                <w:color w:val="000000"/>
                <w:sz w:val="22"/>
                <w:szCs w:val="22"/>
              </w:rPr>
            </w:pPr>
            <w:r>
              <w:rPr>
                <w:rFonts w:ascii="Calibri" w:hAnsi="Calibri" w:cs="Arial"/>
                <w:b/>
                <w:bCs/>
                <w:i/>
                <w:iCs/>
                <w:noProof/>
                <w:color w:val="000000"/>
                <w:sz w:val="22"/>
                <w:szCs w:val="22"/>
              </w:rPr>
              <w:t>2%</w:t>
            </w:r>
          </w:p>
        </w:tc>
        <w:tc>
          <w:tcPr>
            <w:tcW w:w="1688" w:type="dxa"/>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bCs/>
                <w:i/>
                <w:iCs/>
                <w:noProof/>
                <w:color w:val="000000"/>
                <w:sz w:val="22"/>
                <w:szCs w:val="22"/>
              </w:rPr>
            </w:pPr>
            <w:r>
              <w:rPr>
                <w:rFonts w:ascii="Calibri" w:hAnsi="Calibri" w:cs="Arial"/>
                <w:b/>
                <w:bCs/>
                <w:i/>
                <w:iCs/>
                <w:noProof/>
                <w:color w:val="000000"/>
                <w:sz w:val="22"/>
                <w:szCs w:val="22"/>
              </w:rPr>
              <w:t>22%</w:t>
            </w:r>
          </w:p>
        </w:tc>
        <w:tc>
          <w:tcPr>
            <w:tcW w:w="1499" w:type="dxa"/>
            <w:tcBorders>
              <w:top w:val="nil"/>
              <w:left w:val="nil"/>
              <w:bottom w:val="single" w:sz="8" w:space="0" w:color="auto"/>
              <w:right w:val="nil"/>
            </w:tcBorders>
            <w:shd w:val="clear" w:color="auto" w:fill="auto"/>
            <w:vAlign w:val="center"/>
            <w:hideMark/>
          </w:tcPr>
          <w:p w:rsidR="00EC06FD" w:rsidRDefault="00F346DE">
            <w:pPr>
              <w:jc w:val="center"/>
              <w:rPr>
                <w:rFonts w:ascii="Calibri" w:hAnsi="Calibri" w:cs="Arial"/>
                <w:b/>
                <w:bCs/>
                <w:i/>
                <w:iCs/>
                <w:noProof/>
                <w:color w:val="000000"/>
                <w:sz w:val="22"/>
                <w:szCs w:val="22"/>
              </w:rPr>
            </w:pPr>
            <w:r>
              <w:rPr>
                <w:rFonts w:ascii="Calibri" w:hAnsi="Calibri" w:cs="Arial"/>
                <w:b/>
                <w:bCs/>
                <w:i/>
                <w:iCs/>
                <w:noProof/>
                <w:color w:val="000000"/>
                <w:sz w:val="22"/>
                <w:szCs w:val="22"/>
              </w:rPr>
              <w:t>2%</w:t>
            </w:r>
          </w:p>
        </w:tc>
        <w:tc>
          <w:tcPr>
            <w:tcW w:w="1742" w:type="dxa"/>
            <w:tcBorders>
              <w:top w:val="nil"/>
              <w:left w:val="single" w:sz="8" w:space="0" w:color="auto"/>
              <w:bottom w:val="single" w:sz="8" w:space="0" w:color="auto"/>
              <w:right w:val="single" w:sz="8" w:space="0" w:color="auto"/>
            </w:tcBorders>
            <w:shd w:val="clear" w:color="auto" w:fill="auto"/>
            <w:noWrap/>
            <w:vAlign w:val="center"/>
            <w:hideMark/>
          </w:tcPr>
          <w:p w:rsidR="00EC06FD" w:rsidRDefault="00F346DE">
            <w:pPr>
              <w:jc w:val="center"/>
              <w:rPr>
                <w:rFonts w:ascii="Calibri" w:hAnsi="Calibri" w:cs="Arial"/>
                <w:b/>
                <w:bCs/>
                <w:i/>
                <w:iCs/>
                <w:noProof/>
                <w:color w:val="000000"/>
                <w:sz w:val="22"/>
                <w:szCs w:val="22"/>
              </w:rPr>
            </w:pPr>
            <w:r>
              <w:rPr>
                <w:rFonts w:ascii="Calibri" w:hAnsi="Calibri" w:cs="Arial"/>
                <w:b/>
                <w:bCs/>
                <w:i/>
                <w:iCs/>
                <w:noProof/>
                <w:color w:val="000000"/>
                <w:sz w:val="22"/>
                <w:szCs w:val="22"/>
              </w:rPr>
              <w:t>100%</w:t>
            </w:r>
          </w:p>
        </w:tc>
      </w:tr>
    </w:tbl>
    <w:p w:rsidR="00EC06FD" w:rsidRDefault="00F346DE">
      <w:pPr>
        <w:suppressAutoHyphens/>
        <w:spacing w:after="120" w:line="276" w:lineRule="auto"/>
        <w:rPr>
          <w:i/>
          <w:noProof/>
          <w:sz w:val="22"/>
        </w:rPr>
        <w:sectPr w:rsidR="00EC06FD">
          <w:headerReference w:type="even" r:id="rId54"/>
          <w:headerReference w:type="default" r:id="rId55"/>
          <w:footerReference w:type="even" r:id="rId56"/>
          <w:footerReference w:type="default" r:id="rId57"/>
          <w:headerReference w:type="first" r:id="rId58"/>
          <w:footerReference w:type="first" r:id="rId59"/>
          <w:type w:val="continuous"/>
          <w:pgSz w:w="16838" w:h="11906" w:orient="landscape"/>
          <w:pgMar w:top="1418" w:right="1418" w:bottom="1418" w:left="1418" w:header="601" w:footer="1077" w:gutter="0"/>
          <w:cols w:space="720"/>
          <w:titlePg/>
        </w:sectPr>
      </w:pPr>
      <w:r>
        <w:rPr>
          <w:i/>
          <w:noProof/>
          <w:sz w:val="22"/>
        </w:rPr>
        <w:t>Source: European Commission</w:t>
      </w:r>
    </w:p>
    <w:p w:rsidR="00EC06FD" w:rsidRDefault="00F346DE">
      <w:pPr>
        <w:spacing w:after="120" w:line="276" w:lineRule="auto"/>
        <w:jc w:val="both"/>
        <w:rPr>
          <w:noProof/>
        </w:rPr>
      </w:pPr>
      <w:r>
        <w:rPr>
          <w:noProof/>
        </w:rPr>
        <w:lastRenderedPageBreak/>
        <w:t>Table 13 shows progress made by fission projects in three main areas of research (safety, waste management and radiation protection). While the number of reported publications is relatively low at the start of project implementation, it can be noted that Euratom projects already established substantial teams of researchers (almost 1200 people) and they report progress made in terms of milestones reached. Table 11 shows a summary of expected impacts of the Programme in the above fields.</w:t>
      </w:r>
    </w:p>
    <w:p w:rsidR="00EC06FD" w:rsidRDefault="00F346DE">
      <w:pPr>
        <w:suppressAutoHyphens/>
        <w:spacing w:after="120" w:line="276" w:lineRule="auto"/>
        <w:jc w:val="both"/>
        <w:rPr>
          <w:noProof/>
        </w:rPr>
      </w:pPr>
      <w:r>
        <w:rPr>
          <w:noProof/>
        </w:rPr>
        <w:t xml:space="preserve">In order to assess the effectiveness of the fission part of the Euratom programme, a survey of participants in Euratom projects launched under the Euratom 2014-18 programme and FP7 was carried out in 2016. The e-survey questions on effectiveness sought to gather the perception of respondents concerning the extent to which their project(s) produce expected outputs, as defined in the projects' contractual documents, as well as immediate results (e.g. the intermediate stage between outputs produced by the project and impact). </w:t>
      </w:r>
      <w:r>
        <w:rPr>
          <w:b/>
          <w:noProof/>
        </w:rPr>
        <w:t>Respondents to the e-survey overwhelmingly reported that their projects had performed or are performing well in terms of producing the envisaged outputs. Overall, more than 85% (544) of the respondents considered that their project(s) produce(d) the expected deliverables,</w:t>
      </w:r>
      <w:r>
        <w:rPr>
          <w:noProof/>
        </w:rPr>
        <w:t xml:space="preserve"> of which half reported only minor deviations compared to the expected outputs. Less than 3% (16) of respondents considered that the expected outputs were not produced. The remaining respondents considered that it was not possible to answer the question because their projects were still ongoing. No project was considered as unable to deliver its planned outputs by a significant number of respondents. </w:t>
      </w:r>
    </w:p>
    <w:p w:rsidR="00EC06FD" w:rsidRDefault="00F346DE">
      <w:pPr>
        <w:suppressAutoHyphens/>
        <w:spacing w:after="120" w:line="276" w:lineRule="auto"/>
        <w:jc w:val="both"/>
        <w:rPr>
          <w:noProof/>
        </w:rPr>
      </w:pPr>
      <w:r>
        <w:rPr>
          <w:noProof/>
        </w:rPr>
        <w:t>According to qualitative responses received from respondents, deviations most often arose from the natural uncertainty and unpredictability of the scientific process. Major causes reported by e-survey respondents were technical difficulties encountered (e.g. equipment failure) and unexpected challenges or outcomes in experimental activities, which require an adjustment in the direction of the project. Collaborative and focused research projects are most susceptible to these types of problems. Other issues cited as impacting effectiveness in a small number of cases included administrative delays, a lack of interest from key target groups in some projects, or difficulties in the collaboration between partners.</w:t>
      </w:r>
    </w:p>
    <w:p w:rsidR="00EC06FD" w:rsidRDefault="00F346DE">
      <w:pPr>
        <w:suppressAutoHyphens/>
        <w:spacing w:after="120" w:line="276" w:lineRule="auto"/>
        <w:jc w:val="both"/>
        <w:rPr>
          <w:noProof/>
        </w:rPr>
        <w:sectPr w:rsidR="00EC06FD">
          <w:headerReference w:type="even" r:id="rId60"/>
          <w:headerReference w:type="default" r:id="rId61"/>
          <w:footerReference w:type="even" r:id="rId62"/>
          <w:footerReference w:type="default" r:id="rId63"/>
          <w:headerReference w:type="first" r:id="rId64"/>
          <w:footerReference w:type="first" r:id="rId65"/>
          <w:pgSz w:w="11906" w:h="16838"/>
          <w:pgMar w:top="1417" w:right="1417" w:bottom="1417" w:left="1417" w:header="601" w:footer="1077" w:gutter="0"/>
          <w:cols w:space="720"/>
          <w:titlePg/>
        </w:sectPr>
      </w:pPr>
      <w:r>
        <w:rPr>
          <w:noProof/>
        </w:rPr>
        <w:t xml:space="preserve">More generally, the e-survey also asked respondents to indicate any difficulties that had been experienced in the implementation of their projects, whether or not these resulted in major deviations in terms of project deliverables. 33% of the respondents (254) did not identify any difficulties during the implementation of their projects. The remaining 67% indicated at least one difficulty, though a range of reasons were mentioned and no clear pattern has emerged. The main difficulties underlined are external delays (25% of the difficulties) and budget limitations (24% of the difficulties), followed by the lack of engagement of project partners (17%), internal events (12%) and the feasibility of the project (8%). 15% of the responses (75 respondents) described other types of difficulties, mainly inadequately defined work plans, technical difficulties and lack of coordination and communication. The high number of respondents pointing to budget limitations and the citing poorly defined work plans does raise some concern that projects are not adequately defined and budgeted for at the stage of the </w:t>
      </w:r>
      <w:r>
        <w:rPr>
          <w:noProof/>
        </w:rPr>
        <w:lastRenderedPageBreak/>
        <w:t>proposal and that more scrutiny on this aspect may be needed during the proposal evaluation process.</w:t>
      </w:r>
    </w:p>
    <w:p w:rsidR="00EC06FD" w:rsidRDefault="00EC06FD">
      <w:pPr>
        <w:jc w:val="both"/>
        <w:rPr>
          <w:noProof/>
        </w:rPr>
      </w:pPr>
    </w:p>
    <w:tbl>
      <w:tblPr>
        <w:tblStyle w:val="TableGrid"/>
        <w:tblW w:w="15027" w:type="dxa"/>
        <w:tblInd w:w="-318" w:type="dxa"/>
        <w:tblLayout w:type="fixed"/>
        <w:tblLook w:val="04A0" w:firstRow="1" w:lastRow="0" w:firstColumn="1" w:lastColumn="0" w:noHBand="0" w:noVBand="1"/>
      </w:tblPr>
      <w:tblGrid>
        <w:gridCol w:w="1704"/>
        <w:gridCol w:w="1435"/>
        <w:gridCol w:w="1435"/>
        <w:gridCol w:w="1022"/>
        <w:gridCol w:w="926"/>
        <w:gridCol w:w="1324"/>
        <w:gridCol w:w="1246"/>
        <w:gridCol w:w="929"/>
        <w:gridCol w:w="908"/>
        <w:gridCol w:w="1404"/>
        <w:gridCol w:w="1276"/>
        <w:gridCol w:w="1418"/>
      </w:tblGrid>
      <w:tr w:rsidR="00EC06FD">
        <w:trPr>
          <w:trHeight w:val="360"/>
        </w:trPr>
        <w:tc>
          <w:tcPr>
            <w:tcW w:w="15027" w:type="dxa"/>
            <w:gridSpan w:val="12"/>
            <w:shd w:val="clear" w:color="auto" w:fill="BFBFBF" w:themeFill="background1" w:themeFillShade="BF"/>
            <w:vAlign w:val="center"/>
          </w:tcPr>
          <w:p w:rsidR="00EC06FD" w:rsidRDefault="00F346DE">
            <w:pPr>
              <w:jc w:val="center"/>
              <w:rPr>
                <w:b/>
                <w:noProof/>
              </w:rPr>
            </w:pPr>
            <w:r>
              <w:rPr>
                <w:b/>
                <w:noProof/>
                <w:sz w:val="22"/>
              </w:rPr>
              <w:t>Table 13 – Data from first periodic reports of fission projects launched in 2015</w:t>
            </w:r>
          </w:p>
          <w:p w:rsidR="00EC06FD" w:rsidRDefault="00F346DE">
            <w:pPr>
              <w:jc w:val="center"/>
              <w:rPr>
                <w:i/>
                <w:noProof/>
              </w:rPr>
            </w:pPr>
            <w:r>
              <w:rPr>
                <w:i/>
                <w:noProof/>
                <w:sz w:val="20"/>
              </w:rPr>
              <w:t>(Data retrieved in February 2017)</w:t>
            </w:r>
          </w:p>
        </w:tc>
      </w:tr>
      <w:tr w:rsidR="00EC06FD">
        <w:trPr>
          <w:trHeight w:val="360"/>
        </w:trPr>
        <w:tc>
          <w:tcPr>
            <w:tcW w:w="1704" w:type="dxa"/>
            <w:vMerge w:val="restart"/>
            <w:shd w:val="clear" w:color="auto" w:fill="BFBFBF" w:themeFill="background1" w:themeFillShade="BF"/>
          </w:tcPr>
          <w:p w:rsidR="00EC06FD" w:rsidRDefault="00F346DE">
            <w:pPr>
              <w:spacing w:before="120" w:after="120"/>
              <w:jc w:val="center"/>
              <w:rPr>
                <w:b/>
                <w:noProof/>
                <w:sz w:val="20"/>
                <w:szCs w:val="20"/>
              </w:rPr>
            </w:pPr>
            <w:r>
              <w:rPr>
                <w:b/>
                <w:noProof/>
                <w:sz w:val="20"/>
                <w:szCs w:val="20"/>
              </w:rPr>
              <w:t>Field of research</w:t>
            </w:r>
          </w:p>
        </w:tc>
        <w:tc>
          <w:tcPr>
            <w:tcW w:w="1435" w:type="dxa"/>
            <w:vMerge w:val="restart"/>
            <w:shd w:val="clear" w:color="auto" w:fill="BFBFBF" w:themeFill="background1" w:themeFillShade="BF"/>
          </w:tcPr>
          <w:p w:rsidR="00EC06FD" w:rsidRDefault="00F346DE">
            <w:pPr>
              <w:spacing w:before="120" w:after="120"/>
              <w:jc w:val="center"/>
              <w:rPr>
                <w:b/>
                <w:noProof/>
                <w:sz w:val="20"/>
                <w:szCs w:val="20"/>
              </w:rPr>
            </w:pPr>
            <w:r>
              <w:rPr>
                <w:b/>
                <w:noProof/>
                <w:sz w:val="20"/>
                <w:szCs w:val="20"/>
              </w:rPr>
              <w:t>Scientific publications (all)</w:t>
            </w:r>
          </w:p>
        </w:tc>
        <w:tc>
          <w:tcPr>
            <w:tcW w:w="1435" w:type="dxa"/>
            <w:vMerge w:val="restart"/>
            <w:shd w:val="clear" w:color="auto" w:fill="BFBFBF" w:themeFill="background1" w:themeFillShade="BF"/>
          </w:tcPr>
          <w:p w:rsidR="00EC06FD" w:rsidRDefault="00F346DE">
            <w:pPr>
              <w:spacing w:before="120" w:after="120"/>
              <w:jc w:val="center"/>
              <w:rPr>
                <w:b/>
                <w:noProof/>
                <w:sz w:val="20"/>
                <w:szCs w:val="20"/>
              </w:rPr>
            </w:pPr>
            <w:r>
              <w:rPr>
                <w:b/>
                <w:noProof/>
                <w:sz w:val="20"/>
                <w:szCs w:val="20"/>
              </w:rPr>
              <w:t>Scientific publications (peer reviewed)</w:t>
            </w:r>
          </w:p>
        </w:tc>
        <w:tc>
          <w:tcPr>
            <w:tcW w:w="3272" w:type="dxa"/>
            <w:gridSpan w:val="3"/>
            <w:shd w:val="clear" w:color="auto" w:fill="BFBFBF" w:themeFill="background1" w:themeFillShade="BF"/>
          </w:tcPr>
          <w:p w:rsidR="00EC06FD" w:rsidRDefault="00F346DE">
            <w:pPr>
              <w:spacing w:before="120" w:after="120"/>
              <w:jc w:val="center"/>
              <w:rPr>
                <w:b/>
                <w:noProof/>
                <w:sz w:val="20"/>
                <w:szCs w:val="20"/>
              </w:rPr>
            </w:pPr>
            <w:r>
              <w:rPr>
                <w:b/>
                <w:noProof/>
                <w:sz w:val="20"/>
                <w:szCs w:val="20"/>
              </w:rPr>
              <w:t>Audience reached by projects</w:t>
            </w:r>
          </w:p>
        </w:tc>
        <w:tc>
          <w:tcPr>
            <w:tcW w:w="3083" w:type="dxa"/>
            <w:gridSpan w:val="3"/>
            <w:shd w:val="clear" w:color="auto" w:fill="BFBFBF" w:themeFill="background1" w:themeFillShade="BF"/>
          </w:tcPr>
          <w:p w:rsidR="00EC06FD" w:rsidRDefault="00F346DE">
            <w:pPr>
              <w:spacing w:before="120" w:after="120"/>
              <w:jc w:val="center"/>
              <w:rPr>
                <w:b/>
                <w:noProof/>
                <w:sz w:val="20"/>
                <w:szCs w:val="20"/>
              </w:rPr>
            </w:pPr>
            <w:r>
              <w:rPr>
                <w:b/>
                <w:noProof/>
                <w:sz w:val="20"/>
                <w:szCs w:val="20"/>
              </w:rPr>
              <w:t>Researchers involved in projects</w:t>
            </w:r>
          </w:p>
        </w:tc>
        <w:tc>
          <w:tcPr>
            <w:tcW w:w="1404" w:type="dxa"/>
            <w:vMerge w:val="restart"/>
            <w:shd w:val="clear" w:color="auto" w:fill="BFBFBF" w:themeFill="background1" w:themeFillShade="BF"/>
          </w:tcPr>
          <w:p w:rsidR="00EC06FD" w:rsidRDefault="00F346DE">
            <w:pPr>
              <w:spacing w:before="120" w:after="120"/>
              <w:jc w:val="center"/>
              <w:rPr>
                <w:b/>
                <w:noProof/>
                <w:sz w:val="20"/>
                <w:szCs w:val="20"/>
              </w:rPr>
            </w:pPr>
            <w:r>
              <w:rPr>
                <w:b/>
                <w:noProof/>
                <w:sz w:val="20"/>
                <w:szCs w:val="20"/>
              </w:rPr>
              <w:t>Number of SMEs in projects</w:t>
            </w:r>
          </w:p>
        </w:tc>
        <w:tc>
          <w:tcPr>
            <w:tcW w:w="1276" w:type="dxa"/>
            <w:vMerge w:val="restart"/>
            <w:shd w:val="clear" w:color="auto" w:fill="BFBFBF" w:themeFill="background1" w:themeFillShade="BF"/>
          </w:tcPr>
          <w:p w:rsidR="00EC06FD" w:rsidRDefault="00F346DE">
            <w:pPr>
              <w:spacing w:before="120" w:after="120"/>
              <w:jc w:val="center"/>
              <w:rPr>
                <w:b/>
                <w:noProof/>
                <w:sz w:val="20"/>
                <w:szCs w:val="20"/>
              </w:rPr>
            </w:pPr>
            <w:r>
              <w:rPr>
                <w:b/>
                <w:noProof/>
                <w:sz w:val="20"/>
                <w:szCs w:val="20"/>
              </w:rPr>
              <w:t>Milestones reached by project</w:t>
            </w:r>
          </w:p>
        </w:tc>
        <w:tc>
          <w:tcPr>
            <w:tcW w:w="1418" w:type="dxa"/>
            <w:vMerge w:val="restart"/>
            <w:shd w:val="clear" w:color="auto" w:fill="BFBFBF" w:themeFill="background1" w:themeFillShade="BF"/>
          </w:tcPr>
          <w:p w:rsidR="00EC06FD" w:rsidRDefault="00F346DE">
            <w:pPr>
              <w:spacing w:before="120" w:after="120"/>
              <w:jc w:val="center"/>
              <w:rPr>
                <w:b/>
                <w:noProof/>
                <w:sz w:val="20"/>
                <w:szCs w:val="20"/>
              </w:rPr>
            </w:pPr>
            <w:r>
              <w:rPr>
                <w:b/>
                <w:noProof/>
                <w:sz w:val="20"/>
                <w:szCs w:val="20"/>
              </w:rPr>
              <w:t>Average duration of the project</w:t>
            </w:r>
          </w:p>
        </w:tc>
      </w:tr>
      <w:tr w:rsidR="00EC06FD">
        <w:trPr>
          <w:trHeight w:val="360"/>
        </w:trPr>
        <w:tc>
          <w:tcPr>
            <w:tcW w:w="1704" w:type="dxa"/>
            <w:vMerge/>
            <w:shd w:val="clear" w:color="auto" w:fill="BFBFBF" w:themeFill="background1" w:themeFillShade="BF"/>
          </w:tcPr>
          <w:p w:rsidR="00EC06FD" w:rsidRDefault="00EC06FD">
            <w:pPr>
              <w:spacing w:before="120" w:after="120"/>
              <w:jc w:val="center"/>
              <w:rPr>
                <w:noProof/>
                <w:sz w:val="20"/>
                <w:szCs w:val="20"/>
              </w:rPr>
            </w:pPr>
          </w:p>
        </w:tc>
        <w:tc>
          <w:tcPr>
            <w:tcW w:w="1435" w:type="dxa"/>
            <w:vMerge/>
            <w:shd w:val="clear" w:color="auto" w:fill="BFBFBF" w:themeFill="background1" w:themeFillShade="BF"/>
          </w:tcPr>
          <w:p w:rsidR="00EC06FD" w:rsidRDefault="00EC06FD">
            <w:pPr>
              <w:spacing w:before="120" w:after="120"/>
              <w:jc w:val="center"/>
              <w:rPr>
                <w:noProof/>
                <w:sz w:val="20"/>
                <w:szCs w:val="20"/>
              </w:rPr>
            </w:pPr>
          </w:p>
        </w:tc>
        <w:tc>
          <w:tcPr>
            <w:tcW w:w="1435" w:type="dxa"/>
            <w:vMerge/>
            <w:shd w:val="clear" w:color="auto" w:fill="BFBFBF" w:themeFill="background1" w:themeFillShade="BF"/>
          </w:tcPr>
          <w:p w:rsidR="00EC06FD" w:rsidRDefault="00EC06FD">
            <w:pPr>
              <w:spacing w:before="120" w:after="120"/>
              <w:jc w:val="center"/>
              <w:rPr>
                <w:noProof/>
                <w:sz w:val="20"/>
                <w:szCs w:val="20"/>
              </w:rPr>
            </w:pPr>
          </w:p>
        </w:tc>
        <w:tc>
          <w:tcPr>
            <w:tcW w:w="1022" w:type="dxa"/>
            <w:shd w:val="clear" w:color="auto" w:fill="BFBFBF" w:themeFill="background1" w:themeFillShade="BF"/>
          </w:tcPr>
          <w:p w:rsidR="00EC06FD" w:rsidRDefault="00F346DE">
            <w:pPr>
              <w:spacing w:before="120" w:after="120"/>
              <w:jc w:val="center"/>
              <w:rPr>
                <w:noProof/>
                <w:sz w:val="20"/>
                <w:szCs w:val="20"/>
              </w:rPr>
            </w:pPr>
            <w:r>
              <w:rPr>
                <w:noProof/>
                <w:sz w:val="20"/>
                <w:szCs w:val="20"/>
              </w:rPr>
              <w:t>Industry</w:t>
            </w:r>
          </w:p>
        </w:tc>
        <w:tc>
          <w:tcPr>
            <w:tcW w:w="926" w:type="dxa"/>
            <w:shd w:val="clear" w:color="auto" w:fill="BFBFBF" w:themeFill="background1" w:themeFillShade="BF"/>
          </w:tcPr>
          <w:p w:rsidR="00EC06FD" w:rsidRDefault="00F346DE">
            <w:pPr>
              <w:spacing w:before="120" w:after="120"/>
              <w:jc w:val="center"/>
              <w:rPr>
                <w:noProof/>
                <w:sz w:val="20"/>
                <w:szCs w:val="20"/>
              </w:rPr>
            </w:pPr>
            <w:r>
              <w:rPr>
                <w:noProof/>
                <w:sz w:val="20"/>
                <w:szCs w:val="20"/>
              </w:rPr>
              <w:t>Civil society</w:t>
            </w:r>
          </w:p>
        </w:tc>
        <w:tc>
          <w:tcPr>
            <w:tcW w:w="1324" w:type="dxa"/>
            <w:shd w:val="clear" w:color="auto" w:fill="BFBFBF" w:themeFill="background1" w:themeFillShade="BF"/>
          </w:tcPr>
          <w:p w:rsidR="00EC06FD" w:rsidRDefault="00F346DE">
            <w:pPr>
              <w:spacing w:before="120" w:after="120"/>
              <w:jc w:val="center"/>
              <w:rPr>
                <w:noProof/>
                <w:sz w:val="20"/>
                <w:szCs w:val="20"/>
              </w:rPr>
            </w:pPr>
            <w:r>
              <w:rPr>
                <w:noProof/>
                <w:sz w:val="20"/>
                <w:szCs w:val="20"/>
              </w:rPr>
              <w:t>Scientific community</w:t>
            </w:r>
          </w:p>
        </w:tc>
        <w:tc>
          <w:tcPr>
            <w:tcW w:w="1246" w:type="dxa"/>
            <w:shd w:val="clear" w:color="auto" w:fill="BFBFBF" w:themeFill="background1" w:themeFillShade="BF"/>
          </w:tcPr>
          <w:p w:rsidR="00EC06FD" w:rsidRDefault="00F346DE">
            <w:pPr>
              <w:spacing w:before="120" w:after="120"/>
              <w:jc w:val="center"/>
              <w:rPr>
                <w:noProof/>
                <w:sz w:val="20"/>
                <w:szCs w:val="20"/>
              </w:rPr>
            </w:pPr>
            <w:r>
              <w:rPr>
                <w:noProof/>
                <w:sz w:val="20"/>
                <w:szCs w:val="20"/>
              </w:rPr>
              <w:t>Male</w:t>
            </w:r>
          </w:p>
        </w:tc>
        <w:tc>
          <w:tcPr>
            <w:tcW w:w="929" w:type="dxa"/>
            <w:shd w:val="clear" w:color="auto" w:fill="BFBFBF" w:themeFill="background1" w:themeFillShade="BF"/>
          </w:tcPr>
          <w:p w:rsidR="00EC06FD" w:rsidRDefault="00F346DE">
            <w:pPr>
              <w:spacing w:before="120" w:after="120"/>
              <w:jc w:val="center"/>
              <w:rPr>
                <w:noProof/>
                <w:sz w:val="20"/>
                <w:szCs w:val="20"/>
              </w:rPr>
            </w:pPr>
            <w:r>
              <w:rPr>
                <w:noProof/>
                <w:sz w:val="20"/>
                <w:szCs w:val="20"/>
              </w:rPr>
              <w:t>Female</w:t>
            </w:r>
          </w:p>
        </w:tc>
        <w:tc>
          <w:tcPr>
            <w:tcW w:w="908" w:type="dxa"/>
            <w:shd w:val="clear" w:color="auto" w:fill="BFBFBF" w:themeFill="background1" w:themeFillShade="BF"/>
          </w:tcPr>
          <w:p w:rsidR="00EC06FD" w:rsidRDefault="00F346DE">
            <w:pPr>
              <w:spacing w:before="120" w:after="120"/>
              <w:jc w:val="center"/>
              <w:rPr>
                <w:noProof/>
                <w:sz w:val="20"/>
                <w:szCs w:val="20"/>
              </w:rPr>
            </w:pPr>
            <w:r>
              <w:rPr>
                <w:noProof/>
                <w:sz w:val="20"/>
                <w:szCs w:val="20"/>
              </w:rPr>
              <w:t>Total</w:t>
            </w:r>
          </w:p>
        </w:tc>
        <w:tc>
          <w:tcPr>
            <w:tcW w:w="1404" w:type="dxa"/>
            <w:vMerge/>
            <w:shd w:val="clear" w:color="auto" w:fill="BFBFBF" w:themeFill="background1" w:themeFillShade="BF"/>
          </w:tcPr>
          <w:p w:rsidR="00EC06FD" w:rsidRDefault="00EC06FD">
            <w:pPr>
              <w:spacing w:before="120" w:after="120"/>
              <w:jc w:val="center"/>
              <w:rPr>
                <w:noProof/>
                <w:sz w:val="20"/>
                <w:szCs w:val="20"/>
              </w:rPr>
            </w:pPr>
          </w:p>
        </w:tc>
        <w:tc>
          <w:tcPr>
            <w:tcW w:w="1276" w:type="dxa"/>
            <w:vMerge/>
            <w:shd w:val="clear" w:color="auto" w:fill="BFBFBF" w:themeFill="background1" w:themeFillShade="BF"/>
          </w:tcPr>
          <w:p w:rsidR="00EC06FD" w:rsidRDefault="00EC06FD">
            <w:pPr>
              <w:spacing w:before="120" w:after="120"/>
              <w:jc w:val="center"/>
              <w:rPr>
                <w:noProof/>
                <w:sz w:val="20"/>
                <w:szCs w:val="20"/>
              </w:rPr>
            </w:pPr>
          </w:p>
        </w:tc>
        <w:tc>
          <w:tcPr>
            <w:tcW w:w="1418" w:type="dxa"/>
            <w:vMerge/>
            <w:shd w:val="clear" w:color="auto" w:fill="BFBFBF" w:themeFill="background1" w:themeFillShade="BF"/>
          </w:tcPr>
          <w:p w:rsidR="00EC06FD" w:rsidRDefault="00EC06FD">
            <w:pPr>
              <w:spacing w:before="120" w:after="120"/>
              <w:jc w:val="center"/>
              <w:rPr>
                <w:noProof/>
                <w:sz w:val="20"/>
                <w:szCs w:val="20"/>
              </w:rPr>
            </w:pPr>
          </w:p>
        </w:tc>
      </w:tr>
      <w:tr w:rsidR="00EC06FD">
        <w:tc>
          <w:tcPr>
            <w:tcW w:w="1704" w:type="dxa"/>
          </w:tcPr>
          <w:p w:rsidR="00EC06FD" w:rsidRDefault="00F346DE">
            <w:pPr>
              <w:spacing w:before="120" w:after="120"/>
              <w:jc w:val="both"/>
              <w:rPr>
                <w:noProof/>
                <w:sz w:val="20"/>
                <w:szCs w:val="20"/>
              </w:rPr>
            </w:pPr>
            <w:r>
              <w:rPr>
                <w:noProof/>
                <w:sz w:val="20"/>
                <w:szCs w:val="20"/>
              </w:rPr>
              <w:t xml:space="preserve">Nuclear safety </w:t>
            </w:r>
          </w:p>
          <w:p w:rsidR="00EC06FD" w:rsidRDefault="00F346DE">
            <w:pPr>
              <w:spacing w:before="120" w:after="120"/>
              <w:jc w:val="both"/>
              <w:rPr>
                <w:noProof/>
                <w:sz w:val="20"/>
                <w:szCs w:val="20"/>
              </w:rPr>
            </w:pPr>
            <w:r>
              <w:rPr>
                <w:noProof/>
                <w:sz w:val="20"/>
                <w:szCs w:val="20"/>
              </w:rPr>
              <w:t>(9 projects)</w:t>
            </w:r>
          </w:p>
        </w:tc>
        <w:tc>
          <w:tcPr>
            <w:tcW w:w="1435" w:type="dxa"/>
            <w:vAlign w:val="center"/>
          </w:tcPr>
          <w:p w:rsidR="00EC06FD" w:rsidRDefault="00F346DE">
            <w:pPr>
              <w:spacing w:before="120" w:after="120"/>
              <w:jc w:val="center"/>
              <w:rPr>
                <w:noProof/>
                <w:sz w:val="20"/>
                <w:szCs w:val="20"/>
              </w:rPr>
            </w:pPr>
            <w:r>
              <w:rPr>
                <w:noProof/>
                <w:sz w:val="20"/>
                <w:szCs w:val="20"/>
              </w:rPr>
              <w:t>22</w:t>
            </w:r>
          </w:p>
        </w:tc>
        <w:tc>
          <w:tcPr>
            <w:tcW w:w="1435" w:type="dxa"/>
            <w:vAlign w:val="center"/>
          </w:tcPr>
          <w:p w:rsidR="00EC06FD" w:rsidRDefault="00F346DE">
            <w:pPr>
              <w:spacing w:before="120" w:after="120"/>
              <w:jc w:val="center"/>
              <w:rPr>
                <w:noProof/>
                <w:sz w:val="20"/>
                <w:szCs w:val="20"/>
              </w:rPr>
            </w:pPr>
            <w:r>
              <w:rPr>
                <w:noProof/>
                <w:sz w:val="20"/>
                <w:szCs w:val="20"/>
              </w:rPr>
              <w:t>16</w:t>
            </w:r>
          </w:p>
        </w:tc>
        <w:tc>
          <w:tcPr>
            <w:tcW w:w="1022" w:type="dxa"/>
            <w:vAlign w:val="center"/>
          </w:tcPr>
          <w:p w:rsidR="00EC06FD" w:rsidRDefault="00F346DE">
            <w:pPr>
              <w:spacing w:before="120" w:after="120"/>
              <w:jc w:val="center"/>
              <w:rPr>
                <w:noProof/>
                <w:sz w:val="20"/>
                <w:szCs w:val="20"/>
              </w:rPr>
            </w:pPr>
            <w:r>
              <w:rPr>
                <w:noProof/>
                <w:sz w:val="20"/>
                <w:szCs w:val="20"/>
              </w:rPr>
              <w:t>406</w:t>
            </w:r>
          </w:p>
        </w:tc>
        <w:tc>
          <w:tcPr>
            <w:tcW w:w="926" w:type="dxa"/>
            <w:vAlign w:val="center"/>
          </w:tcPr>
          <w:p w:rsidR="00EC06FD" w:rsidRDefault="00F346DE">
            <w:pPr>
              <w:spacing w:before="120" w:after="120"/>
              <w:jc w:val="center"/>
              <w:rPr>
                <w:noProof/>
                <w:sz w:val="20"/>
                <w:szCs w:val="20"/>
              </w:rPr>
            </w:pPr>
            <w:r>
              <w:rPr>
                <w:noProof/>
                <w:sz w:val="20"/>
                <w:szCs w:val="20"/>
              </w:rPr>
              <w:t>25</w:t>
            </w:r>
          </w:p>
        </w:tc>
        <w:tc>
          <w:tcPr>
            <w:tcW w:w="1324" w:type="dxa"/>
            <w:vAlign w:val="center"/>
          </w:tcPr>
          <w:p w:rsidR="00EC06FD" w:rsidRDefault="00F346DE">
            <w:pPr>
              <w:spacing w:before="120" w:after="120"/>
              <w:jc w:val="center"/>
              <w:rPr>
                <w:noProof/>
                <w:sz w:val="20"/>
                <w:szCs w:val="20"/>
              </w:rPr>
            </w:pPr>
            <w:r>
              <w:rPr>
                <w:noProof/>
                <w:sz w:val="20"/>
                <w:szCs w:val="20"/>
              </w:rPr>
              <w:t>2132</w:t>
            </w:r>
          </w:p>
        </w:tc>
        <w:tc>
          <w:tcPr>
            <w:tcW w:w="1246" w:type="dxa"/>
            <w:vAlign w:val="center"/>
          </w:tcPr>
          <w:p w:rsidR="00EC06FD" w:rsidRDefault="00F346DE">
            <w:pPr>
              <w:spacing w:before="120" w:after="120"/>
              <w:jc w:val="center"/>
              <w:rPr>
                <w:noProof/>
                <w:sz w:val="20"/>
                <w:szCs w:val="20"/>
              </w:rPr>
            </w:pPr>
            <w:r>
              <w:rPr>
                <w:noProof/>
                <w:sz w:val="20"/>
                <w:szCs w:val="20"/>
              </w:rPr>
              <w:t>366</w:t>
            </w:r>
          </w:p>
        </w:tc>
        <w:tc>
          <w:tcPr>
            <w:tcW w:w="929" w:type="dxa"/>
            <w:vAlign w:val="center"/>
          </w:tcPr>
          <w:p w:rsidR="00EC06FD" w:rsidRDefault="00F346DE">
            <w:pPr>
              <w:spacing w:before="120" w:after="120"/>
              <w:jc w:val="center"/>
              <w:rPr>
                <w:noProof/>
                <w:sz w:val="20"/>
                <w:szCs w:val="20"/>
              </w:rPr>
            </w:pPr>
            <w:r>
              <w:rPr>
                <w:noProof/>
                <w:sz w:val="20"/>
                <w:szCs w:val="20"/>
              </w:rPr>
              <w:t>98</w:t>
            </w:r>
          </w:p>
        </w:tc>
        <w:tc>
          <w:tcPr>
            <w:tcW w:w="908" w:type="dxa"/>
            <w:vAlign w:val="center"/>
          </w:tcPr>
          <w:p w:rsidR="00EC06FD" w:rsidRDefault="00F346DE">
            <w:pPr>
              <w:spacing w:before="120" w:after="120"/>
              <w:jc w:val="center"/>
              <w:rPr>
                <w:noProof/>
                <w:sz w:val="20"/>
                <w:szCs w:val="20"/>
              </w:rPr>
            </w:pPr>
            <w:r>
              <w:rPr>
                <w:noProof/>
                <w:sz w:val="20"/>
                <w:szCs w:val="20"/>
              </w:rPr>
              <w:t>464</w:t>
            </w:r>
          </w:p>
        </w:tc>
        <w:tc>
          <w:tcPr>
            <w:tcW w:w="1404" w:type="dxa"/>
          </w:tcPr>
          <w:p w:rsidR="00EC06FD" w:rsidRDefault="00F346DE">
            <w:pPr>
              <w:spacing w:before="120" w:after="120"/>
              <w:jc w:val="center"/>
              <w:rPr>
                <w:noProof/>
                <w:sz w:val="20"/>
                <w:szCs w:val="20"/>
              </w:rPr>
            </w:pPr>
            <w:r>
              <w:rPr>
                <w:noProof/>
                <w:sz w:val="20"/>
                <w:szCs w:val="20"/>
              </w:rPr>
              <w:t>9</w:t>
            </w:r>
          </w:p>
        </w:tc>
        <w:tc>
          <w:tcPr>
            <w:tcW w:w="1276" w:type="dxa"/>
            <w:vAlign w:val="center"/>
          </w:tcPr>
          <w:p w:rsidR="00EC06FD" w:rsidRDefault="00F346DE">
            <w:pPr>
              <w:spacing w:before="120" w:after="120"/>
              <w:jc w:val="center"/>
              <w:rPr>
                <w:noProof/>
                <w:sz w:val="20"/>
                <w:szCs w:val="20"/>
              </w:rPr>
            </w:pPr>
            <w:r>
              <w:rPr>
                <w:noProof/>
                <w:sz w:val="20"/>
                <w:szCs w:val="20"/>
              </w:rPr>
              <w:t>67%</w:t>
            </w:r>
          </w:p>
        </w:tc>
        <w:tc>
          <w:tcPr>
            <w:tcW w:w="1418" w:type="dxa"/>
            <w:vAlign w:val="center"/>
          </w:tcPr>
          <w:p w:rsidR="00EC06FD" w:rsidRDefault="00F346DE">
            <w:pPr>
              <w:spacing w:before="120" w:after="120"/>
              <w:jc w:val="center"/>
              <w:rPr>
                <w:noProof/>
                <w:sz w:val="20"/>
                <w:szCs w:val="20"/>
              </w:rPr>
            </w:pPr>
            <w:r>
              <w:rPr>
                <w:noProof/>
                <w:sz w:val="20"/>
                <w:szCs w:val="20"/>
              </w:rPr>
              <w:t>45.6</w:t>
            </w:r>
          </w:p>
        </w:tc>
      </w:tr>
      <w:tr w:rsidR="00EC06FD">
        <w:tc>
          <w:tcPr>
            <w:tcW w:w="1704" w:type="dxa"/>
          </w:tcPr>
          <w:p w:rsidR="00EC06FD" w:rsidRDefault="00F346DE">
            <w:pPr>
              <w:spacing w:before="120" w:after="120"/>
              <w:jc w:val="both"/>
              <w:rPr>
                <w:noProof/>
                <w:sz w:val="20"/>
                <w:szCs w:val="20"/>
              </w:rPr>
            </w:pPr>
            <w:r>
              <w:rPr>
                <w:noProof/>
                <w:sz w:val="20"/>
                <w:szCs w:val="20"/>
              </w:rPr>
              <w:t>Nuclear waste management</w:t>
            </w:r>
          </w:p>
          <w:p w:rsidR="00EC06FD" w:rsidRDefault="00F346DE">
            <w:pPr>
              <w:spacing w:before="120" w:after="120"/>
              <w:jc w:val="both"/>
              <w:rPr>
                <w:noProof/>
                <w:sz w:val="20"/>
                <w:szCs w:val="20"/>
              </w:rPr>
            </w:pPr>
            <w:r>
              <w:rPr>
                <w:noProof/>
                <w:sz w:val="20"/>
                <w:szCs w:val="20"/>
              </w:rPr>
              <w:t>(5 projects)</w:t>
            </w:r>
          </w:p>
        </w:tc>
        <w:tc>
          <w:tcPr>
            <w:tcW w:w="1435" w:type="dxa"/>
            <w:vAlign w:val="center"/>
          </w:tcPr>
          <w:p w:rsidR="00EC06FD" w:rsidRDefault="00F346DE">
            <w:pPr>
              <w:spacing w:before="120" w:after="120"/>
              <w:jc w:val="center"/>
              <w:rPr>
                <w:noProof/>
                <w:sz w:val="20"/>
                <w:szCs w:val="20"/>
              </w:rPr>
            </w:pPr>
            <w:r>
              <w:rPr>
                <w:noProof/>
                <w:sz w:val="20"/>
                <w:szCs w:val="20"/>
              </w:rPr>
              <w:t>13</w:t>
            </w:r>
          </w:p>
        </w:tc>
        <w:tc>
          <w:tcPr>
            <w:tcW w:w="1435" w:type="dxa"/>
            <w:vAlign w:val="center"/>
          </w:tcPr>
          <w:p w:rsidR="00EC06FD" w:rsidRDefault="00F346DE">
            <w:pPr>
              <w:spacing w:before="120" w:after="120"/>
              <w:jc w:val="center"/>
              <w:rPr>
                <w:noProof/>
                <w:sz w:val="20"/>
                <w:szCs w:val="20"/>
              </w:rPr>
            </w:pPr>
            <w:r>
              <w:rPr>
                <w:noProof/>
                <w:sz w:val="20"/>
                <w:szCs w:val="20"/>
              </w:rPr>
              <w:t>2</w:t>
            </w:r>
          </w:p>
        </w:tc>
        <w:tc>
          <w:tcPr>
            <w:tcW w:w="1022" w:type="dxa"/>
            <w:vAlign w:val="center"/>
          </w:tcPr>
          <w:p w:rsidR="00EC06FD" w:rsidRDefault="00F346DE">
            <w:pPr>
              <w:spacing w:before="120" w:after="120"/>
              <w:jc w:val="center"/>
              <w:rPr>
                <w:noProof/>
                <w:sz w:val="20"/>
                <w:szCs w:val="20"/>
              </w:rPr>
            </w:pPr>
            <w:r>
              <w:rPr>
                <w:noProof/>
                <w:sz w:val="20"/>
                <w:szCs w:val="20"/>
              </w:rPr>
              <w:t>920</w:t>
            </w:r>
          </w:p>
        </w:tc>
        <w:tc>
          <w:tcPr>
            <w:tcW w:w="926" w:type="dxa"/>
            <w:vAlign w:val="center"/>
          </w:tcPr>
          <w:p w:rsidR="00EC06FD" w:rsidRDefault="00F346DE">
            <w:pPr>
              <w:spacing w:before="120" w:after="120"/>
              <w:jc w:val="center"/>
              <w:rPr>
                <w:noProof/>
                <w:sz w:val="20"/>
                <w:szCs w:val="20"/>
              </w:rPr>
            </w:pPr>
            <w:r>
              <w:rPr>
                <w:noProof/>
                <w:sz w:val="20"/>
                <w:szCs w:val="20"/>
              </w:rPr>
              <w:t>190</w:t>
            </w:r>
          </w:p>
        </w:tc>
        <w:tc>
          <w:tcPr>
            <w:tcW w:w="1324" w:type="dxa"/>
            <w:vAlign w:val="center"/>
          </w:tcPr>
          <w:p w:rsidR="00EC06FD" w:rsidRDefault="00F346DE">
            <w:pPr>
              <w:spacing w:before="120" w:after="120"/>
              <w:jc w:val="center"/>
              <w:rPr>
                <w:noProof/>
                <w:sz w:val="20"/>
                <w:szCs w:val="20"/>
              </w:rPr>
            </w:pPr>
            <w:r>
              <w:rPr>
                <w:noProof/>
                <w:sz w:val="20"/>
                <w:szCs w:val="20"/>
              </w:rPr>
              <w:t>2000</w:t>
            </w:r>
          </w:p>
        </w:tc>
        <w:tc>
          <w:tcPr>
            <w:tcW w:w="1246" w:type="dxa"/>
            <w:vAlign w:val="center"/>
          </w:tcPr>
          <w:p w:rsidR="00EC06FD" w:rsidRDefault="00F346DE">
            <w:pPr>
              <w:spacing w:before="120" w:after="120"/>
              <w:jc w:val="center"/>
              <w:rPr>
                <w:noProof/>
                <w:sz w:val="20"/>
                <w:szCs w:val="20"/>
              </w:rPr>
            </w:pPr>
            <w:r>
              <w:rPr>
                <w:noProof/>
                <w:sz w:val="20"/>
                <w:szCs w:val="20"/>
              </w:rPr>
              <w:t>290</w:t>
            </w:r>
          </w:p>
        </w:tc>
        <w:tc>
          <w:tcPr>
            <w:tcW w:w="929" w:type="dxa"/>
            <w:vAlign w:val="center"/>
          </w:tcPr>
          <w:p w:rsidR="00EC06FD" w:rsidRDefault="00F346DE">
            <w:pPr>
              <w:spacing w:before="120" w:after="120"/>
              <w:jc w:val="center"/>
              <w:rPr>
                <w:noProof/>
                <w:sz w:val="20"/>
                <w:szCs w:val="20"/>
              </w:rPr>
            </w:pPr>
            <w:r>
              <w:rPr>
                <w:noProof/>
                <w:sz w:val="20"/>
                <w:szCs w:val="20"/>
              </w:rPr>
              <w:t>165</w:t>
            </w:r>
          </w:p>
        </w:tc>
        <w:tc>
          <w:tcPr>
            <w:tcW w:w="908" w:type="dxa"/>
            <w:vAlign w:val="center"/>
          </w:tcPr>
          <w:p w:rsidR="00EC06FD" w:rsidRDefault="00F346DE">
            <w:pPr>
              <w:spacing w:before="120" w:after="120"/>
              <w:jc w:val="center"/>
              <w:rPr>
                <w:noProof/>
                <w:sz w:val="20"/>
                <w:szCs w:val="20"/>
              </w:rPr>
            </w:pPr>
            <w:r>
              <w:rPr>
                <w:noProof/>
                <w:sz w:val="20"/>
                <w:szCs w:val="20"/>
              </w:rPr>
              <w:t>455</w:t>
            </w:r>
          </w:p>
        </w:tc>
        <w:tc>
          <w:tcPr>
            <w:tcW w:w="1404" w:type="dxa"/>
            <w:vAlign w:val="center"/>
          </w:tcPr>
          <w:p w:rsidR="00EC06FD" w:rsidRDefault="00F346DE">
            <w:pPr>
              <w:spacing w:before="120" w:after="120"/>
              <w:jc w:val="center"/>
              <w:rPr>
                <w:noProof/>
                <w:sz w:val="20"/>
                <w:szCs w:val="20"/>
              </w:rPr>
            </w:pPr>
            <w:r>
              <w:rPr>
                <w:noProof/>
                <w:sz w:val="20"/>
                <w:szCs w:val="20"/>
              </w:rPr>
              <w:t>8</w:t>
            </w:r>
          </w:p>
        </w:tc>
        <w:tc>
          <w:tcPr>
            <w:tcW w:w="1276" w:type="dxa"/>
            <w:vAlign w:val="center"/>
          </w:tcPr>
          <w:p w:rsidR="00EC06FD" w:rsidRDefault="00F346DE">
            <w:pPr>
              <w:spacing w:before="120" w:after="120"/>
              <w:jc w:val="center"/>
              <w:rPr>
                <w:noProof/>
                <w:sz w:val="20"/>
                <w:szCs w:val="20"/>
              </w:rPr>
            </w:pPr>
            <w:r>
              <w:rPr>
                <w:noProof/>
                <w:sz w:val="20"/>
                <w:szCs w:val="20"/>
              </w:rPr>
              <w:t>91%</w:t>
            </w:r>
          </w:p>
        </w:tc>
        <w:tc>
          <w:tcPr>
            <w:tcW w:w="1418" w:type="dxa"/>
            <w:vAlign w:val="center"/>
          </w:tcPr>
          <w:p w:rsidR="00EC06FD" w:rsidRDefault="00F346DE">
            <w:pPr>
              <w:spacing w:before="120" w:after="120"/>
              <w:jc w:val="center"/>
              <w:rPr>
                <w:noProof/>
                <w:sz w:val="20"/>
                <w:szCs w:val="20"/>
              </w:rPr>
            </w:pPr>
            <w:r>
              <w:rPr>
                <w:noProof/>
                <w:sz w:val="20"/>
                <w:szCs w:val="20"/>
              </w:rPr>
              <w:t>42</w:t>
            </w:r>
          </w:p>
        </w:tc>
      </w:tr>
      <w:tr w:rsidR="00EC06FD">
        <w:tc>
          <w:tcPr>
            <w:tcW w:w="1704" w:type="dxa"/>
          </w:tcPr>
          <w:p w:rsidR="00EC06FD" w:rsidRDefault="00F346DE">
            <w:pPr>
              <w:spacing w:before="120" w:after="120"/>
              <w:jc w:val="both"/>
              <w:rPr>
                <w:noProof/>
                <w:sz w:val="20"/>
                <w:szCs w:val="20"/>
              </w:rPr>
            </w:pPr>
            <w:r>
              <w:rPr>
                <w:noProof/>
                <w:sz w:val="20"/>
                <w:szCs w:val="20"/>
              </w:rPr>
              <w:t xml:space="preserve">Radiation protection </w:t>
            </w:r>
          </w:p>
          <w:p w:rsidR="00EC06FD" w:rsidRDefault="00F346DE">
            <w:pPr>
              <w:spacing w:before="120" w:after="120"/>
              <w:jc w:val="both"/>
              <w:rPr>
                <w:noProof/>
                <w:sz w:val="20"/>
                <w:szCs w:val="20"/>
              </w:rPr>
            </w:pPr>
            <w:r>
              <w:rPr>
                <w:noProof/>
                <w:sz w:val="20"/>
                <w:szCs w:val="20"/>
              </w:rPr>
              <w:t>(1 project)</w:t>
            </w:r>
          </w:p>
        </w:tc>
        <w:tc>
          <w:tcPr>
            <w:tcW w:w="1435" w:type="dxa"/>
            <w:vAlign w:val="center"/>
          </w:tcPr>
          <w:p w:rsidR="00EC06FD" w:rsidRDefault="00F346DE">
            <w:pPr>
              <w:spacing w:before="120" w:after="120"/>
              <w:jc w:val="center"/>
              <w:rPr>
                <w:noProof/>
                <w:sz w:val="20"/>
                <w:szCs w:val="20"/>
              </w:rPr>
            </w:pPr>
            <w:r>
              <w:rPr>
                <w:noProof/>
                <w:sz w:val="20"/>
                <w:szCs w:val="20"/>
              </w:rPr>
              <w:t>n/a</w:t>
            </w:r>
          </w:p>
        </w:tc>
        <w:tc>
          <w:tcPr>
            <w:tcW w:w="1435" w:type="dxa"/>
            <w:vAlign w:val="center"/>
          </w:tcPr>
          <w:p w:rsidR="00EC06FD" w:rsidRDefault="00F346DE">
            <w:pPr>
              <w:spacing w:before="120" w:after="120"/>
              <w:jc w:val="center"/>
              <w:rPr>
                <w:noProof/>
                <w:sz w:val="20"/>
                <w:szCs w:val="20"/>
              </w:rPr>
            </w:pPr>
            <w:r>
              <w:rPr>
                <w:noProof/>
                <w:sz w:val="20"/>
                <w:szCs w:val="20"/>
              </w:rPr>
              <w:t>n/a</w:t>
            </w:r>
          </w:p>
        </w:tc>
        <w:tc>
          <w:tcPr>
            <w:tcW w:w="1022" w:type="dxa"/>
            <w:vAlign w:val="center"/>
          </w:tcPr>
          <w:p w:rsidR="00EC06FD" w:rsidRDefault="00F346DE">
            <w:pPr>
              <w:spacing w:before="120" w:after="120"/>
              <w:jc w:val="center"/>
              <w:rPr>
                <w:noProof/>
                <w:sz w:val="20"/>
                <w:szCs w:val="20"/>
              </w:rPr>
            </w:pPr>
            <w:r>
              <w:rPr>
                <w:noProof/>
                <w:sz w:val="20"/>
                <w:szCs w:val="20"/>
              </w:rPr>
              <w:t>n/a</w:t>
            </w:r>
          </w:p>
        </w:tc>
        <w:tc>
          <w:tcPr>
            <w:tcW w:w="926" w:type="dxa"/>
            <w:vAlign w:val="center"/>
          </w:tcPr>
          <w:p w:rsidR="00EC06FD" w:rsidRDefault="00F346DE">
            <w:pPr>
              <w:spacing w:before="120" w:after="120"/>
              <w:jc w:val="center"/>
              <w:rPr>
                <w:noProof/>
                <w:sz w:val="20"/>
                <w:szCs w:val="20"/>
              </w:rPr>
            </w:pPr>
            <w:r>
              <w:rPr>
                <w:noProof/>
                <w:sz w:val="20"/>
                <w:szCs w:val="20"/>
              </w:rPr>
              <w:t>n/a</w:t>
            </w:r>
          </w:p>
        </w:tc>
        <w:tc>
          <w:tcPr>
            <w:tcW w:w="1324" w:type="dxa"/>
            <w:vAlign w:val="center"/>
          </w:tcPr>
          <w:p w:rsidR="00EC06FD" w:rsidRDefault="00F346DE">
            <w:pPr>
              <w:spacing w:before="120" w:after="120"/>
              <w:jc w:val="center"/>
              <w:rPr>
                <w:noProof/>
                <w:sz w:val="20"/>
                <w:szCs w:val="20"/>
              </w:rPr>
            </w:pPr>
            <w:r>
              <w:rPr>
                <w:noProof/>
                <w:sz w:val="20"/>
                <w:szCs w:val="20"/>
              </w:rPr>
              <w:t>n/a</w:t>
            </w:r>
          </w:p>
        </w:tc>
        <w:tc>
          <w:tcPr>
            <w:tcW w:w="1246" w:type="dxa"/>
            <w:vAlign w:val="center"/>
          </w:tcPr>
          <w:p w:rsidR="00EC06FD" w:rsidRDefault="00F346DE">
            <w:pPr>
              <w:spacing w:before="120" w:after="120"/>
              <w:jc w:val="center"/>
              <w:rPr>
                <w:noProof/>
                <w:sz w:val="20"/>
                <w:szCs w:val="20"/>
              </w:rPr>
            </w:pPr>
            <w:r>
              <w:rPr>
                <w:noProof/>
                <w:sz w:val="20"/>
                <w:szCs w:val="20"/>
              </w:rPr>
              <w:t>129</w:t>
            </w:r>
          </w:p>
        </w:tc>
        <w:tc>
          <w:tcPr>
            <w:tcW w:w="929" w:type="dxa"/>
            <w:vAlign w:val="center"/>
          </w:tcPr>
          <w:p w:rsidR="00EC06FD" w:rsidRDefault="00F346DE">
            <w:pPr>
              <w:spacing w:before="120" w:after="120"/>
              <w:jc w:val="center"/>
              <w:rPr>
                <w:noProof/>
                <w:sz w:val="20"/>
                <w:szCs w:val="20"/>
              </w:rPr>
            </w:pPr>
            <w:r>
              <w:rPr>
                <w:noProof/>
                <w:sz w:val="20"/>
                <w:szCs w:val="20"/>
              </w:rPr>
              <w:t>145</w:t>
            </w:r>
          </w:p>
        </w:tc>
        <w:tc>
          <w:tcPr>
            <w:tcW w:w="908" w:type="dxa"/>
            <w:vAlign w:val="center"/>
          </w:tcPr>
          <w:p w:rsidR="00EC06FD" w:rsidRDefault="00F346DE">
            <w:pPr>
              <w:spacing w:before="120" w:after="120"/>
              <w:jc w:val="center"/>
              <w:rPr>
                <w:noProof/>
                <w:sz w:val="20"/>
                <w:szCs w:val="20"/>
              </w:rPr>
            </w:pPr>
            <w:r>
              <w:rPr>
                <w:noProof/>
                <w:sz w:val="20"/>
                <w:szCs w:val="20"/>
              </w:rPr>
              <w:t>274</w:t>
            </w:r>
          </w:p>
        </w:tc>
        <w:tc>
          <w:tcPr>
            <w:tcW w:w="1404" w:type="dxa"/>
            <w:vAlign w:val="center"/>
          </w:tcPr>
          <w:p w:rsidR="00EC06FD" w:rsidRDefault="00F346DE">
            <w:pPr>
              <w:spacing w:before="120" w:after="120"/>
              <w:jc w:val="center"/>
              <w:rPr>
                <w:noProof/>
                <w:sz w:val="20"/>
                <w:szCs w:val="20"/>
              </w:rPr>
            </w:pPr>
            <w:r>
              <w:rPr>
                <w:noProof/>
                <w:sz w:val="20"/>
                <w:szCs w:val="20"/>
              </w:rPr>
              <w:t>n/a</w:t>
            </w:r>
          </w:p>
        </w:tc>
        <w:tc>
          <w:tcPr>
            <w:tcW w:w="1276" w:type="dxa"/>
            <w:vAlign w:val="center"/>
          </w:tcPr>
          <w:p w:rsidR="00EC06FD" w:rsidRDefault="00F346DE">
            <w:pPr>
              <w:spacing w:before="120" w:after="120"/>
              <w:jc w:val="center"/>
              <w:rPr>
                <w:noProof/>
                <w:sz w:val="20"/>
                <w:szCs w:val="20"/>
              </w:rPr>
            </w:pPr>
            <w:r>
              <w:rPr>
                <w:noProof/>
                <w:sz w:val="20"/>
                <w:szCs w:val="20"/>
              </w:rPr>
              <w:t>44%</w:t>
            </w:r>
          </w:p>
        </w:tc>
        <w:tc>
          <w:tcPr>
            <w:tcW w:w="1418" w:type="dxa"/>
            <w:vAlign w:val="center"/>
          </w:tcPr>
          <w:p w:rsidR="00EC06FD" w:rsidRDefault="00F346DE">
            <w:pPr>
              <w:spacing w:before="120" w:after="120"/>
              <w:jc w:val="center"/>
              <w:rPr>
                <w:noProof/>
                <w:sz w:val="20"/>
                <w:szCs w:val="20"/>
              </w:rPr>
            </w:pPr>
            <w:r>
              <w:rPr>
                <w:noProof/>
                <w:sz w:val="20"/>
                <w:szCs w:val="20"/>
              </w:rPr>
              <w:t>60</w:t>
            </w:r>
          </w:p>
        </w:tc>
      </w:tr>
      <w:tr w:rsidR="00EC06FD">
        <w:tc>
          <w:tcPr>
            <w:tcW w:w="1704" w:type="dxa"/>
          </w:tcPr>
          <w:p w:rsidR="00EC06FD" w:rsidRDefault="00F346DE">
            <w:pPr>
              <w:spacing w:before="120" w:after="120"/>
              <w:jc w:val="both"/>
              <w:rPr>
                <w:b/>
                <w:noProof/>
                <w:sz w:val="20"/>
                <w:szCs w:val="20"/>
              </w:rPr>
            </w:pPr>
            <w:r>
              <w:rPr>
                <w:b/>
                <w:noProof/>
                <w:sz w:val="20"/>
                <w:szCs w:val="20"/>
              </w:rPr>
              <w:t>Total</w:t>
            </w:r>
          </w:p>
        </w:tc>
        <w:tc>
          <w:tcPr>
            <w:tcW w:w="1435" w:type="dxa"/>
            <w:vAlign w:val="center"/>
          </w:tcPr>
          <w:p w:rsidR="00EC06FD" w:rsidRDefault="00F346DE">
            <w:pPr>
              <w:spacing w:before="120" w:after="120"/>
              <w:jc w:val="center"/>
              <w:rPr>
                <w:noProof/>
                <w:sz w:val="20"/>
                <w:szCs w:val="20"/>
              </w:rPr>
            </w:pPr>
            <w:r>
              <w:rPr>
                <w:noProof/>
                <w:sz w:val="20"/>
                <w:szCs w:val="20"/>
              </w:rPr>
              <w:t>35</w:t>
            </w:r>
          </w:p>
        </w:tc>
        <w:tc>
          <w:tcPr>
            <w:tcW w:w="1435" w:type="dxa"/>
            <w:vAlign w:val="center"/>
          </w:tcPr>
          <w:p w:rsidR="00EC06FD" w:rsidRDefault="00F346DE">
            <w:pPr>
              <w:spacing w:before="120" w:after="120"/>
              <w:jc w:val="center"/>
              <w:rPr>
                <w:noProof/>
                <w:sz w:val="20"/>
                <w:szCs w:val="20"/>
              </w:rPr>
            </w:pPr>
            <w:r>
              <w:rPr>
                <w:noProof/>
                <w:sz w:val="20"/>
                <w:szCs w:val="20"/>
              </w:rPr>
              <w:t>18</w:t>
            </w:r>
          </w:p>
        </w:tc>
        <w:tc>
          <w:tcPr>
            <w:tcW w:w="1022" w:type="dxa"/>
            <w:vAlign w:val="center"/>
          </w:tcPr>
          <w:p w:rsidR="00EC06FD" w:rsidRDefault="00F346DE">
            <w:pPr>
              <w:spacing w:before="120" w:after="120"/>
              <w:jc w:val="center"/>
              <w:rPr>
                <w:noProof/>
                <w:sz w:val="20"/>
                <w:szCs w:val="20"/>
              </w:rPr>
            </w:pPr>
            <w:r>
              <w:rPr>
                <w:noProof/>
                <w:sz w:val="20"/>
                <w:szCs w:val="20"/>
              </w:rPr>
              <w:t>1326</w:t>
            </w:r>
          </w:p>
        </w:tc>
        <w:tc>
          <w:tcPr>
            <w:tcW w:w="926" w:type="dxa"/>
            <w:vAlign w:val="center"/>
          </w:tcPr>
          <w:p w:rsidR="00EC06FD" w:rsidRDefault="00F346DE">
            <w:pPr>
              <w:spacing w:before="120" w:after="120"/>
              <w:jc w:val="center"/>
              <w:rPr>
                <w:noProof/>
                <w:sz w:val="20"/>
                <w:szCs w:val="20"/>
              </w:rPr>
            </w:pPr>
            <w:r>
              <w:rPr>
                <w:noProof/>
                <w:sz w:val="20"/>
                <w:szCs w:val="20"/>
              </w:rPr>
              <w:t>215</w:t>
            </w:r>
          </w:p>
        </w:tc>
        <w:tc>
          <w:tcPr>
            <w:tcW w:w="1324" w:type="dxa"/>
            <w:vAlign w:val="center"/>
          </w:tcPr>
          <w:p w:rsidR="00EC06FD" w:rsidRDefault="00F346DE">
            <w:pPr>
              <w:spacing w:before="120" w:after="120"/>
              <w:jc w:val="center"/>
              <w:rPr>
                <w:noProof/>
                <w:sz w:val="20"/>
                <w:szCs w:val="20"/>
              </w:rPr>
            </w:pPr>
            <w:r>
              <w:rPr>
                <w:noProof/>
                <w:sz w:val="20"/>
                <w:szCs w:val="20"/>
              </w:rPr>
              <w:t>4132</w:t>
            </w:r>
          </w:p>
        </w:tc>
        <w:tc>
          <w:tcPr>
            <w:tcW w:w="1246" w:type="dxa"/>
            <w:vAlign w:val="center"/>
          </w:tcPr>
          <w:p w:rsidR="00EC06FD" w:rsidRDefault="00F346DE">
            <w:pPr>
              <w:spacing w:before="120" w:after="120"/>
              <w:jc w:val="center"/>
              <w:rPr>
                <w:noProof/>
                <w:sz w:val="20"/>
                <w:szCs w:val="20"/>
              </w:rPr>
            </w:pPr>
            <w:r>
              <w:rPr>
                <w:noProof/>
                <w:sz w:val="20"/>
                <w:szCs w:val="20"/>
              </w:rPr>
              <w:t>785</w:t>
            </w:r>
          </w:p>
        </w:tc>
        <w:tc>
          <w:tcPr>
            <w:tcW w:w="929" w:type="dxa"/>
            <w:vAlign w:val="center"/>
          </w:tcPr>
          <w:p w:rsidR="00EC06FD" w:rsidRDefault="00F346DE">
            <w:pPr>
              <w:spacing w:before="120" w:after="120"/>
              <w:jc w:val="center"/>
              <w:rPr>
                <w:noProof/>
                <w:sz w:val="20"/>
                <w:szCs w:val="20"/>
              </w:rPr>
            </w:pPr>
            <w:r>
              <w:rPr>
                <w:noProof/>
                <w:sz w:val="20"/>
                <w:szCs w:val="20"/>
              </w:rPr>
              <w:t>408</w:t>
            </w:r>
          </w:p>
        </w:tc>
        <w:tc>
          <w:tcPr>
            <w:tcW w:w="908" w:type="dxa"/>
            <w:vAlign w:val="center"/>
          </w:tcPr>
          <w:p w:rsidR="00EC06FD" w:rsidRDefault="00F346DE">
            <w:pPr>
              <w:spacing w:before="120" w:after="120"/>
              <w:jc w:val="center"/>
              <w:rPr>
                <w:noProof/>
                <w:sz w:val="20"/>
                <w:szCs w:val="20"/>
              </w:rPr>
            </w:pPr>
            <w:r>
              <w:rPr>
                <w:noProof/>
                <w:sz w:val="20"/>
                <w:szCs w:val="20"/>
              </w:rPr>
              <w:t>1193</w:t>
            </w:r>
          </w:p>
        </w:tc>
        <w:tc>
          <w:tcPr>
            <w:tcW w:w="1404" w:type="dxa"/>
          </w:tcPr>
          <w:p w:rsidR="00EC06FD" w:rsidRDefault="00F346DE">
            <w:pPr>
              <w:spacing w:before="120" w:after="120"/>
              <w:jc w:val="center"/>
              <w:rPr>
                <w:noProof/>
                <w:sz w:val="20"/>
                <w:szCs w:val="20"/>
              </w:rPr>
            </w:pPr>
            <w:r>
              <w:rPr>
                <w:noProof/>
                <w:sz w:val="20"/>
                <w:szCs w:val="20"/>
              </w:rPr>
              <w:t>17</w:t>
            </w:r>
          </w:p>
        </w:tc>
        <w:tc>
          <w:tcPr>
            <w:tcW w:w="1276" w:type="dxa"/>
            <w:vAlign w:val="center"/>
          </w:tcPr>
          <w:p w:rsidR="00EC06FD" w:rsidRDefault="00EC06FD">
            <w:pPr>
              <w:spacing w:before="120" w:after="120"/>
              <w:jc w:val="center"/>
              <w:rPr>
                <w:noProof/>
                <w:sz w:val="20"/>
                <w:szCs w:val="20"/>
              </w:rPr>
            </w:pPr>
          </w:p>
        </w:tc>
        <w:tc>
          <w:tcPr>
            <w:tcW w:w="1418" w:type="dxa"/>
            <w:vAlign w:val="center"/>
          </w:tcPr>
          <w:p w:rsidR="00EC06FD" w:rsidRDefault="00F346DE">
            <w:pPr>
              <w:spacing w:before="120" w:after="120"/>
              <w:jc w:val="center"/>
              <w:rPr>
                <w:noProof/>
                <w:sz w:val="20"/>
                <w:szCs w:val="20"/>
              </w:rPr>
            </w:pPr>
            <w:r>
              <w:rPr>
                <w:noProof/>
                <w:sz w:val="20"/>
                <w:szCs w:val="20"/>
              </w:rPr>
              <w:t>49</w:t>
            </w:r>
          </w:p>
        </w:tc>
      </w:tr>
    </w:tbl>
    <w:p w:rsidR="00EC06FD" w:rsidRDefault="00F346DE">
      <w:pPr>
        <w:rPr>
          <w:i/>
          <w:noProof/>
          <w:sz w:val="22"/>
        </w:rPr>
        <w:sectPr w:rsidR="00EC06FD">
          <w:headerReference w:type="even" r:id="rId66"/>
          <w:headerReference w:type="default" r:id="rId67"/>
          <w:footerReference w:type="even" r:id="rId68"/>
          <w:footerReference w:type="default" r:id="rId69"/>
          <w:headerReference w:type="first" r:id="rId70"/>
          <w:footerReference w:type="first" r:id="rId71"/>
          <w:pgSz w:w="16838" w:h="11906" w:orient="landscape"/>
          <w:pgMar w:top="1418" w:right="1418" w:bottom="1418" w:left="1418" w:header="601" w:footer="1077" w:gutter="0"/>
          <w:cols w:space="720"/>
          <w:titlePg/>
        </w:sectPr>
      </w:pPr>
      <w:r>
        <w:rPr>
          <w:i/>
          <w:noProof/>
          <w:sz w:val="22"/>
        </w:rPr>
        <w:t>Source: European Commission, periodic reports from projects</w:t>
      </w:r>
    </w:p>
    <w:p w:rsidR="00EC06FD" w:rsidRDefault="00EC06FD">
      <w:pPr>
        <w:suppressAutoHyphens/>
        <w:spacing w:line="276" w:lineRule="auto"/>
        <w:jc w:val="both"/>
        <w:rPr>
          <w:noProof/>
          <w:szCs w:val="20"/>
          <w:lang w:eastAsia="en-US"/>
        </w:rPr>
      </w:pPr>
      <w:bookmarkStart w:id="657" w:name="_Toc472498213"/>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sidR="00EC06FD" w:rsidRDefault="00F346DE">
      <w:pPr>
        <w:pStyle w:val="Heading2"/>
        <w:tabs>
          <w:tab w:val="num" w:pos="1560"/>
        </w:tabs>
        <w:suppressAutoHyphens/>
        <w:spacing w:before="240" w:line="276" w:lineRule="auto"/>
        <w:ind w:left="709"/>
        <w:rPr>
          <w:noProof/>
        </w:rPr>
      </w:pPr>
      <w:bookmarkStart w:id="658" w:name="_Toc494899795"/>
      <w:bookmarkEnd w:id="613"/>
      <w:bookmarkEnd w:id="614"/>
      <w:bookmarkEnd w:id="615"/>
      <w:bookmarkEnd w:id="616"/>
      <w:bookmarkEnd w:id="617"/>
      <w:bookmarkEnd w:id="618"/>
      <w:bookmarkEnd w:id="657"/>
      <w:r>
        <w:rPr>
          <w:noProof/>
        </w:rPr>
        <w:t>Impacts of the previous research and training programme – Euratom FP7 and comparison with the expected impacts of Euratom programme 2014-2018</w:t>
      </w:r>
      <w:bookmarkEnd w:id="658"/>
    </w:p>
    <w:p w:rsidR="00EC06FD" w:rsidRDefault="00F346DE">
      <w:pPr>
        <w:pStyle w:val="Heading3"/>
        <w:rPr>
          <w:noProof/>
        </w:rPr>
      </w:pPr>
      <w:bookmarkStart w:id="659" w:name="_Toc494899796"/>
      <w:r>
        <w:rPr>
          <w:noProof/>
        </w:rPr>
        <w:t>Impacts of Euratom FP7</w:t>
      </w:r>
      <w:bookmarkEnd w:id="659"/>
    </w:p>
    <w:p w:rsidR="00EC06FD" w:rsidRDefault="00F346DE">
      <w:pPr>
        <w:suppressAutoHyphens/>
        <w:autoSpaceDE w:val="0"/>
        <w:autoSpaceDN w:val="0"/>
        <w:adjustRightInd w:val="0"/>
        <w:spacing w:after="120" w:line="276" w:lineRule="auto"/>
        <w:jc w:val="both"/>
        <w:rPr>
          <w:noProof/>
          <w:color w:val="000000"/>
        </w:rPr>
      </w:pPr>
      <w:r>
        <w:rPr>
          <w:noProof/>
          <w:color w:val="000000"/>
        </w:rPr>
        <w:t>The Euratom 7</w:t>
      </w:r>
      <w:r>
        <w:rPr>
          <w:noProof/>
          <w:color w:val="000000"/>
          <w:vertAlign w:val="superscript"/>
        </w:rPr>
        <w:t>th</w:t>
      </w:r>
      <w:r>
        <w:rPr>
          <w:noProof/>
          <w:color w:val="000000"/>
        </w:rPr>
        <w:t xml:space="preserve"> Framework Programme (FP7)</w:t>
      </w:r>
      <w:r>
        <w:rPr>
          <w:noProof/>
          <w:vertAlign w:val="superscript"/>
        </w:rPr>
        <w:footnoteReference w:id="39"/>
      </w:r>
      <w:r>
        <w:rPr>
          <w:noProof/>
          <w:color w:val="000000"/>
          <w:vertAlign w:val="superscript"/>
        </w:rPr>
        <w:t>,</w:t>
      </w:r>
      <w:r>
        <w:rPr>
          <w:noProof/>
          <w:vertAlign w:val="superscript"/>
        </w:rPr>
        <w:footnoteReference w:id="40"/>
      </w:r>
      <w:r>
        <w:rPr>
          <w:noProof/>
          <w:color w:val="000000"/>
        </w:rPr>
        <w:t xml:space="preserve"> was implemented during 2007-2013 and was subject of an ex-post evaluation carried out by independent experts</w:t>
      </w:r>
      <w:r>
        <w:rPr>
          <w:noProof/>
          <w:vertAlign w:val="superscript"/>
        </w:rPr>
        <w:footnoteReference w:id="41"/>
      </w:r>
      <w:r>
        <w:rPr>
          <w:noProof/>
          <w:color w:val="000000"/>
          <w:vertAlign w:val="superscript"/>
        </w:rPr>
        <w:t xml:space="preserve"> </w:t>
      </w:r>
      <w:r>
        <w:rPr>
          <w:noProof/>
          <w:color w:val="000000"/>
        </w:rPr>
        <w:t>in 2015 (see COM(2016)5 and Annex 1 in particular). FP7 impacts can be summarised as follows:</w:t>
      </w:r>
      <w:r>
        <w:rPr>
          <w:noProof/>
          <w:u w:val="single"/>
        </w:rPr>
        <w:t xml:space="preserve"> </w:t>
      </w:r>
    </w:p>
    <w:p w:rsidR="00EC06FD" w:rsidRDefault="00F346DE">
      <w:pPr>
        <w:pStyle w:val="ListParagraph"/>
        <w:numPr>
          <w:ilvl w:val="0"/>
          <w:numId w:val="30"/>
        </w:numPr>
        <w:suppressAutoHyphens/>
        <w:autoSpaceDE w:val="0"/>
        <w:autoSpaceDN w:val="0"/>
        <w:adjustRightInd w:val="0"/>
        <w:spacing w:after="120" w:line="276" w:lineRule="auto"/>
        <w:rPr>
          <w:noProof/>
          <w:color w:val="000000"/>
        </w:rPr>
      </w:pPr>
      <w:r>
        <w:rPr>
          <w:noProof/>
        </w:rPr>
        <w:t xml:space="preserve">In </w:t>
      </w:r>
      <w:r>
        <w:rPr>
          <w:i/>
          <w:noProof/>
        </w:rPr>
        <w:t>fission research,</w:t>
      </w:r>
      <w:r>
        <w:rPr>
          <w:noProof/>
        </w:rPr>
        <w:t xml:space="preserve"> </w:t>
      </w:r>
      <w:r>
        <w:rPr>
          <w:noProof/>
          <w:color w:val="000000"/>
        </w:rPr>
        <w:t xml:space="preserve">research supported by Euratom FP7 had a substantial number of scientific achievements in all fields supported by the programme - nuclear safety, radiation protection, radioactive waste management. A substantial number of research proposals (286 proposals submitted for seven annual calls) prepared by 3354 applicants demonstrated a strong interest of research stakeholders to participate in nuclear research at European level. Stakeholders, including industry, have also shown a </w:t>
      </w:r>
      <w:r>
        <w:rPr>
          <w:noProof/>
        </w:rPr>
        <w:t>readiness to form consortia in response to the calls - the average consortium size in Euratom Programme was significantly higher than across FP7 as a whole (17 compared to 12 partners per collaborative project). M</w:t>
      </w:r>
      <w:r>
        <w:rPr>
          <w:noProof/>
          <w:color w:val="000000"/>
        </w:rPr>
        <w:t>oreover, total investment in funded projects was almost €660 million for a Euratom contribution of only €354 million (54% of total costs).</w:t>
      </w:r>
    </w:p>
    <w:p w:rsidR="00EC06FD" w:rsidRDefault="00F346DE">
      <w:pPr>
        <w:pStyle w:val="ListParagraph"/>
        <w:numPr>
          <w:ilvl w:val="0"/>
          <w:numId w:val="30"/>
        </w:numPr>
        <w:suppressAutoHyphens/>
        <w:autoSpaceDE w:val="0"/>
        <w:autoSpaceDN w:val="0"/>
        <w:adjustRightInd w:val="0"/>
        <w:spacing w:after="120" w:line="276" w:lineRule="auto"/>
        <w:rPr>
          <w:noProof/>
        </w:rPr>
      </w:pPr>
      <w:r>
        <w:rPr>
          <w:noProof/>
        </w:rPr>
        <w:t>Euratom FP7 activities</w:t>
      </w:r>
      <w:r>
        <w:rPr>
          <w:i/>
          <w:noProof/>
        </w:rPr>
        <w:t xml:space="preserve"> in nuclear safety</w:t>
      </w:r>
      <w:r>
        <w:rPr>
          <w:noProof/>
        </w:rPr>
        <w:t xml:space="preserve"> have concentrated on research in severe accidents, long-term plant operation (i.e. ageing and integrity of various materials and components), plant safety simulation tools and the man-machine interface. </w:t>
      </w:r>
    </w:p>
    <w:p w:rsidR="00EC06FD" w:rsidRDefault="00F346DE">
      <w:pPr>
        <w:pStyle w:val="ListParagraph"/>
        <w:numPr>
          <w:ilvl w:val="0"/>
          <w:numId w:val="30"/>
        </w:numPr>
        <w:suppressAutoHyphens/>
        <w:autoSpaceDE w:val="0"/>
        <w:autoSpaceDN w:val="0"/>
        <w:adjustRightInd w:val="0"/>
        <w:spacing w:after="120" w:line="276" w:lineRule="auto"/>
        <w:rPr>
          <w:noProof/>
        </w:rPr>
      </w:pPr>
      <w:r>
        <w:rPr>
          <w:noProof/>
        </w:rPr>
        <w:t xml:space="preserve">Euratom funded projects, such as SARNET-2, contributed to the resolving of </w:t>
      </w:r>
      <w:r>
        <w:rPr>
          <w:bCs/>
          <w:noProof/>
        </w:rPr>
        <w:t>important pending issues on postulated severe accidents of existing and future nuclear power plants (e.g. severe core damage and resulting release of radiation in the event of ‘beyond design basis’ events)</w:t>
      </w:r>
      <w:r>
        <w:rPr>
          <w:noProof/>
        </w:rPr>
        <w:t xml:space="preserve">. These projects optimised use of available resources in this field and established a sustainable network to support the development of joint research programmes and a common computer tool to model and predict Nuclear Power Plants behaviour. </w:t>
      </w:r>
    </w:p>
    <w:p w:rsidR="00EC06FD" w:rsidRDefault="00F346DE">
      <w:pPr>
        <w:pStyle w:val="ListParagraph"/>
        <w:numPr>
          <w:ilvl w:val="0"/>
          <w:numId w:val="30"/>
        </w:numPr>
        <w:suppressAutoHyphens/>
        <w:autoSpaceDE w:val="0"/>
        <w:autoSpaceDN w:val="0"/>
        <w:adjustRightInd w:val="0"/>
        <w:spacing w:after="120" w:line="276" w:lineRule="auto"/>
        <w:rPr>
          <w:noProof/>
        </w:rPr>
      </w:pPr>
      <w:r>
        <w:rPr>
          <w:noProof/>
        </w:rPr>
        <w:t xml:space="preserve">Regulatory authorities in many countries are approving lifetime extensions of nuclear power plants (NPP) beyond original design lifetimes. The key consideration in granting an extension to the operation license is the degradation over time (thermal cycling, irradiation damage, other chemical / physical processes) of materials and components with a safety function. </w:t>
      </w:r>
      <w:r>
        <w:rPr>
          <w:bCs/>
          <w:noProof/>
        </w:rPr>
        <w:t xml:space="preserve">A number of Euratom FP7 projects have focused on such issues and related management of safety-related functions (e.g. projects PERFORM-60, LONGLIFE, STYLE, ADVANCE). </w:t>
      </w:r>
      <w:r>
        <w:rPr>
          <w:noProof/>
        </w:rPr>
        <w:t xml:space="preserve">The projects are developing and improving tools for predicting the combined effects of irradiation and corrosion on key components such as the reactor </w:t>
      </w:r>
      <w:r>
        <w:rPr>
          <w:noProof/>
        </w:rPr>
        <w:lastRenderedPageBreak/>
        <w:t>pressure vessel, and for the structural integrity assessment of the cooling circuit. Importantly, the projects are establishing a common and harmonised set of tools and methods for use in all reactor lifetime assessments and related predictions in Europe.</w:t>
      </w:r>
    </w:p>
    <w:p w:rsidR="00EC06FD" w:rsidRDefault="00F346DE">
      <w:pPr>
        <w:pStyle w:val="ListParagraph"/>
        <w:numPr>
          <w:ilvl w:val="0"/>
          <w:numId w:val="30"/>
        </w:numPr>
        <w:suppressAutoHyphens/>
        <w:spacing w:after="120" w:line="276" w:lineRule="auto"/>
        <w:rPr>
          <w:noProof/>
        </w:rPr>
      </w:pPr>
      <w:r>
        <w:rPr>
          <w:noProof/>
        </w:rPr>
        <w:t>Several Euratom research projects addressed issues raised by Fukushima accident. Specific projects have been launched addressing hydrogen issues in the containment (ERCOSAM project), containment venting technology (PASSAM), modelling tools for severe accidents (SARNET2 and CESAM), PSA methodologies for assessing extreme external events (ASAMPSA_E), and assessment of in-vessel and ex-vessel phases of a severe accident (SAFEST and ALISA). In addition, accident consequences for health and the environment, including marine radioecology, were investigated by projects DOREMI, STAR, PREPARE, COMET, and NERIS-TP under the topic of radiological and emergency preparedness.</w:t>
      </w:r>
    </w:p>
    <w:p w:rsidR="00EC06FD" w:rsidRDefault="00F346DE">
      <w:pPr>
        <w:pStyle w:val="ListParagraph"/>
        <w:numPr>
          <w:ilvl w:val="0"/>
          <w:numId w:val="30"/>
        </w:numPr>
        <w:suppressAutoHyphens/>
        <w:autoSpaceDE w:val="0"/>
        <w:autoSpaceDN w:val="0"/>
        <w:adjustRightInd w:val="0"/>
        <w:spacing w:after="120" w:line="276" w:lineRule="auto"/>
        <w:rPr>
          <w:noProof/>
        </w:rPr>
      </w:pPr>
      <w:r>
        <w:rPr>
          <w:noProof/>
          <w:color w:val="000000"/>
        </w:rPr>
        <w:t xml:space="preserve">In </w:t>
      </w:r>
      <w:r>
        <w:rPr>
          <w:i/>
          <w:noProof/>
          <w:color w:val="000000"/>
        </w:rPr>
        <w:t>radiation protection,</w:t>
      </w:r>
      <w:r>
        <w:rPr>
          <w:noProof/>
          <w:color w:val="000000"/>
        </w:rPr>
        <w:t xml:space="preserve"> t</w:t>
      </w:r>
      <w:r>
        <w:rPr>
          <w:noProof/>
        </w:rPr>
        <w:t>he Euratom Programme supported the development of a comprehensive, state-of-the-art, science-based evaluation of radiation risks in low-dose research and has had a large impact in terms of publications and training of a new generation of researchers in radiation protection. Euratom projects have substantially contributed to the optimisation of the use of radiation in medical applications. For example, significant advances in the use of radiation in medicine achieved by FP7 help cut down exposures to patients which reduces the recovery time and the chance that secondary cancers occur, as well as the exposure to medical staff. Because of the growing use of new medical diagnostic procedures such as computed tomography (CT) and positron-emission tomography (PET), medical exposure to radiation of the population has increased rapidly in recent years. Euratom projects have substantially contributed to the optimisation of the use of radiation in medical applications by developing innovative products and algorithms in 3D nuclear medical imaging and breast imaging (projects MADEIRA &amp; Breast-CT), for better diagnostics, optimised patient-dose calculation and application, and higher resolution images. By enabling earlier and more accurate diagnosis, these innovations will help to increase survival rates and reduce the high costs of cancer treatment.</w:t>
      </w:r>
    </w:p>
    <w:p w:rsidR="00EC06FD" w:rsidRDefault="00F346DE">
      <w:pPr>
        <w:pStyle w:val="ListParagraph"/>
        <w:numPr>
          <w:ilvl w:val="0"/>
          <w:numId w:val="30"/>
        </w:numPr>
        <w:suppressAutoHyphens/>
        <w:autoSpaceDE w:val="0"/>
        <w:autoSpaceDN w:val="0"/>
        <w:adjustRightInd w:val="0"/>
        <w:spacing w:after="120" w:line="276" w:lineRule="auto"/>
        <w:rPr>
          <w:noProof/>
        </w:rPr>
      </w:pPr>
      <w:r>
        <w:rPr>
          <w:noProof/>
        </w:rPr>
        <w:t xml:space="preserve">The most important development in the area of low-dose research was the launch the Multidisciplinary European Low-Dose Initiative (MELODI). This would not have been possible without the funding and support of the Euratom Framework Programme. This initiative, since evolving into a legal entity under French law, has developed a clear vision for future radiation protection R&amp;D and a related Strategic Research Agenda (SRA), which brings together the full range of necessary disciplines and competencies thanks to its large stakeholder base. SRAs in related sectors such as radioecology have also been developed thanks to other Euratom projects. All these projects have helped retain European competences in technical sectors or growing importance worldwide. </w:t>
      </w:r>
    </w:p>
    <w:p w:rsidR="00EC06FD" w:rsidRDefault="00F346DE">
      <w:pPr>
        <w:pStyle w:val="ListParagraph"/>
        <w:numPr>
          <w:ilvl w:val="0"/>
          <w:numId w:val="30"/>
        </w:numPr>
        <w:suppressAutoHyphens/>
        <w:autoSpaceDE w:val="0"/>
        <w:autoSpaceDN w:val="0"/>
        <w:adjustRightInd w:val="0"/>
        <w:spacing w:after="120" w:line="276" w:lineRule="auto"/>
        <w:rPr>
          <w:noProof/>
        </w:rPr>
      </w:pPr>
      <w:r>
        <w:rPr>
          <w:i/>
          <w:noProof/>
        </w:rPr>
        <w:t>Emergency management and rehabilitation</w:t>
      </w:r>
      <w:r>
        <w:rPr>
          <w:noProof/>
        </w:rPr>
        <w:t xml:space="preserve"> have also been greatly improved in Europe as a result of Euratom FP7 projects that have integrated Member States' capabilities as well as providing practical information and documentation for improved guidance regarding post-accident response and clean-up.</w:t>
      </w:r>
    </w:p>
    <w:p w:rsidR="00EC06FD" w:rsidRDefault="00F346DE">
      <w:pPr>
        <w:pStyle w:val="ListParagraph"/>
        <w:numPr>
          <w:ilvl w:val="0"/>
          <w:numId w:val="30"/>
        </w:numPr>
        <w:suppressAutoHyphens/>
        <w:autoSpaceDE w:val="0"/>
        <w:autoSpaceDN w:val="0"/>
        <w:adjustRightInd w:val="0"/>
        <w:spacing w:after="120" w:line="276" w:lineRule="auto"/>
        <w:rPr>
          <w:noProof/>
        </w:rPr>
      </w:pPr>
      <w:r>
        <w:rPr>
          <w:i/>
          <w:noProof/>
        </w:rPr>
        <w:t>Managing radioactive waste safely</w:t>
      </w:r>
      <w:r>
        <w:rPr>
          <w:noProof/>
        </w:rPr>
        <w:t xml:space="preserve"> is a concern for all EU Member States, whether it relates to the waste from nuclear electricity production or from radiation use in research, </w:t>
      </w:r>
      <w:r>
        <w:rPr>
          <w:noProof/>
        </w:rPr>
        <w:lastRenderedPageBreak/>
        <w:t xml:space="preserve">industry and medicine. </w:t>
      </w:r>
      <w:r>
        <w:rPr>
          <w:bCs/>
          <w:noProof/>
        </w:rPr>
        <w:t>Following more than 30 years of research co-funded by Euratom, geological disposal now represents a passively safe and sustainable option for the long-term management of nuclear waste. Euratom projects launched during FP7 have contributed substantially to the overall progress in the development of geological disposal of nuclear waste. Euratom projects have redefined the state of the art in main areas: k</w:t>
      </w:r>
      <w:r>
        <w:rPr>
          <w:bCs/>
          <w:noProof/>
          <w:color w:val="000000"/>
        </w:rPr>
        <w:t>nowledge base and tools for safety assessment of waste repositories, development of repository technologies (demonstration activities by LUCOEX project), and public involvement – projects such as I</w:t>
      </w:r>
      <w:r>
        <w:rPr>
          <w:noProof/>
          <w:color w:val="000000"/>
        </w:rPr>
        <w:t xml:space="preserve">PPA, INSOTEC provided a neutral forum for discussion between all concerned stakeholders, including local communities, enabling progress in actual disposal programmes. </w:t>
      </w:r>
      <w:r>
        <w:rPr>
          <w:noProof/>
        </w:rPr>
        <w:t xml:space="preserve">Decisions regarding disposal of radioactive waste are taken at the national level and should be based on a sound understanding of the scientific and technical issues and related risks. </w:t>
      </w:r>
    </w:p>
    <w:p w:rsidR="00EC06FD" w:rsidRDefault="00F346DE">
      <w:pPr>
        <w:pStyle w:val="ListParagraph"/>
        <w:numPr>
          <w:ilvl w:val="0"/>
          <w:numId w:val="30"/>
        </w:numPr>
        <w:suppressAutoHyphens/>
        <w:autoSpaceDE w:val="0"/>
        <w:autoSpaceDN w:val="0"/>
        <w:adjustRightInd w:val="0"/>
        <w:spacing w:after="120" w:line="276" w:lineRule="auto"/>
        <w:rPr>
          <w:noProof/>
        </w:rPr>
      </w:pPr>
      <w:r>
        <w:rPr>
          <w:noProof/>
        </w:rPr>
        <w:t>In</w:t>
      </w:r>
      <w:r>
        <w:rPr>
          <w:i/>
          <w:noProof/>
        </w:rPr>
        <w:t xml:space="preserve"> fusion research</w:t>
      </w:r>
      <w:r>
        <w:rPr>
          <w:noProof/>
        </w:rPr>
        <w:t xml:space="preserve">, one of the scientific and technical achievements was the completion of the ITER-Like Wall (ILW) upgrade of JET facility (2009-2011). This established the JET tokamak as the only device worldwide that uses the same combination of plasma-facing components as those to be used in ITER. It involved replacing more than 4000 internal tiles by remote handling. The ITER-Like Wall in JET has since yielded many important results. In particular, results confirmed that ITER could be fitted with a tungsten divertor from the start of its planned operation, avoiding the need for an initial carbon divertor and representing significant cost savings for the project as a whole. Furthermore, JET experiments with the ILW have revealed many new aspects associated with operating with a metallic wall. </w:t>
      </w:r>
    </w:p>
    <w:p w:rsidR="00EC06FD" w:rsidRDefault="00F346DE">
      <w:pPr>
        <w:pStyle w:val="ListParagraph"/>
        <w:numPr>
          <w:ilvl w:val="0"/>
          <w:numId w:val="30"/>
        </w:numPr>
        <w:suppressAutoHyphens/>
        <w:spacing w:after="120" w:line="276" w:lineRule="auto"/>
        <w:rPr>
          <w:rFonts w:eastAsiaTheme="minorHAnsi"/>
          <w:noProof/>
          <w:color w:val="000000"/>
        </w:rPr>
      </w:pPr>
      <w:r>
        <w:rPr>
          <w:i/>
          <w:noProof/>
        </w:rPr>
        <w:t xml:space="preserve">Contribution to the scientific excellence of nuclear research in Europe: </w:t>
      </w:r>
      <w:r>
        <w:rPr>
          <w:noProof/>
          <w:color w:val="000000"/>
        </w:rPr>
        <w:t>During 2007-2013 scientific outputs of the Euratom Programme in fusion research have been substantial. Results have been published in more than 5000 internationally reviewed articles</w:t>
      </w:r>
      <w:r>
        <w:rPr>
          <w:noProof/>
        </w:rPr>
        <w:t xml:space="preserve">. </w:t>
      </w:r>
      <w:r>
        <w:rPr>
          <w:rFonts w:eastAsiaTheme="minorHAnsi"/>
          <w:noProof/>
          <w:color w:val="000000"/>
        </w:rPr>
        <w:t xml:space="preserve">The average number of peer-reviewed publications per annum in journals from European fusion associations over the FP7 period was 665. This represents an almost 20% increase over the FP6 period. The total number of citations – a measure of the impact of the work – has increased even more strongly: an average of over 8600 citations per annum during FP7 compared with around 2200 under FP6. </w:t>
      </w:r>
      <w:r>
        <w:rPr>
          <w:noProof/>
          <w:color w:val="000000"/>
        </w:rPr>
        <w:t>In nuclear fission, 103 completed projects (out of 134 launched during FP7) resulted in 947 publications in peer-reviewed journals, of which 211 were published in high impact journals.</w:t>
      </w:r>
    </w:p>
    <w:p w:rsidR="00EC06FD" w:rsidRDefault="00F346DE">
      <w:pPr>
        <w:pStyle w:val="ListParagraph"/>
        <w:numPr>
          <w:ilvl w:val="0"/>
          <w:numId w:val="30"/>
        </w:numPr>
        <w:suppressAutoHyphens/>
        <w:spacing w:line="276" w:lineRule="auto"/>
        <w:rPr>
          <w:noProof/>
          <w:u w:val="single"/>
        </w:rPr>
      </w:pPr>
      <w:r>
        <w:rPr>
          <w:i/>
          <w:noProof/>
        </w:rPr>
        <w:t>Support for the development and sustainability of nuclear expertise and excellence in Europe:</w:t>
      </w:r>
      <w:r>
        <w:rPr>
          <w:noProof/>
        </w:rPr>
        <w:t xml:space="preserve"> Effective transfer of knowledge, skills and competences from the current generation of nuclear experts to the next is indispensable for ensuring nuclear safety and radiation protection across Europe, as well as developing fusion. In nuclear fission, </w:t>
      </w:r>
      <w:r>
        <w:rPr>
          <w:noProof/>
          <w:color w:val="000000"/>
        </w:rPr>
        <w:t>73 completed FP7 projects (out of 134 in total) involved 520 PhD students, of which 33% were female. This indicates that on average, each project supported more than seven PhD students. In fusion, the Goal-Orientated Training (GOT) programme and researcher fellowships funded by Euratom have successfully contributed to supplying fusion research with urgently needed new fusion engineers (160) and researchers (24). Euratom supported also a mobility scheme, facilitating movement of researchers across Europe. In Euratom FP7, the number of researchers participating has generally increased from around 600 in 2006 to 1100 in 2013.</w:t>
      </w:r>
      <w:r>
        <w:rPr>
          <w:noProof/>
        </w:rPr>
        <w:t xml:space="preserve"> JET facility has provided a key focus for mobility of scientists and </w:t>
      </w:r>
      <w:r>
        <w:rPr>
          <w:noProof/>
        </w:rPr>
        <w:lastRenderedPageBreak/>
        <w:t>European integration, operating as a truly international collaboration with participation from across the EU and beyond. During FP7, 958 scientists made visits to JET to undertake research, many of these visiting more than once.</w:t>
      </w:r>
    </w:p>
    <w:p w:rsidR="00EC06FD" w:rsidRDefault="00F346DE">
      <w:pPr>
        <w:pStyle w:val="ListParagraph"/>
        <w:numPr>
          <w:ilvl w:val="0"/>
          <w:numId w:val="30"/>
        </w:numPr>
        <w:suppressAutoHyphens/>
        <w:autoSpaceDE w:val="0"/>
        <w:autoSpaceDN w:val="0"/>
        <w:adjustRightInd w:val="0"/>
        <w:spacing w:after="120" w:line="276" w:lineRule="auto"/>
        <w:rPr>
          <w:bCs/>
          <w:noProof/>
        </w:rPr>
      </w:pPr>
      <w:r>
        <w:rPr>
          <w:noProof/>
          <w:color w:val="000000"/>
        </w:rPr>
        <w:t>The Euratom FP7 has shown a clear European added value in this field. The Euratom programme mobilised a wider pool of excellence, competencies and multi-disciplinarily than is available at national level. T</w:t>
      </w:r>
      <w:r>
        <w:rPr>
          <w:bCs/>
          <w:noProof/>
        </w:rPr>
        <w:t xml:space="preserve">he achievements of the fusion programme, </w:t>
      </w:r>
      <w:r>
        <w:rPr>
          <w:noProof/>
        </w:rPr>
        <w:t xml:space="preserve">in particular resulting from joint exploitation of JET, rely on the collective endeavours of researchers and engineers from across Europe (about 350 persons per year), supported by Euratom funding for mobility. </w:t>
      </w:r>
      <w:r>
        <w:rPr>
          <w:noProof/>
          <w:color w:val="000000"/>
        </w:rPr>
        <w:t xml:space="preserve">In fission area, projects in nuclear safety and radiation protection ensured that competences in key technical sectors can be retained in Europe, requiring the bringing together of expertise from many Member States, and the establishing of legal entities to ensure sustainability in the long term. </w:t>
      </w:r>
      <w:r>
        <w:rPr>
          <w:bCs/>
          <w:noProof/>
        </w:rPr>
        <w:t xml:space="preserve">The Euratom programme increased the willingness of research stakeholders to release capital for projects with particular importance for nuclear safety. The SARNET-2 project is an excellent example of the leverage effect of Euratom funding – the total budget was almost €39M but the Euratom contribution is just €5.75M (i.e. less than 15% of total costs). The project supported the efforts of a number of European R&amp;D organisations, including safety authorities, industry and universities, to network their research capacities in the area of severe reactor accidents, thus enhancing the safety of existing and future nuclear power plants. This Network of Excellence defined joint research programmes and developed common computer tools and methodologies for safety assessment of nuclear power plants, and ultimately supported efforts for sustainable integration of the key R&amp;D organisations in this sector. </w:t>
      </w:r>
    </w:p>
    <w:p w:rsidR="00EC06FD" w:rsidRDefault="00F346DE">
      <w:pPr>
        <w:pStyle w:val="Heading3"/>
        <w:rPr>
          <w:noProof/>
        </w:rPr>
      </w:pPr>
      <w:bookmarkStart w:id="660" w:name="_Toc494899797"/>
      <w:r>
        <w:rPr>
          <w:noProof/>
        </w:rPr>
        <w:t>Comparison of Euratom FP7 and Euratom programme 2014-2018</w:t>
      </w:r>
      <w:bookmarkEnd w:id="660"/>
    </w:p>
    <w:p w:rsidR="00EC06FD" w:rsidRDefault="00F346DE">
      <w:pPr>
        <w:spacing w:after="200" w:line="276" w:lineRule="auto"/>
        <w:jc w:val="both"/>
        <w:rPr>
          <w:noProof/>
          <w:szCs w:val="20"/>
          <w:lang w:eastAsia="en-US"/>
        </w:rPr>
      </w:pPr>
      <w:r>
        <w:rPr>
          <w:noProof/>
        </w:rPr>
        <w:t>Progress achieved so far by the Euratom Programme 2014-2018 (see sections 5 and 7) shows that the programme is on track to achieve its objectives. The main difference with the implementation of Euratom FP7 is that the 2014-2018 Programme implements some research actions which are channelled through European Joint Programmes.</w:t>
      </w:r>
      <w:r>
        <w:rPr>
          <w:noProof/>
          <w:szCs w:val="20"/>
          <w:lang w:eastAsia="en-US"/>
        </w:rPr>
        <w:t xml:space="preserve"> These EJP </w:t>
      </w:r>
      <w:r>
        <w:rPr>
          <w:noProof/>
        </w:rPr>
        <w:t>aim</w:t>
      </w:r>
      <w:r>
        <w:rPr>
          <w:noProof/>
          <w:szCs w:val="20"/>
          <w:lang w:eastAsia="en-US"/>
        </w:rPr>
        <w:t xml:space="preserve"> at attracting and pooling a critical mass of national and </w:t>
      </w:r>
      <w:r>
        <w:rPr>
          <w:noProof/>
        </w:rPr>
        <w:t xml:space="preserve">Euratom </w:t>
      </w:r>
      <w:r>
        <w:rPr>
          <w:noProof/>
          <w:szCs w:val="20"/>
          <w:lang w:eastAsia="en-US"/>
        </w:rPr>
        <w:t xml:space="preserve">resources </w:t>
      </w:r>
      <w:r>
        <w:rPr>
          <w:noProof/>
        </w:rPr>
        <w:t>for</w:t>
      </w:r>
      <w:r>
        <w:rPr>
          <w:noProof/>
          <w:szCs w:val="20"/>
          <w:lang w:eastAsia="en-US"/>
        </w:rPr>
        <w:t xml:space="preserve"> achieving significant economies of scales. Apart of Eurofusion for fusion research, this instrument is being implemented in radiation protection, and a Joint Programme is expected to be launched for implementing waste management research. Under Euratom FP7, the fission part of the programme was implemented mainly through research and innovation actions.</w:t>
      </w:r>
    </w:p>
    <w:p w:rsidR="00EC06FD" w:rsidRDefault="00F346DE">
      <w:pPr>
        <w:spacing w:after="200" w:line="276" w:lineRule="auto"/>
        <w:rPr>
          <w:b/>
          <w:i/>
          <w:smallCaps/>
          <w:noProof/>
          <w:szCs w:val="20"/>
          <w:lang w:eastAsia="en-US"/>
        </w:rPr>
      </w:pPr>
      <w:r>
        <w:rPr>
          <w:i/>
          <w:noProof/>
        </w:rPr>
        <w:br w:type="page"/>
      </w:r>
    </w:p>
    <w:p w:rsidR="00EC06FD" w:rsidRDefault="00F346DE">
      <w:pPr>
        <w:pStyle w:val="Heading1"/>
        <w:suppressAutoHyphens/>
        <w:spacing w:after="120" w:line="276" w:lineRule="auto"/>
        <w:rPr>
          <w:noProof/>
        </w:rPr>
      </w:pPr>
      <w:bookmarkStart w:id="661" w:name="_Toc494899798"/>
      <w:r>
        <w:rPr>
          <w:noProof/>
        </w:rPr>
        <w:lastRenderedPageBreak/>
        <w:t>Efficiency of Euratom Programme</w:t>
      </w:r>
      <w:bookmarkEnd w:id="661"/>
    </w:p>
    <w:p w:rsidR="00EC06FD" w:rsidRDefault="00F346DE">
      <w:pPr>
        <w:suppressAutoHyphens/>
        <w:autoSpaceDE w:val="0"/>
        <w:autoSpaceDN w:val="0"/>
        <w:adjustRightInd w:val="0"/>
        <w:spacing w:after="120" w:line="276" w:lineRule="auto"/>
        <w:jc w:val="both"/>
        <w:rPr>
          <w:b/>
          <w:bCs/>
          <w:noProof/>
        </w:rPr>
      </w:pPr>
      <w:r>
        <w:rPr>
          <w:bCs/>
          <w:noProof/>
        </w:rPr>
        <w:t>This section provides an evaluation of the efficiency of the Euratom Programme and addresses in particular the new instruments that have been introduced in 2014 such as the European Joint Programmes (EJP). Analysis of the efficiency of the EJP, in particular concerning management and governance, is important since this instrument accounts for 75% of the budget for indirect actions</w:t>
      </w:r>
      <w:r>
        <w:rPr>
          <w:rStyle w:val="FootnoteReference"/>
          <w:bCs/>
          <w:noProof/>
        </w:rPr>
        <w:footnoteReference w:id="42"/>
      </w:r>
      <w:r>
        <w:rPr>
          <w:bCs/>
          <w:noProof/>
        </w:rPr>
        <w:t xml:space="preserve">. </w:t>
      </w:r>
    </w:p>
    <w:p w:rsidR="00EC06FD" w:rsidRDefault="00F346DE">
      <w:pPr>
        <w:pStyle w:val="Heading2"/>
        <w:suppressAutoHyphens/>
        <w:spacing w:before="240" w:line="276" w:lineRule="auto"/>
        <w:ind w:left="720"/>
        <w:rPr>
          <w:noProof/>
        </w:rPr>
      </w:pPr>
      <w:bookmarkStart w:id="662" w:name="_Toc494899799"/>
      <w:r>
        <w:rPr>
          <w:noProof/>
        </w:rPr>
        <w:t>Efficiency of European Joint Programmes</w:t>
      </w:r>
      <w:bookmarkEnd w:id="662"/>
      <w:r>
        <w:rPr>
          <w:noProof/>
        </w:rPr>
        <w:t xml:space="preserve"> </w:t>
      </w:r>
    </w:p>
    <w:p w:rsidR="00EC06FD" w:rsidRDefault="00F346DE">
      <w:pPr>
        <w:pStyle w:val="Body"/>
        <w:suppressAutoHyphens/>
        <w:rPr>
          <w:rFonts w:ascii="Times New Roman" w:hAnsi="Times New Roman"/>
          <w:bCs/>
          <w:noProof/>
          <w:sz w:val="24"/>
          <w:szCs w:val="24"/>
          <w:lang w:eastAsia="en-GB"/>
        </w:rPr>
      </w:pPr>
      <w:r>
        <w:rPr>
          <w:rFonts w:ascii="Times New Roman" w:hAnsi="Times New Roman"/>
          <w:bCs/>
          <w:noProof/>
          <w:sz w:val="24"/>
          <w:szCs w:val="24"/>
          <w:lang w:eastAsia="en-GB"/>
        </w:rPr>
        <w:t>Following entry into force of the new Rules for Participation, the European Joint Programme (EJP) co-fund action instrument was used for the first time in the Euratom fusion programme as the means to finance the EUROfusion consortium. The EJP co-fund Grant Agreement allows considerable flexibility within the consortium to organise and implement research and related activities, with the Commission reimbursing costs on a global basis up to the agreed co-fund rate. In the case of EUROfusion, the reimbursement rate was set at 55% subject to the availability of funds. The consortium has the complete freedom to allocate the Euratom funding to the beneficiaries according to its own internal procedures. In this regard, different activities have different internal reimbursement rates, which often were based on normal practice under previous Euratom programmes (EFDA, Contracts of Association).</w:t>
      </w:r>
    </w:p>
    <w:p w:rsidR="00EC06FD" w:rsidRDefault="00F346DE">
      <w:pPr>
        <w:pStyle w:val="Body"/>
        <w:suppressAutoHyphens/>
        <w:rPr>
          <w:rFonts w:ascii="Times New Roman" w:hAnsi="Times New Roman"/>
          <w:bCs/>
          <w:noProof/>
          <w:sz w:val="24"/>
          <w:szCs w:val="24"/>
          <w:lang w:eastAsia="en-GB"/>
        </w:rPr>
      </w:pPr>
      <w:r>
        <w:rPr>
          <w:rFonts w:ascii="Times New Roman" w:hAnsi="Times New Roman"/>
          <w:bCs/>
          <w:noProof/>
          <w:sz w:val="24"/>
          <w:szCs w:val="24"/>
          <w:lang w:eastAsia="en-GB"/>
        </w:rPr>
        <w:t>Such a large and comprehensive joint programme necessarily requires a complex governance structure and management system. These are established in the Consortium Agreement signed by all beneficiaries, and include a weighted voting system if agreement cannot be reached by consensus.</w:t>
      </w:r>
    </w:p>
    <w:p w:rsidR="00EC06FD" w:rsidRDefault="00F346DE">
      <w:pPr>
        <w:pStyle w:val="Body"/>
        <w:suppressAutoHyphens/>
        <w:rPr>
          <w:rFonts w:ascii="Times New Roman" w:hAnsi="Times New Roman"/>
          <w:bCs/>
          <w:noProof/>
          <w:sz w:val="24"/>
          <w:szCs w:val="24"/>
          <w:lang w:eastAsia="en-GB"/>
        </w:rPr>
      </w:pPr>
      <w:r>
        <w:rPr>
          <w:rFonts w:ascii="Times New Roman" w:hAnsi="Times New Roman"/>
          <w:bCs/>
          <w:noProof/>
          <w:sz w:val="24"/>
          <w:szCs w:val="24"/>
          <w:lang w:eastAsia="en-GB"/>
        </w:rPr>
        <w:t>This governance and management system was subject to an in-depth assessment by Ernst&amp;Young consultancy, under the terms of a service contract with the Commission and as part of the Mid-Term Review of EUROfusion and the Interim Evaluation of the Euratom Programme. The conclusions of the assessment are as follows:</w:t>
      </w:r>
    </w:p>
    <w:p w:rsidR="00EC06FD" w:rsidRDefault="00F346DE">
      <w:pPr>
        <w:pStyle w:val="ListParagraph"/>
        <w:numPr>
          <w:ilvl w:val="0"/>
          <w:numId w:val="27"/>
        </w:numPr>
        <w:suppressAutoHyphens/>
        <w:spacing w:before="120" w:after="60" w:line="276" w:lineRule="auto"/>
        <w:contextualSpacing w:val="0"/>
        <w:rPr>
          <w:bCs/>
          <w:noProof/>
          <w:szCs w:val="24"/>
          <w:lang w:eastAsia="en-GB"/>
        </w:rPr>
      </w:pPr>
      <w:r>
        <w:rPr>
          <w:bCs/>
          <w:noProof/>
          <w:szCs w:val="24"/>
          <w:lang w:eastAsia="en-GB"/>
        </w:rPr>
        <w:t>While the publication of the Roadmap created a need for change to ensure that the fusion research community was structured in the most efficient way for its implementation, the transition to EUROfusion was driven primarily by the Commission and its evolving role within fusion research, rather than a widely perceived need for change within a fusion community accustomed to and comfortable with a system in place for over a half century. However, the Commission’s decision to reduce its involvement in the scientific orientation of the fusion research programme as well as the scientific administration, and its desire to externalise most administrative and financial management meant that the status quo was no longer tenable. Moreover, the tools used for the implementation of the fusion programme until end-2013 were relics of Euratom dating back to the 1950s and out of step with any other research community.</w:t>
      </w:r>
    </w:p>
    <w:p w:rsidR="00EC06FD" w:rsidRDefault="00F346DE">
      <w:pPr>
        <w:pStyle w:val="ListParagraph"/>
        <w:numPr>
          <w:ilvl w:val="0"/>
          <w:numId w:val="27"/>
        </w:numPr>
        <w:suppressAutoHyphens/>
        <w:spacing w:before="120" w:after="60" w:line="276" w:lineRule="auto"/>
        <w:contextualSpacing w:val="0"/>
        <w:rPr>
          <w:bCs/>
          <w:noProof/>
          <w:szCs w:val="24"/>
          <w:lang w:eastAsia="en-GB"/>
        </w:rPr>
      </w:pPr>
      <w:r>
        <w:rPr>
          <w:bCs/>
          <w:noProof/>
          <w:szCs w:val="24"/>
          <w:lang w:eastAsia="en-GB"/>
        </w:rPr>
        <w:t xml:space="preserve">The transition to EUROfusion was necessarily hasty in view of the need to synchronise with the start of Horizon 2020. The Consortium had limited time to put in place a complex </w:t>
      </w:r>
      <w:r>
        <w:rPr>
          <w:bCs/>
          <w:noProof/>
          <w:szCs w:val="24"/>
          <w:lang w:eastAsia="en-GB"/>
        </w:rPr>
        <w:lastRenderedPageBreak/>
        <w:t xml:space="preserve">organisation or undertake in-depth reflection of possible improvements. Without the proper discussion and in view of the widespread sentiment that the restructuring was ‘imposed’, the initial focus of Research Units was defensive, i.e. to maintain their position and role rather than capitalise on the opportunities created by this major restructuring. Many aspects of the EFDA system, although widely recognised as not being ideal, were carried over to the current EUROfusion organisational structure. </w:t>
      </w:r>
    </w:p>
    <w:p w:rsidR="00EC06FD" w:rsidRDefault="00F346DE">
      <w:pPr>
        <w:pStyle w:val="ListParagraph"/>
        <w:numPr>
          <w:ilvl w:val="0"/>
          <w:numId w:val="27"/>
        </w:numPr>
        <w:suppressAutoHyphens/>
        <w:spacing w:before="120" w:after="60" w:line="276" w:lineRule="auto"/>
        <w:contextualSpacing w:val="0"/>
        <w:rPr>
          <w:bCs/>
          <w:noProof/>
          <w:szCs w:val="24"/>
          <w:lang w:eastAsia="en-GB"/>
        </w:rPr>
      </w:pPr>
      <w:r>
        <w:rPr>
          <w:bCs/>
          <w:noProof/>
          <w:szCs w:val="24"/>
          <w:lang w:eastAsia="en-GB"/>
        </w:rPr>
        <w:t>Whilst the transition to EUROfusion was not positively perceived in the community, there is recognition amongst stakeholders of the weaknesses of the previous approach to implementing fusion research and a general consensus that the EUROfusion organisational structure offers some benefits.</w:t>
      </w:r>
    </w:p>
    <w:p w:rsidR="00EC06FD" w:rsidRDefault="00F346DE">
      <w:pPr>
        <w:pStyle w:val="ListParagraph"/>
        <w:numPr>
          <w:ilvl w:val="0"/>
          <w:numId w:val="27"/>
        </w:numPr>
        <w:suppressAutoHyphens/>
        <w:spacing w:before="120" w:after="60" w:line="276" w:lineRule="auto"/>
        <w:contextualSpacing w:val="0"/>
        <w:rPr>
          <w:bCs/>
          <w:noProof/>
          <w:szCs w:val="24"/>
          <w:lang w:eastAsia="en-GB"/>
        </w:rPr>
      </w:pPr>
      <w:r>
        <w:rPr>
          <w:b/>
          <w:bCs/>
          <w:noProof/>
          <w:szCs w:val="24"/>
          <w:lang w:eastAsia="en-GB"/>
        </w:rPr>
        <w:t>The current organisational structure of EUROfusion is ‘fit for purpose’ to continue to implement the Roadmap into the next programming period.</w:t>
      </w:r>
      <w:r>
        <w:rPr>
          <w:bCs/>
          <w:noProof/>
          <w:szCs w:val="24"/>
          <w:lang w:eastAsia="en-GB"/>
        </w:rPr>
        <w:t xml:space="preserve"> Any benefits of introducing significant changes to the EUROfusion organisational structure would appear to be outweighed by the ‘friction costs’ naturally generated by enacting such important change.</w:t>
      </w:r>
    </w:p>
    <w:p w:rsidR="00EC06FD" w:rsidRDefault="00F346DE">
      <w:pPr>
        <w:pStyle w:val="Body"/>
        <w:suppressAutoHyphens/>
        <w:rPr>
          <w:rFonts w:ascii="Times New Roman" w:hAnsi="Times New Roman"/>
          <w:bCs/>
          <w:noProof/>
          <w:sz w:val="24"/>
          <w:szCs w:val="24"/>
          <w:lang w:eastAsia="en-GB"/>
        </w:rPr>
      </w:pPr>
      <w:r>
        <w:rPr>
          <w:rFonts w:ascii="Times New Roman" w:hAnsi="Times New Roman"/>
          <w:bCs/>
          <w:noProof/>
          <w:sz w:val="24"/>
          <w:szCs w:val="24"/>
          <w:lang w:eastAsia="en-GB"/>
        </w:rPr>
        <w:t xml:space="preserve">The E&amp;Y report provides a large number of specific recommendations for EUROfusion management for the improvement of governance and management. On the basis of the E&amp;Y report and its own analysis and interviews, the Commission Expert Group concluded that: </w:t>
      </w:r>
      <w:r>
        <w:rPr>
          <w:rFonts w:ascii="Times New Roman" w:hAnsi="Times New Roman"/>
          <w:bCs/>
          <w:i/>
          <w:noProof/>
          <w:sz w:val="24"/>
          <w:szCs w:val="24"/>
          <w:lang w:eastAsia="en-GB"/>
        </w:rPr>
        <w:t>"</w:t>
      </w:r>
      <w:r>
        <w:rPr>
          <w:noProof/>
        </w:rPr>
        <w:t xml:space="preserve">… </w:t>
      </w:r>
      <w:r>
        <w:rPr>
          <w:rFonts w:ascii="Times New Roman" w:hAnsi="Times New Roman"/>
          <w:bCs/>
          <w:i/>
          <w:noProof/>
          <w:sz w:val="24"/>
          <w:szCs w:val="24"/>
          <w:lang w:eastAsia="en-GB"/>
        </w:rPr>
        <w:t>to date the Euratom Programme in fusion has been effective as the various activities reflect the priorities of the Roadmap and that the programme is pursuing the activities with the highest impact in the realization of the Roadmap … The efficiency of the implementation of the research programme needs to be improved. The transition between the EFDA/CoA system and Horizon 2020 took place very rapidly and the new system under EUROfusion is slowly adapting. The governance of EUROfusion is progressing but improvements are necessary to strengthen the approach to project management. The Programme Manager should exercise leadership to ensure the prevention of potential conflicts of interest due to the multiple roles of the beneficiaries."</w:t>
      </w:r>
    </w:p>
    <w:p w:rsidR="00EC06FD" w:rsidRDefault="00F346DE">
      <w:pPr>
        <w:pStyle w:val="Body"/>
        <w:suppressAutoHyphens/>
        <w:rPr>
          <w:rFonts w:ascii="Times New Roman" w:hAnsi="Times New Roman"/>
          <w:bCs/>
          <w:noProof/>
          <w:sz w:val="24"/>
          <w:szCs w:val="24"/>
          <w:lang w:eastAsia="en-GB"/>
        </w:rPr>
      </w:pPr>
      <w:r>
        <w:rPr>
          <w:rFonts w:ascii="Times New Roman" w:hAnsi="Times New Roman"/>
          <w:bCs/>
          <w:noProof/>
          <w:sz w:val="24"/>
          <w:szCs w:val="24"/>
          <w:lang w:eastAsia="en-GB"/>
        </w:rPr>
        <w:t>The Group made specific recommendations regarding EUROfusion governance, project management, planning and programming in line with the above conclusions. These recommendations are essentially addressed to EUROfusion, and while not bringing into question the basic structure or approach, will require further refinements and evolution of the joint programme in order for it to remain effective going into the next programming period (2021-2025 and beyond), when the focus will increasingly be DEMO CDA and EDA. The recommendations are broadly consistent with the more detailed points made by E&amp;Y in its assessment, and the conclusions of the international panel of experts responsible of the Mid-Term Review of EUROfusion. The Commission will work with EUROfusion over the coming months to ensure all recommendations are addressed satisfactorily, and this will also be an important consideration in the planning for the 2021-2025 Euratom Programme, in particular as part of the ex-ante impact assessment</w:t>
      </w:r>
    </w:p>
    <w:p w:rsidR="00EC06FD" w:rsidRDefault="00EC06FD">
      <w:pPr>
        <w:pStyle w:val="Body"/>
        <w:suppressAutoHyphens/>
        <w:rPr>
          <w:rFonts w:ascii="Times New Roman" w:hAnsi="Times New Roman"/>
          <w:bCs/>
          <w:noProof/>
          <w:sz w:val="24"/>
          <w:szCs w:val="24"/>
          <w:lang w:eastAsia="en-GB"/>
        </w:rPr>
      </w:pPr>
    </w:p>
    <w:p w:rsidR="00EC06FD" w:rsidRDefault="00F346DE">
      <w:pPr>
        <w:pStyle w:val="Heading2"/>
        <w:suppressAutoHyphens/>
        <w:spacing w:line="276" w:lineRule="auto"/>
        <w:ind w:left="720"/>
        <w:rPr>
          <w:noProof/>
        </w:rPr>
      </w:pPr>
      <w:bookmarkStart w:id="663" w:name="_Toc494899800"/>
      <w:r>
        <w:rPr>
          <w:noProof/>
        </w:rPr>
        <w:lastRenderedPageBreak/>
        <w:t>Efficiency of the Euratom Programme management structures</w:t>
      </w:r>
      <w:bookmarkEnd w:id="663"/>
    </w:p>
    <w:p w:rsidR="00EC06FD" w:rsidRDefault="00F346DE">
      <w:pPr>
        <w:pStyle w:val="Heading3"/>
        <w:tabs>
          <w:tab w:val="num" w:pos="2127"/>
        </w:tabs>
        <w:spacing w:after="120"/>
        <w:ind w:left="1276"/>
        <w:rPr>
          <w:noProof/>
        </w:rPr>
      </w:pPr>
      <w:bookmarkStart w:id="664" w:name="_Toc475473468"/>
      <w:bookmarkStart w:id="665" w:name="_Toc475473543"/>
      <w:bookmarkStart w:id="666" w:name="_Toc475474841"/>
      <w:bookmarkStart w:id="667" w:name="_Toc475475194"/>
      <w:bookmarkStart w:id="668" w:name="_Toc475478968"/>
      <w:bookmarkStart w:id="669" w:name="_Toc475479519"/>
      <w:bookmarkStart w:id="670" w:name="_Toc475481302"/>
      <w:bookmarkStart w:id="671" w:name="_Toc494899801"/>
      <w:bookmarkStart w:id="672" w:name="_Toc474591487"/>
      <w:bookmarkStart w:id="673" w:name="_Toc474513259"/>
      <w:bookmarkStart w:id="674" w:name="_Toc474513407"/>
      <w:bookmarkStart w:id="675" w:name="_Toc474522520"/>
      <w:bookmarkStart w:id="676" w:name="_Toc474531745"/>
      <w:bookmarkEnd w:id="664"/>
      <w:bookmarkEnd w:id="665"/>
      <w:bookmarkEnd w:id="666"/>
      <w:bookmarkEnd w:id="667"/>
      <w:bookmarkEnd w:id="668"/>
      <w:bookmarkEnd w:id="669"/>
      <w:bookmarkEnd w:id="670"/>
      <w:r>
        <w:rPr>
          <w:noProof/>
        </w:rPr>
        <w:t>Administrative costs</w:t>
      </w:r>
      <w:bookmarkEnd w:id="671"/>
    </w:p>
    <w:p w:rsidR="00EC06FD" w:rsidRDefault="00F346DE">
      <w:pPr>
        <w:pStyle w:val="Body"/>
        <w:suppressAutoHyphens/>
        <w:spacing w:after="120"/>
        <w:rPr>
          <w:rFonts w:ascii="Times New Roman" w:hAnsi="Times New Roman"/>
          <w:noProof/>
          <w:sz w:val="24"/>
          <w:szCs w:val="24"/>
        </w:rPr>
      </w:pPr>
      <w:r>
        <w:rPr>
          <w:rFonts w:ascii="Times New Roman" w:hAnsi="Times New Roman"/>
          <w:bCs/>
          <w:noProof/>
          <w:sz w:val="24"/>
          <w:szCs w:val="24"/>
          <w:lang w:eastAsia="en-GB"/>
        </w:rPr>
        <w:t xml:space="preserve">In line with article 4 of the Council regulation establishing the Programme, the Commission's administrative expenditure for indirect actions shall reach up to 7% on average during the duration of the Euratom Programme and no more than 6% in 2018. Analysis of actual expenditure during 2014-2016 and projections for 2017-2018 shows that these limits will be observed. Data show that the administrative budget for 2014-18 will be ca. 6.7%, and for 2018 it is estimated to reach 5.9%. </w:t>
      </w:r>
    </w:p>
    <w:p w:rsidR="00EC06FD" w:rsidRDefault="00F346DE">
      <w:pPr>
        <w:pStyle w:val="Heading3"/>
        <w:tabs>
          <w:tab w:val="num" w:pos="2127"/>
        </w:tabs>
        <w:spacing w:after="120"/>
        <w:ind w:left="1276"/>
        <w:rPr>
          <w:noProof/>
        </w:rPr>
      </w:pPr>
      <w:bookmarkStart w:id="677" w:name="_Toc494899802"/>
      <w:r>
        <w:rPr>
          <w:noProof/>
        </w:rPr>
        <w:t>Management of application and evaluation process</w:t>
      </w:r>
      <w:bookmarkEnd w:id="677"/>
    </w:p>
    <w:p w:rsidR="00EC06FD" w:rsidRDefault="00F346DE">
      <w:pPr>
        <w:suppressAutoHyphens/>
        <w:spacing w:before="120" w:after="120" w:line="276" w:lineRule="auto"/>
        <w:jc w:val="both"/>
        <w:rPr>
          <w:noProof/>
        </w:rPr>
      </w:pPr>
      <w:r>
        <w:rPr>
          <w:noProof/>
        </w:rPr>
        <w:t>Euratom calls for proposals are managed by DG Research and Innovation. For the period 2014-2016, 3 calls have been organised (two biennial calls 2014/15 and 2016/17, and supplementary call 2014/15 concerning safety aspects of supply of fuel for VVER reactors in EU).</w:t>
      </w:r>
    </w:p>
    <w:p w:rsidR="00EC06FD" w:rsidRDefault="00F346DE">
      <w:pPr>
        <w:suppressAutoHyphens/>
        <w:spacing w:after="240" w:line="276" w:lineRule="auto"/>
        <w:jc w:val="both"/>
        <w:rPr>
          <w:rFonts w:eastAsia="Calibri"/>
          <w:noProof/>
        </w:rPr>
      </w:pPr>
      <w:r>
        <w:rPr>
          <w:rFonts w:eastAsia="Calibri"/>
          <w:noProof/>
        </w:rPr>
        <w:t>In the first three years of Euratom programme, about 500 distinct higher or secondary education institutions, private companies, research organisations, public entities and others applied for Euratom funding. The expenses related to processes on writing, coordinating consortia and administrative questions vary greatly on the types of proposal, salary level of participants involved, administrative support needed etc. Horizon 2020 studies have shown that depending on their age and position, researchers spend from 5-10% of their time applying for research funding</w:t>
      </w:r>
      <w:r>
        <w:rPr>
          <w:rStyle w:val="FootnoteReference"/>
          <w:rFonts w:eastAsia="Calibri"/>
          <w:noProof/>
        </w:rPr>
        <w:footnoteReference w:id="43"/>
      </w:r>
      <w:r>
        <w:rPr>
          <w:rFonts w:eastAsia="Calibri"/>
          <w:noProof/>
        </w:rPr>
        <w:t xml:space="preserve">. These and following findings are also applicable to the Euratom programme, which is based on the same rules for participation and therefore the same system for submitting proposals and reporting is used for both programmes. </w:t>
      </w:r>
      <w:r>
        <w:rPr>
          <w:rFonts w:eastAsia="Calibri"/>
          <w:b/>
          <w:noProof/>
        </w:rPr>
        <w:t>Three quarters (75%) of the respondents to the simplification survey, with experience in FP7 and Horizon 2020, confirmed that, overall, the processes in Horizon 2020 are much simpler than in FP7</w:t>
      </w:r>
      <w:r>
        <w:rPr>
          <w:rFonts w:eastAsia="Calibri"/>
          <w:noProof/>
        </w:rPr>
        <w:t>. The survey results on the time spent on preparing proposals are presented in box 1.</w:t>
      </w:r>
    </w:p>
    <w:p w:rsidR="00EC06FD" w:rsidRDefault="00F346DE">
      <w:pPr>
        <w:pBdr>
          <w:top w:val="single" w:sz="4" w:space="1" w:color="auto"/>
          <w:left w:val="single" w:sz="4" w:space="15" w:color="auto"/>
          <w:bottom w:val="single" w:sz="4" w:space="8" w:color="auto"/>
          <w:right w:val="single" w:sz="4" w:space="4" w:color="auto"/>
        </w:pBdr>
        <w:tabs>
          <w:tab w:val="num" w:pos="567"/>
        </w:tabs>
        <w:suppressAutoHyphens/>
        <w:spacing w:before="120" w:after="120" w:line="276" w:lineRule="auto"/>
        <w:ind w:left="357"/>
        <w:rPr>
          <w:b/>
          <w:noProof/>
          <w:sz w:val="20"/>
        </w:rPr>
      </w:pPr>
      <w:r>
        <w:rPr>
          <w:b/>
          <w:noProof/>
          <w:sz w:val="20"/>
        </w:rPr>
        <w:t>Box 1: Time spent on proposal preparation</w:t>
      </w:r>
    </w:p>
    <w:p w:rsidR="00EC06FD" w:rsidRDefault="00F346DE">
      <w:pPr>
        <w:pStyle w:val="ListParagraph"/>
        <w:numPr>
          <w:ilvl w:val="0"/>
          <w:numId w:val="24"/>
        </w:numPr>
        <w:pBdr>
          <w:top w:val="single" w:sz="4" w:space="1" w:color="auto"/>
          <w:left w:val="single" w:sz="4" w:space="15" w:color="auto"/>
          <w:bottom w:val="single" w:sz="4" w:space="8" w:color="auto"/>
          <w:right w:val="single" w:sz="4" w:space="4" w:color="auto"/>
        </w:pBdr>
        <w:tabs>
          <w:tab w:val="clear" w:pos="837"/>
          <w:tab w:val="num" w:pos="567"/>
        </w:tabs>
        <w:suppressAutoHyphens/>
        <w:spacing w:before="120" w:after="120" w:line="276" w:lineRule="auto"/>
        <w:ind w:left="567" w:hanging="210"/>
        <w:rPr>
          <w:noProof/>
          <w:sz w:val="20"/>
        </w:rPr>
      </w:pPr>
      <w:r>
        <w:rPr>
          <w:noProof/>
          <w:sz w:val="20"/>
        </w:rPr>
        <w:t xml:space="preserve">52.3% of coordinators in a multi-partner project say that they spent more than 30 days, 32% stated that they spent between 15-30 days preparing a proposal. </w:t>
      </w:r>
    </w:p>
    <w:p w:rsidR="00EC06FD" w:rsidRDefault="00F346DE">
      <w:pPr>
        <w:pStyle w:val="ListParagraph"/>
        <w:numPr>
          <w:ilvl w:val="0"/>
          <w:numId w:val="24"/>
        </w:numPr>
        <w:pBdr>
          <w:top w:val="single" w:sz="4" w:space="1" w:color="auto"/>
          <w:left w:val="single" w:sz="4" w:space="15" w:color="auto"/>
          <w:bottom w:val="single" w:sz="4" w:space="8" w:color="auto"/>
          <w:right w:val="single" w:sz="4" w:space="4" w:color="auto"/>
        </w:pBdr>
        <w:tabs>
          <w:tab w:val="clear" w:pos="837"/>
          <w:tab w:val="num" w:pos="567"/>
        </w:tabs>
        <w:suppressAutoHyphens/>
        <w:spacing w:before="120" w:after="120" w:line="276" w:lineRule="auto"/>
        <w:ind w:left="567" w:hanging="210"/>
        <w:rPr>
          <w:noProof/>
          <w:sz w:val="20"/>
        </w:rPr>
      </w:pPr>
      <w:r>
        <w:rPr>
          <w:noProof/>
          <w:sz w:val="20"/>
        </w:rPr>
        <w:t xml:space="preserve">14.3% of partners in multi-partner projects declare spending more than 30 days, 52.6% that they spend between 15 and 30 days. </w:t>
      </w:r>
    </w:p>
    <w:p w:rsidR="00EC06FD" w:rsidRDefault="00F346DE">
      <w:pPr>
        <w:suppressAutoHyphens/>
        <w:spacing w:before="120" w:after="120" w:line="276" w:lineRule="auto"/>
        <w:jc w:val="both"/>
        <w:rPr>
          <w:rFonts w:eastAsia="Calibri"/>
          <w:i/>
          <w:noProof/>
          <w:sz w:val="20"/>
          <w:lang w:val="fr-BE"/>
        </w:rPr>
      </w:pPr>
      <w:r>
        <w:rPr>
          <w:rFonts w:eastAsia="Calibri"/>
          <w:i/>
          <w:noProof/>
          <w:sz w:val="20"/>
          <w:lang w:val="fr-BE"/>
        </w:rPr>
        <w:t>Source: European Commission Simplification Survey</w:t>
      </w:r>
      <w:r>
        <w:rPr>
          <w:rStyle w:val="FootnoteReference"/>
          <w:rFonts w:eastAsia="Calibri"/>
          <w:i/>
          <w:noProof/>
          <w:sz w:val="20"/>
          <w:lang w:val="fr-BE"/>
        </w:rPr>
        <w:footnoteReference w:id="44"/>
      </w:r>
    </w:p>
    <w:p w:rsidR="00EC06FD" w:rsidRDefault="00F346DE">
      <w:pPr>
        <w:suppressAutoHyphens/>
        <w:spacing w:before="240" w:line="276" w:lineRule="auto"/>
        <w:jc w:val="both"/>
        <w:rPr>
          <w:noProof/>
        </w:rPr>
      </w:pPr>
      <w:r>
        <w:rPr>
          <w:noProof/>
        </w:rPr>
        <w:t xml:space="preserve">In total, the evaluation process involved 77 experts (34 for call 2014-2015, 4 for the supplementary call 2014-2015, 39 for call 2016-2017) who were appointed in accordance with the procedures laid down in the Guide for proposal submission and evaluation of the Horizon 2020 grant manual. In selecting experts, the primary objective was to ensure a high </w:t>
      </w:r>
      <w:r>
        <w:rPr>
          <w:noProof/>
        </w:rPr>
        <w:lastRenderedPageBreak/>
        <w:t>level of skills, experience and knowledge in the areas of the call (including project management, innovation, exploitation, dissemination and communication). Under these conditions, special attention was given to achieve an appropriate balance composition in terms of various skills, experience and knowledge, geographical diversity and gender, as well as regarding private-public sector balance. As a result, 15 out of the 77 experts (19</w:t>
      </w:r>
      <w:r>
        <w:rPr>
          <w:i/>
          <w:noProof/>
        </w:rPr>
        <w:t>%</w:t>
      </w:r>
      <w:r>
        <w:rPr>
          <w:noProof/>
        </w:rPr>
        <w:t xml:space="preserve">) were women. Out of the 77 invited experts, 30 (39%) came from universities and research institutes public or private, 18 </w:t>
      </w:r>
      <w:r>
        <w:rPr>
          <w:noProof/>
          <w:lang w:val="en-US"/>
        </w:rPr>
        <w:t xml:space="preserve">(23%) </w:t>
      </w:r>
      <w:r>
        <w:rPr>
          <w:noProof/>
        </w:rPr>
        <w:t>came from non-research public sector,</w:t>
      </w:r>
      <w:r>
        <w:rPr>
          <w:noProof/>
          <w:lang w:val="en-US"/>
        </w:rPr>
        <w:t xml:space="preserve"> </w:t>
      </w:r>
      <w:r>
        <w:rPr>
          <w:noProof/>
        </w:rPr>
        <w:t xml:space="preserve">and 29 (38%) were from private commercial firms. 39 out of the 77 experts (51%) were new experts evaluating fission proposals for the first time. In addition, for each call an independent expert was appointed by the Commission to observe and offer an independent advice on the conduct and fairness of the evaluation sessions, on the application of the evaluation criteria and on ways to improve the process. </w:t>
      </w:r>
    </w:p>
    <w:p w:rsidR="00EC06FD" w:rsidRDefault="00EC06FD">
      <w:pPr>
        <w:rPr>
          <w:noProof/>
        </w:rPr>
      </w:pPr>
    </w:p>
    <w:tbl>
      <w:tblPr>
        <w:tblStyle w:val="TableGrid"/>
        <w:tblW w:w="0" w:type="auto"/>
        <w:jc w:val="center"/>
        <w:tblLayout w:type="fixed"/>
        <w:tblLook w:val="04A0" w:firstRow="1" w:lastRow="0" w:firstColumn="1" w:lastColumn="0" w:noHBand="0" w:noVBand="1"/>
      </w:tblPr>
      <w:tblGrid>
        <w:gridCol w:w="1500"/>
        <w:gridCol w:w="2207"/>
        <w:gridCol w:w="2754"/>
        <w:gridCol w:w="1357"/>
      </w:tblGrid>
      <w:tr w:rsidR="00EC06FD">
        <w:trPr>
          <w:jc w:val="center"/>
        </w:trPr>
        <w:tc>
          <w:tcPr>
            <w:tcW w:w="7818" w:type="dxa"/>
            <w:gridSpan w:val="4"/>
            <w:shd w:val="clear" w:color="auto" w:fill="BFBFBF" w:themeFill="background1" w:themeFillShade="BF"/>
          </w:tcPr>
          <w:p w:rsidR="00EC06FD" w:rsidRDefault="00F346DE">
            <w:pPr>
              <w:jc w:val="center"/>
              <w:rPr>
                <w:b/>
                <w:noProof/>
                <w:sz w:val="20"/>
                <w:szCs w:val="20"/>
              </w:rPr>
            </w:pPr>
            <w:r>
              <w:rPr>
                <w:b/>
                <w:bCs/>
                <w:noProof/>
                <w:sz w:val="20"/>
                <w:szCs w:val="20"/>
              </w:rPr>
              <w:t>Table 14 -</w:t>
            </w:r>
            <w:r>
              <w:rPr>
                <w:b/>
                <w:noProof/>
                <w:sz w:val="20"/>
                <w:szCs w:val="20"/>
              </w:rPr>
              <w:t xml:space="preserve"> Data on number of proposals evaluated in Euratom FP7 and Euratom programme 2014-2018</w:t>
            </w:r>
          </w:p>
        </w:tc>
      </w:tr>
      <w:tr w:rsidR="00EC06FD">
        <w:trPr>
          <w:jc w:val="center"/>
        </w:trPr>
        <w:tc>
          <w:tcPr>
            <w:tcW w:w="1500" w:type="dxa"/>
            <w:shd w:val="clear" w:color="auto" w:fill="BFBFBF" w:themeFill="background1" w:themeFillShade="BF"/>
          </w:tcPr>
          <w:p w:rsidR="00EC06FD" w:rsidRDefault="00F346DE">
            <w:pPr>
              <w:suppressAutoHyphens/>
              <w:spacing w:line="276" w:lineRule="auto"/>
              <w:jc w:val="center"/>
              <w:rPr>
                <w:b/>
                <w:noProof/>
                <w:sz w:val="20"/>
                <w:szCs w:val="20"/>
              </w:rPr>
            </w:pPr>
            <w:r>
              <w:rPr>
                <w:b/>
                <w:noProof/>
                <w:sz w:val="20"/>
                <w:szCs w:val="20"/>
              </w:rPr>
              <w:t>Programme</w:t>
            </w:r>
          </w:p>
        </w:tc>
        <w:tc>
          <w:tcPr>
            <w:tcW w:w="2207" w:type="dxa"/>
            <w:shd w:val="clear" w:color="auto" w:fill="BFBFBF" w:themeFill="background1" w:themeFillShade="BF"/>
          </w:tcPr>
          <w:p w:rsidR="00EC06FD" w:rsidRDefault="00F346DE">
            <w:pPr>
              <w:suppressAutoHyphens/>
              <w:spacing w:line="276" w:lineRule="auto"/>
              <w:jc w:val="center"/>
              <w:rPr>
                <w:b/>
                <w:noProof/>
                <w:sz w:val="20"/>
                <w:szCs w:val="20"/>
              </w:rPr>
            </w:pPr>
            <w:r>
              <w:rPr>
                <w:b/>
                <w:noProof/>
                <w:sz w:val="20"/>
                <w:szCs w:val="20"/>
              </w:rPr>
              <w:t>Year</w:t>
            </w:r>
          </w:p>
        </w:tc>
        <w:tc>
          <w:tcPr>
            <w:tcW w:w="2754" w:type="dxa"/>
            <w:shd w:val="clear" w:color="auto" w:fill="BFBFBF" w:themeFill="background1" w:themeFillShade="BF"/>
          </w:tcPr>
          <w:p w:rsidR="00EC06FD" w:rsidRDefault="00F346DE">
            <w:pPr>
              <w:suppressAutoHyphens/>
              <w:spacing w:line="276" w:lineRule="auto"/>
              <w:jc w:val="center"/>
              <w:rPr>
                <w:b/>
                <w:noProof/>
                <w:sz w:val="20"/>
                <w:szCs w:val="20"/>
              </w:rPr>
            </w:pPr>
            <w:r>
              <w:rPr>
                <w:b/>
                <w:noProof/>
                <w:sz w:val="20"/>
                <w:szCs w:val="20"/>
              </w:rPr>
              <w:t>No. of proposals evaluated</w:t>
            </w:r>
          </w:p>
        </w:tc>
        <w:tc>
          <w:tcPr>
            <w:tcW w:w="1357" w:type="dxa"/>
            <w:shd w:val="clear" w:color="auto" w:fill="BFBFBF" w:themeFill="background1" w:themeFillShade="BF"/>
          </w:tcPr>
          <w:p w:rsidR="00EC06FD" w:rsidRDefault="00F346DE">
            <w:pPr>
              <w:suppressAutoHyphens/>
              <w:spacing w:line="276" w:lineRule="auto"/>
              <w:jc w:val="center"/>
              <w:rPr>
                <w:b/>
                <w:noProof/>
                <w:sz w:val="20"/>
                <w:szCs w:val="20"/>
              </w:rPr>
            </w:pPr>
            <w:r>
              <w:rPr>
                <w:b/>
                <w:noProof/>
                <w:sz w:val="20"/>
                <w:szCs w:val="20"/>
              </w:rPr>
              <w:t>Total</w:t>
            </w:r>
          </w:p>
        </w:tc>
      </w:tr>
      <w:tr w:rsidR="00EC06FD">
        <w:trPr>
          <w:jc w:val="center"/>
        </w:trPr>
        <w:tc>
          <w:tcPr>
            <w:tcW w:w="1500" w:type="dxa"/>
            <w:vAlign w:val="center"/>
          </w:tcPr>
          <w:p w:rsidR="00EC06FD" w:rsidRDefault="00F346DE">
            <w:pPr>
              <w:suppressAutoHyphens/>
              <w:spacing w:line="276" w:lineRule="auto"/>
              <w:rPr>
                <w:noProof/>
                <w:sz w:val="20"/>
                <w:szCs w:val="20"/>
              </w:rPr>
            </w:pPr>
            <w:r>
              <w:rPr>
                <w:noProof/>
                <w:sz w:val="20"/>
                <w:szCs w:val="20"/>
              </w:rPr>
              <w:t xml:space="preserve">FP7 </w:t>
            </w:r>
          </w:p>
        </w:tc>
        <w:tc>
          <w:tcPr>
            <w:tcW w:w="2207" w:type="dxa"/>
            <w:vAlign w:val="center"/>
          </w:tcPr>
          <w:p w:rsidR="00EC06FD" w:rsidRDefault="00F346DE">
            <w:pPr>
              <w:suppressAutoHyphens/>
              <w:spacing w:line="276" w:lineRule="auto"/>
              <w:rPr>
                <w:noProof/>
                <w:sz w:val="20"/>
                <w:szCs w:val="20"/>
              </w:rPr>
            </w:pPr>
            <w:r>
              <w:rPr>
                <w:noProof/>
                <w:sz w:val="20"/>
                <w:szCs w:val="20"/>
              </w:rPr>
              <w:t>2007</w:t>
            </w:r>
          </w:p>
        </w:tc>
        <w:tc>
          <w:tcPr>
            <w:tcW w:w="2754" w:type="dxa"/>
            <w:vAlign w:val="center"/>
          </w:tcPr>
          <w:p w:rsidR="00EC06FD" w:rsidRDefault="00F346DE">
            <w:pPr>
              <w:suppressAutoHyphens/>
              <w:spacing w:line="276" w:lineRule="auto"/>
              <w:jc w:val="center"/>
              <w:rPr>
                <w:noProof/>
                <w:sz w:val="20"/>
                <w:szCs w:val="20"/>
              </w:rPr>
            </w:pPr>
            <w:r>
              <w:rPr>
                <w:noProof/>
                <w:sz w:val="20"/>
                <w:szCs w:val="20"/>
              </w:rPr>
              <w:t>54</w:t>
            </w:r>
          </w:p>
        </w:tc>
        <w:tc>
          <w:tcPr>
            <w:tcW w:w="1357" w:type="dxa"/>
            <w:vMerge w:val="restart"/>
            <w:vAlign w:val="center"/>
          </w:tcPr>
          <w:p w:rsidR="00EC06FD" w:rsidRDefault="00F346DE">
            <w:pPr>
              <w:suppressAutoHyphens/>
              <w:spacing w:line="276" w:lineRule="auto"/>
              <w:jc w:val="center"/>
              <w:rPr>
                <w:noProof/>
                <w:sz w:val="20"/>
                <w:szCs w:val="20"/>
              </w:rPr>
            </w:pPr>
            <w:r>
              <w:rPr>
                <w:noProof/>
                <w:sz w:val="20"/>
                <w:szCs w:val="20"/>
              </w:rPr>
              <w:t>274</w:t>
            </w:r>
          </w:p>
        </w:tc>
      </w:tr>
      <w:tr w:rsidR="00EC06FD">
        <w:trPr>
          <w:jc w:val="center"/>
        </w:trPr>
        <w:tc>
          <w:tcPr>
            <w:tcW w:w="1500" w:type="dxa"/>
            <w:vAlign w:val="center"/>
          </w:tcPr>
          <w:p w:rsidR="00EC06FD" w:rsidRDefault="00F346DE">
            <w:pPr>
              <w:suppressAutoHyphens/>
              <w:spacing w:line="276" w:lineRule="auto"/>
              <w:rPr>
                <w:noProof/>
                <w:sz w:val="20"/>
                <w:szCs w:val="20"/>
              </w:rPr>
            </w:pPr>
            <w:r>
              <w:rPr>
                <w:noProof/>
                <w:sz w:val="20"/>
                <w:szCs w:val="20"/>
              </w:rPr>
              <w:t>FP7</w:t>
            </w:r>
          </w:p>
        </w:tc>
        <w:tc>
          <w:tcPr>
            <w:tcW w:w="2207" w:type="dxa"/>
            <w:vAlign w:val="center"/>
          </w:tcPr>
          <w:p w:rsidR="00EC06FD" w:rsidRDefault="00F346DE">
            <w:pPr>
              <w:suppressAutoHyphens/>
              <w:spacing w:line="276" w:lineRule="auto"/>
              <w:rPr>
                <w:noProof/>
                <w:sz w:val="20"/>
                <w:szCs w:val="20"/>
              </w:rPr>
            </w:pPr>
            <w:r>
              <w:rPr>
                <w:noProof/>
                <w:sz w:val="20"/>
                <w:szCs w:val="20"/>
              </w:rPr>
              <w:t>2008</w:t>
            </w:r>
          </w:p>
        </w:tc>
        <w:tc>
          <w:tcPr>
            <w:tcW w:w="2754" w:type="dxa"/>
            <w:vAlign w:val="center"/>
          </w:tcPr>
          <w:p w:rsidR="00EC06FD" w:rsidRDefault="00F346DE">
            <w:pPr>
              <w:suppressAutoHyphens/>
              <w:spacing w:line="276" w:lineRule="auto"/>
              <w:jc w:val="center"/>
              <w:rPr>
                <w:noProof/>
                <w:sz w:val="20"/>
                <w:szCs w:val="20"/>
              </w:rPr>
            </w:pPr>
            <w:r>
              <w:rPr>
                <w:noProof/>
                <w:sz w:val="20"/>
                <w:szCs w:val="20"/>
              </w:rPr>
              <w:t>38</w:t>
            </w:r>
          </w:p>
        </w:tc>
        <w:tc>
          <w:tcPr>
            <w:tcW w:w="1357" w:type="dxa"/>
            <w:vMerge/>
            <w:vAlign w:val="center"/>
          </w:tcPr>
          <w:p w:rsidR="00EC06FD" w:rsidRDefault="00EC06FD">
            <w:pPr>
              <w:suppressAutoHyphens/>
              <w:spacing w:line="276" w:lineRule="auto"/>
              <w:jc w:val="center"/>
              <w:rPr>
                <w:noProof/>
                <w:sz w:val="20"/>
                <w:szCs w:val="20"/>
              </w:rPr>
            </w:pPr>
          </w:p>
        </w:tc>
      </w:tr>
      <w:tr w:rsidR="00EC06FD">
        <w:trPr>
          <w:jc w:val="center"/>
        </w:trPr>
        <w:tc>
          <w:tcPr>
            <w:tcW w:w="1500" w:type="dxa"/>
            <w:vAlign w:val="center"/>
          </w:tcPr>
          <w:p w:rsidR="00EC06FD" w:rsidRDefault="00F346DE">
            <w:pPr>
              <w:suppressAutoHyphens/>
              <w:spacing w:line="276" w:lineRule="auto"/>
              <w:rPr>
                <w:noProof/>
                <w:sz w:val="20"/>
                <w:szCs w:val="20"/>
              </w:rPr>
            </w:pPr>
            <w:r>
              <w:rPr>
                <w:noProof/>
                <w:sz w:val="20"/>
                <w:szCs w:val="20"/>
              </w:rPr>
              <w:t>FP7</w:t>
            </w:r>
          </w:p>
        </w:tc>
        <w:tc>
          <w:tcPr>
            <w:tcW w:w="2207" w:type="dxa"/>
            <w:vAlign w:val="center"/>
          </w:tcPr>
          <w:p w:rsidR="00EC06FD" w:rsidRDefault="00F346DE">
            <w:pPr>
              <w:suppressAutoHyphens/>
              <w:spacing w:line="276" w:lineRule="auto"/>
              <w:rPr>
                <w:noProof/>
                <w:sz w:val="20"/>
                <w:szCs w:val="20"/>
              </w:rPr>
            </w:pPr>
            <w:r>
              <w:rPr>
                <w:noProof/>
                <w:sz w:val="20"/>
                <w:szCs w:val="20"/>
              </w:rPr>
              <w:t>2009</w:t>
            </w:r>
          </w:p>
        </w:tc>
        <w:tc>
          <w:tcPr>
            <w:tcW w:w="2754" w:type="dxa"/>
            <w:vAlign w:val="center"/>
          </w:tcPr>
          <w:p w:rsidR="00EC06FD" w:rsidRDefault="00F346DE">
            <w:pPr>
              <w:suppressAutoHyphens/>
              <w:spacing w:line="276" w:lineRule="auto"/>
              <w:jc w:val="center"/>
              <w:rPr>
                <w:noProof/>
                <w:sz w:val="20"/>
                <w:szCs w:val="20"/>
              </w:rPr>
            </w:pPr>
            <w:r>
              <w:rPr>
                <w:noProof/>
                <w:sz w:val="20"/>
                <w:szCs w:val="20"/>
              </w:rPr>
              <w:t>29</w:t>
            </w:r>
          </w:p>
        </w:tc>
        <w:tc>
          <w:tcPr>
            <w:tcW w:w="1357" w:type="dxa"/>
            <w:vMerge/>
            <w:vAlign w:val="center"/>
          </w:tcPr>
          <w:p w:rsidR="00EC06FD" w:rsidRDefault="00EC06FD">
            <w:pPr>
              <w:suppressAutoHyphens/>
              <w:spacing w:line="276" w:lineRule="auto"/>
              <w:jc w:val="center"/>
              <w:rPr>
                <w:noProof/>
                <w:sz w:val="20"/>
                <w:szCs w:val="20"/>
              </w:rPr>
            </w:pPr>
          </w:p>
        </w:tc>
      </w:tr>
      <w:tr w:rsidR="00EC06FD">
        <w:trPr>
          <w:jc w:val="center"/>
        </w:trPr>
        <w:tc>
          <w:tcPr>
            <w:tcW w:w="1500" w:type="dxa"/>
            <w:vAlign w:val="center"/>
          </w:tcPr>
          <w:p w:rsidR="00EC06FD" w:rsidRDefault="00F346DE">
            <w:pPr>
              <w:suppressAutoHyphens/>
              <w:spacing w:line="276" w:lineRule="auto"/>
              <w:rPr>
                <w:noProof/>
                <w:sz w:val="20"/>
                <w:szCs w:val="20"/>
              </w:rPr>
            </w:pPr>
            <w:r>
              <w:rPr>
                <w:noProof/>
                <w:sz w:val="20"/>
                <w:szCs w:val="20"/>
              </w:rPr>
              <w:t>FP7</w:t>
            </w:r>
          </w:p>
        </w:tc>
        <w:tc>
          <w:tcPr>
            <w:tcW w:w="2207" w:type="dxa"/>
            <w:vAlign w:val="center"/>
          </w:tcPr>
          <w:p w:rsidR="00EC06FD" w:rsidRDefault="00F346DE">
            <w:pPr>
              <w:suppressAutoHyphens/>
              <w:spacing w:line="276" w:lineRule="auto"/>
              <w:rPr>
                <w:noProof/>
                <w:sz w:val="20"/>
                <w:szCs w:val="20"/>
              </w:rPr>
            </w:pPr>
            <w:r>
              <w:rPr>
                <w:noProof/>
                <w:sz w:val="20"/>
                <w:szCs w:val="20"/>
              </w:rPr>
              <w:t>2010</w:t>
            </w:r>
          </w:p>
        </w:tc>
        <w:tc>
          <w:tcPr>
            <w:tcW w:w="2754" w:type="dxa"/>
            <w:vAlign w:val="center"/>
          </w:tcPr>
          <w:p w:rsidR="00EC06FD" w:rsidRDefault="00F346DE">
            <w:pPr>
              <w:suppressAutoHyphens/>
              <w:spacing w:line="276" w:lineRule="auto"/>
              <w:jc w:val="center"/>
              <w:rPr>
                <w:noProof/>
                <w:sz w:val="20"/>
                <w:szCs w:val="20"/>
              </w:rPr>
            </w:pPr>
            <w:r>
              <w:rPr>
                <w:noProof/>
                <w:sz w:val="20"/>
                <w:szCs w:val="20"/>
              </w:rPr>
              <w:t>38</w:t>
            </w:r>
          </w:p>
        </w:tc>
        <w:tc>
          <w:tcPr>
            <w:tcW w:w="1357" w:type="dxa"/>
            <w:vMerge/>
            <w:vAlign w:val="center"/>
          </w:tcPr>
          <w:p w:rsidR="00EC06FD" w:rsidRDefault="00EC06FD">
            <w:pPr>
              <w:suppressAutoHyphens/>
              <w:spacing w:line="276" w:lineRule="auto"/>
              <w:jc w:val="center"/>
              <w:rPr>
                <w:noProof/>
                <w:sz w:val="20"/>
                <w:szCs w:val="20"/>
              </w:rPr>
            </w:pPr>
          </w:p>
        </w:tc>
      </w:tr>
      <w:tr w:rsidR="00EC06FD">
        <w:trPr>
          <w:jc w:val="center"/>
        </w:trPr>
        <w:tc>
          <w:tcPr>
            <w:tcW w:w="1500" w:type="dxa"/>
            <w:vAlign w:val="center"/>
          </w:tcPr>
          <w:p w:rsidR="00EC06FD" w:rsidRDefault="00F346DE">
            <w:pPr>
              <w:suppressAutoHyphens/>
              <w:spacing w:line="276" w:lineRule="auto"/>
              <w:rPr>
                <w:noProof/>
                <w:sz w:val="20"/>
                <w:szCs w:val="20"/>
              </w:rPr>
            </w:pPr>
            <w:r>
              <w:rPr>
                <w:noProof/>
                <w:sz w:val="20"/>
                <w:szCs w:val="20"/>
              </w:rPr>
              <w:t>FP7</w:t>
            </w:r>
          </w:p>
        </w:tc>
        <w:tc>
          <w:tcPr>
            <w:tcW w:w="2207" w:type="dxa"/>
            <w:vAlign w:val="center"/>
          </w:tcPr>
          <w:p w:rsidR="00EC06FD" w:rsidRDefault="00F346DE">
            <w:pPr>
              <w:suppressAutoHyphens/>
              <w:spacing w:line="276" w:lineRule="auto"/>
              <w:rPr>
                <w:noProof/>
                <w:sz w:val="20"/>
                <w:szCs w:val="20"/>
              </w:rPr>
            </w:pPr>
            <w:r>
              <w:rPr>
                <w:noProof/>
                <w:sz w:val="20"/>
                <w:szCs w:val="20"/>
              </w:rPr>
              <w:t>2011</w:t>
            </w:r>
          </w:p>
        </w:tc>
        <w:tc>
          <w:tcPr>
            <w:tcW w:w="2754" w:type="dxa"/>
            <w:vAlign w:val="center"/>
          </w:tcPr>
          <w:p w:rsidR="00EC06FD" w:rsidRDefault="00F346DE">
            <w:pPr>
              <w:suppressAutoHyphens/>
              <w:spacing w:line="276" w:lineRule="auto"/>
              <w:jc w:val="center"/>
              <w:rPr>
                <w:noProof/>
                <w:sz w:val="20"/>
                <w:szCs w:val="20"/>
              </w:rPr>
            </w:pPr>
            <w:r>
              <w:rPr>
                <w:noProof/>
                <w:sz w:val="20"/>
                <w:szCs w:val="20"/>
              </w:rPr>
              <w:t>48</w:t>
            </w:r>
          </w:p>
        </w:tc>
        <w:tc>
          <w:tcPr>
            <w:tcW w:w="1357" w:type="dxa"/>
            <w:vMerge/>
            <w:vAlign w:val="center"/>
          </w:tcPr>
          <w:p w:rsidR="00EC06FD" w:rsidRDefault="00EC06FD">
            <w:pPr>
              <w:suppressAutoHyphens/>
              <w:spacing w:line="276" w:lineRule="auto"/>
              <w:jc w:val="center"/>
              <w:rPr>
                <w:noProof/>
                <w:sz w:val="20"/>
                <w:szCs w:val="20"/>
              </w:rPr>
            </w:pPr>
          </w:p>
        </w:tc>
      </w:tr>
      <w:tr w:rsidR="00EC06FD">
        <w:trPr>
          <w:jc w:val="center"/>
        </w:trPr>
        <w:tc>
          <w:tcPr>
            <w:tcW w:w="1500" w:type="dxa"/>
            <w:vAlign w:val="center"/>
          </w:tcPr>
          <w:p w:rsidR="00EC06FD" w:rsidRDefault="00F346DE">
            <w:pPr>
              <w:suppressAutoHyphens/>
              <w:spacing w:line="276" w:lineRule="auto"/>
              <w:rPr>
                <w:noProof/>
                <w:sz w:val="20"/>
                <w:szCs w:val="20"/>
              </w:rPr>
            </w:pPr>
            <w:r>
              <w:rPr>
                <w:noProof/>
                <w:sz w:val="20"/>
                <w:szCs w:val="20"/>
              </w:rPr>
              <w:t xml:space="preserve">FP7(+2) </w:t>
            </w:r>
          </w:p>
        </w:tc>
        <w:tc>
          <w:tcPr>
            <w:tcW w:w="2207" w:type="dxa"/>
            <w:vAlign w:val="center"/>
          </w:tcPr>
          <w:p w:rsidR="00EC06FD" w:rsidRDefault="00F346DE">
            <w:pPr>
              <w:suppressAutoHyphens/>
              <w:spacing w:line="276" w:lineRule="auto"/>
              <w:rPr>
                <w:noProof/>
                <w:sz w:val="20"/>
                <w:szCs w:val="20"/>
              </w:rPr>
            </w:pPr>
            <w:r>
              <w:rPr>
                <w:noProof/>
                <w:sz w:val="20"/>
                <w:szCs w:val="20"/>
              </w:rPr>
              <w:t>2012</w:t>
            </w:r>
          </w:p>
        </w:tc>
        <w:tc>
          <w:tcPr>
            <w:tcW w:w="2754" w:type="dxa"/>
            <w:vAlign w:val="center"/>
          </w:tcPr>
          <w:p w:rsidR="00EC06FD" w:rsidRDefault="00F346DE">
            <w:pPr>
              <w:suppressAutoHyphens/>
              <w:spacing w:line="276" w:lineRule="auto"/>
              <w:jc w:val="center"/>
              <w:rPr>
                <w:noProof/>
                <w:sz w:val="20"/>
                <w:szCs w:val="20"/>
              </w:rPr>
            </w:pPr>
            <w:r>
              <w:rPr>
                <w:noProof/>
                <w:sz w:val="20"/>
                <w:szCs w:val="20"/>
              </w:rPr>
              <w:t>38</w:t>
            </w:r>
          </w:p>
        </w:tc>
        <w:tc>
          <w:tcPr>
            <w:tcW w:w="1357" w:type="dxa"/>
            <w:vMerge/>
            <w:vAlign w:val="center"/>
          </w:tcPr>
          <w:p w:rsidR="00EC06FD" w:rsidRDefault="00EC06FD">
            <w:pPr>
              <w:suppressAutoHyphens/>
              <w:spacing w:line="276" w:lineRule="auto"/>
              <w:jc w:val="center"/>
              <w:rPr>
                <w:noProof/>
                <w:sz w:val="20"/>
                <w:szCs w:val="20"/>
              </w:rPr>
            </w:pPr>
          </w:p>
        </w:tc>
      </w:tr>
      <w:tr w:rsidR="00EC06FD">
        <w:trPr>
          <w:jc w:val="center"/>
        </w:trPr>
        <w:tc>
          <w:tcPr>
            <w:tcW w:w="1500" w:type="dxa"/>
            <w:vAlign w:val="center"/>
          </w:tcPr>
          <w:p w:rsidR="00EC06FD" w:rsidRDefault="00F346DE">
            <w:pPr>
              <w:suppressAutoHyphens/>
              <w:spacing w:line="276" w:lineRule="auto"/>
              <w:rPr>
                <w:noProof/>
                <w:sz w:val="20"/>
                <w:szCs w:val="20"/>
              </w:rPr>
            </w:pPr>
            <w:r>
              <w:rPr>
                <w:noProof/>
                <w:sz w:val="20"/>
                <w:szCs w:val="20"/>
              </w:rPr>
              <w:t>FP7(+2)</w:t>
            </w:r>
          </w:p>
        </w:tc>
        <w:tc>
          <w:tcPr>
            <w:tcW w:w="2207" w:type="dxa"/>
            <w:vAlign w:val="center"/>
          </w:tcPr>
          <w:p w:rsidR="00EC06FD" w:rsidRDefault="00F346DE">
            <w:pPr>
              <w:suppressAutoHyphens/>
              <w:spacing w:line="276" w:lineRule="auto"/>
              <w:rPr>
                <w:noProof/>
                <w:sz w:val="20"/>
                <w:szCs w:val="20"/>
              </w:rPr>
            </w:pPr>
            <w:r>
              <w:rPr>
                <w:noProof/>
                <w:sz w:val="20"/>
                <w:szCs w:val="20"/>
              </w:rPr>
              <w:t>2013</w:t>
            </w:r>
          </w:p>
        </w:tc>
        <w:tc>
          <w:tcPr>
            <w:tcW w:w="2754" w:type="dxa"/>
            <w:vAlign w:val="center"/>
          </w:tcPr>
          <w:p w:rsidR="00EC06FD" w:rsidRDefault="00F346DE">
            <w:pPr>
              <w:suppressAutoHyphens/>
              <w:spacing w:line="276" w:lineRule="auto"/>
              <w:jc w:val="center"/>
              <w:rPr>
                <w:noProof/>
                <w:sz w:val="20"/>
                <w:szCs w:val="20"/>
              </w:rPr>
            </w:pPr>
            <w:r>
              <w:rPr>
                <w:noProof/>
                <w:sz w:val="20"/>
                <w:szCs w:val="20"/>
              </w:rPr>
              <w:t>29</w:t>
            </w:r>
          </w:p>
        </w:tc>
        <w:tc>
          <w:tcPr>
            <w:tcW w:w="1357" w:type="dxa"/>
            <w:vMerge/>
            <w:vAlign w:val="center"/>
          </w:tcPr>
          <w:p w:rsidR="00EC06FD" w:rsidRDefault="00EC06FD">
            <w:pPr>
              <w:suppressAutoHyphens/>
              <w:spacing w:line="276" w:lineRule="auto"/>
              <w:jc w:val="center"/>
              <w:rPr>
                <w:noProof/>
                <w:sz w:val="20"/>
                <w:szCs w:val="20"/>
              </w:rPr>
            </w:pPr>
          </w:p>
        </w:tc>
      </w:tr>
      <w:tr w:rsidR="00EC06FD">
        <w:trPr>
          <w:jc w:val="center"/>
        </w:trPr>
        <w:tc>
          <w:tcPr>
            <w:tcW w:w="1500" w:type="dxa"/>
            <w:vAlign w:val="center"/>
          </w:tcPr>
          <w:p w:rsidR="00EC06FD" w:rsidRDefault="00F346DE">
            <w:pPr>
              <w:suppressAutoHyphens/>
              <w:spacing w:line="276" w:lineRule="auto"/>
              <w:rPr>
                <w:noProof/>
                <w:sz w:val="20"/>
                <w:szCs w:val="20"/>
              </w:rPr>
            </w:pPr>
            <w:r>
              <w:rPr>
                <w:noProof/>
                <w:sz w:val="20"/>
                <w:szCs w:val="20"/>
              </w:rPr>
              <w:t>2014-2018</w:t>
            </w:r>
          </w:p>
        </w:tc>
        <w:tc>
          <w:tcPr>
            <w:tcW w:w="2207" w:type="dxa"/>
            <w:vAlign w:val="center"/>
          </w:tcPr>
          <w:p w:rsidR="00EC06FD" w:rsidRDefault="00F346DE">
            <w:pPr>
              <w:suppressAutoHyphens/>
              <w:spacing w:line="276" w:lineRule="auto"/>
              <w:rPr>
                <w:noProof/>
                <w:sz w:val="20"/>
                <w:szCs w:val="20"/>
              </w:rPr>
            </w:pPr>
            <w:r>
              <w:rPr>
                <w:noProof/>
                <w:sz w:val="20"/>
                <w:szCs w:val="20"/>
              </w:rPr>
              <w:t>2014-2015</w:t>
            </w:r>
          </w:p>
        </w:tc>
        <w:tc>
          <w:tcPr>
            <w:tcW w:w="2754" w:type="dxa"/>
            <w:vAlign w:val="center"/>
          </w:tcPr>
          <w:p w:rsidR="00EC06FD" w:rsidRDefault="00F346DE">
            <w:pPr>
              <w:suppressAutoHyphens/>
              <w:spacing w:line="276" w:lineRule="auto"/>
              <w:jc w:val="center"/>
              <w:rPr>
                <w:noProof/>
                <w:sz w:val="20"/>
                <w:szCs w:val="20"/>
              </w:rPr>
            </w:pPr>
            <w:r>
              <w:rPr>
                <w:noProof/>
                <w:sz w:val="20"/>
                <w:szCs w:val="20"/>
              </w:rPr>
              <w:t>62</w:t>
            </w:r>
          </w:p>
        </w:tc>
        <w:tc>
          <w:tcPr>
            <w:tcW w:w="1357" w:type="dxa"/>
            <w:vMerge w:val="restart"/>
            <w:vAlign w:val="center"/>
          </w:tcPr>
          <w:p w:rsidR="00EC06FD" w:rsidRDefault="00F346DE">
            <w:pPr>
              <w:suppressAutoHyphens/>
              <w:spacing w:line="276" w:lineRule="auto"/>
              <w:jc w:val="center"/>
              <w:rPr>
                <w:noProof/>
                <w:sz w:val="20"/>
                <w:szCs w:val="20"/>
              </w:rPr>
            </w:pPr>
            <w:r>
              <w:rPr>
                <w:noProof/>
                <w:sz w:val="20"/>
                <w:szCs w:val="20"/>
              </w:rPr>
              <w:t>136</w:t>
            </w:r>
          </w:p>
        </w:tc>
      </w:tr>
      <w:tr w:rsidR="00EC06FD">
        <w:trPr>
          <w:jc w:val="center"/>
        </w:trPr>
        <w:tc>
          <w:tcPr>
            <w:tcW w:w="1500" w:type="dxa"/>
            <w:vAlign w:val="center"/>
          </w:tcPr>
          <w:p w:rsidR="00EC06FD" w:rsidRDefault="00F346DE">
            <w:pPr>
              <w:suppressAutoHyphens/>
              <w:spacing w:line="276" w:lineRule="auto"/>
              <w:rPr>
                <w:noProof/>
                <w:sz w:val="20"/>
                <w:szCs w:val="20"/>
              </w:rPr>
            </w:pPr>
            <w:r>
              <w:rPr>
                <w:noProof/>
                <w:sz w:val="20"/>
                <w:szCs w:val="20"/>
              </w:rPr>
              <w:t>2014-2018</w:t>
            </w:r>
          </w:p>
        </w:tc>
        <w:tc>
          <w:tcPr>
            <w:tcW w:w="2207" w:type="dxa"/>
            <w:vAlign w:val="center"/>
          </w:tcPr>
          <w:p w:rsidR="00EC06FD" w:rsidRDefault="00F346DE">
            <w:pPr>
              <w:suppressAutoHyphens/>
              <w:spacing w:line="276" w:lineRule="auto"/>
              <w:rPr>
                <w:noProof/>
                <w:sz w:val="20"/>
                <w:szCs w:val="20"/>
              </w:rPr>
            </w:pPr>
            <w:r>
              <w:rPr>
                <w:noProof/>
                <w:sz w:val="20"/>
                <w:szCs w:val="20"/>
              </w:rPr>
              <w:t>2014-2015 (supl. call)</w:t>
            </w:r>
          </w:p>
        </w:tc>
        <w:tc>
          <w:tcPr>
            <w:tcW w:w="2754" w:type="dxa"/>
            <w:vAlign w:val="center"/>
          </w:tcPr>
          <w:p w:rsidR="00EC06FD" w:rsidRDefault="00F346DE">
            <w:pPr>
              <w:suppressAutoHyphens/>
              <w:spacing w:line="276" w:lineRule="auto"/>
              <w:jc w:val="center"/>
              <w:rPr>
                <w:noProof/>
                <w:sz w:val="20"/>
                <w:szCs w:val="20"/>
              </w:rPr>
            </w:pPr>
            <w:r>
              <w:rPr>
                <w:noProof/>
                <w:sz w:val="20"/>
                <w:szCs w:val="20"/>
              </w:rPr>
              <w:t>4</w:t>
            </w:r>
          </w:p>
        </w:tc>
        <w:tc>
          <w:tcPr>
            <w:tcW w:w="1357" w:type="dxa"/>
            <w:vMerge/>
            <w:vAlign w:val="center"/>
          </w:tcPr>
          <w:p w:rsidR="00EC06FD" w:rsidRDefault="00EC06FD">
            <w:pPr>
              <w:suppressAutoHyphens/>
              <w:spacing w:line="276" w:lineRule="auto"/>
              <w:rPr>
                <w:noProof/>
                <w:sz w:val="20"/>
                <w:szCs w:val="20"/>
              </w:rPr>
            </w:pPr>
          </w:p>
        </w:tc>
      </w:tr>
      <w:tr w:rsidR="00EC06FD">
        <w:trPr>
          <w:jc w:val="center"/>
        </w:trPr>
        <w:tc>
          <w:tcPr>
            <w:tcW w:w="1500" w:type="dxa"/>
            <w:vAlign w:val="center"/>
          </w:tcPr>
          <w:p w:rsidR="00EC06FD" w:rsidRDefault="00F346DE">
            <w:pPr>
              <w:suppressAutoHyphens/>
              <w:spacing w:line="276" w:lineRule="auto"/>
              <w:rPr>
                <w:noProof/>
                <w:sz w:val="20"/>
                <w:szCs w:val="20"/>
              </w:rPr>
            </w:pPr>
            <w:r>
              <w:rPr>
                <w:noProof/>
                <w:sz w:val="20"/>
                <w:szCs w:val="20"/>
              </w:rPr>
              <w:t>2014-2018</w:t>
            </w:r>
          </w:p>
        </w:tc>
        <w:tc>
          <w:tcPr>
            <w:tcW w:w="2207" w:type="dxa"/>
            <w:vAlign w:val="center"/>
          </w:tcPr>
          <w:p w:rsidR="00EC06FD" w:rsidRDefault="00F346DE">
            <w:pPr>
              <w:suppressAutoHyphens/>
              <w:spacing w:line="276" w:lineRule="auto"/>
              <w:rPr>
                <w:noProof/>
                <w:sz w:val="20"/>
                <w:szCs w:val="20"/>
              </w:rPr>
            </w:pPr>
            <w:r>
              <w:rPr>
                <w:noProof/>
                <w:sz w:val="20"/>
                <w:szCs w:val="20"/>
              </w:rPr>
              <w:t>2016-2017</w:t>
            </w:r>
          </w:p>
        </w:tc>
        <w:tc>
          <w:tcPr>
            <w:tcW w:w="2754" w:type="dxa"/>
            <w:vAlign w:val="center"/>
          </w:tcPr>
          <w:p w:rsidR="00EC06FD" w:rsidRDefault="00F346DE">
            <w:pPr>
              <w:suppressAutoHyphens/>
              <w:spacing w:line="276" w:lineRule="auto"/>
              <w:jc w:val="center"/>
              <w:rPr>
                <w:noProof/>
                <w:sz w:val="20"/>
                <w:szCs w:val="20"/>
              </w:rPr>
            </w:pPr>
            <w:r>
              <w:rPr>
                <w:noProof/>
                <w:sz w:val="20"/>
                <w:szCs w:val="20"/>
              </w:rPr>
              <w:t>70</w:t>
            </w:r>
          </w:p>
        </w:tc>
        <w:tc>
          <w:tcPr>
            <w:tcW w:w="1357" w:type="dxa"/>
            <w:vMerge/>
            <w:vAlign w:val="center"/>
          </w:tcPr>
          <w:p w:rsidR="00EC06FD" w:rsidRDefault="00EC06FD">
            <w:pPr>
              <w:suppressAutoHyphens/>
              <w:spacing w:line="276" w:lineRule="auto"/>
              <w:rPr>
                <w:noProof/>
                <w:sz w:val="20"/>
                <w:szCs w:val="20"/>
              </w:rPr>
            </w:pPr>
          </w:p>
        </w:tc>
      </w:tr>
    </w:tbl>
    <w:p w:rsidR="00EC06FD" w:rsidRDefault="00F346DE">
      <w:pPr>
        <w:pStyle w:val="Text3"/>
        <w:spacing w:after="120"/>
        <w:ind w:left="720"/>
        <w:rPr>
          <w:i/>
          <w:noProof/>
          <w:sz w:val="20"/>
        </w:rPr>
      </w:pPr>
      <w:r>
        <w:rPr>
          <w:i/>
          <w:noProof/>
          <w:sz w:val="20"/>
        </w:rPr>
        <w:t>Source: European Commission</w:t>
      </w:r>
    </w:p>
    <w:p w:rsidR="00EC06FD" w:rsidRDefault="00EC06FD">
      <w:pPr>
        <w:suppressAutoHyphens/>
        <w:spacing w:line="276" w:lineRule="auto"/>
        <w:jc w:val="both"/>
        <w:rPr>
          <w:b/>
          <w:noProof/>
          <w:sz w:val="22"/>
        </w:rPr>
      </w:pPr>
    </w:p>
    <w:tbl>
      <w:tblPr>
        <w:tblStyle w:val="TableGrid"/>
        <w:tblW w:w="8505" w:type="dxa"/>
        <w:jc w:val="center"/>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505"/>
      </w:tblGrid>
      <w:tr w:rsidR="00EC06FD">
        <w:trPr>
          <w:trHeight w:val="1211"/>
          <w:jc w:val="center"/>
        </w:trPr>
        <w:tc>
          <w:tcPr>
            <w:tcW w:w="8505" w:type="dxa"/>
            <w:shd w:val="clear" w:color="auto" w:fill="DBE5F1" w:themeFill="accent1" w:themeFillTint="33"/>
            <w:vAlign w:val="center"/>
          </w:tcPr>
          <w:p w:rsidR="00EC06FD" w:rsidRDefault="00F346DE">
            <w:pPr>
              <w:suppressAutoHyphens/>
              <w:spacing w:line="276" w:lineRule="auto"/>
              <w:ind w:left="1877"/>
              <w:jc w:val="both"/>
              <w:rPr>
                <w:rFonts w:asciiTheme="minorHAnsi" w:hAnsiTheme="minorHAnsi"/>
                <w:b/>
                <w:noProof/>
                <w:color w:val="00B0F0"/>
                <w:sz w:val="22"/>
              </w:rPr>
            </w:pPr>
            <w:r>
              <w:rPr>
                <w:b/>
                <w:noProof/>
                <w:color w:val="00B0F0"/>
              </w:rPr>
              <w:drawing>
                <wp:anchor distT="0" distB="0" distL="114300" distR="114300" simplePos="0" relativeHeight="251659264" behindDoc="0" locked="0" layoutInCell="1" allowOverlap="1" wp14:anchorId="177C8A7B" wp14:editId="1FD95DB6">
                  <wp:simplePos x="0" y="0"/>
                  <wp:positionH relativeFrom="column">
                    <wp:posOffset>-8890</wp:posOffset>
                  </wp:positionH>
                  <wp:positionV relativeFrom="paragraph">
                    <wp:posOffset>136525</wp:posOffset>
                  </wp:positionV>
                  <wp:extent cx="1322705" cy="3657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2705" cy="365760"/>
                          </a:xfrm>
                          <a:prstGeom prst="rect">
                            <a:avLst/>
                          </a:prstGeom>
                          <a:noFill/>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EC06FD" w:rsidRDefault="00F346DE">
            <w:pPr>
              <w:suppressAutoHyphens/>
              <w:spacing w:line="276" w:lineRule="auto"/>
              <w:ind w:left="2160"/>
              <w:jc w:val="both"/>
              <w:rPr>
                <w:rFonts w:asciiTheme="minorHAnsi" w:hAnsiTheme="minorHAnsi"/>
                <w:b/>
                <w:noProof/>
                <w:color w:val="00B0F0"/>
                <w:sz w:val="22"/>
              </w:rPr>
            </w:pPr>
            <w:r>
              <w:rPr>
                <w:rFonts w:asciiTheme="minorHAnsi" w:hAnsiTheme="minorHAnsi"/>
                <w:b/>
                <w:noProof/>
                <w:color w:val="00B0F0"/>
                <w:sz w:val="22"/>
              </w:rPr>
              <w:t>Public consultation: management of the calls by the Commission</w:t>
            </w:r>
          </w:p>
          <w:p w:rsidR="00EC06FD" w:rsidRDefault="00EC06FD">
            <w:pPr>
              <w:suppressAutoHyphens/>
              <w:spacing w:line="276" w:lineRule="auto"/>
              <w:ind w:left="2160"/>
              <w:jc w:val="both"/>
              <w:rPr>
                <w:noProof/>
              </w:rPr>
            </w:pPr>
          </w:p>
          <w:p w:rsidR="00EC06FD" w:rsidRDefault="00F346DE">
            <w:pPr>
              <w:suppressAutoHyphens/>
              <w:spacing w:after="120" w:line="276" w:lineRule="auto"/>
              <w:jc w:val="both"/>
              <w:rPr>
                <w:rFonts w:eastAsia="Calibri"/>
                <w:noProof/>
                <w:sz w:val="20"/>
              </w:rPr>
            </w:pPr>
            <w:r>
              <w:rPr>
                <w:rFonts w:eastAsia="Calibri"/>
                <w:noProof/>
                <w:sz w:val="20"/>
              </w:rPr>
              <w:t xml:space="preserve">In general, consulted stakeholders are content with the management of the Euratom calls by the Commission services. 65% agreed that time taken to evaluate and select proposals is good or acceptable. 61% was of the same opinion regarding time taken to establish contracts and launch projects. Quality of the feedback received by participants in the evaluation process was considered as good or acceptable by 56% of stakeholders. </w:t>
            </w:r>
          </w:p>
        </w:tc>
      </w:tr>
    </w:tbl>
    <w:p w:rsidR="00EC06FD" w:rsidRDefault="00EC06FD">
      <w:pPr>
        <w:suppressAutoHyphens/>
        <w:spacing w:after="120" w:line="276" w:lineRule="auto"/>
        <w:jc w:val="both"/>
        <w:rPr>
          <w:b/>
          <w:noProof/>
        </w:rPr>
      </w:pPr>
    </w:p>
    <w:p w:rsidR="00EC06FD" w:rsidRDefault="00F346DE">
      <w:pPr>
        <w:pStyle w:val="Heading3"/>
        <w:tabs>
          <w:tab w:val="num" w:pos="2127"/>
        </w:tabs>
        <w:spacing w:after="120"/>
        <w:ind w:left="1276"/>
        <w:rPr>
          <w:noProof/>
        </w:rPr>
      </w:pPr>
      <w:bookmarkStart w:id="678" w:name="_Toc475546823"/>
      <w:bookmarkStart w:id="679" w:name="_Toc475547955"/>
      <w:bookmarkStart w:id="680" w:name="_Toc494899803"/>
      <w:bookmarkStart w:id="681" w:name="_Toc475478975"/>
      <w:r>
        <w:rPr>
          <w:noProof/>
        </w:rPr>
        <w:t>Ethics and ethics appraisal of proposals</w:t>
      </w:r>
      <w:bookmarkEnd w:id="678"/>
      <w:bookmarkEnd w:id="679"/>
      <w:bookmarkEnd w:id="680"/>
    </w:p>
    <w:p w:rsidR="00EC06FD" w:rsidRDefault="00F346DE">
      <w:pPr>
        <w:suppressAutoHyphens/>
        <w:autoSpaceDE w:val="0"/>
        <w:autoSpaceDN w:val="0"/>
        <w:adjustRightInd w:val="0"/>
        <w:spacing w:after="120" w:line="276" w:lineRule="auto"/>
        <w:jc w:val="both"/>
        <w:rPr>
          <w:noProof/>
        </w:rPr>
      </w:pPr>
      <w:r>
        <w:rPr>
          <w:rFonts w:cstheme="minorBidi"/>
          <w:noProof/>
          <w:color w:val="000000"/>
        </w:rPr>
        <w:t xml:space="preserve">All activities funded by Euratom are assessed through the Ethics Appraisal Procedure. Applicants must complete an Ethics self-assessment starting with the completion of an Ethics Issues Table and the proposals above threshold and considered for funding undergo an Ethics Review, carried out by independent ethics experts. After signature of the Grant Agreement (GA) and following the recommendations of the ethics experts or at the initiative of the Commission services, ethics checks are be undertaken for some of the proposals. The main objective is to ensure adherence to ethics requirements and ethics principles in general. If any substantial breaches of ethics principles, research integrity or the relevant Horizon 2020 </w:t>
      </w:r>
      <w:r>
        <w:rPr>
          <w:rFonts w:cstheme="minorBidi"/>
          <w:noProof/>
          <w:color w:val="000000"/>
        </w:rPr>
        <w:lastRenderedPageBreak/>
        <w:t xml:space="preserve">legislation are identified, the Commission can carry out an ethics audit or take corrective action pursuant to the provisions and procedures laid down in the GA. The ethics appraisal scheme was the subject of an external audit in 2016 and the report concluded that the Ethics Appraisal process is well designed, comprehensive as well as broad (i.e. going beyond standard research ethics). The Commission services are implementing the recommendations </w:t>
      </w:r>
      <w:r>
        <w:rPr>
          <w:noProof/>
        </w:rPr>
        <w:t>of the audit, including the enhancement of training sessions targeting EC personnel and the recruitment and training of new experts.</w:t>
      </w:r>
    </w:p>
    <w:p w:rsidR="00EC06FD" w:rsidRDefault="00F346DE">
      <w:pPr>
        <w:suppressAutoHyphens/>
        <w:autoSpaceDE w:val="0"/>
        <w:autoSpaceDN w:val="0"/>
        <w:adjustRightInd w:val="0"/>
        <w:spacing w:after="120" w:line="276" w:lineRule="auto"/>
        <w:jc w:val="both"/>
        <w:rPr>
          <w:noProof/>
        </w:rPr>
      </w:pPr>
      <w:r>
        <w:rPr>
          <w:noProof/>
        </w:rPr>
        <w:t>In the call 2014-2015, out of 52 proposals, 40 with the possibility of being funded underwent ethics screening performed by external ethics experts. As a result, none of these 40 proposals were considered to raise serious or complex ethical issues requiring a more in-depth analysis through further ethics assessment. Out of 21 retained proposals, 3 received ethics clearance and 18 received conditional ethics clearance. In the supplementary call 2014-2015, which included only one topic, all above-threshold proposals (3) underwent ethics screening performed by external ethics experts, and all received conditional ethics clearance meaning that there were no serious or complex ethical issues requiring a more in-depth analysis.</w:t>
      </w:r>
    </w:p>
    <w:p w:rsidR="00EC06FD" w:rsidRDefault="00F346DE">
      <w:pPr>
        <w:suppressAutoHyphens/>
        <w:autoSpaceDE w:val="0"/>
        <w:autoSpaceDN w:val="0"/>
        <w:adjustRightInd w:val="0"/>
        <w:spacing w:after="120" w:line="276" w:lineRule="auto"/>
        <w:jc w:val="both"/>
        <w:rPr>
          <w:noProof/>
        </w:rPr>
      </w:pPr>
      <w:r>
        <w:rPr>
          <w:noProof/>
        </w:rPr>
        <w:t>In the call 2016-2017, all proposals except those with little probability of being considered for funding were subject to an ethics screening carried out by ethics experts. This concerned in total 33 proposals, of which 3 were considered not to involve ethics issues and 30 were identified as involving (one or more) ethics issues, though none was considered to require the ‘ethics assessment’ needed for only the more serious or complex ethics issues. Out of these 30 proposals, 6 received ethics clearance and 24 received conditional ethics clearance. In all calls, recommendations arising from the ethics screening were taken into account in grant agreement preparation.</w:t>
      </w:r>
      <w:bookmarkEnd w:id="681"/>
    </w:p>
    <w:p w:rsidR="00EC06FD" w:rsidRDefault="00F346DE">
      <w:pPr>
        <w:pStyle w:val="Heading3"/>
        <w:tabs>
          <w:tab w:val="num" w:pos="2127"/>
        </w:tabs>
        <w:spacing w:after="120"/>
        <w:ind w:left="1276"/>
        <w:rPr>
          <w:noProof/>
        </w:rPr>
      </w:pPr>
      <w:bookmarkStart w:id="682" w:name="_Toc494899804"/>
      <w:r>
        <w:rPr>
          <w:noProof/>
        </w:rPr>
        <w:t>Euratom Programme simplification</w:t>
      </w:r>
      <w:bookmarkEnd w:id="682"/>
    </w:p>
    <w:p w:rsidR="00EC06FD" w:rsidRDefault="00F346DE">
      <w:pPr>
        <w:suppressAutoHyphens/>
        <w:spacing w:after="120" w:line="276" w:lineRule="auto"/>
        <w:jc w:val="both"/>
        <w:rPr>
          <w:iCs/>
          <w:noProof/>
          <w:color w:val="000000" w:themeColor="text1"/>
          <w:lang w:val="en-US"/>
        </w:rPr>
      </w:pPr>
      <w:r>
        <w:rPr>
          <w:noProof/>
        </w:rPr>
        <w:t>From the outset, the Euratom Programme and Horizon 2020 in general were constructed around a simplified</w:t>
      </w:r>
      <w:r>
        <w:rPr>
          <w:rStyle w:val="FootnoteReference"/>
          <w:noProof/>
          <w:color w:val="000000"/>
        </w:rPr>
        <w:footnoteReference w:id="45"/>
      </w:r>
      <w:r>
        <w:rPr>
          <w:noProof/>
        </w:rPr>
        <w:t xml:space="preserve"> architecture, set of rules and procedures, control strategy</w:t>
      </w:r>
      <w:r>
        <w:rPr>
          <w:noProof/>
          <w:color w:val="000000"/>
        </w:rPr>
        <w:t xml:space="preserve"> and funding model</w:t>
      </w:r>
      <w:r>
        <w:rPr>
          <w:noProof/>
        </w:rPr>
        <w:t xml:space="preserve">. A single set of rules applies to the all research and innovation support provided through EU programmes. In order to ensure coherence of this legal frame with all other EU funding programmes, the rules have been aligned to the Financial Regulation. In parallel, the Commission streamlined, harmonised and accelerated procedures and processes linked to programme and project implementation. </w:t>
      </w:r>
      <w:r>
        <w:rPr>
          <w:iCs/>
          <w:noProof/>
          <w:color w:val="000000" w:themeColor="text1"/>
          <w:lang w:val="en-US"/>
        </w:rPr>
        <w:t>The new funding model is based on two main features: a single reimbursement rate and a single flat rate. This represents a major simplification compared to FP7 (see table 15).</w:t>
      </w:r>
    </w:p>
    <w:p w:rsidR="00EC06FD" w:rsidRDefault="00F346DE">
      <w:pPr>
        <w:rPr>
          <w:noProof/>
          <w:lang w:val="en-US"/>
        </w:rPr>
      </w:pPr>
      <w:r>
        <w:rPr>
          <w:noProof/>
          <w:lang w:val="en-US"/>
        </w:rPr>
        <w:br w:type="page"/>
      </w:r>
    </w:p>
    <w:p w:rsidR="00EC06FD" w:rsidRDefault="00EC06FD">
      <w:pPr>
        <w:suppressAutoHyphens/>
        <w:spacing w:after="120" w:line="276" w:lineRule="auto"/>
        <w:jc w:val="both"/>
        <w:rPr>
          <w:b/>
          <w:noProof/>
        </w:rPr>
      </w:pPr>
    </w:p>
    <w:tbl>
      <w:tblPr>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4A0" w:firstRow="1" w:lastRow="0" w:firstColumn="1" w:lastColumn="0" w:noHBand="0" w:noVBand="1"/>
      </w:tblPr>
      <w:tblGrid>
        <w:gridCol w:w="1813"/>
        <w:gridCol w:w="3686"/>
        <w:gridCol w:w="3685"/>
      </w:tblGrid>
      <w:tr w:rsidR="00EC06FD">
        <w:trPr>
          <w:trHeight w:hRule="exact" w:val="625"/>
          <w:jc w:val="center"/>
        </w:trPr>
        <w:tc>
          <w:tcPr>
            <w:tcW w:w="9184" w:type="dxa"/>
            <w:gridSpan w:val="3"/>
            <w:shd w:val="clear" w:color="auto" w:fill="D9D9D9" w:themeFill="background1" w:themeFillShade="D9"/>
            <w:noWrap/>
            <w:vAlign w:val="center"/>
          </w:tcPr>
          <w:p w:rsidR="00EC06FD" w:rsidRDefault="00F346DE">
            <w:pPr>
              <w:suppressAutoHyphens/>
              <w:spacing w:line="276" w:lineRule="auto"/>
              <w:jc w:val="center"/>
              <w:rPr>
                <w:b/>
                <w:noProof/>
                <w:color w:val="000000" w:themeColor="text1"/>
                <w:sz w:val="20"/>
                <w:szCs w:val="20"/>
              </w:rPr>
            </w:pPr>
            <w:r>
              <w:rPr>
                <w:b/>
                <w:iCs/>
                <w:noProof/>
                <w:color w:val="000000" w:themeColor="text1"/>
                <w:sz w:val="20"/>
                <w:szCs w:val="20"/>
                <w:lang w:val="en-US"/>
              </w:rPr>
              <w:t>Table 15 – simplification measures for Euratom Programme 2014-18 compared with Euratom FP7</w:t>
            </w:r>
          </w:p>
        </w:tc>
      </w:tr>
      <w:tr w:rsidR="00EC06FD">
        <w:trPr>
          <w:trHeight w:hRule="exact" w:val="625"/>
          <w:jc w:val="center"/>
        </w:trPr>
        <w:tc>
          <w:tcPr>
            <w:tcW w:w="1813" w:type="dxa"/>
            <w:shd w:val="clear" w:color="auto" w:fill="D9D9D9" w:themeFill="background1" w:themeFillShade="D9"/>
            <w:noWrap/>
            <w:vAlign w:val="center"/>
            <w:hideMark/>
          </w:tcPr>
          <w:p w:rsidR="00EC06FD" w:rsidRDefault="00F346DE">
            <w:pPr>
              <w:suppressAutoHyphens/>
              <w:spacing w:line="276" w:lineRule="auto"/>
              <w:jc w:val="center"/>
              <w:rPr>
                <w:b/>
                <w:noProof/>
                <w:color w:val="000000" w:themeColor="text1"/>
                <w:sz w:val="20"/>
                <w:szCs w:val="20"/>
              </w:rPr>
            </w:pPr>
            <w:r>
              <w:rPr>
                <w:b/>
                <w:noProof/>
                <w:color w:val="000000" w:themeColor="text1"/>
                <w:sz w:val="20"/>
                <w:szCs w:val="20"/>
              </w:rPr>
              <w:t xml:space="preserve">Simplification measure </w:t>
            </w:r>
          </w:p>
        </w:tc>
        <w:tc>
          <w:tcPr>
            <w:tcW w:w="3686" w:type="dxa"/>
            <w:shd w:val="clear" w:color="auto" w:fill="D9D9D9" w:themeFill="background1" w:themeFillShade="D9"/>
            <w:noWrap/>
            <w:vAlign w:val="center"/>
            <w:hideMark/>
          </w:tcPr>
          <w:p w:rsidR="00EC06FD" w:rsidRDefault="00F346DE">
            <w:pPr>
              <w:suppressAutoHyphens/>
              <w:spacing w:line="276" w:lineRule="auto"/>
              <w:jc w:val="center"/>
              <w:rPr>
                <w:b/>
                <w:noProof/>
                <w:color w:val="000000" w:themeColor="text1"/>
                <w:sz w:val="20"/>
                <w:szCs w:val="20"/>
              </w:rPr>
            </w:pPr>
            <w:r>
              <w:rPr>
                <w:b/>
                <w:noProof/>
                <w:color w:val="000000" w:themeColor="text1"/>
                <w:sz w:val="20"/>
                <w:szCs w:val="20"/>
              </w:rPr>
              <w:t>Euratom Programme 2014-2018</w:t>
            </w:r>
          </w:p>
        </w:tc>
        <w:tc>
          <w:tcPr>
            <w:tcW w:w="3685" w:type="dxa"/>
            <w:shd w:val="clear" w:color="auto" w:fill="D9D9D9" w:themeFill="background1" w:themeFillShade="D9"/>
            <w:vAlign w:val="center"/>
          </w:tcPr>
          <w:p w:rsidR="00EC06FD" w:rsidRDefault="00F346DE">
            <w:pPr>
              <w:suppressAutoHyphens/>
              <w:spacing w:line="276" w:lineRule="auto"/>
              <w:jc w:val="center"/>
              <w:rPr>
                <w:b/>
                <w:noProof/>
                <w:color w:val="000000" w:themeColor="text1"/>
                <w:sz w:val="20"/>
                <w:szCs w:val="20"/>
              </w:rPr>
            </w:pPr>
            <w:r>
              <w:rPr>
                <w:b/>
                <w:noProof/>
                <w:color w:val="000000" w:themeColor="text1"/>
                <w:sz w:val="20"/>
                <w:szCs w:val="20"/>
              </w:rPr>
              <w:t>Euratom FP7</w:t>
            </w:r>
          </w:p>
        </w:tc>
      </w:tr>
      <w:tr w:rsidR="00EC06FD">
        <w:trPr>
          <w:trHeight w:hRule="exact" w:val="1896"/>
          <w:jc w:val="center"/>
        </w:trPr>
        <w:tc>
          <w:tcPr>
            <w:tcW w:w="1813" w:type="dxa"/>
            <w:shd w:val="clear" w:color="auto" w:fill="FFFFFF" w:themeFill="background1"/>
            <w:noWrap/>
            <w:vAlign w:val="center"/>
            <w:hideMark/>
          </w:tcPr>
          <w:p w:rsidR="00EC06FD" w:rsidRDefault="00F346DE">
            <w:pPr>
              <w:suppressAutoHyphens/>
              <w:spacing w:line="276" w:lineRule="auto"/>
              <w:rPr>
                <w:b/>
                <w:noProof/>
                <w:sz w:val="20"/>
                <w:szCs w:val="20"/>
                <w:lang w:eastAsia="es-ES"/>
              </w:rPr>
            </w:pPr>
            <w:r>
              <w:rPr>
                <w:b/>
                <w:noProof/>
                <w:sz w:val="20"/>
                <w:szCs w:val="20"/>
                <w:lang w:eastAsia="es-ES"/>
              </w:rPr>
              <w:t xml:space="preserve">Single </w:t>
            </w:r>
          </w:p>
          <w:p w:rsidR="00EC06FD" w:rsidRDefault="00F346DE">
            <w:pPr>
              <w:suppressAutoHyphens/>
              <w:spacing w:line="276" w:lineRule="auto"/>
              <w:rPr>
                <w:b/>
                <w:noProof/>
                <w:color w:val="000000" w:themeColor="text1"/>
                <w:sz w:val="20"/>
                <w:szCs w:val="20"/>
              </w:rPr>
            </w:pPr>
            <w:r>
              <w:rPr>
                <w:b/>
                <w:noProof/>
                <w:sz w:val="20"/>
                <w:szCs w:val="20"/>
                <w:lang w:eastAsia="es-ES"/>
              </w:rPr>
              <w:t>reimbursement rate</w:t>
            </w:r>
          </w:p>
        </w:tc>
        <w:tc>
          <w:tcPr>
            <w:tcW w:w="3686" w:type="dxa"/>
            <w:shd w:val="clear" w:color="auto" w:fill="FFFFFF" w:themeFill="background1"/>
            <w:noWrap/>
            <w:vAlign w:val="center"/>
            <w:hideMark/>
          </w:tcPr>
          <w:p w:rsidR="00EC06FD" w:rsidRDefault="00F346DE">
            <w:pPr>
              <w:suppressAutoHyphens/>
              <w:spacing w:line="276" w:lineRule="auto"/>
              <w:rPr>
                <w:noProof/>
                <w:color w:val="000000" w:themeColor="text1"/>
                <w:sz w:val="20"/>
                <w:szCs w:val="20"/>
              </w:rPr>
            </w:pPr>
            <w:r>
              <w:rPr>
                <w:noProof/>
                <w:color w:val="000000" w:themeColor="text1"/>
                <w:sz w:val="20"/>
                <w:szCs w:val="20"/>
              </w:rPr>
              <w:t>A single reimbursement rate in a given project, without differentiation between organisation categories or types of activities. The reimbursement rate is up to 100% of the eligible costs for Research and Innovation Actions and up to 70% for Innovation Actions</w:t>
            </w:r>
          </w:p>
        </w:tc>
        <w:tc>
          <w:tcPr>
            <w:tcW w:w="3685" w:type="dxa"/>
            <w:shd w:val="clear" w:color="auto" w:fill="FFFFFF" w:themeFill="background1"/>
            <w:vAlign w:val="center"/>
          </w:tcPr>
          <w:p w:rsidR="00EC06FD" w:rsidRDefault="00F346DE">
            <w:pPr>
              <w:suppressAutoHyphens/>
              <w:spacing w:line="276" w:lineRule="auto"/>
              <w:rPr>
                <w:noProof/>
                <w:color w:val="000000" w:themeColor="text1"/>
                <w:sz w:val="20"/>
                <w:szCs w:val="20"/>
              </w:rPr>
            </w:pPr>
            <w:r>
              <w:rPr>
                <w:noProof/>
                <w:color w:val="000000" w:themeColor="text1"/>
                <w:sz w:val="20"/>
                <w:szCs w:val="20"/>
              </w:rPr>
              <w:t>Reimbursement is determined by a matrix of organization categories and activity types.</w:t>
            </w:r>
          </w:p>
        </w:tc>
      </w:tr>
      <w:tr w:rsidR="00EC06FD">
        <w:trPr>
          <w:trHeight w:hRule="exact" w:val="2121"/>
          <w:jc w:val="center"/>
        </w:trPr>
        <w:tc>
          <w:tcPr>
            <w:tcW w:w="1813" w:type="dxa"/>
            <w:shd w:val="clear" w:color="auto" w:fill="FFFFFF" w:themeFill="background1"/>
            <w:noWrap/>
            <w:vAlign w:val="center"/>
            <w:hideMark/>
          </w:tcPr>
          <w:p w:rsidR="00EC06FD" w:rsidRDefault="00F346DE">
            <w:pPr>
              <w:suppressAutoHyphens/>
              <w:spacing w:line="276" w:lineRule="auto"/>
              <w:rPr>
                <w:b/>
                <w:noProof/>
                <w:color w:val="000000" w:themeColor="text1"/>
                <w:sz w:val="20"/>
                <w:szCs w:val="20"/>
              </w:rPr>
            </w:pPr>
            <w:r>
              <w:rPr>
                <w:b/>
                <w:noProof/>
                <w:sz w:val="20"/>
                <w:szCs w:val="20"/>
                <w:lang w:eastAsia="es-ES"/>
              </w:rPr>
              <w:t>Single flat rate</w:t>
            </w:r>
          </w:p>
        </w:tc>
        <w:tc>
          <w:tcPr>
            <w:tcW w:w="3686" w:type="dxa"/>
            <w:shd w:val="clear" w:color="auto" w:fill="FFFFFF" w:themeFill="background1"/>
            <w:noWrap/>
            <w:vAlign w:val="center"/>
            <w:hideMark/>
          </w:tcPr>
          <w:p w:rsidR="00EC06FD" w:rsidRDefault="00F346DE">
            <w:pPr>
              <w:suppressAutoHyphens/>
              <w:spacing w:line="276" w:lineRule="auto"/>
              <w:rPr>
                <w:noProof/>
                <w:sz w:val="20"/>
                <w:szCs w:val="20"/>
              </w:rPr>
            </w:pPr>
            <w:r>
              <w:rPr>
                <w:noProof/>
                <w:sz w:val="20"/>
                <w:szCs w:val="20"/>
              </w:rPr>
              <w:t>A single flat rate for contributing to the indirect costs. This flat rate of 25% is applied to the direct costs</w:t>
            </w:r>
          </w:p>
        </w:tc>
        <w:tc>
          <w:tcPr>
            <w:tcW w:w="3685" w:type="dxa"/>
            <w:shd w:val="clear" w:color="auto" w:fill="FFFFFF" w:themeFill="background1"/>
            <w:vAlign w:val="center"/>
          </w:tcPr>
          <w:p w:rsidR="00EC06FD" w:rsidRDefault="00F346DE">
            <w:pPr>
              <w:suppressAutoHyphens/>
              <w:spacing w:line="276" w:lineRule="auto"/>
              <w:rPr>
                <w:noProof/>
                <w:color w:val="000000" w:themeColor="text1"/>
                <w:sz w:val="20"/>
                <w:szCs w:val="20"/>
              </w:rPr>
            </w:pPr>
            <w:r>
              <w:rPr>
                <w:noProof/>
                <w:color w:val="000000" w:themeColor="text1"/>
                <w:sz w:val="20"/>
                <w:szCs w:val="20"/>
              </w:rPr>
              <w:t>Indirect costs (overheads) are calculated by four different methods (two flat rate models, depending on the organisation categories; real indirect costs and a simplified method of determining real indirect costs. The real indirect cost options were a considerable source of financial errors.</w:t>
            </w:r>
          </w:p>
        </w:tc>
      </w:tr>
      <w:tr w:rsidR="00EC06FD">
        <w:trPr>
          <w:trHeight w:hRule="exact" w:val="2136"/>
          <w:jc w:val="center"/>
        </w:trPr>
        <w:tc>
          <w:tcPr>
            <w:tcW w:w="1813" w:type="dxa"/>
            <w:shd w:val="clear" w:color="auto" w:fill="FFFFFF" w:themeFill="background1"/>
            <w:noWrap/>
            <w:vAlign w:val="center"/>
          </w:tcPr>
          <w:p w:rsidR="00EC06FD" w:rsidRDefault="00F346DE">
            <w:pPr>
              <w:suppressAutoHyphens/>
              <w:spacing w:line="276" w:lineRule="auto"/>
              <w:rPr>
                <w:b/>
                <w:noProof/>
                <w:sz w:val="20"/>
                <w:szCs w:val="20"/>
                <w:lang w:eastAsia="es-ES"/>
              </w:rPr>
            </w:pPr>
            <w:r>
              <w:rPr>
                <w:b/>
                <w:noProof/>
                <w:sz w:val="20"/>
                <w:szCs w:val="20"/>
                <w:lang w:eastAsia="es-ES"/>
              </w:rPr>
              <w:t>Fusion research</w:t>
            </w:r>
          </w:p>
        </w:tc>
        <w:tc>
          <w:tcPr>
            <w:tcW w:w="3686" w:type="dxa"/>
            <w:shd w:val="clear" w:color="auto" w:fill="FFFFFF" w:themeFill="background1"/>
            <w:noWrap/>
            <w:vAlign w:val="center"/>
          </w:tcPr>
          <w:p w:rsidR="00EC06FD" w:rsidRDefault="00F346DE">
            <w:pPr>
              <w:suppressAutoHyphens/>
              <w:spacing w:line="276" w:lineRule="auto"/>
              <w:rPr>
                <w:noProof/>
                <w:sz w:val="20"/>
                <w:szCs w:val="20"/>
              </w:rPr>
            </w:pPr>
            <w:r>
              <w:rPr>
                <w:noProof/>
                <w:sz w:val="20"/>
                <w:szCs w:val="20"/>
              </w:rPr>
              <w:t>Co-fund instrument covering all joint R&amp;D and related activities, plus an ad hoc bilateral contract with CCFE for the operation of JET</w:t>
            </w:r>
          </w:p>
        </w:tc>
        <w:tc>
          <w:tcPr>
            <w:tcW w:w="3685" w:type="dxa"/>
            <w:shd w:val="clear" w:color="auto" w:fill="FFFFFF" w:themeFill="background1"/>
            <w:vAlign w:val="center"/>
          </w:tcPr>
          <w:p w:rsidR="00EC06FD" w:rsidRDefault="00F346DE">
            <w:pPr>
              <w:suppressAutoHyphens/>
              <w:spacing w:line="276" w:lineRule="auto"/>
              <w:rPr>
                <w:noProof/>
                <w:color w:val="000000" w:themeColor="text1"/>
                <w:sz w:val="20"/>
                <w:szCs w:val="20"/>
              </w:rPr>
            </w:pPr>
            <w:r>
              <w:rPr>
                <w:noProof/>
                <w:color w:val="000000" w:themeColor="text1"/>
                <w:sz w:val="20"/>
                <w:szCs w:val="20"/>
              </w:rPr>
              <w:t>26 Specific bilateral Contracts of Association with national fusion labs, a multilateral agreement (EFDA) between all labs and the Commission, other multilateral Implementing Agreements under EFDA, a bilateral contract for JET operation, and another multilateral agreement on mobility.</w:t>
            </w:r>
          </w:p>
        </w:tc>
      </w:tr>
    </w:tbl>
    <w:p w:rsidR="00EC06FD" w:rsidRDefault="00F346DE">
      <w:pPr>
        <w:suppressAutoHyphens/>
        <w:spacing w:line="276" w:lineRule="auto"/>
        <w:jc w:val="both"/>
        <w:rPr>
          <w:i/>
          <w:noProof/>
          <w:sz w:val="20"/>
        </w:rPr>
      </w:pPr>
      <w:r>
        <w:rPr>
          <w:i/>
          <w:noProof/>
          <w:sz w:val="20"/>
        </w:rPr>
        <w:t>Source: European Commission</w:t>
      </w:r>
    </w:p>
    <w:p w:rsidR="00EC06FD" w:rsidRDefault="00EC06FD">
      <w:pPr>
        <w:suppressAutoHyphens/>
        <w:spacing w:after="120" w:line="276" w:lineRule="auto"/>
        <w:jc w:val="both"/>
        <w:rPr>
          <w:noProof/>
        </w:rPr>
      </w:pPr>
    </w:p>
    <w:p w:rsidR="00EC06FD" w:rsidRDefault="00F346DE">
      <w:pPr>
        <w:suppressAutoHyphens/>
        <w:spacing w:after="120" w:line="276" w:lineRule="auto"/>
        <w:jc w:val="both"/>
        <w:rPr>
          <w:iCs/>
          <w:noProof/>
          <w:color w:val="000000" w:themeColor="text1"/>
          <w:lang w:val="en-US"/>
        </w:rPr>
      </w:pPr>
      <w:r>
        <w:rPr>
          <w:noProof/>
        </w:rPr>
        <w:t>This simplified funding model put the focus on the costs that are directly related to the project. It is expected: to simplify the financial management of projects through a reduced complexity of the financial rules; to reduce the financial error rate detected in ex-post audits; to increase legal certainty for beneficiaries; to increase the attractiveness and ease of access to the programme, in particular for newcomers, smaller actors, SMEs and industry; and to contribute to the acceleration of the granting processes</w:t>
      </w:r>
    </w:p>
    <w:p w:rsidR="00EC06FD" w:rsidRDefault="00F346DE">
      <w:pPr>
        <w:suppressAutoHyphens/>
        <w:spacing w:line="276" w:lineRule="auto"/>
        <w:jc w:val="both"/>
        <w:rPr>
          <w:b/>
          <w:noProof/>
        </w:rPr>
      </w:pPr>
      <w:r>
        <w:rPr>
          <w:b/>
          <w:noProof/>
        </w:rPr>
        <w:t>The first three calls of Euratom Programme have shown a significant reduction of the Time to Grant, i.e. time elapsed between the closure of a call and the signature of the Grant Agreement for projects in the main ranked list, from an average of 315 days in FP7 to an average of 229 days in the WP 2016-2017.</w:t>
      </w:r>
    </w:p>
    <w:p w:rsidR="00EC06FD" w:rsidRDefault="00F346DE">
      <w:pPr>
        <w:pStyle w:val="Heading2"/>
        <w:suppressAutoHyphens/>
        <w:spacing w:before="240" w:line="276" w:lineRule="auto"/>
        <w:ind w:left="720"/>
        <w:rPr>
          <w:rFonts w:eastAsia="Calibri"/>
          <w:noProof/>
        </w:rPr>
      </w:pPr>
      <w:bookmarkStart w:id="683" w:name="_Toc474919048"/>
      <w:bookmarkStart w:id="684" w:name="_Toc474942475"/>
      <w:bookmarkStart w:id="685" w:name="_Toc474943471"/>
      <w:bookmarkStart w:id="686" w:name="_Toc474945832"/>
      <w:bookmarkStart w:id="687" w:name="_Toc474859296"/>
      <w:bookmarkStart w:id="688" w:name="_Toc474860763"/>
      <w:bookmarkStart w:id="689" w:name="_Toc474865027"/>
      <w:bookmarkStart w:id="690" w:name="_Toc474872390"/>
      <w:bookmarkStart w:id="691" w:name="_Toc475011637"/>
      <w:bookmarkStart w:id="692" w:name="_Toc475016284"/>
      <w:bookmarkStart w:id="693" w:name="_Toc475020141"/>
      <w:bookmarkStart w:id="694" w:name="_Toc475022838"/>
      <w:bookmarkStart w:id="695" w:name="_Toc475031280"/>
      <w:bookmarkStart w:id="696" w:name="_Toc475031604"/>
      <w:bookmarkStart w:id="697" w:name="_Toc475031678"/>
      <w:bookmarkStart w:id="698" w:name="_Toc475036614"/>
      <w:bookmarkStart w:id="699" w:name="_Toc475038481"/>
      <w:bookmarkStart w:id="700" w:name="_Toc475041875"/>
      <w:bookmarkStart w:id="701" w:name="_Toc475113651"/>
      <w:bookmarkStart w:id="702" w:name="_Toc474591494"/>
      <w:bookmarkStart w:id="703" w:name="_Toc475478971"/>
      <w:bookmarkStart w:id="704" w:name="_Toc475546820"/>
      <w:bookmarkStart w:id="705" w:name="_Toc475547952"/>
      <w:bookmarkStart w:id="706" w:name="_Toc494899805"/>
      <w:bookmarkEnd w:id="672"/>
      <w:bookmarkEnd w:id="673"/>
      <w:bookmarkEnd w:id="674"/>
      <w:bookmarkEnd w:id="675"/>
      <w:bookmarkEnd w:id="676"/>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r>
        <w:rPr>
          <w:rFonts w:eastAsia="Calibri"/>
          <w:noProof/>
        </w:rPr>
        <w:t>How efficient are the communication and application processes</w:t>
      </w:r>
      <w:bookmarkEnd w:id="703"/>
      <w:bookmarkEnd w:id="704"/>
      <w:bookmarkEnd w:id="705"/>
      <w:r>
        <w:rPr>
          <w:rFonts w:eastAsia="Calibri"/>
          <w:noProof/>
        </w:rPr>
        <w:t>?</w:t>
      </w:r>
      <w:bookmarkEnd w:id="706"/>
      <w:r>
        <w:rPr>
          <w:rFonts w:eastAsia="Calibri"/>
          <w:noProof/>
        </w:rPr>
        <w:tab/>
      </w:r>
    </w:p>
    <w:p w:rsidR="00EC06FD" w:rsidRDefault="00F346DE">
      <w:pPr>
        <w:suppressAutoHyphens/>
        <w:spacing w:after="120" w:line="276" w:lineRule="auto"/>
        <w:jc w:val="both"/>
        <w:rPr>
          <w:noProof/>
        </w:rPr>
      </w:pPr>
      <w:bookmarkStart w:id="707" w:name="_Toc475478972"/>
      <w:bookmarkStart w:id="708" w:name="_Toc475546821"/>
      <w:bookmarkStart w:id="709" w:name="_Toc475547953"/>
      <w:r>
        <w:rPr>
          <w:noProof/>
        </w:rPr>
        <w:t xml:space="preserve">A number of communication </w:t>
      </w:r>
      <w:bookmarkEnd w:id="707"/>
      <w:bookmarkEnd w:id="708"/>
      <w:bookmarkEnd w:id="709"/>
      <w:r>
        <w:rPr>
          <w:noProof/>
        </w:rPr>
        <w:t xml:space="preserve">activities have been undertaken by the Commission services to attract participation in the Euratom Programme, including 'info days' organised on 28 March 2014 for the call 2014-2015 and on 15 September 2015 for the call 2016-2017. </w:t>
      </w:r>
    </w:p>
    <w:p w:rsidR="00EC06FD" w:rsidRDefault="00F346DE">
      <w:pPr>
        <w:suppressAutoHyphens/>
        <w:spacing w:after="120" w:line="276" w:lineRule="auto"/>
        <w:jc w:val="both"/>
        <w:rPr>
          <w:noProof/>
        </w:rPr>
      </w:pPr>
      <w:r>
        <w:rPr>
          <w:noProof/>
        </w:rPr>
        <w:lastRenderedPageBreak/>
        <w:t xml:space="preserve">The Euratom Programme strongly encourages dissemination and exploitation of research results. Project beneficiaries have an obligation to promote funded projects and their results, and communication forms part of the activities expected to generate project impact. To guide communication efforts, the Euratom Programme requires projects to develop and implement a communication plan, which goes beyond the project’s own community and includes “the media and the public”. </w:t>
      </w:r>
    </w:p>
    <w:p w:rsidR="00EC06FD" w:rsidRDefault="00F346DE">
      <w:pPr>
        <w:suppressAutoHyphens/>
        <w:spacing w:after="120" w:line="276" w:lineRule="auto"/>
        <w:jc w:val="both"/>
        <w:rPr>
          <w:b/>
          <w:noProof/>
          <w:szCs w:val="20"/>
          <w:lang w:eastAsia="en-US"/>
        </w:rPr>
      </w:pPr>
      <w:r>
        <w:rPr>
          <w:noProof/>
        </w:rPr>
        <w:t xml:space="preserve">As result, a substantial number of communication activities was undertaken to disseminate and communicate the project results and the knowledge generated. Validated periodic reports from the first 18 months of 13 fission projects show many different types of activities including 7 communication campaigns, 3 conferences, 9 workshops. However, citizens are usually not the most important target group of these activities, but rather a secondary or tertiary audience. Projects stating that they intend to target citizens typically mention websites, newsletters, publications and social media channels as means to reach the general public. </w:t>
      </w:r>
    </w:p>
    <w:tbl>
      <w:tblPr>
        <w:tblW w:w="6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880"/>
        <w:gridCol w:w="2380"/>
      </w:tblGrid>
      <w:tr w:rsidR="00EC06FD">
        <w:trPr>
          <w:trHeight w:val="623"/>
          <w:jc w:val="center"/>
        </w:trPr>
        <w:tc>
          <w:tcPr>
            <w:tcW w:w="6140" w:type="dxa"/>
            <w:gridSpan w:val="3"/>
            <w:tcBorders>
              <w:bottom w:val="single" w:sz="4" w:space="0" w:color="auto"/>
            </w:tcBorders>
            <w:shd w:val="clear" w:color="000000" w:fill="BFBFBF" w:themeFill="background1" w:themeFillShade="BF"/>
            <w:vAlign w:val="center"/>
          </w:tcPr>
          <w:p w:rsidR="00EC06FD" w:rsidRDefault="00F346DE">
            <w:pPr>
              <w:suppressAutoHyphens/>
              <w:spacing w:line="276" w:lineRule="auto"/>
              <w:jc w:val="center"/>
              <w:rPr>
                <w:i/>
                <w:iCs/>
                <w:noProof/>
                <w:color w:val="000000"/>
                <w:sz w:val="20"/>
              </w:rPr>
            </w:pPr>
            <w:r>
              <w:rPr>
                <w:b/>
                <w:noProof/>
                <w:sz w:val="20"/>
              </w:rPr>
              <w:t>Table 16 – audience reached by fission and fusion projects in 2014-2015</w:t>
            </w:r>
          </w:p>
        </w:tc>
      </w:tr>
      <w:tr w:rsidR="00EC06FD">
        <w:trPr>
          <w:trHeight w:val="623"/>
          <w:jc w:val="center"/>
        </w:trPr>
        <w:tc>
          <w:tcPr>
            <w:tcW w:w="1880" w:type="dxa"/>
            <w:tcBorders>
              <w:bottom w:val="single" w:sz="4" w:space="0" w:color="auto"/>
            </w:tcBorders>
            <w:shd w:val="clear" w:color="000000" w:fill="BFBFBF" w:themeFill="background1" w:themeFillShade="BF"/>
            <w:vAlign w:val="center"/>
            <w:hideMark/>
          </w:tcPr>
          <w:p w:rsidR="00EC06FD" w:rsidRDefault="00F346DE">
            <w:pPr>
              <w:suppressAutoHyphens/>
              <w:spacing w:line="276" w:lineRule="auto"/>
              <w:jc w:val="center"/>
              <w:rPr>
                <w:i/>
                <w:iCs/>
                <w:noProof/>
                <w:color w:val="000000"/>
                <w:sz w:val="20"/>
              </w:rPr>
            </w:pPr>
            <w:r>
              <w:rPr>
                <w:i/>
                <w:iCs/>
                <w:noProof/>
                <w:color w:val="000000"/>
                <w:sz w:val="20"/>
              </w:rPr>
              <w:t>Scientific community</w:t>
            </w:r>
          </w:p>
        </w:tc>
        <w:tc>
          <w:tcPr>
            <w:tcW w:w="1880" w:type="dxa"/>
            <w:tcBorders>
              <w:bottom w:val="single" w:sz="4" w:space="0" w:color="auto"/>
            </w:tcBorders>
            <w:shd w:val="clear" w:color="000000" w:fill="BFBFBF" w:themeFill="background1" w:themeFillShade="BF"/>
            <w:vAlign w:val="center"/>
            <w:hideMark/>
          </w:tcPr>
          <w:p w:rsidR="00EC06FD" w:rsidRDefault="00F346DE">
            <w:pPr>
              <w:suppressAutoHyphens/>
              <w:spacing w:line="276" w:lineRule="auto"/>
              <w:jc w:val="center"/>
              <w:rPr>
                <w:i/>
                <w:iCs/>
                <w:noProof/>
                <w:color w:val="000000"/>
                <w:sz w:val="20"/>
              </w:rPr>
            </w:pPr>
            <w:r>
              <w:rPr>
                <w:i/>
                <w:iCs/>
                <w:noProof/>
                <w:color w:val="000000"/>
                <w:sz w:val="20"/>
              </w:rPr>
              <w:t>Industry</w:t>
            </w:r>
          </w:p>
        </w:tc>
        <w:tc>
          <w:tcPr>
            <w:tcW w:w="2380" w:type="dxa"/>
            <w:tcBorders>
              <w:bottom w:val="single" w:sz="4" w:space="0" w:color="auto"/>
            </w:tcBorders>
            <w:shd w:val="clear" w:color="000000" w:fill="BFBFBF" w:themeFill="background1" w:themeFillShade="BF"/>
            <w:vAlign w:val="center"/>
            <w:hideMark/>
          </w:tcPr>
          <w:p w:rsidR="00EC06FD" w:rsidRDefault="00F346DE">
            <w:pPr>
              <w:suppressAutoHyphens/>
              <w:spacing w:line="276" w:lineRule="auto"/>
              <w:jc w:val="center"/>
              <w:rPr>
                <w:i/>
                <w:iCs/>
                <w:noProof/>
                <w:color w:val="000000"/>
                <w:sz w:val="20"/>
              </w:rPr>
            </w:pPr>
            <w:r>
              <w:rPr>
                <w:i/>
                <w:iCs/>
                <w:noProof/>
                <w:color w:val="000000"/>
                <w:sz w:val="20"/>
              </w:rPr>
              <w:t>Civil society</w:t>
            </w:r>
          </w:p>
        </w:tc>
      </w:tr>
      <w:tr w:rsidR="00EC06FD">
        <w:trPr>
          <w:trHeight w:val="494"/>
          <w:jc w:val="center"/>
        </w:trPr>
        <w:tc>
          <w:tcPr>
            <w:tcW w:w="1880" w:type="dxa"/>
            <w:shd w:val="clear" w:color="000000" w:fill="auto"/>
            <w:vAlign w:val="center"/>
          </w:tcPr>
          <w:p w:rsidR="00EC06FD" w:rsidRDefault="00F346DE">
            <w:pPr>
              <w:suppressAutoHyphens/>
              <w:spacing w:line="276" w:lineRule="auto"/>
              <w:jc w:val="center"/>
              <w:rPr>
                <w:i/>
                <w:iCs/>
                <w:noProof/>
                <w:color w:val="000000"/>
                <w:sz w:val="20"/>
              </w:rPr>
            </w:pPr>
            <w:r>
              <w:rPr>
                <w:i/>
                <w:iCs/>
                <w:noProof/>
                <w:color w:val="000000"/>
                <w:sz w:val="20"/>
              </w:rPr>
              <w:t>24 800</w:t>
            </w:r>
          </w:p>
        </w:tc>
        <w:tc>
          <w:tcPr>
            <w:tcW w:w="1880" w:type="dxa"/>
            <w:shd w:val="clear" w:color="000000" w:fill="auto"/>
            <w:vAlign w:val="center"/>
          </w:tcPr>
          <w:p w:rsidR="00EC06FD" w:rsidRDefault="00F346DE">
            <w:pPr>
              <w:suppressAutoHyphens/>
              <w:spacing w:line="276" w:lineRule="auto"/>
              <w:jc w:val="center"/>
              <w:rPr>
                <w:i/>
                <w:iCs/>
                <w:noProof/>
                <w:color w:val="000000"/>
                <w:sz w:val="20"/>
              </w:rPr>
            </w:pPr>
            <w:r>
              <w:rPr>
                <w:i/>
                <w:iCs/>
                <w:noProof/>
                <w:color w:val="000000"/>
                <w:sz w:val="20"/>
              </w:rPr>
              <w:t>8000</w:t>
            </w:r>
          </w:p>
        </w:tc>
        <w:tc>
          <w:tcPr>
            <w:tcW w:w="2380" w:type="dxa"/>
            <w:shd w:val="clear" w:color="000000" w:fill="auto"/>
            <w:vAlign w:val="center"/>
          </w:tcPr>
          <w:p w:rsidR="00EC06FD" w:rsidRDefault="00F346DE">
            <w:pPr>
              <w:suppressAutoHyphens/>
              <w:spacing w:line="276" w:lineRule="auto"/>
              <w:jc w:val="center"/>
              <w:rPr>
                <w:i/>
                <w:iCs/>
                <w:noProof/>
                <w:color w:val="000000"/>
                <w:sz w:val="20"/>
              </w:rPr>
            </w:pPr>
            <w:r>
              <w:rPr>
                <w:i/>
                <w:iCs/>
                <w:noProof/>
                <w:color w:val="000000"/>
                <w:sz w:val="20"/>
              </w:rPr>
              <w:t>1800</w:t>
            </w:r>
          </w:p>
        </w:tc>
      </w:tr>
    </w:tbl>
    <w:p w:rsidR="00EC06FD" w:rsidRDefault="00F346DE">
      <w:pPr>
        <w:pStyle w:val="Text3"/>
        <w:spacing w:after="120"/>
        <w:ind w:left="1440"/>
        <w:rPr>
          <w:i/>
          <w:noProof/>
          <w:sz w:val="20"/>
        </w:rPr>
      </w:pPr>
      <w:r>
        <w:rPr>
          <w:i/>
          <w:noProof/>
          <w:sz w:val="20"/>
        </w:rPr>
        <w:t>Source: European Commission, periodic reports from projects</w:t>
      </w:r>
    </w:p>
    <w:p w:rsidR="00EC06FD" w:rsidRDefault="00EC06FD">
      <w:pPr>
        <w:pStyle w:val="Heading3"/>
        <w:numPr>
          <w:ilvl w:val="0"/>
          <w:numId w:val="0"/>
        </w:numPr>
        <w:spacing w:after="0"/>
        <w:ind w:left="1230"/>
        <w:rPr>
          <w:noProof/>
        </w:rPr>
      </w:pPr>
    </w:p>
    <w:p w:rsidR="00EC06FD" w:rsidRDefault="00F346DE">
      <w:pPr>
        <w:suppressAutoHyphens/>
        <w:spacing w:line="276" w:lineRule="auto"/>
        <w:jc w:val="both"/>
        <w:rPr>
          <w:noProof/>
        </w:rPr>
      </w:pPr>
      <w:r>
        <w:rPr>
          <w:noProof/>
        </w:rPr>
        <w:t>Dissemination of results is usually the responsibility of one of the work packages in each of the projects. For the first 23 projects launched in fission following the 2014-2015 call, as well as EUROfusion, table 16 shows the total audience reached through different channels (conferences, symposia, technical meetings).</w:t>
      </w:r>
    </w:p>
    <w:p w:rsidR="00EC06FD" w:rsidRDefault="00EC06FD">
      <w:pPr>
        <w:suppressAutoHyphens/>
        <w:spacing w:line="276" w:lineRule="auto"/>
        <w:jc w:val="both"/>
        <w:rPr>
          <w:noProof/>
        </w:rPr>
      </w:pPr>
    </w:p>
    <w:p w:rsidR="00EC06FD" w:rsidRDefault="00F346DE">
      <w:pPr>
        <w:pStyle w:val="Heading2"/>
        <w:tabs>
          <w:tab w:val="num" w:pos="709"/>
        </w:tabs>
        <w:suppressAutoHyphens/>
        <w:spacing w:before="240" w:line="276" w:lineRule="auto"/>
        <w:ind w:left="1202" w:hanging="1202"/>
        <w:rPr>
          <w:noProof/>
        </w:rPr>
      </w:pPr>
      <w:bookmarkStart w:id="710" w:name="_Toc494899806"/>
      <w:r>
        <w:rPr>
          <w:noProof/>
        </w:rPr>
        <w:t>How efficient is the distribution of funding?</w:t>
      </w:r>
      <w:bookmarkEnd w:id="710"/>
    </w:p>
    <w:p w:rsidR="00EC06FD" w:rsidRDefault="00F346DE">
      <w:pPr>
        <w:pStyle w:val="Heading3"/>
        <w:tabs>
          <w:tab w:val="num" w:pos="993"/>
        </w:tabs>
        <w:ind w:left="1996" w:hanging="1996"/>
        <w:rPr>
          <w:noProof/>
        </w:rPr>
      </w:pPr>
      <w:bookmarkStart w:id="711" w:name="_Toc494899807"/>
      <w:r>
        <w:rPr>
          <w:noProof/>
        </w:rPr>
        <w:t>Success rates</w:t>
      </w:r>
      <w:bookmarkEnd w:id="711"/>
    </w:p>
    <w:p w:rsidR="00EC06FD" w:rsidRDefault="00F346DE">
      <w:pPr>
        <w:suppressAutoHyphens/>
        <w:spacing w:after="120" w:line="276" w:lineRule="auto"/>
        <w:jc w:val="both"/>
        <w:rPr>
          <w:rFonts w:cstheme="minorBidi"/>
          <w:noProof/>
          <w:color w:val="000000"/>
        </w:rPr>
      </w:pPr>
      <w:r>
        <w:rPr>
          <w:rFonts w:cstheme="minorBidi"/>
          <w:noProof/>
          <w:color w:val="000000"/>
        </w:rPr>
        <w:t>Results of the first fission calls (2014/15) show a very high success rate, with 23 of the 66 eligible and admissible proposals being funded (35% success rate) and 55 evaluated above threshold (83%). Results of the 2016/17 fission call confirm this high success rate, with 23 of the 70 eligible and admissible proposals funded (36% success rate) and 59 above threshold (84%).</w:t>
      </w:r>
    </w:p>
    <w:p w:rsidR="00EC06FD" w:rsidRDefault="00F346DE">
      <w:pPr>
        <w:pStyle w:val="Text1"/>
        <w:suppressAutoHyphens/>
        <w:spacing w:line="276" w:lineRule="auto"/>
        <w:ind w:left="0"/>
        <w:rPr>
          <w:rFonts w:cstheme="minorBidi"/>
          <w:noProof/>
          <w:color w:val="000000"/>
          <w:szCs w:val="24"/>
          <w:lang w:eastAsia="en-GB"/>
        </w:rPr>
      </w:pPr>
      <w:r>
        <w:rPr>
          <w:rFonts w:cstheme="minorBidi"/>
          <w:b/>
          <w:noProof/>
          <w:color w:val="000000"/>
          <w:szCs w:val="24"/>
          <w:lang w:eastAsia="en-GB"/>
        </w:rPr>
        <w:t>Research stakeholders from NMS are becoming well integrated in European nuclear research.</w:t>
      </w:r>
      <w:r>
        <w:rPr>
          <w:rFonts w:cstheme="minorBidi"/>
          <w:noProof/>
          <w:color w:val="000000"/>
          <w:szCs w:val="24"/>
          <w:lang w:eastAsia="en-GB"/>
        </w:rPr>
        <w:t xml:space="preserve"> In fusion research, the participation of smaller fusion labs from these MS was guaranteed as part of the initial 'named beneficiary' approach required by the Council Regulation, and since then most of these smaller labs appear clearly to have benefited from the evolution of the fusion programme. In fission research, participation rates of beneficiaries from NMS in successful projects is well above the Horizon 2020 average (17,93%).</w:t>
      </w:r>
    </w:p>
    <w:p w:rsidR="00EC06FD" w:rsidRDefault="00F346DE">
      <w:pPr>
        <w:pStyle w:val="Heading3"/>
        <w:tabs>
          <w:tab w:val="num" w:pos="993"/>
        </w:tabs>
        <w:ind w:left="1996" w:hanging="1996"/>
        <w:rPr>
          <w:noProof/>
        </w:rPr>
      </w:pPr>
      <w:bookmarkStart w:id="712" w:name="_Toc494899808"/>
      <w:r>
        <w:rPr>
          <w:noProof/>
        </w:rPr>
        <w:lastRenderedPageBreak/>
        <w:t>Distribution of funding</w:t>
      </w:r>
      <w:bookmarkEnd w:id="712"/>
    </w:p>
    <w:p w:rsidR="00EC06FD" w:rsidRDefault="00F346DE">
      <w:pPr>
        <w:pStyle w:val="Text1"/>
        <w:suppressAutoHyphens/>
        <w:spacing w:line="276" w:lineRule="auto"/>
        <w:ind w:left="0"/>
        <w:rPr>
          <w:rFonts w:cstheme="minorBidi"/>
          <w:noProof/>
          <w:color w:val="000000"/>
          <w:szCs w:val="24"/>
          <w:lang w:eastAsia="en-GB"/>
        </w:rPr>
      </w:pPr>
      <w:r>
        <w:rPr>
          <w:rFonts w:cstheme="minorBidi"/>
          <w:noProof/>
          <w:color w:val="000000"/>
        </w:rPr>
        <w:t>For the fission calls 2014-2015 and 2016-2017, beneficiaries in Member States have been awarded a total of €193,750,445.72 (see figure 5), with only Luxembourg and Malta not represented. Beneficiaries in associated countries (i.e. Switzerland and Ukraine, the latter associated only since 2016) have been awarded €4,764,620.53, and those in third countries €482,210.50. Third countries include Canada, Japan, Korea, Mexico, Norway, Russian Federation, Turkey, Ukraine (2014-2015 calls) and USA.</w:t>
      </w:r>
    </w:p>
    <w:p w:rsidR="00EC06FD" w:rsidRDefault="00F346DE">
      <w:pPr>
        <w:pStyle w:val="Text1"/>
        <w:widowControl w:val="0"/>
        <w:suppressAutoHyphens/>
        <w:spacing w:after="120" w:line="276" w:lineRule="auto"/>
        <w:ind w:left="0"/>
        <w:jc w:val="center"/>
        <w:rPr>
          <w:noProof/>
        </w:rPr>
      </w:pPr>
      <w:r>
        <w:rPr>
          <w:b/>
          <w:noProof/>
        </w:rPr>
        <w:t>Figure 5. Summary graphs (Euratom contribution and participation per country)</w:t>
      </w:r>
    </w:p>
    <w:p w:rsidR="00EC06FD" w:rsidRDefault="00F346DE">
      <w:pPr>
        <w:suppressAutoHyphens/>
        <w:spacing w:line="276" w:lineRule="auto"/>
        <w:jc w:val="both"/>
        <w:rPr>
          <w:noProof/>
        </w:rPr>
      </w:pPr>
      <w:r>
        <w:rPr>
          <w:noProof/>
        </w:rPr>
        <w:drawing>
          <wp:inline distT="0" distB="0" distL="0" distR="0" wp14:anchorId="70ECDE77" wp14:editId="4A1F62C8">
            <wp:extent cx="6057900" cy="3244850"/>
            <wp:effectExtent l="0" t="0" r="19050"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C06FD" w:rsidRDefault="00F346DE">
      <w:pPr>
        <w:pStyle w:val="Text3"/>
        <w:spacing w:after="120"/>
        <w:ind w:left="0"/>
        <w:rPr>
          <w:i/>
          <w:noProof/>
        </w:rPr>
      </w:pPr>
      <w:r>
        <w:rPr>
          <w:i/>
          <w:noProof/>
        </w:rPr>
        <w:t>Source: European Commission</w:t>
      </w:r>
    </w:p>
    <w:p w:rsidR="00EC06FD" w:rsidRDefault="00EC06FD">
      <w:pPr>
        <w:suppressAutoHyphens/>
        <w:spacing w:line="276" w:lineRule="auto"/>
        <w:jc w:val="both"/>
        <w:rPr>
          <w:noProof/>
        </w:rPr>
      </w:pPr>
    </w:p>
    <w:p w:rsidR="00EC06FD" w:rsidRDefault="00F346DE">
      <w:pPr>
        <w:pStyle w:val="Text1"/>
        <w:suppressAutoHyphens/>
        <w:spacing w:line="276" w:lineRule="auto"/>
        <w:ind w:left="0"/>
        <w:rPr>
          <w:rFonts w:cstheme="minorBidi"/>
          <w:noProof/>
          <w:color w:val="000000"/>
        </w:rPr>
      </w:pPr>
      <w:r>
        <w:rPr>
          <w:rFonts w:cstheme="minorBidi"/>
          <w:noProof/>
          <w:color w:val="000000"/>
        </w:rPr>
        <w:t xml:space="preserve">In Euratom FP7, the programme was quite concentrated in terms of geography, actors, resource distribution, etc. Beneficiaries from two Member States (Germany and France) participated in over three-quarters of all FP7 fission projects, while six Member States had participants in over half of all projects (Germany, France, Belgium, United Kingdom Spain and Sweden). French participants were by far the most prevalent in Euratom FP7 fission projects, followed by German, UK, Spanish and Italian. Together, these five Member States accounted for over 50% of all participation, and the corresponding EC contribution amounted to 62% of the overall allocated Euratom fission funding. A small group of 15 highly active organisations (who were participants in 25 or more projects) accounted for 29% of all participation and 49% of the total budget (i.e. EC plus participant contributions). Moreover, participating organisations from Germany, France, Belgium, United Kingdom Spain and Sweden were much more likely to cooperate with each other than with organisations from new Member States. </w:t>
      </w:r>
    </w:p>
    <w:p w:rsidR="00EC06FD" w:rsidRDefault="00F346DE">
      <w:pPr>
        <w:pStyle w:val="Text1"/>
        <w:suppressAutoHyphens/>
        <w:spacing w:line="276" w:lineRule="auto"/>
        <w:ind w:left="0"/>
        <w:rPr>
          <w:rFonts w:cstheme="minorBidi"/>
          <w:noProof/>
          <w:color w:val="000000"/>
        </w:rPr>
      </w:pPr>
      <w:r>
        <w:rPr>
          <w:rFonts w:cstheme="minorBidi"/>
          <w:b/>
          <w:noProof/>
          <w:color w:val="000000"/>
        </w:rPr>
        <w:lastRenderedPageBreak/>
        <w:t>However, the trends from the first two years of Euratom Programme 2014-2018 provide some signs of increased involvement of Member States from Central and Eastern Europe</w:t>
      </w:r>
      <w:r>
        <w:rPr>
          <w:rFonts w:cstheme="minorBidi"/>
          <w:noProof/>
          <w:color w:val="000000"/>
        </w:rPr>
        <w:t xml:space="preserve"> as shown in figure 6.</w:t>
      </w:r>
    </w:p>
    <w:p w:rsidR="00EC06FD" w:rsidRDefault="00F346DE">
      <w:pPr>
        <w:pStyle w:val="Caption"/>
        <w:rPr>
          <w:rFonts w:cs="Arial"/>
          <w:noProof/>
        </w:rPr>
      </w:pPr>
      <w:r>
        <w:rPr>
          <w:rFonts w:cs="Arial"/>
          <w:noProof/>
        </w:rPr>
        <w:t>Figure 6: Number of fission projects in which Member States participated (2014 – 2017)</w:t>
      </w:r>
    </w:p>
    <w:p w:rsidR="00EC06FD" w:rsidRDefault="00F346DE">
      <w:pPr>
        <w:jc w:val="center"/>
        <w:rPr>
          <w:noProof/>
        </w:rPr>
      </w:pPr>
      <w:r>
        <w:rPr>
          <w:noProof/>
        </w:rPr>
        <w:t xml:space="preserve"> </w:t>
      </w:r>
      <w:r>
        <w:rPr>
          <w:noProof/>
        </w:rPr>
        <w:drawing>
          <wp:inline distT="0" distB="0" distL="0" distR="0" wp14:anchorId="311D6D8C" wp14:editId="510053FF">
            <wp:extent cx="5430520" cy="3244215"/>
            <wp:effectExtent l="0" t="0" r="0" b="0"/>
            <wp:docPr id="7" name="Picture 7" descr="cid:image001.png@01D2EAC0.4BD8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EAC0.4BD89030"/>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5430520" cy="3244215"/>
                    </a:xfrm>
                    <a:prstGeom prst="rect">
                      <a:avLst/>
                    </a:prstGeom>
                    <a:noFill/>
                    <a:ln>
                      <a:noFill/>
                    </a:ln>
                  </pic:spPr>
                </pic:pic>
              </a:graphicData>
            </a:graphic>
          </wp:inline>
        </w:drawing>
      </w:r>
    </w:p>
    <w:p w:rsidR="00EC06FD" w:rsidRDefault="00F346DE">
      <w:pPr>
        <w:pStyle w:val="Text3"/>
        <w:spacing w:after="120"/>
        <w:ind w:left="482"/>
        <w:rPr>
          <w:i/>
          <w:noProof/>
          <w:sz w:val="20"/>
        </w:rPr>
      </w:pPr>
      <w:r>
        <w:rPr>
          <w:i/>
          <w:noProof/>
          <w:sz w:val="20"/>
        </w:rPr>
        <w:t>Source: European Commission</w:t>
      </w:r>
    </w:p>
    <w:p w:rsidR="00EC06FD" w:rsidRDefault="00EC06FD">
      <w:pPr>
        <w:suppressAutoHyphens/>
        <w:spacing w:line="276" w:lineRule="auto"/>
        <w:jc w:val="both"/>
        <w:rPr>
          <w:noProof/>
        </w:rPr>
      </w:pPr>
    </w:p>
    <w:p w:rsidR="00EC06FD" w:rsidRDefault="00F346DE">
      <w:pPr>
        <w:pStyle w:val="Heading1"/>
        <w:pageBreakBefore/>
        <w:suppressAutoHyphens/>
        <w:spacing w:line="276" w:lineRule="auto"/>
        <w:ind w:left="482" w:hanging="482"/>
        <w:rPr>
          <w:noProof/>
        </w:rPr>
      </w:pPr>
      <w:bookmarkStart w:id="713" w:name="_Toc494899809"/>
      <w:r>
        <w:rPr>
          <w:noProof/>
        </w:rPr>
        <w:lastRenderedPageBreak/>
        <w:t>COMPLEMENTARITY AND COHERENCE OF THE EURATOM PROGRAMME</w:t>
      </w:r>
      <w:bookmarkEnd w:id="713"/>
    </w:p>
    <w:p w:rsidR="00EC06FD" w:rsidRDefault="00F346DE">
      <w:pPr>
        <w:pStyle w:val="Heading2"/>
        <w:suppressAutoHyphens/>
        <w:spacing w:line="276" w:lineRule="auto"/>
        <w:ind w:left="720"/>
        <w:rPr>
          <w:noProof/>
        </w:rPr>
      </w:pPr>
      <w:bookmarkStart w:id="714" w:name="_Toc494899810"/>
      <w:r>
        <w:rPr>
          <w:noProof/>
        </w:rPr>
        <w:t>Complementarity of the Euratom programme with national (public and private) research priorities and activities</w:t>
      </w:r>
      <w:bookmarkEnd w:id="714"/>
    </w:p>
    <w:p w:rsidR="00EC06FD" w:rsidRDefault="00F346DE">
      <w:pPr>
        <w:spacing w:before="120" w:after="60"/>
        <w:jc w:val="both"/>
        <w:rPr>
          <w:noProof/>
        </w:rPr>
      </w:pPr>
      <w:r>
        <w:rPr>
          <w:noProof/>
        </w:rPr>
        <w:t>The Euratom indirect actions in fission and radiation protection seek to accommodate for the needs of an extremely wide diversity of Member States, ranging from small Member States with no civil nuclear programme and almost no nuclear research activities, to large Member States meeting a large majority of their energy needs from nuclear power and on the international forefront of research. Even amongst the 14 Member States with civil nuclear programmes, the level of maturity of these programmes, the technology underlying their reactor fleet, the strategic orientations for the future development and the research needs and interests can differ significantly</w:t>
      </w:r>
      <w:r>
        <w:rPr>
          <w:rStyle w:val="FootnoteReference"/>
          <w:noProof/>
        </w:rPr>
        <w:footnoteReference w:id="46"/>
      </w:r>
      <w:r>
        <w:rPr>
          <w:noProof/>
        </w:rPr>
        <w:t xml:space="preserve">. </w:t>
      </w:r>
    </w:p>
    <w:p w:rsidR="00EC06FD" w:rsidRDefault="00F346DE">
      <w:pPr>
        <w:spacing w:before="120" w:after="60"/>
        <w:jc w:val="both"/>
        <w:rPr>
          <w:noProof/>
        </w:rPr>
      </w:pPr>
      <w:r>
        <w:rPr>
          <w:noProof/>
        </w:rPr>
        <w:t>Considering these boundary conditions, evaluation found that the Euratom programme is generally coherent with the fission research priorities and activities on the national level</w:t>
      </w:r>
      <w:r>
        <w:rPr>
          <w:rStyle w:val="FootnoteReference"/>
          <w:noProof/>
        </w:rPr>
        <w:footnoteReference w:id="47"/>
      </w:r>
      <w:r>
        <w:rPr>
          <w:noProof/>
        </w:rPr>
        <w:t xml:space="preserve">: </w:t>
      </w:r>
    </w:p>
    <w:p w:rsidR="00EC06FD" w:rsidRDefault="00F346DE">
      <w:pPr>
        <w:pStyle w:val="ListParagraph"/>
        <w:numPr>
          <w:ilvl w:val="0"/>
          <w:numId w:val="37"/>
        </w:numPr>
        <w:spacing w:before="120" w:after="60"/>
        <w:contextualSpacing w:val="0"/>
        <w:rPr>
          <w:noProof/>
        </w:rPr>
      </w:pPr>
      <w:r>
        <w:rPr>
          <w:noProof/>
        </w:rPr>
        <w:t>In the area of nuclear safety, Euratom priorities are well aligned with the needs of an ageing reactor fleet and addressing the inherent safety concerns arising from lifetime extension, as well as more generally improving knowledge of plant behaviour and performance and refining and developing new mitigation measures to respond to new risks as they appear (e.g. issues raised by the Fukushima accident). Most of the operating reactors were built in the 1970s and 1980s, and since the construction of reactors has slowed down in the last 30 years, the average age of the nuclear fleet has been continually growing and reached 32 years in 2016. The country with the oldest reactor fleet is the Netherlands (43 years), followed by Switzerland (41,4 years), Finland (37,8 years), Sweden (37,7 years), Belgium (36,4 years), Slovenia (35 years) and the United Kingdom (32,6 years). The average age of the reactor fleets in other Euratom Member States was equal to or less than the overall average</w:t>
      </w:r>
      <w:r>
        <w:rPr>
          <w:rStyle w:val="FootnoteReference"/>
          <w:noProof/>
        </w:rPr>
        <w:footnoteReference w:id="48"/>
      </w:r>
      <w:r>
        <w:rPr>
          <w:noProof/>
        </w:rPr>
        <w:t xml:space="preserve">. The 2011 Fukushima accident revived public concern for the safety of NPPs and has led to national authorities strengthening their research programmes in this area, as well as the trend towards greater international cooperation in this field. The lessons learnt during the accident have also contributed significantly to shaping research priorities since 2011. </w:t>
      </w:r>
    </w:p>
    <w:p w:rsidR="00EC06FD" w:rsidRDefault="00F346DE">
      <w:pPr>
        <w:pStyle w:val="ListParagraph"/>
        <w:numPr>
          <w:ilvl w:val="0"/>
          <w:numId w:val="37"/>
        </w:numPr>
        <w:spacing w:before="120" w:after="60"/>
        <w:contextualSpacing w:val="0"/>
        <w:rPr>
          <w:noProof/>
        </w:rPr>
      </w:pPr>
      <w:r>
        <w:rPr>
          <w:noProof/>
        </w:rPr>
        <w:t xml:space="preserve">Concerning research on advanced reactor systems, the Euratom programme has been focused on better understanding of safety implications arising from the development of Generation IV reactor concepts. Research priorities have been generally well focused on the most promising concepts being developed on the national level, in line with SNE-TP and ESNII strategy. They also generally complemented well national activities and provided small but useful support in the financially precarious early phases of concept definition and design. </w:t>
      </w:r>
    </w:p>
    <w:p w:rsidR="00EC06FD" w:rsidRDefault="00F346DE">
      <w:pPr>
        <w:pStyle w:val="ListParagraph"/>
        <w:numPr>
          <w:ilvl w:val="0"/>
          <w:numId w:val="37"/>
        </w:numPr>
        <w:spacing w:before="120" w:after="60"/>
        <w:contextualSpacing w:val="0"/>
        <w:rPr>
          <w:noProof/>
        </w:rPr>
      </w:pPr>
      <w:r>
        <w:rPr>
          <w:noProof/>
        </w:rPr>
        <w:t xml:space="preserve">In the field of radiation protection, Euratom priorities have been as much about better structuring research as supporting the research itself. The Euratom programme has thus </w:t>
      </w:r>
      <w:r>
        <w:rPr>
          <w:noProof/>
        </w:rPr>
        <w:lastRenderedPageBreak/>
        <w:t xml:space="preserve">been relevant to the need both to support research on specific topics and to assist Member States in achieving greater synergies between their national programmes. </w:t>
      </w:r>
    </w:p>
    <w:p w:rsidR="00EC06FD" w:rsidRDefault="00EC06FD">
      <w:pPr>
        <w:pStyle w:val="ListParagraph"/>
        <w:spacing w:before="120" w:after="60"/>
        <w:ind w:left="360"/>
        <w:contextualSpacing w:val="0"/>
        <w:rPr>
          <w:noProof/>
        </w:rPr>
      </w:pPr>
    </w:p>
    <w:p w:rsidR="00EC06FD" w:rsidRDefault="00F346DE">
      <w:pPr>
        <w:pStyle w:val="Heading2"/>
        <w:suppressAutoHyphens/>
        <w:spacing w:line="276" w:lineRule="auto"/>
        <w:ind w:left="720"/>
        <w:rPr>
          <w:noProof/>
        </w:rPr>
      </w:pPr>
      <w:bookmarkStart w:id="715" w:name="_Toc494899811"/>
      <w:r>
        <w:rPr>
          <w:noProof/>
        </w:rPr>
        <w:t>External and internal coherence of the Euratom programme</w:t>
      </w:r>
      <w:bookmarkEnd w:id="715"/>
      <w:r>
        <w:rPr>
          <w:noProof/>
        </w:rPr>
        <w:t xml:space="preserve"> </w:t>
      </w:r>
    </w:p>
    <w:p w:rsidR="00EC06FD" w:rsidRDefault="00F346DE">
      <w:pPr>
        <w:pStyle w:val="Text2"/>
        <w:suppressAutoHyphens/>
        <w:spacing w:after="0" w:line="276" w:lineRule="auto"/>
        <w:ind w:left="0"/>
        <w:rPr>
          <w:noProof/>
        </w:rPr>
      </w:pPr>
      <w:r>
        <w:rPr>
          <w:noProof/>
        </w:rPr>
        <w:t>Euratom programme is coherent internally and with the other EU programmes and policies. Internal coherence between fission and fusion indirect actions is ensured by supporting projects addressing topics relevant for both fields. In the Euratom WP 2016-2017, the Commission included topics addressing cross-cutting issues between fission and fusion. The first topic (NFRP 13) concerned fission/fusion cross-cutting research in the area of multi-scale materials modelling, while the second (NFRP 14) aimed at cross-cutting support to improved knowledge on tritium management in fission and fusion facilities. Following the call two projects were launched in 2017, with total Euratom support of 8 million euro, addressing both topics (M4F – Multiscale modelling for fusion and fission materials, and TRANSAT - TRANSversal Actions for Tritium)</w:t>
      </w:r>
      <w:r>
        <w:rPr>
          <w:rStyle w:val="FootnoteReference"/>
          <w:noProof/>
        </w:rPr>
        <w:footnoteReference w:id="49"/>
      </w:r>
      <w:r>
        <w:rPr>
          <w:noProof/>
        </w:rPr>
        <w:t>.</w:t>
      </w:r>
    </w:p>
    <w:p w:rsidR="00EC06FD" w:rsidRDefault="00EC06FD">
      <w:pPr>
        <w:pStyle w:val="Text2"/>
        <w:suppressAutoHyphens/>
        <w:spacing w:after="0" w:line="276" w:lineRule="auto"/>
        <w:ind w:left="0"/>
        <w:rPr>
          <w:noProof/>
        </w:rPr>
      </w:pPr>
    </w:p>
    <w:p w:rsidR="00EC06FD" w:rsidRDefault="00F346DE">
      <w:pPr>
        <w:pStyle w:val="Text2"/>
        <w:suppressAutoHyphens/>
        <w:spacing w:after="0" w:line="276" w:lineRule="auto"/>
        <w:ind w:left="0"/>
        <w:rPr>
          <w:noProof/>
        </w:rPr>
      </w:pPr>
      <w:r>
        <w:rPr>
          <w:noProof/>
        </w:rPr>
        <w:t xml:space="preserve">Synergies between direct and indirect actions are ensured by participation of JRC's institutes in consortia implementing indirect actions' projects, where they provide access to research infrastructures. In 2014-2015 call for proposals, JRC institutes are involved in 7 projects, mainly concerning safety research. Regarding 2016-2017 call for proposals, JRC is involved in 12 projects covering 7 work programme topics (out of 8) in nuclear safety and waste management. In addition JRC is involved in projects supporting education and training and materials research. </w:t>
      </w:r>
    </w:p>
    <w:p w:rsidR="00EC06FD" w:rsidRDefault="00EC06FD">
      <w:pPr>
        <w:pStyle w:val="Text2"/>
        <w:suppressAutoHyphens/>
        <w:spacing w:after="0" w:line="276" w:lineRule="auto"/>
        <w:ind w:left="0"/>
        <w:rPr>
          <w:noProof/>
        </w:rPr>
      </w:pPr>
    </w:p>
    <w:p w:rsidR="00EC06FD" w:rsidRDefault="00F346DE">
      <w:pPr>
        <w:pStyle w:val="Text2"/>
        <w:suppressAutoHyphens/>
        <w:spacing w:after="0" w:line="276" w:lineRule="auto"/>
        <w:ind w:left="0"/>
        <w:rPr>
          <w:noProof/>
        </w:rPr>
      </w:pPr>
      <w:r>
        <w:rPr>
          <w:noProof/>
        </w:rPr>
        <w:t>Regarding coherence of the Euratom programme with other EU programmes and policies, through the cooperative research, the Euratom indirect actions enable a Europe-wide approach to improving nuclear safety and radiation protection in all areas of application, which complements the implementation of the Euratom Directives on nuclear safety</w:t>
      </w:r>
      <w:r>
        <w:rPr>
          <w:noProof/>
          <w:vertAlign w:val="superscript"/>
        </w:rPr>
        <w:footnoteReference w:id="50"/>
      </w:r>
      <w:r>
        <w:rPr>
          <w:noProof/>
        </w:rPr>
        <w:t>, radioactive waste management</w:t>
      </w:r>
      <w:r>
        <w:rPr>
          <w:noProof/>
          <w:vertAlign w:val="superscript"/>
        </w:rPr>
        <w:footnoteReference w:id="51"/>
      </w:r>
      <w:r>
        <w:rPr>
          <w:noProof/>
        </w:rPr>
        <w:t xml:space="preserve"> and basic safety standards</w:t>
      </w:r>
      <w:r>
        <w:rPr>
          <w:noProof/>
          <w:vertAlign w:val="superscript"/>
        </w:rPr>
        <w:footnoteReference w:id="52"/>
      </w:r>
      <w:r>
        <w:rPr>
          <w:noProof/>
        </w:rPr>
        <w:t>. Involvement in the research actions supported by the Euratom programme also facilitates participation of national and regional research stakeholders in other Union funding programmes, including the St</w:t>
      </w:r>
      <w:bookmarkStart w:id="716" w:name="_Toc494899812"/>
      <w:r>
        <w:rPr>
          <w:noProof/>
        </w:rPr>
        <w:t>ructural Funds.</w:t>
      </w:r>
      <w:r>
        <w:rPr>
          <w:noProof/>
        </w:rPr>
        <w:br w:type="page"/>
      </w:r>
    </w:p>
    <w:p w:rsidR="00EC06FD" w:rsidRDefault="00F346DE">
      <w:pPr>
        <w:pStyle w:val="Heading1"/>
        <w:keepNext w:val="0"/>
        <w:suppressAutoHyphens/>
        <w:spacing w:line="276" w:lineRule="auto"/>
        <w:rPr>
          <w:noProof/>
        </w:rPr>
      </w:pPr>
      <w:r>
        <w:rPr>
          <w:noProof/>
        </w:rPr>
        <w:lastRenderedPageBreak/>
        <w:t>EU ADDED VALUE OF THE EURATOM PROGRAMME</w:t>
      </w:r>
      <w:bookmarkEnd w:id="716"/>
    </w:p>
    <w:p w:rsidR="00EC06FD" w:rsidRDefault="00F346DE">
      <w:pPr>
        <w:suppressAutoHyphens/>
        <w:spacing w:line="276" w:lineRule="auto"/>
        <w:jc w:val="both"/>
        <w:rPr>
          <w:noProof/>
          <w:szCs w:val="20"/>
          <w:lang w:eastAsia="en-US"/>
        </w:rPr>
      </w:pPr>
      <w:r>
        <w:rPr>
          <w:noProof/>
        </w:rPr>
        <w:t xml:space="preserve">A key element of Euratom Programme added value is the ability to mobilise a wider pool of excellence, competencies and multi-disciplinarity in the nuclear research field than is possible at the level of individual Member States. </w:t>
      </w:r>
      <w:r>
        <w:rPr>
          <w:noProof/>
          <w:szCs w:val="20"/>
          <w:lang w:eastAsia="en-US"/>
        </w:rPr>
        <w:t xml:space="preserve">This is demonstrated by a diverse portfolio of 23 projects launched in 2014-2017 addressing important aspects of nuclear safety (for example accident tolerant fuels, core monitoring techniques, assessment of structural integrity of NPP elements, ageing management etc.) as well as by the launch of the European Joint Programmes in fusion and radiation protection research. Another example is a joint exploitation of fusion research infrastructures, which rely on the collective endeavours of researchers and engineers from all across Europe (about 350 persons per year), supported by Euratom funding for mobility. This broad-based coordination throughout Europe of education and training, the use of research facilities and international cooperation is of particular benefit to smaller Member States, which can take advantage of the economies of scale afforded by the Europe-wide pooling effect – in fusion research this is exemplified by smaller laboratories that can specialise in scientific topics or subsystems for fusion research facilities in Europe and make important contributions while maintaining the visibility in the European consortium. </w:t>
      </w:r>
    </w:p>
    <w:p w:rsidR="00EC06FD" w:rsidRDefault="00EC06FD">
      <w:pPr>
        <w:suppressAutoHyphens/>
        <w:spacing w:line="276" w:lineRule="auto"/>
        <w:jc w:val="both"/>
        <w:rPr>
          <w:noProof/>
          <w:szCs w:val="20"/>
          <w:lang w:eastAsia="en-US"/>
        </w:rPr>
      </w:pPr>
    </w:p>
    <w:p w:rsidR="00EC06FD" w:rsidRDefault="00F346DE">
      <w:pPr>
        <w:suppressAutoHyphens/>
        <w:spacing w:line="276" w:lineRule="auto"/>
        <w:jc w:val="both"/>
        <w:rPr>
          <w:noProof/>
          <w:szCs w:val="20"/>
          <w:lang w:eastAsia="en-US"/>
        </w:rPr>
      </w:pPr>
      <w:r>
        <w:rPr>
          <w:noProof/>
          <w:szCs w:val="20"/>
          <w:lang w:eastAsia="en-US"/>
        </w:rPr>
        <w:t>The 2016 survey carried out by Ernst&amp;Young</w:t>
      </w:r>
      <w:r>
        <w:rPr>
          <w:rStyle w:val="FootnoteReference"/>
          <w:noProof/>
          <w:szCs w:val="20"/>
          <w:lang w:eastAsia="en-US"/>
        </w:rPr>
        <w:footnoteReference w:id="53"/>
      </w:r>
      <w:r>
        <w:rPr>
          <w:noProof/>
          <w:szCs w:val="20"/>
          <w:lang w:eastAsia="en-US"/>
        </w:rPr>
        <w:t xml:space="preserve"> aimed to understand the added value provided by Euratom research projects compared to research conducted on the national or bilateral levels. The respondents were presented with the opportunity to provide their opinion on several aspects of added value (see Figure 7). The main types of European added value underlined by the respondents are the improvement of sharing of knowledge and best practices across borders, the wider dissemination of results allowed by international dimension, the greater cross-border collaboration and mobility, and the contribution to the structuration of research in the area of the project. However the Euratom programme is not considered to have strong influence on financial aspects of the projects: only 34% of the respondents agree to say that the European project allow important economies of scale and a little under 50% that Euratom funding allow their organisation to secure additional national funding. Some respondents also underlined other types of added value. The European programme allows for the awareness of the European Commission on some important issues in nuclear research and enhance the creation of common vision of research challenges across European organisations. The European action is also considered as having an important role in ensuring training of the next generation of nuclear specialists through the collaboration between educational organisations and with nuclear companies.</w:t>
      </w:r>
    </w:p>
    <w:p w:rsidR="00EC06FD" w:rsidRDefault="00EC06FD">
      <w:pPr>
        <w:suppressAutoHyphens/>
        <w:spacing w:line="276" w:lineRule="auto"/>
        <w:jc w:val="both"/>
        <w:rPr>
          <w:noProof/>
          <w:szCs w:val="20"/>
          <w:lang w:eastAsia="en-US"/>
        </w:rPr>
      </w:pPr>
    </w:p>
    <w:p w:rsidR="00EC06FD" w:rsidRDefault="00EC06FD">
      <w:pPr>
        <w:suppressAutoHyphens/>
        <w:spacing w:line="276" w:lineRule="auto"/>
        <w:jc w:val="both"/>
        <w:rPr>
          <w:noProof/>
          <w:szCs w:val="20"/>
          <w:lang w:eastAsia="en-US"/>
        </w:rPr>
      </w:pPr>
    </w:p>
    <w:p w:rsidR="00EC06FD" w:rsidRDefault="00EC06FD">
      <w:pPr>
        <w:suppressAutoHyphens/>
        <w:spacing w:line="276" w:lineRule="auto"/>
        <w:jc w:val="both"/>
        <w:rPr>
          <w:noProof/>
          <w:szCs w:val="20"/>
          <w:lang w:eastAsia="en-US"/>
        </w:rPr>
      </w:pPr>
    </w:p>
    <w:p w:rsidR="00EC06FD" w:rsidRDefault="00EC06FD">
      <w:pPr>
        <w:suppressAutoHyphens/>
        <w:spacing w:line="276" w:lineRule="auto"/>
        <w:jc w:val="both"/>
        <w:rPr>
          <w:noProof/>
          <w:szCs w:val="20"/>
          <w:lang w:eastAsia="en-US"/>
        </w:rPr>
      </w:pPr>
    </w:p>
    <w:p w:rsidR="00EC06FD" w:rsidRDefault="00EC06FD">
      <w:pPr>
        <w:suppressAutoHyphens/>
        <w:spacing w:line="276" w:lineRule="auto"/>
        <w:jc w:val="both"/>
        <w:rPr>
          <w:noProof/>
          <w:szCs w:val="20"/>
          <w:lang w:eastAsia="en-US"/>
        </w:rPr>
      </w:pPr>
    </w:p>
    <w:p w:rsidR="00EC06FD" w:rsidRDefault="00F346DE">
      <w:pPr>
        <w:spacing w:after="200" w:line="276" w:lineRule="auto"/>
        <w:rPr>
          <w:b/>
          <w:noProof/>
          <w:szCs w:val="20"/>
          <w:lang w:eastAsia="en-US"/>
        </w:rPr>
      </w:pPr>
      <w:r>
        <w:rPr>
          <w:noProof/>
        </w:rPr>
        <w:br w:type="page"/>
      </w:r>
    </w:p>
    <w:p w:rsidR="00EC06FD" w:rsidRDefault="00F346DE">
      <w:pPr>
        <w:pStyle w:val="Caption"/>
        <w:jc w:val="center"/>
        <w:rPr>
          <w:noProof/>
        </w:rPr>
      </w:pPr>
      <w:r>
        <w:rPr>
          <w:noProof/>
        </w:rPr>
        <w:lastRenderedPageBreak/>
        <w:t>Figure 7: Main types of EU added value of the Euratom programme identified by the respondents</w:t>
      </w:r>
    </w:p>
    <w:p w:rsidR="00EC06FD" w:rsidRDefault="00F346DE">
      <w:pPr>
        <w:jc w:val="center"/>
        <w:rPr>
          <w:rFonts w:ascii="Arial" w:hAnsi="Arial" w:cs="Arial"/>
          <w:b/>
          <w:noProof/>
        </w:rPr>
      </w:pPr>
      <w:r>
        <w:rPr>
          <w:rFonts w:ascii="Arial" w:hAnsi="Arial" w:cs="Arial"/>
          <w:b/>
          <w:noProof/>
        </w:rPr>
        <w:drawing>
          <wp:inline distT="0" distB="0" distL="0" distR="0" wp14:anchorId="14A34A10" wp14:editId="575CF4EB">
            <wp:extent cx="5650302" cy="3043210"/>
            <wp:effectExtent l="0" t="0" r="7620" b="5080"/>
            <wp:docPr id="176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1"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49786" cy="3042932"/>
                    </a:xfrm>
                    <a:prstGeom prst="rect">
                      <a:avLst/>
                    </a:prstGeom>
                    <a:noFill/>
                    <a:ln>
                      <a:noFill/>
                    </a:ln>
                    <a:effectLst/>
                    <a:extLst/>
                  </pic:spPr>
                </pic:pic>
              </a:graphicData>
            </a:graphic>
          </wp:inline>
        </w:drawing>
      </w:r>
    </w:p>
    <w:p w:rsidR="00EC06FD" w:rsidRDefault="00F346DE">
      <w:pPr>
        <w:suppressAutoHyphens/>
        <w:spacing w:line="276" w:lineRule="auto"/>
        <w:jc w:val="both"/>
        <w:rPr>
          <w:i/>
          <w:noProof/>
          <w:sz w:val="20"/>
          <w:szCs w:val="20"/>
          <w:lang w:eastAsia="en-US"/>
        </w:rPr>
      </w:pPr>
      <w:r>
        <w:rPr>
          <w:i/>
          <w:noProof/>
          <w:sz w:val="20"/>
          <w:szCs w:val="20"/>
          <w:lang w:eastAsia="en-US"/>
        </w:rPr>
        <w:t>Source: Ernst&amp;Young study</w:t>
      </w:r>
    </w:p>
    <w:p w:rsidR="00EC06FD" w:rsidRDefault="00EC06FD">
      <w:pPr>
        <w:rPr>
          <w:rFonts w:ascii="Arial" w:hAnsi="Arial"/>
          <w:b/>
          <w:noProof/>
        </w:rPr>
      </w:pPr>
    </w:p>
    <w:p w:rsidR="00EC06FD" w:rsidRDefault="00F346DE">
      <w:pPr>
        <w:suppressAutoHyphens/>
        <w:spacing w:line="276" w:lineRule="auto"/>
        <w:jc w:val="both"/>
        <w:rPr>
          <w:noProof/>
        </w:rPr>
      </w:pPr>
      <w:r>
        <w:rPr>
          <w:noProof/>
        </w:rPr>
        <w:t>In the short term, Euratom fission research promotes added value by enhancing the safe and secure performance of providing electricity from nuclear energy, representing 27% of electricity in the EU and is the main low-carbon base load energy source in the European grid. Euratom research may also play a role in the security of energy supply at EU level, through dedicated R&amp;D work on the diversification of fuel sources, notably regarding pressurised water reactors of Russian origin operating in the EU, and on the possible optimisation of the use of resources through further investigation of the safety and feasibility of closed fuel cycle options.</w:t>
      </w:r>
    </w:p>
    <w:p w:rsidR="00EC06FD" w:rsidRDefault="00EC06FD">
      <w:pPr>
        <w:suppressAutoHyphens/>
        <w:spacing w:line="276" w:lineRule="auto"/>
        <w:jc w:val="both"/>
        <w:rPr>
          <w:noProof/>
        </w:rPr>
      </w:pPr>
    </w:p>
    <w:p w:rsidR="00EC06FD" w:rsidRDefault="00F346DE">
      <w:pPr>
        <w:suppressAutoHyphens/>
        <w:spacing w:line="276" w:lineRule="auto"/>
        <w:jc w:val="both"/>
        <w:rPr>
          <w:noProof/>
        </w:rPr>
      </w:pPr>
      <w:r>
        <w:rPr>
          <w:noProof/>
        </w:rPr>
        <w:t xml:space="preserve">In the long term, both Euratom fission and fusion research can support the decarbonisation of the energy system by developing magnetic confinement fusion, including through support for ITER, and by improving safety aspects of new and innovative fission technologies. In the case of fusion energy in particular, it is clear that without past Euratom Programmes there would be no ITER, and certainly no ITER under construction in Europe. The Euratom Programme has therefore ensured that Europe is in a leading position in the next step in the quest for fusion energy – the demonstration in ITER of the feasibility of fusion energy at reactor scale – and the Euratom programme must now ensure that Europe can benefit from this leading position in the step that follows, namely the construction and operation of a DEMO facility to produce fusion electricity for the grid. Without such efforts, the investment in ITER would be jeopardised and the opportunity of fusion energy could be lost. </w:t>
      </w:r>
      <w:r>
        <w:rPr>
          <w:noProof/>
        </w:rPr>
        <w:br w:type="page"/>
      </w:r>
    </w:p>
    <w:p w:rsidR="00EC06FD" w:rsidRDefault="00F346DE">
      <w:pPr>
        <w:pStyle w:val="Heading1"/>
        <w:keepNext w:val="0"/>
        <w:suppressAutoHyphens/>
        <w:spacing w:line="276" w:lineRule="auto"/>
        <w:rPr>
          <w:noProof/>
        </w:rPr>
      </w:pPr>
      <w:bookmarkStart w:id="717" w:name="_Toc494899813"/>
      <w:r>
        <w:rPr>
          <w:noProof/>
        </w:rPr>
        <w:lastRenderedPageBreak/>
        <w:t>CONCLUSIONS</w:t>
      </w:r>
      <w:bookmarkEnd w:id="717"/>
    </w:p>
    <w:p w:rsidR="00EC06FD" w:rsidRDefault="00F346DE">
      <w:pPr>
        <w:pBdr>
          <w:top w:val="nil"/>
          <w:left w:val="nil"/>
          <w:bottom w:val="nil"/>
          <w:right w:val="nil"/>
          <w:between w:val="nil"/>
          <w:bar w:val="nil"/>
        </w:pBdr>
        <w:spacing w:after="120"/>
        <w:jc w:val="both"/>
        <w:rPr>
          <w:noProof/>
          <w:color w:val="000000" w:themeColor="text1"/>
        </w:rPr>
      </w:pPr>
      <w:r>
        <w:rPr>
          <w:noProof/>
          <w:color w:val="000000" w:themeColor="text1"/>
        </w:rPr>
        <w:t>The interim evaluation concluded that the Euratom programme is relevant across the full scope of activities, including nuclear safety, security and safeguards, radioactive waste management, radiation protection and fusion energy. Action at EU level continues to be instrumental in addressing challenges faced by Member States in these areas. The Euratom programme helps ensuring that public financing is used in an optimal manner by avoiding unnecessary duplication while providing the required EU-added value and coordination. In this respect, the Euratom programme remains an important part of the European nuclear research landscape.</w:t>
      </w:r>
    </w:p>
    <w:p w:rsidR="00EC06FD" w:rsidRDefault="00F346DE">
      <w:pPr>
        <w:pBdr>
          <w:top w:val="nil"/>
          <w:left w:val="nil"/>
          <w:bottom w:val="nil"/>
          <w:right w:val="nil"/>
          <w:between w:val="nil"/>
          <w:bar w:val="nil"/>
        </w:pBdr>
        <w:spacing w:after="120"/>
        <w:jc w:val="both"/>
        <w:rPr>
          <w:noProof/>
          <w:color w:val="000000" w:themeColor="text1"/>
        </w:rPr>
      </w:pPr>
      <w:r>
        <w:rPr>
          <w:noProof/>
          <w:color w:val="000000" w:themeColor="text1"/>
        </w:rPr>
        <w:t xml:space="preserve">On the programme’s efficiency and effectiveness, the CEG report on indirect research indicates some areas requiring action by the Commission and/or beneficiaries. This concerns in particular: </w:t>
      </w:r>
    </w:p>
    <w:p w:rsidR="00EC06FD" w:rsidRDefault="00F346DE">
      <w:pPr>
        <w:pStyle w:val="ListParagraph"/>
        <w:numPr>
          <w:ilvl w:val="0"/>
          <w:numId w:val="38"/>
        </w:numPr>
        <w:pBdr>
          <w:top w:val="nil"/>
          <w:left w:val="nil"/>
          <w:bottom w:val="nil"/>
          <w:right w:val="nil"/>
          <w:between w:val="nil"/>
          <w:bar w:val="nil"/>
        </w:pBdr>
        <w:spacing w:after="120"/>
        <w:rPr>
          <w:noProof/>
          <w:color w:val="000000" w:themeColor="text1"/>
        </w:rPr>
      </w:pPr>
      <w:r>
        <w:rPr>
          <w:noProof/>
          <w:color w:val="000000" w:themeColor="text1"/>
        </w:rPr>
        <w:t xml:space="preserve">the need to improve organisation and management of the European Joint Programmes in fusion and radiation protection research; </w:t>
      </w:r>
    </w:p>
    <w:p w:rsidR="00EC06FD" w:rsidRDefault="00F346DE">
      <w:pPr>
        <w:pStyle w:val="ListParagraph"/>
        <w:numPr>
          <w:ilvl w:val="0"/>
          <w:numId w:val="38"/>
        </w:numPr>
        <w:pBdr>
          <w:top w:val="nil"/>
          <w:left w:val="nil"/>
          <w:bottom w:val="nil"/>
          <w:right w:val="nil"/>
          <w:between w:val="nil"/>
          <w:bar w:val="nil"/>
        </w:pBdr>
        <w:spacing w:after="120"/>
        <w:rPr>
          <w:noProof/>
          <w:color w:val="000000" w:themeColor="text1"/>
        </w:rPr>
      </w:pPr>
      <w:r>
        <w:rPr>
          <w:noProof/>
        </w:rPr>
        <w:t xml:space="preserve">the need to exploit synergies with other thematic areas of Horizon 2020 in order to address cross-cutting aspects such as health aspects of radiation. </w:t>
      </w:r>
    </w:p>
    <w:p w:rsidR="00EC06FD" w:rsidRDefault="00F346DE">
      <w:pPr>
        <w:pStyle w:val="ListParagraph"/>
        <w:numPr>
          <w:ilvl w:val="0"/>
          <w:numId w:val="38"/>
        </w:numPr>
        <w:pBdr>
          <w:top w:val="nil"/>
          <w:left w:val="nil"/>
          <w:bottom w:val="nil"/>
          <w:right w:val="nil"/>
          <w:between w:val="nil"/>
          <w:bar w:val="nil"/>
        </w:pBdr>
        <w:spacing w:after="120"/>
        <w:rPr>
          <w:noProof/>
          <w:color w:val="000000" w:themeColor="text1"/>
        </w:rPr>
      </w:pPr>
      <w:r>
        <w:rPr>
          <w:noProof/>
        </w:rPr>
        <w:t>the need to seek synergies in application of some Horizon 2020 instruments in nuclear field such as Marie Curie Skłodowska Actions</w:t>
      </w:r>
    </w:p>
    <w:p w:rsidR="00EC06FD" w:rsidRDefault="00F346DE">
      <w:pPr>
        <w:pStyle w:val="ListParagraph"/>
        <w:numPr>
          <w:ilvl w:val="0"/>
          <w:numId w:val="38"/>
        </w:numPr>
        <w:pBdr>
          <w:top w:val="nil"/>
          <w:left w:val="nil"/>
          <w:bottom w:val="nil"/>
          <w:right w:val="nil"/>
          <w:between w:val="nil"/>
          <w:bar w:val="nil"/>
        </w:pBdr>
        <w:spacing w:after="120"/>
        <w:rPr>
          <w:noProof/>
          <w:color w:val="000000" w:themeColor="text1"/>
        </w:rPr>
      </w:pPr>
      <w:r>
        <w:rPr>
          <w:noProof/>
        </w:rPr>
        <w:t>the need to review the impact of 100% reimbursement rate for direct costs of beneficiaries of indirect actions on the level and scope of research delivered by the Programme.</w:t>
      </w:r>
    </w:p>
    <w:p w:rsidR="00EC06FD" w:rsidRDefault="00F346DE">
      <w:pPr>
        <w:pBdr>
          <w:top w:val="nil"/>
          <w:left w:val="nil"/>
          <w:bottom w:val="nil"/>
          <w:right w:val="nil"/>
          <w:between w:val="nil"/>
          <w:bar w:val="nil"/>
        </w:pBdr>
        <w:spacing w:after="120"/>
        <w:jc w:val="both"/>
        <w:rPr>
          <w:noProof/>
          <w:color w:val="000000" w:themeColor="text1"/>
        </w:rPr>
      </w:pPr>
      <w:r>
        <w:rPr>
          <w:noProof/>
          <w:color w:val="000000" w:themeColor="text1"/>
        </w:rPr>
        <w:t>These will be addressed as appropriate over the coming months to optimise programme implementation during the 2019-2020 extension and better prepare for the post-2020 programme. Other recommendations, in particular on the long-term aspects of nuclear research or instruments that the Euratom programme shares with Horizon 2020, will be further analysed in the ex-ante impact assessment of the Euratom programme (post-2020) of the next multiannual financial framework.</w:t>
      </w:r>
    </w:p>
    <w:p w:rsidR="00EC06FD" w:rsidRDefault="00F346DE">
      <w:pPr>
        <w:pStyle w:val="Text2"/>
        <w:suppressAutoHyphens/>
        <w:spacing w:after="0" w:line="276" w:lineRule="auto"/>
        <w:ind w:left="0"/>
        <w:rPr>
          <w:noProof/>
        </w:rPr>
      </w:pPr>
      <w:r>
        <w:rPr>
          <w:noProof/>
        </w:rPr>
        <w:t xml:space="preserve">. </w:t>
      </w:r>
    </w:p>
    <w:p w:rsidR="00EC06FD" w:rsidRDefault="00F346DE">
      <w:pPr>
        <w:rPr>
          <w:noProof/>
        </w:rPr>
      </w:pPr>
      <w:r>
        <w:rPr>
          <w:rFonts w:cs="Arial"/>
          <w:b/>
          <w:bCs/>
          <w:i/>
          <w:iCs/>
          <w:noProof/>
          <w:color w:val="000000"/>
        </w:rPr>
        <w:br w:type="page"/>
      </w:r>
    </w:p>
    <w:p w:rsidR="00EC06FD" w:rsidRDefault="00F346DE">
      <w:pPr>
        <w:pStyle w:val="Heading1"/>
        <w:numPr>
          <w:ilvl w:val="0"/>
          <w:numId w:val="0"/>
        </w:numPr>
        <w:rPr>
          <w:noProof/>
        </w:rPr>
      </w:pPr>
      <w:bookmarkStart w:id="718" w:name="_Toc494899814"/>
      <w:r>
        <w:rPr>
          <w:noProof/>
        </w:rPr>
        <w:lastRenderedPageBreak/>
        <w:t>Annex 1: Procedural information concerning the process to prepare the interim evaluation of indirect actions of the Euratom research and training programme 2014-2018.</w:t>
      </w:r>
      <w:bookmarkEnd w:id="718"/>
    </w:p>
    <w:p w:rsidR="00EC06FD" w:rsidRDefault="00F346DE">
      <w:pPr>
        <w:suppressAutoHyphens/>
        <w:spacing w:after="120" w:line="276" w:lineRule="auto"/>
        <w:jc w:val="both"/>
        <w:rPr>
          <w:noProof/>
        </w:rPr>
      </w:pPr>
      <w:r>
        <w:rPr>
          <w:b/>
          <w:noProof/>
        </w:rPr>
        <w:t>Lead DG:</w:t>
      </w:r>
      <w:r>
        <w:rPr>
          <w:noProof/>
        </w:rPr>
        <w:t xml:space="preserve"> Directorate General Research and Innovation (RTD) </w:t>
      </w:r>
    </w:p>
    <w:p w:rsidR="00EC06FD" w:rsidRDefault="00F346DE">
      <w:pPr>
        <w:suppressAutoHyphens/>
        <w:spacing w:after="120" w:line="276" w:lineRule="auto"/>
        <w:jc w:val="both"/>
        <w:rPr>
          <w:noProof/>
        </w:rPr>
      </w:pPr>
      <w:r>
        <w:rPr>
          <w:b/>
          <w:noProof/>
        </w:rPr>
        <w:t>Agenda planning number:</w:t>
      </w:r>
      <w:r>
        <w:rPr>
          <w:noProof/>
        </w:rPr>
        <w:t xml:space="preserve"> 2015/RTD+/014 Interim evaluation </w:t>
      </w:r>
    </w:p>
    <w:p w:rsidR="00EC06FD" w:rsidRDefault="00F346DE">
      <w:pPr>
        <w:suppressAutoHyphens/>
        <w:spacing w:after="120" w:line="276" w:lineRule="auto"/>
        <w:jc w:val="both"/>
        <w:rPr>
          <w:noProof/>
        </w:rPr>
      </w:pPr>
      <w:r>
        <w:rPr>
          <w:noProof/>
        </w:rPr>
        <w:t>The requirement for the interim evaluation of Euratom programme derives from Article 22(1) of Regulation 1314/2013/Euratom establishing the programme. This stipulates that t</w:t>
      </w:r>
      <w:r>
        <w:rPr>
          <w:noProof/>
          <w:color w:val="000000" w:themeColor="text1"/>
        </w:rPr>
        <w:t>he Commission shall carry out, with the assistance of independent experts selected on the basis of a transparent process, an interim evaluation of the Euratom Programme on the achievements, at the level of results and progress towards impacts, of the objectives and continued relevance of all the measures, the efficiency and use of resources, the scope for further simplification, and European added value</w:t>
      </w:r>
      <w:r>
        <w:rPr>
          <w:noProof/>
        </w:rPr>
        <w:t xml:space="preserve">. </w:t>
      </w:r>
    </w:p>
    <w:p w:rsidR="00EC06FD" w:rsidRDefault="00F346DE">
      <w:pPr>
        <w:suppressAutoHyphens/>
        <w:spacing w:after="120" w:line="276" w:lineRule="auto"/>
        <w:jc w:val="both"/>
        <w:rPr>
          <w:noProof/>
        </w:rPr>
      </w:pPr>
      <w:r>
        <w:rPr>
          <w:noProof/>
        </w:rPr>
        <w:t>The interim evaluation of Euratom programme started in 2016 and has been guided by an Inter-Service Group (ISG). A roadmap summarising the design, purpose and scope of the interim evaluation, was published in May 2016</w:t>
      </w:r>
      <w:r>
        <w:rPr>
          <w:rStyle w:val="FootnoteReference"/>
          <w:noProof/>
        </w:rPr>
        <w:footnoteReference w:id="54"/>
      </w:r>
      <w:r>
        <w:rPr>
          <w:noProof/>
        </w:rPr>
        <w:t xml:space="preserve">. An Inter-Service Group (ISG) gathering representatives of four Directorates-General (RTD, ENER, JRC, SG) of the Commission was set up in 2016. </w:t>
      </w:r>
    </w:p>
    <w:p w:rsidR="00EC06FD" w:rsidRDefault="00F346DE">
      <w:pPr>
        <w:suppressAutoHyphens/>
        <w:spacing w:after="120" w:line="276" w:lineRule="auto"/>
        <w:jc w:val="both"/>
        <w:rPr>
          <w:noProof/>
        </w:rPr>
      </w:pPr>
      <w:r>
        <w:rPr>
          <w:noProof/>
        </w:rPr>
        <w:t>The interim evaluation was coordinated by the Strategy Unit in Energy Directorate of the Commission's Directorate-General for Research &amp; Innovation (DG RTD). This unit contracted studies and organised work of the independent Group of Experts.</w:t>
      </w:r>
    </w:p>
    <w:p w:rsidR="00EC06FD" w:rsidRDefault="00F346DE">
      <w:pPr>
        <w:suppressAutoHyphens/>
        <w:spacing w:after="120" w:line="276" w:lineRule="auto"/>
        <w:jc w:val="both"/>
        <w:rPr>
          <w:noProof/>
        </w:rPr>
      </w:pPr>
      <w:r>
        <w:rPr>
          <w:noProof/>
        </w:rPr>
        <w:t xml:space="preserve">The evaluation is based on a wide range of sources comprising internal assessments by Commission services as well as external expert group report, thematic evaluation studies, the results of the ex-post evaluation of the Euratom 7th Framework Programme (FP7). </w:t>
      </w:r>
    </w:p>
    <w:p w:rsidR="00EC06FD" w:rsidRDefault="00F346DE">
      <w:pPr>
        <w:pStyle w:val="Heading1"/>
        <w:numPr>
          <w:ilvl w:val="0"/>
          <w:numId w:val="0"/>
        </w:numPr>
        <w:rPr>
          <w:bCs/>
          <w:i/>
          <w:iCs/>
          <w:noProof/>
        </w:rPr>
      </w:pPr>
      <w:r>
        <w:rPr>
          <w:bCs/>
          <w:i/>
          <w:iCs/>
          <w:noProof/>
        </w:rPr>
        <w:br w:type="page"/>
      </w:r>
    </w:p>
    <w:p w:rsidR="00EC06FD" w:rsidRDefault="00F346DE">
      <w:pPr>
        <w:pStyle w:val="Heading1"/>
        <w:numPr>
          <w:ilvl w:val="0"/>
          <w:numId w:val="0"/>
        </w:numPr>
        <w:ind w:left="480" w:hanging="480"/>
        <w:rPr>
          <w:noProof/>
        </w:rPr>
      </w:pPr>
      <w:bookmarkStart w:id="719" w:name="_Toc494899815"/>
      <w:r>
        <w:rPr>
          <w:noProof/>
        </w:rPr>
        <w:lastRenderedPageBreak/>
        <w:t>Annex 2: Stakeholder consultation</w:t>
      </w:r>
      <w:bookmarkEnd w:id="719"/>
    </w:p>
    <w:p w:rsidR="00EC06FD" w:rsidRDefault="00F346DE">
      <w:pPr>
        <w:suppressAutoHyphens/>
        <w:spacing w:after="120" w:line="276" w:lineRule="auto"/>
        <w:jc w:val="both"/>
        <w:rPr>
          <w:noProof/>
        </w:rPr>
      </w:pPr>
      <w:r>
        <w:rPr>
          <w:noProof/>
        </w:rPr>
        <w:t xml:space="preserve">A public stakeholder consultation for the interim evaluation of Euratom research and training programme 2014-2018 was launched on 20 October 2016 and closed on 15 January 2017. </w:t>
      </w:r>
    </w:p>
    <w:p w:rsidR="00EC06FD" w:rsidRDefault="00F346DE">
      <w:pPr>
        <w:suppressAutoHyphens/>
        <w:spacing w:after="120" w:line="276" w:lineRule="auto"/>
        <w:rPr>
          <w:noProof/>
        </w:rPr>
      </w:pPr>
      <w:r>
        <w:rPr>
          <w:b/>
          <w:bCs/>
          <w:noProof/>
        </w:rPr>
        <w:t>Overview of respondents</w:t>
      </w:r>
    </w:p>
    <w:p w:rsidR="00EC06FD" w:rsidRDefault="00F346DE">
      <w:pPr>
        <w:suppressAutoHyphens/>
        <w:spacing w:after="120" w:line="276" w:lineRule="auto"/>
        <w:jc w:val="both"/>
        <w:rPr>
          <w:noProof/>
        </w:rPr>
      </w:pPr>
      <w:r>
        <w:rPr>
          <w:noProof/>
        </w:rPr>
        <w:t>The Commission received 323 answers from individuals and stakeholders in nuclear research in Europe, covering all areas of research and different activities (public research bodies, TSOs, umbrella organisations, NPP operators, waste management authorities etc.). 171 replies were submitted by individuals, and 152 replies came from organisations, mainly public research bodies (48) and TSOs (23), and SMEs (18).¾ of the respondents participated in the current or previous Euratom programme. 63% respondents indicated that they are 'end-users' of Euratom research.</w:t>
      </w:r>
    </w:p>
    <w:p w:rsidR="00EC06FD" w:rsidRDefault="00F346DE">
      <w:pPr>
        <w:suppressAutoHyphens/>
        <w:spacing w:after="120" w:line="276" w:lineRule="auto"/>
        <w:jc w:val="both"/>
        <w:rPr>
          <w:noProof/>
        </w:rPr>
      </w:pPr>
      <w:r>
        <w:rPr>
          <w:noProof/>
        </w:rPr>
        <w:t>Regarding all responses (323), they came mainly from France (18%), Italy (15%), Romania (11%), Germany (9%), Spain (7%), Belgium (6%), Finland (4%), Sweden (4%) and UK (4%).</w:t>
      </w:r>
    </w:p>
    <w:p w:rsidR="00EC06FD" w:rsidRDefault="00F346DE">
      <w:pPr>
        <w:suppressAutoHyphens/>
        <w:spacing w:after="120" w:line="276" w:lineRule="auto"/>
        <w:jc w:val="both"/>
        <w:rPr>
          <w:noProof/>
        </w:rPr>
      </w:pPr>
      <w:r>
        <w:rPr>
          <w:noProof/>
        </w:rPr>
        <w:t xml:space="preserve">Regarding the involvement in specific fields of nuclear research – 29% of respondents are involved in R&amp;D on nuclear systems and safety, 14% in waste, 11% in fusion and Radiation Protection, 10% in education&amp; training. </w:t>
      </w:r>
    </w:p>
    <w:p w:rsidR="00EC06FD" w:rsidRDefault="00F346DE">
      <w:pPr>
        <w:suppressAutoHyphens/>
        <w:spacing w:after="120" w:line="276" w:lineRule="auto"/>
        <w:rPr>
          <w:noProof/>
        </w:rPr>
      </w:pPr>
      <w:r>
        <w:rPr>
          <w:b/>
          <w:bCs/>
          <w:noProof/>
        </w:rPr>
        <w:t>Overview of answers to public consultation questions</w:t>
      </w:r>
    </w:p>
    <w:p w:rsidR="00EC06FD" w:rsidRDefault="00F346DE">
      <w:pPr>
        <w:pStyle w:val="ListParagraph"/>
        <w:numPr>
          <w:ilvl w:val="0"/>
          <w:numId w:val="32"/>
        </w:numPr>
        <w:suppressAutoHyphens/>
        <w:spacing w:after="120" w:line="276" w:lineRule="auto"/>
        <w:rPr>
          <w:noProof/>
        </w:rPr>
      </w:pPr>
      <w:r>
        <w:rPr>
          <w:noProof/>
        </w:rPr>
        <w:t>The opinion of stakeholders regarding the current Euratom programme's relevance is quite positive: 80% of respondents agreed or strongly agreed that it is relevant. This opinion varies from field to field, showing the strongest support for E&amp;T, waste and safety of existing reactors (answers 'agree' and 'strongly agree' were grouped together):</w:t>
      </w:r>
    </w:p>
    <w:p w:rsidR="00EC06FD" w:rsidRDefault="00EC06FD">
      <w:pPr>
        <w:pStyle w:val="ListParagraph"/>
        <w:suppressAutoHyphens/>
        <w:spacing w:after="0" w:line="276" w:lineRule="auto"/>
        <w:ind w:left="360"/>
        <w:rPr>
          <w:noProof/>
        </w:rPr>
      </w:pPr>
    </w:p>
    <w:tbl>
      <w:tblPr>
        <w:tblW w:w="6662" w:type="dxa"/>
        <w:tblInd w:w="1526" w:type="dxa"/>
        <w:tblLook w:val="04A0" w:firstRow="1" w:lastRow="0" w:firstColumn="1" w:lastColumn="0" w:noHBand="0" w:noVBand="1"/>
      </w:tblPr>
      <w:tblGrid>
        <w:gridCol w:w="1187"/>
        <w:gridCol w:w="5475"/>
      </w:tblGrid>
      <w:tr w:rsidR="00EC06FD">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06FD" w:rsidRDefault="00F346DE">
            <w:pPr>
              <w:suppressAutoHyphens/>
              <w:spacing w:line="276" w:lineRule="auto"/>
              <w:jc w:val="center"/>
              <w:rPr>
                <w:rFonts w:cs="Arial"/>
                <w:bCs/>
                <w:noProof/>
                <w:sz w:val="20"/>
              </w:rPr>
            </w:pPr>
            <w:r>
              <w:rPr>
                <w:rFonts w:cs="Arial"/>
                <w:bCs/>
                <w:noProof/>
                <w:sz w:val="20"/>
              </w:rPr>
              <w:t>82%</w:t>
            </w:r>
          </w:p>
        </w:tc>
        <w:tc>
          <w:tcPr>
            <w:tcW w:w="5475" w:type="dxa"/>
            <w:tcBorders>
              <w:top w:val="single" w:sz="4" w:space="0" w:color="auto"/>
              <w:left w:val="nil"/>
              <w:bottom w:val="single" w:sz="4" w:space="0" w:color="auto"/>
              <w:right w:val="single" w:sz="4" w:space="0" w:color="auto"/>
            </w:tcBorders>
            <w:shd w:val="clear" w:color="auto" w:fill="auto"/>
            <w:vAlign w:val="center"/>
            <w:hideMark/>
          </w:tcPr>
          <w:p w:rsidR="00EC06FD" w:rsidRDefault="00F346DE">
            <w:pPr>
              <w:suppressAutoHyphens/>
              <w:spacing w:line="276" w:lineRule="auto"/>
              <w:jc w:val="both"/>
              <w:rPr>
                <w:rFonts w:cs="Arial"/>
                <w:bCs/>
                <w:noProof/>
                <w:color w:val="333333"/>
                <w:sz w:val="20"/>
              </w:rPr>
            </w:pPr>
            <w:r>
              <w:rPr>
                <w:rFonts w:cs="Arial"/>
                <w:bCs/>
                <w:noProof/>
                <w:color w:val="333333"/>
                <w:sz w:val="20"/>
              </w:rPr>
              <w:t>Education and &amp; Training activities</w:t>
            </w:r>
          </w:p>
        </w:tc>
      </w:tr>
      <w:tr w:rsidR="00EC06FD">
        <w:trPr>
          <w:trHeight w:val="300"/>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EC06FD" w:rsidRDefault="00F346DE">
            <w:pPr>
              <w:suppressAutoHyphens/>
              <w:spacing w:line="276" w:lineRule="auto"/>
              <w:jc w:val="center"/>
              <w:rPr>
                <w:rFonts w:cs="Arial"/>
                <w:bCs/>
                <w:noProof/>
                <w:sz w:val="20"/>
              </w:rPr>
            </w:pPr>
            <w:r>
              <w:rPr>
                <w:rFonts w:cs="Arial"/>
                <w:bCs/>
                <w:noProof/>
                <w:sz w:val="20"/>
              </w:rPr>
              <w:t>80%</w:t>
            </w:r>
          </w:p>
        </w:tc>
        <w:tc>
          <w:tcPr>
            <w:tcW w:w="5475" w:type="dxa"/>
            <w:tcBorders>
              <w:top w:val="nil"/>
              <w:left w:val="nil"/>
              <w:bottom w:val="single" w:sz="4" w:space="0" w:color="auto"/>
              <w:right w:val="single" w:sz="4" w:space="0" w:color="auto"/>
            </w:tcBorders>
            <w:shd w:val="clear" w:color="auto" w:fill="auto"/>
            <w:vAlign w:val="center"/>
            <w:hideMark/>
          </w:tcPr>
          <w:p w:rsidR="00EC06FD" w:rsidRDefault="00F346DE">
            <w:pPr>
              <w:suppressAutoHyphens/>
              <w:spacing w:line="276" w:lineRule="auto"/>
              <w:jc w:val="both"/>
              <w:rPr>
                <w:rFonts w:cs="Arial"/>
                <w:bCs/>
                <w:noProof/>
                <w:color w:val="333333"/>
                <w:sz w:val="20"/>
              </w:rPr>
            </w:pPr>
            <w:r>
              <w:rPr>
                <w:rFonts w:cs="Arial"/>
                <w:bCs/>
                <w:noProof/>
                <w:color w:val="333333"/>
                <w:sz w:val="20"/>
              </w:rPr>
              <w:t>Final disposal of nuclear waste</w:t>
            </w:r>
          </w:p>
        </w:tc>
      </w:tr>
      <w:tr w:rsidR="00EC06FD">
        <w:trPr>
          <w:trHeight w:val="300"/>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EC06FD" w:rsidRDefault="00F346DE">
            <w:pPr>
              <w:suppressAutoHyphens/>
              <w:spacing w:line="276" w:lineRule="auto"/>
              <w:jc w:val="center"/>
              <w:rPr>
                <w:rFonts w:cs="Arial"/>
                <w:bCs/>
                <w:noProof/>
                <w:sz w:val="20"/>
              </w:rPr>
            </w:pPr>
            <w:r>
              <w:rPr>
                <w:rFonts w:cs="Arial"/>
                <w:bCs/>
                <w:noProof/>
                <w:sz w:val="20"/>
              </w:rPr>
              <w:t>80%</w:t>
            </w:r>
          </w:p>
        </w:tc>
        <w:tc>
          <w:tcPr>
            <w:tcW w:w="5475" w:type="dxa"/>
            <w:tcBorders>
              <w:top w:val="nil"/>
              <w:left w:val="nil"/>
              <w:bottom w:val="single" w:sz="4" w:space="0" w:color="auto"/>
              <w:right w:val="single" w:sz="4" w:space="0" w:color="auto"/>
            </w:tcBorders>
            <w:shd w:val="clear" w:color="auto" w:fill="auto"/>
            <w:vAlign w:val="center"/>
            <w:hideMark/>
          </w:tcPr>
          <w:p w:rsidR="00EC06FD" w:rsidRDefault="00F346DE">
            <w:pPr>
              <w:suppressAutoHyphens/>
              <w:spacing w:line="276" w:lineRule="auto"/>
              <w:jc w:val="both"/>
              <w:rPr>
                <w:rFonts w:cs="Arial"/>
                <w:bCs/>
                <w:noProof/>
                <w:color w:val="333333"/>
                <w:sz w:val="20"/>
              </w:rPr>
            </w:pPr>
            <w:r>
              <w:rPr>
                <w:rFonts w:cs="Arial"/>
                <w:bCs/>
                <w:noProof/>
                <w:color w:val="333333"/>
                <w:sz w:val="20"/>
              </w:rPr>
              <w:t>Safety of existing nuclear systems</w:t>
            </w:r>
          </w:p>
        </w:tc>
      </w:tr>
      <w:tr w:rsidR="00EC06FD">
        <w:trPr>
          <w:trHeight w:val="53"/>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EC06FD" w:rsidRDefault="00F346DE">
            <w:pPr>
              <w:suppressAutoHyphens/>
              <w:spacing w:line="276" w:lineRule="auto"/>
              <w:jc w:val="center"/>
              <w:rPr>
                <w:rFonts w:cs="Arial"/>
                <w:bCs/>
                <w:noProof/>
                <w:sz w:val="20"/>
              </w:rPr>
            </w:pPr>
            <w:r>
              <w:rPr>
                <w:rFonts w:cs="Arial"/>
                <w:bCs/>
                <w:noProof/>
                <w:sz w:val="20"/>
              </w:rPr>
              <w:t>76%</w:t>
            </w:r>
          </w:p>
        </w:tc>
        <w:tc>
          <w:tcPr>
            <w:tcW w:w="5475" w:type="dxa"/>
            <w:tcBorders>
              <w:top w:val="nil"/>
              <w:left w:val="nil"/>
              <w:bottom w:val="single" w:sz="4" w:space="0" w:color="auto"/>
              <w:right w:val="single" w:sz="4" w:space="0" w:color="auto"/>
            </w:tcBorders>
            <w:shd w:val="clear" w:color="auto" w:fill="auto"/>
            <w:vAlign w:val="center"/>
            <w:hideMark/>
          </w:tcPr>
          <w:p w:rsidR="00EC06FD" w:rsidRDefault="00F346DE">
            <w:pPr>
              <w:suppressAutoHyphens/>
              <w:spacing w:line="276" w:lineRule="auto"/>
              <w:jc w:val="both"/>
              <w:rPr>
                <w:rFonts w:cs="Arial"/>
                <w:bCs/>
                <w:noProof/>
                <w:color w:val="333333"/>
                <w:sz w:val="20"/>
              </w:rPr>
            </w:pPr>
            <w:r>
              <w:rPr>
                <w:rFonts w:cs="Arial"/>
                <w:bCs/>
                <w:noProof/>
                <w:color w:val="333333"/>
                <w:sz w:val="20"/>
              </w:rPr>
              <w:t>Promoting innovation</w:t>
            </w:r>
          </w:p>
        </w:tc>
      </w:tr>
      <w:tr w:rsidR="00EC06FD">
        <w:trPr>
          <w:trHeight w:val="300"/>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EC06FD" w:rsidRDefault="00F346DE">
            <w:pPr>
              <w:suppressAutoHyphens/>
              <w:spacing w:line="276" w:lineRule="auto"/>
              <w:jc w:val="center"/>
              <w:rPr>
                <w:rFonts w:cs="Arial"/>
                <w:bCs/>
                <w:noProof/>
                <w:sz w:val="20"/>
              </w:rPr>
            </w:pPr>
            <w:r>
              <w:rPr>
                <w:rFonts w:cs="Arial"/>
                <w:bCs/>
                <w:noProof/>
                <w:sz w:val="20"/>
              </w:rPr>
              <w:t>75%</w:t>
            </w:r>
          </w:p>
        </w:tc>
        <w:tc>
          <w:tcPr>
            <w:tcW w:w="5475" w:type="dxa"/>
            <w:tcBorders>
              <w:top w:val="nil"/>
              <w:left w:val="nil"/>
              <w:bottom w:val="single" w:sz="4" w:space="0" w:color="auto"/>
              <w:right w:val="single" w:sz="4" w:space="0" w:color="auto"/>
            </w:tcBorders>
            <w:shd w:val="clear" w:color="auto" w:fill="auto"/>
            <w:vAlign w:val="center"/>
            <w:hideMark/>
          </w:tcPr>
          <w:p w:rsidR="00EC06FD" w:rsidRDefault="00F346DE">
            <w:pPr>
              <w:suppressAutoHyphens/>
              <w:spacing w:line="276" w:lineRule="auto"/>
              <w:jc w:val="both"/>
              <w:rPr>
                <w:rFonts w:cs="Arial"/>
                <w:bCs/>
                <w:noProof/>
                <w:color w:val="333333"/>
                <w:sz w:val="20"/>
              </w:rPr>
            </w:pPr>
            <w:r>
              <w:rPr>
                <w:rFonts w:cs="Arial"/>
                <w:bCs/>
                <w:noProof/>
                <w:color w:val="333333"/>
                <w:sz w:val="20"/>
              </w:rPr>
              <w:t>Safety of more advanced nuclear systems</w:t>
            </w:r>
          </w:p>
        </w:tc>
      </w:tr>
      <w:tr w:rsidR="00EC06FD">
        <w:trPr>
          <w:trHeight w:val="300"/>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EC06FD" w:rsidRDefault="00F346DE">
            <w:pPr>
              <w:suppressAutoHyphens/>
              <w:spacing w:line="276" w:lineRule="auto"/>
              <w:jc w:val="center"/>
              <w:rPr>
                <w:rFonts w:cs="Arial"/>
                <w:bCs/>
                <w:noProof/>
                <w:sz w:val="20"/>
              </w:rPr>
            </w:pPr>
            <w:r>
              <w:rPr>
                <w:rFonts w:cs="Arial"/>
                <w:bCs/>
                <w:noProof/>
                <w:sz w:val="20"/>
              </w:rPr>
              <w:t>75%</w:t>
            </w:r>
          </w:p>
        </w:tc>
        <w:tc>
          <w:tcPr>
            <w:tcW w:w="5475" w:type="dxa"/>
            <w:tcBorders>
              <w:top w:val="nil"/>
              <w:left w:val="nil"/>
              <w:bottom w:val="single" w:sz="4" w:space="0" w:color="auto"/>
              <w:right w:val="single" w:sz="4" w:space="0" w:color="auto"/>
            </w:tcBorders>
            <w:shd w:val="clear" w:color="auto" w:fill="auto"/>
            <w:vAlign w:val="center"/>
            <w:hideMark/>
          </w:tcPr>
          <w:p w:rsidR="00EC06FD" w:rsidRDefault="00F346DE">
            <w:pPr>
              <w:suppressAutoHyphens/>
              <w:spacing w:line="276" w:lineRule="auto"/>
              <w:jc w:val="both"/>
              <w:rPr>
                <w:rFonts w:cs="Arial"/>
                <w:bCs/>
                <w:noProof/>
                <w:color w:val="333333"/>
                <w:sz w:val="20"/>
              </w:rPr>
            </w:pPr>
            <w:r>
              <w:rPr>
                <w:rFonts w:cs="Arial"/>
                <w:bCs/>
                <w:noProof/>
                <w:color w:val="333333"/>
                <w:sz w:val="20"/>
              </w:rPr>
              <w:t>Providing research infrastructures of pan-European relevance</w:t>
            </w:r>
          </w:p>
        </w:tc>
      </w:tr>
      <w:tr w:rsidR="00EC06FD">
        <w:trPr>
          <w:trHeight w:val="300"/>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EC06FD" w:rsidRDefault="00F346DE">
            <w:pPr>
              <w:suppressAutoHyphens/>
              <w:spacing w:line="276" w:lineRule="auto"/>
              <w:jc w:val="center"/>
              <w:rPr>
                <w:rFonts w:cs="Arial"/>
                <w:bCs/>
                <w:noProof/>
                <w:sz w:val="20"/>
              </w:rPr>
            </w:pPr>
            <w:r>
              <w:rPr>
                <w:rFonts w:cs="Arial"/>
                <w:bCs/>
                <w:noProof/>
                <w:sz w:val="20"/>
              </w:rPr>
              <w:t>72%</w:t>
            </w:r>
          </w:p>
        </w:tc>
        <w:tc>
          <w:tcPr>
            <w:tcW w:w="5475" w:type="dxa"/>
            <w:tcBorders>
              <w:top w:val="nil"/>
              <w:left w:val="nil"/>
              <w:bottom w:val="single" w:sz="4" w:space="0" w:color="auto"/>
              <w:right w:val="single" w:sz="4" w:space="0" w:color="auto"/>
            </w:tcBorders>
            <w:shd w:val="clear" w:color="auto" w:fill="auto"/>
            <w:vAlign w:val="center"/>
            <w:hideMark/>
          </w:tcPr>
          <w:p w:rsidR="00EC06FD" w:rsidRDefault="00F346DE">
            <w:pPr>
              <w:suppressAutoHyphens/>
              <w:spacing w:line="276" w:lineRule="auto"/>
              <w:jc w:val="both"/>
              <w:rPr>
                <w:rFonts w:cs="Arial"/>
                <w:bCs/>
                <w:noProof/>
                <w:color w:val="333333"/>
                <w:sz w:val="20"/>
              </w:rPr>
            </w:pPr>
            <w:r>
              <w:rPr>
                <w:rFonts w:cs="Arial"/>
                <w:bCs/>
                <w:noProof/>
                <w:color w:val="333333"/>
                <w:sz w:val="20"/>
              </w:rPr>
              <w:t>Storage of nuclear waste</w:t>
            </w:r>
          </w:p>
        </w:tc>
      </w:tr>
      <w:tr w:rsidR="00EC06FD">
        <w:trPr>
          <w:trHeight w:val="300"/>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EC06FD" w:rsidRDefault="00F346DE">
            <w:pPr>
              <w:suppressAutoHyphens/>
              <w:spacing w:line="276" w:lineRule="auto"/>
              <w:jc w:val="center"/>
              <w:rPr>
                <w:rFonts w:cs="Arial"/>
                <w:bCs/>
                <w:noProof/>
                <w:sz w:val="20"/>
              </w:rPr>
            </w:pPr>
            <w:r>
              <w:rPr>
                <w:rFonts w:cs="Arial"/>
                <w:bCs/>
                <w:noProof/>
                <w:sz w:val="20"/>
              </w:rPr>
              <w:t>63%</w:t>
            </w:r>
          </w:p>
        </w:tc>
        <w:tc>
          <w:tcPr>
            <w:tcW w:w="5475" w:type="dxa"/>
            <w:tcBorders>
              <w:top w:val="nil"/>
              <w:left w:val="nil"/>
              <w:bottom w:val="single" w:sz="4" w:space="0" w:color="auto"/>
              <w:right w:val="single" w:sz="4" w:space="0" w:color="auto"/>
            </w:tcBorders>
            <w:shd w:val="clear" w:color="auto" w:fill="auto"/>
            <w:vAlign w:val="center"/>
            <w:hideMark/>
          </w:tcPr>
          <w:p w:rsidR="00EC06FD" w:rsidRDefault="00F346DE">
            <w:pPr>
              <w:suppressAutoHyphens/>
              <w:spacing w:line="276" w:lineRule="auto"/>
              <w:jc w:val="both"/>
              <w:rPr>
                <w:rFonts w:cs="Arial"/>
                <w:bCs/>
                <w:noProof/>
                <w:color w:val="333333"/>
                <w:sz w:val="20"/>
              </w:rPr>
            </w:pPr>
            <w:r>
              <w:rPr>
                <w:rFonts w:cs="Arial"/>
                <w:bCs/>
                <w:noProof/>
                <w:color w:val="333333"/>
                <w:sz w:val="20"/>
              </w:rPr>
              <w:t>Partitioning and transmutation of nuclear waste</w:t>
            </w:r>
          </w:p>
        </w:tc>
      </w:tr>
      <w:tr w:rsidR="00EC06FD">
        <w:trPr>
          <w:trHeight w:val="300"/>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EC06FD" w:rsidRDefault="00F346DE">
            <w:pPr>
              <w:suppressAutoHyphens/>
              <w:spacing w:line="276" w:lineRule="auto"/>
              <w:jc w:val="center"/>
              <w:rPr>
                <w:rFonts w:cs="Arial"/>
                <w:bCs/>
                <w:noProof/>
                <w:sz w:val="20"/>
              </w:rPr>
            </w:pPr>
            <w:r>
              <w:rPr>
                <w:rFonts w:cs="Arial"/>
                <w:bCs/>
                <w:noProof/>
                <w:sz w:val="20"/>
              </w:rPr>
              <w:t>63%</w:t>
            </w:r>
          </w:p>
        </w:tc>
        <w:tc>
          <w:tcPr>
            <w:tcW w:w="5475" w:type="dxa"/>
            <w:tcBorders>
              <w:top w:val="nil"/>
              <w:left w:val="nil"/>
              <w:bottom w:val="single" w:sz="4" w:space="0" w:color="auto"/>
              <w:right w:val="single" w:sz="4" w:space="0" w:color="auto"/>
            </w:tcBorders>
            <w:shd w:val="clear" w:color="auto" w:fill="auto"/>
            <w:vAlign w:val="center"/>
            <w:hideMark/>
          </w:tcPr>
          <w:p w:rsidR="00EC06FD" w:rsidRDefault="00F346DE">
            <w:pPr>
              <w:suppressAutoHyphens/>
              <w:spacing w:line="276" w:lineRule="auto"/>
              <w:jc w:val="both"/>
              <w:rPr>
                <w:rFonts w:cs="Arial"/>
                <w:bCs/>
                <w:noProof/>
                <w:color w:val="333333"/>
                <w:sz w:val="20"/>
              </w:rPr>
            </w:pPr>
            <w:r>
              <w:rPr>
                <w:rFonts w:cs="Arial"/>
                <w:bCs/>
                <w:noProof/>
                <w:color w:val="333333"/>
                <w:sz w:val="20"/>
              </w:rPr>
              <w:t>Low dose radiation research</w:t>
            </w:r>
          </w:p>
        </w:tc>
      </w:tr>
      <w:tr w:rsidR="00EC06FD">
        <w:trPr>
          <w:trHeight w:val="540"/>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EC06FD" w:rsidRDefault="00F346DE">
            <w:pPr>
              <w:suppressAutoHyphens/>
              <w:spacing w:line="276" w:lineRule="auto"/>
              <w:jc w:val="center"/>
              <w:rPr>
                <w:rFonts w:cs="Arial"/>
                <w:bCs/>
                <w:noProof/>
                <w:sz w:val="20"/>
              </w:rPr>
            </w:pPr>
            <w:r>
              <w:rPr>
                <w:rFonts w:cs="Arial"/>
                <w:bCs/>
                <w:noProof/>
                <w:sz w:val="20"/>
              </w:rPr>
              <w:t>63%</w:t>
            </w:r>
          </w:p>
        </w:tc>
        <w:tc>
          <w:tcPr>
            <w:tcW w:w="5475" w:type="dxa"/>
            <w:tcBorders>
              <w:top w:val="nil"/>
              <w:left w:val="nil"/>
              <w:bottom w:val="single" w:sz="4" w:space="0" w:color="auto"/>
              <w:right w:val="single" w:sz="4" w:space="0" w:color="auto"/>
            </w:tcBorders>
            <w:shd w:val="clear" w:color="auto" w:fill="auto"/>
            <w:vAlign w:val="center"/>
            <w:hideMark/>
          </w:tcPr>
          <w:p w:rsidR="00EC06FD" w:rsidRDefault="00F346DE">
            <w:pPr>
              <w:suppressAutoHyphens/>
              <w:spacing w:line="276" w:lineRule="auto"/>
              <w:jc w:val="both"/>
              <w:rPr>
                <w:rFonts w:cs="Arial"/>
                <w:bCs/>
                <w:noProof/>
                <w:color w:val="333333"/>
                <w:sz w:val="20"/>
              </w:rPr>
            </w:pPr>
            <w:r>
              <w:rPr>
                <w:rFonts w:cs="Arial"/>
                <w:bCs/>
                <w:noProof/>
                <w:color w:val="333333"/>
                <w:sz w:val="20"/>
              </w:rPr>
              <w:t>R&amp;D for future fusion power plants</w:t>
            </w:r>
          </w:p>
        </w:tc>
      </w:tr>
      <w:tr w:rsidR="00EC06FD">
        <w:trPr>
          <w:trHeight w:val="300"/>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EC06FD" w:rsidRDefault="00F346DE">
            <w:pPr>
              <w:suppressAutoHyphens/>
              <w:spacing w:line="276" w:lineRule="auto"/>
              <w:jc w:val="center"/>
              <w:rPr>
                <w:rFonts w:cs="Arial"/>
                <w:bCs/>
                <w:noProof/>
                <w:sz w:val="20"/>
              </w:rPr>
            </w:pPr>
            <w:r>
              <w:rPr>
                <w:rFonts w:cs="Arial"/>
                <w:bCs/>
                <w:noProof/>
                <w:sz w:val="20"/>
              </w:rPr>
              <w:t>60%</w:t>
            </w:r>
          </w:p>
        </w:tc>
        <w:tc>
          <w:tcPr>
            <w:tcW w:w="5475" w:type="dxa"/>
            <w:tcBorders>
              <w:top w:val="nil"/>
              <w:left w:val="nil"/>
              <w:bottom w:val="single" w:sz="4" w:space="0" w:color="auto"/>
              <w:right w:val="single" w:sz="4" w:space="0" w:color="auto"/>
            </w:tcBorders>
            <w:shd w:val="clear" w:color="auto" w:fill="auto"/>
            <w:vAlign w:val="center"/>
            <w:hideMark/>
          </w:tcPr>
          <w:p w:rsidR="00EC06FD" w:rsidRDefault="00F346DE">
            <w:pPr>
              <w:suppressAutoHyphens/>
              <w:spacing w:line="276" w:lineRule="auto"/>
              <w:jc w:val="both"/>
              <w:rPr>
                <w:rFonts w:cs="Arial"/>
                <w:bCs/>
                <w:noProof/>
                <w:color w:val="333333"/>
                <w:sz w:val="20"/>
              </w:rPr>
            </w:pPr>
            <w:r>
              <w:rPr>
                <w:rFonts w:cs="Arial"/>
                <w:bCs/>
                <w:noProof/>
                <w:color w:val="333333"/>
                <w:sz w:val="20"/>
              </w:rPr>
              <w:t>Radiation protection aspects of medical applications</w:t>
            </w:r>
          </w:p>
        </w:tc>
      </w:tr>
      <w:tr w:rsidR="00EC06FD">
        <w:trPr>
          <w:trHeight w:val="300"/>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EC06FD" w:rsidRDefault="00F346DE">
            <w:pPr>
              <w:suppressAutoHyphens/>
              <w:spacing w:line="276" w:lineRule="auto"/>
              <w:jc w:val="center"/>
              <w:rPr>
                <w:rFonts w:cs="Arial"/>
                <w:bCs/>
                <w:noProof/>
                <w:sz w:val="20"/>
              </w:rPr>
            </w:pPr>
            <w:r>
              <w:rPr>
                <w:rFonts w:cs="Arial"/>
                <w:bCs/>
                <w:noProof/>
                <w:sz w:val="20"/>
              </w:rPr>
              <w:t>59%</w:t>
            </w:r>
          </w:p>
        </w:tc>
        <w:tc>
          <w:tcPr>
            <w:tcW w:w="5475" w:type="dxa"/>
            <w:tcBorders>
              <w:top w:val="nil"/>
              <w:left w:val="nil"/>
              <w:bottom w:val="single" w:sz="4" w:space="0" w:color="auto"/>
              <w:right w:val="single" w:sz="4" w:space="0" w:color="auto"/>
            </w:tcBorders>
            <w:shd w:val="clear" w:color="auto" w:fill="auto"/>
            <w:vAlign w:val="center"/>
            <w:hideMark/>
          </w:tcPr>
          <w:p w:rsidR="00EC06FD" w:rsidRDefault="00F346DE">
            <w:pPr>
              <w:suppressAutoHyphens/>
              <w:spacing w:line="276" w:lineRule="auto"/>
              <w:jc w:val="both"/>
              <w:rPr>
                <w:rFonts w:cs="Arial"/>
                <w:bCs/>
                <w:noProof/>
                <w:color w:val="333333"/>
                <w:sz w:val="20"/>
              </w:rPr>
            </w:pPr>
            <w:r>
              <w:rPr>
                <w:rFonts w:cs="Arial"/>
                <w:bCs/>
                <w:noProof/>
                <w:color w:val="333333"/>
                <w:sz w:val="20"/>
              </w:rPr>
              <w:t>Demonstration of feasibility of fusion as a power source</w:t>
            </w:r>
          </w:p>
        </w:tc>
      </w:tr>
      <w:tr w:rsidR="00EC06FD">
        <w:trPr>
          <w:trHeight w:val="300"/>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EC06FD" w:rsidRDefault="00F346DE">
            <w:pPr>
              <w:suppressAutoHyphens/>
              <w:spacing w:line="276" w:lineRule="auto"/>
              <w:jc w:val="center"/>
              <w:rPr>
                <w:rFonts w:cs="Arial"/>
                <w:bCs/>
                <w:noProof/>
                <w:sz w:val="20"/>
              </w:rPr>
            </w:pPr>
            <w:r>
              <w:rPr>
                <w:rFonts w:cs="Arial"/>
                <w:bCs/>
                <w:noProof/>
                <w:sz w:val="20"/>
              </w:rPr>
              <w:t>57%</w:t>
            </w:r>
          </w:p>
        </w:tc>
        <w:tc>
          <w:tcPr>
            <w:tcW w:w="5475" w:type="dxa"/>
            <w:tcBorders>
              <w:top w:val="nil"/>
              <w:left w:val="nil"/>
              <w:bottom w:val="single" w:sz="4" w:space="0" w:color="auto"/>
              <w:right w:val="single" w:sz="4" w:space="0" w:color="auto"/>
            </w:tcBorders>
            <w:shd w:val="clear" w:color="auto" w:fill="auto"/>
            <w:vAlign w:val="center"/>
            <w:hideMark/>
          </w:tcPr>
          <w:p w:rsidR="00EC06FD" w:rsidRDefault="00F346DE">
            <w:pPr>
              <w:suppressAutoHyphens/>
              <w:spacing w:line="276" w:lineRule="auto"/>
              <w:jc w:val="both"/>
              <w:rPr>
                <w:rFonts w:cs="Arial"/>
                <w:bCs/>
                <w:noProof/>
                <w:color w:val="333333"/>
                <w:sz w:val="20"/>
              </w:rPr>
            </w:pPr>
            <w:r>
              <w:rPr>
                <w:rFonts w:cs="Arial"/>
                <w:bCs/>
                <w:noProof/>
                <w:color w:val="333333"/>
                <w:sz w:val="20"/>
              </w:rPr>
              <w:t>Promoting industrial competitiveness</w:t>
            </w:r>
          </w:p>
        </w:tc>
      </w:tr>
      <w:tr w:rsidR="00EC06FD">
        <w:trPr>
          <w:trHeight w:val="255"/>
        </w:trPr>
        <w:tc>
          <w:tcPr>
            <w:tcW w:w="1187" w:type="dxa"/>
            <w:tcBorders>
              <w:top w:val="nil"/>
              <w:left w:val="single" w:sz="4" w:space="0" w:color="auto"/>
              <w:bottom w:val="single" w:sz="4" w:space="0" w:color="auto"/>
              <w:right w:val="single" w:sz="4" w:space="0" w:color="auto"/>
            </w:tcBorders>
            <w:shd w:val="clear" w:color="auto" w:fill="auto"/>
            <w:vAlign w:val="center"/>
            <w:hideMark/>
          </w:tcPr>
          <w:p w:rsidR="00EC06FD" w:rsidRDefault="00F346DE">
            <w:pPr>
              <w:suppressAutoHyphens/>
              <w:spacing w:line="276" w:lineRule="auto"/>
              <w:jc w:val="center"/>
              <w:rPr>
                <w:rFonts w:cs="Arial"/>
                <w:bCs/>
                <w:noProof/>
                <w:sz w:val="20"/>
              </w:rPr>
            </w:pPr>
            <w:r>
              <w:rPr>
                <w:rFonts w:cs="Arial"/>
                <w:bCs/>
                <w:noProof/>
                <w:sz w:val="20"/>
              </w:rPr>
              <w:t>50%</w:t>
            </w:r>
          </w:p>
        </w:tc>
        <w:tc>
          <w:tcPr>
            <w:tcW w:w="5475" w:type="dxa"/>
            <w:tcBorders>
              <w:top w:val="nil"/>
              <w:left w:val="nil"/>
              <w:bottom w:val="single" w:sz="4" w:space="0" w:color="auto"/>
              <w:right w:val="single" w:sz="4" w:space="0" w:color="auto"/>
            </w:tcBorders>
            <w:shd w:val="clear" w:color="auto" w:fill="auto"/>
            <w:vAlign w:val="center"/>
            <w:hideMark/>
          </w:tcPr>
          <w:p w:rsidR="00EC06FD" w:rsidRDefault="00F346DE">
            <w:pPr>
              <w:suppressAutoHyphens/>
              <w:spacing w:line="276" w:lineRule="auto"/>
              <w:jc w:val="both"/>
              <w:rPr>
                <w:rFonts w:cs="Arial"/>
                <w:bCs/>
                <w:noProof/>
                <w:color w:val="333333"/>
                <w:sz w:val="20"/>
              </w:rPr>
            </w:pPr>
            <w:r>
              <w:rPr>
                <w:rFonts w:cs="Arial"/>
                <w:bCs/>
                <w:noProof/>
                <w:color w:val="333333"/>
                <w:sz w:val="20"/>
              </w:rPr>
              <w:t>Supply of radioisotopes</w:t>
            </w:r>
          </w:p>
        </w:tc>
      </w:tr>
    </w:tbl>
    <w:p w:rsidR="00EC06FD" w:rsidRDefault="00EC06FD">
      <w:pPr>
        <w:suppressAutoHyphens/>
        <w:spacing w:after="120" w:line="276" w:lineRule="auto"/>
        <w:jc w:val="both"/>
        <w:rPr>
          <w:noProof/>
        </w:rPr>
      </w:pPr>
    </w:p>
    <w:p w:rsidR="00EC06FD" w:rsidRDefault="00F346DE">
      <w:pPr>
        <w:pStyle w:val="ListParagraph"/>
        <w:numPr>
          <w:ilvl w:val="0"/>
          <w:numId w:val="32"/>
        </w:numPr>
        <w:suppressAutoHyphens/>
        <w:spacing w:after="0" w:line="276" w:lineRule="auto"/>
        <w:rPr>
          <w:noProof/>
        </w:rPr>
      </w:pPr>
      <w:r>
        <w:rPr>
          <w:i/>
          <w:noProof/>
        </w:rPr>
        <w:t>In which areas is the current Euratom Programme making progress towards delivering its objectives</w:t>
      </w:r>
      <w:r>
        <w:rPr>
          <w:noProof/>
        </w:rPr>
        <w:t xml:space="preserve"> (answers 'agree' and 'strongly agree' put together)?</w:t>
      </w:r>
    </w:p>
    <w:p w:rsidR="00EC06FD" w:rsidRDefault="00EC06FD">
      <w:pPr>
        <w:pStyle w:val="ListParagraph"/>
        <w:suppressAutoHyphens/>
        <w:spacing w:after="0" w:line="276" w:lineRule="auto"/>
        <w:ind w:left="360"/>
        <w:rPr>
          <w:noProof/>
        </w:rPr>
      </w:pPr>
    </w:p>
    <w:tbl>
      <w:tblPr>
        <w:tblW w:w="3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960"/>
      </w:tblGrid>
      <w:tr w:rsidR="00EC06FD">
        <w:trPr>
          <w:trHeight w:val="255"/>
          <w:jc w:val="center"/>
        </w:trPr>
        <w:tc>
          <w:tcPr>
            <w:tcW w:w="2680" w:type="dxa"/>
            <w:shd w:val="clear" w:color="auto" w:fill="auto"/>
            <w:noWrap/>
            <w:vAlign w:val="bottom"/>
            <w:hideMark/>
          </w:tcPr>
          <w:p w:rsidR="00EC06FD" w:rsidRDefault="00F346DE">
            <w:pPr>
              <w:suppressAutoHyphens/>
              <w:spacing w:line="276" w:lineRule="auto"/>
              <w:rPr>
                <w:rFonts w:cs="Arial"/>
                <w:noProof/>
              </w:rPr>
            </w:pPr>
            <w:r>
              <w:rPr>
                <w:rFonts w:cs="Arial"/>
                <w:noProof/>
              </w:rPr>
              <w:lastRenderedPageBreak/>
              <w:t>Nuclear safety</w:t>
            </w:r>
          </w:p>
        </w:tc>
        <w:tc>
          <w:tcPr>
            <w:tcW w:w="96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75%</w:t>
            </w:r>
          </w:p>
        </w:tc>
      </w:tr>
      <w:tr w:rsidR="00EC06FD">
        <w:trPr>
          <w:trHeight w:val="255"/>
          <w:jc w:val="center"/>
        </w:trPr>
        <w:tc>
          <w:tcPr>
            <w:tcW w:w="2680" w:type="dxa"/>
            <w:shd w:val="clear" w:color="auto" w:fill="auto"/>
            <w:noWrap/>
            <w:vAlign w:val="bottom"/>
            <w:hideMark/>
          </w:tcPr>
          <w:p w:rsidR="00EC06FD" w:rsidRDefault="00F346DE">
            <w:pPr>
              <w:suppressAutoHyphens/>
              <w:spacing w:line="276" w:lineRule="auto"/>
              <w:rPr>
                <w:rFonts w:cs="Arial"/>
                <w:noProof/>
              </w:rPr>
            </w:pPr>
            <w:r>
              <w:rPr>
                <w:rFonts w:cs="Arial"/>
                <w:noProof/>
              </w:rPr>
              <w:t xml:space="preserve">Education &amp; Training </w:t>
            </w:r>
          </w:p>
        </w:tc>
        <w:tc>
          <w:tcPr>
            <w:tcW w:w="96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71%</w:t>
            </w:r>
          </w:p>
        </w:tc>
      </w:tr>
      <w:tr w:rsidR="00EC06FD">
        <w:trPr>
          <w:trHeight w:val="255"/>
          <w:jc w:val="center"/>
        </w:trPr>
        <w:tc>
          <w:tcPr>
            <w:tcW w:w="2680" w:type="dxa"/>
            <w:shd w:val="clear" w:color="auto" w:fill="auto"/>
            <w:noWrap/>
            <w:vAlign w:val="bottom"/>
            <w:hideMark/>
          </w:tcPr>
          <w:p w:rsidR="00EC06FD" w:rsidRDefault="00F346DE">
            <w:pPr>
              <w:suppressAutoHyphens/>
              <w:spacing w:line="276" w:lineRule="auto"/>
              <w:rPr>
                <w:rFonts w:cs="Arial"/>
                <w:noProof/>
              </w:rPr>
            </w:pPr>
            <w:r>
              <w:rPr>
                <w:rFonts w:cs="Arial"/>
                <w:noProof/>
              </w:rPr>
              <w:t>Waste</w:t>
            </w:r>
          </w:p>
        </w:tc>
        <w:tc>
          <w:tcPr>
            <w:tcW w:w="96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65%</w:t>
            </w:r>
          </w:p>
        </w:tc>
      </w:tr>
      <w:tr w:rsidR="00EC06FD">
        <w:trPr>
          <w:trHeight w:val="255"/>
          <w:jc w:val="center"/>
        </w:trPr>
        <w:tc>
          <w:tcPr>
            <w:tcW w:w="2680" w:type="dxa"/>
            <w:shd w:val="clear" w:color="auto" w:fill="auto"/>
            <w:noWrap/>
            <w:vAlign w:val="bottom"/>
            <w:hideMark/>
          </w:tcPr>
          <w:p w:rsidR="00EC06FD" w:rsidRDefault="00F346DE">
            <w:pPr>
              <w:suppressAutoHyphens/>
              <w:spacing w:line="276" w:lineRule="auto"/>
              <w:rPr>
                <w:rFonts w:cs="Arial"/>
                <w:noProof/>
              </w:rPr>
            </w:pPr>
            <w:r>
              <w:rPr>
                <w:rFonts w:cs="Arial"/>
                <w:noProof/>
              </w:rPr>
              <w:t>Radiation protection</w:t>
            </w:r>
          </w:p>
        </w:tc>
        <w:tc>
          <w:tcPr>
            <w:tcW w:w="96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62%</w:t>
            </w:r>
          </w:p>
        </w:tc>
      </w:tr>
      <w:tr w:rsidR="00EC06FD">
        <w:trPr>
          <w:trHeight w:val="255"/>
          <w:jc w:val="center"/>
        </w:trPr>
        <w:tc>
          <w:tcPr>
            <w:tcW w:w="2680" w:type="dxa"/>
            <w:shd w:val="clear" w:color="auto" w:fill="auto"/>
            <w:noWrap/>
            <w:vAlign w:val="bottom"/>
            <w:hideMark/>
          </w:tcPr>
          <w:p w:rsidR="00EC06FD" w:rsidRDefault="00F346DE">
            <w:pPr>
              <w:suppressAutoHyphens/>
              <w:spacing w:line="276" w:lineRule="auto"/>
              <w:rPr>
                <w:rFonts w:cs="Arial"/>
                <w:noProof/>
              </w:rPr>
            </w:pPr>
            <w:r>
              <w:rPr>
                <w:rFonts w:cs="Arial"/>
                <w:noProof/>
              </w:rPr>
              <w:t>Fusion</w:t>
            </w:r>
          </w:p>
        </w:tc>
        <w:tc>
          <w:tcPr>
            <w:tcW w:w="96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54%</w:t>
            </w:r>
          </w:p>
        </w:tc>
      </w:tr>
    </w:tbl>
    <w:p w:rsidR="00EC06FD" w:rsidRDefault="00EC06FD">
      <w:pPr>
        <w:pStyle w:val="ListParagraph"/>
        <w:suppressAutoHyphens/>
        <w:spacing w:after="0" w:line="276" w:lineRule="auto"/>
        <w:ind w:left="360"/>
        <w:rPr>
          <w:noProof/>
        </w:rPr>
      </w:pPr>
    </w:p>
    <w:p w:rsidR="00EC06FD" w:rsidRDefault="00F346DE">
      <w:pPr>
        <w:pStyle w:val="ListParagraph"/>
        <w:numPr>
          <w:ilvl w:val="0"/>
          <w:numId w:val="32"/>
        </w:numPr>
        <w:suppressAutoHyphens/>
        <w:spacing w:after="0" w:line="276" w:lineRule="auto"/>
        <w:rPr>
          <w:noProof/>
        </w:rPr>
      </w:pPr>
      <w:r>
        <w:rPr>
          <w:i/>
          <w:noProof/>
        </w:rPr>
        <w:t>In which field Euratom Programme has played an adequate role in positioning Europe as a leader?</w:t>
      </w:r>
      <w:r>
        <w:rPr>
          <w:noProof/>
        </w:rPr>
        <w:t xml:space="preserve"> (answers 'agree' and 'strongly agree' put together)?</w:t>
      </w:r>
    </w:p>
    <w:p w:rsidR="00EC06FD" w:rsidRDefault="00EC06FD">
      <w:pPr>
        <w:pStyle w:val="ListParagraph"/>
        <w:suppressAutoHyphens/>
        <w:spacing w:after="0" w:line="276" w:lineRule="auto"/>
        <w:ind w:left="360"/>
        <w:rPr>
          <w:rFonts w:cs="Arial"/>
          <w:b/>
          <w:bCs/>
          <w:noProof/>
          <w:color w:val="333333"/>
        </w:rPr>
      </w:pPr>
    </w:p>
    <w:tbl>
      <w:tblPr>
        <w:tblW w:w="2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713"/>
      </w:tblGrid>
      <w:tr w:rsidR="00EC06FD">
        <w:trPr>
          <w:trHeight w:val="255"/>
          <w:jc w:val="center"/>
        </w:trPr>
        <w:tc>
          <w:tcPr>
            <w:tcW w:w="2202" w:type="dxa"/>
            <w:shd w:val="clear" w:color="auto" w:fill="auto"/>
            <w:noWrap/>
            <w:vAlign w:val="bottom"/>
            <w:hideMark/>
          </w:tcPr>
          <w:p w:rsidR="00EC06FD" w:rsidRDefault="00F346DE">
            <w:pPr>
              <w:suppressAutoHyphens/>
              <w:spacing w:line="276" w:lineRule="auto"/>
              <w:jc w:val="center"/>
              <w:rPr>
                <w:rFonts w:cs="Arial"/>
                <w:noProof/>
              </w:rPr>
            </w:pPr>
            <w:r>
              <w:rPr>
                <w:rFonts w:cs="Arial"/>
                <w:noProof/>
              </w:rPr>
              <w:t>Fusion</w:t>
            </w:r>
          </w:p>
        </w:tc>
        <w:tc>
          <w:tcPr>
            <w:tcW w:w="713" w:type="dxa"/>
            <w:shd w:val="clear" w:color="auto" w:fill="auto"/>
            <w:noWrap/>
            <w:vAlign w:val="bottom"/>
            <w:hideMark/>
          </w:tcPr>
          <w:p w:rsidR="00EC06FD" w:rsidRDefault="00F346DE">
            <w:pPr>
              <w:suppressAutoHyphens/>
              <w:spacing w:line="276" w:lineRule="auto"/>
              <w:jc w:val="center"/>
              <w:rPr>
                <w:rFonts w:cs="Arial"/>
                <w:noProof/>
              </w:rPr>
            </w:pPr>
            <w:r>
              <w:rPr>
                <w:rFonts w:cs="Arial"/>
                <w:noProof/>
              </w:rPr>
              <w:t>56%</w:t>
            </w:r>
          </w:p>
        </w:tc>
      </w:tr>
      <w:tr w:rsidR="00EC06FD">
        <w:trPr>
          <w:trHeight w:val="255"/>
          <w:jc w:val="center"/>
        </w:trPr>
        <w:tc>
          <w:tcPr>
            <w:tcW w:w="2202" w:type="dxa"/>
            <w:shd w:val="clear" w:color="auto" w:fill="auto"/>
            <w:noWrap/>
            <w:vAlign w:val="bottom"/>
            <w:hideMark/>
          </w:tcPr>
          <w:p w:rsidR="00EC06FD" w:rsidRDefault="00F346DE">
            <w:pPr>
              <w:suppressAutoHyphens/>
              <w:spacing w:line="276" w:lineRule="auto"/>
              <w:jc w:val="center"/>
              <w:rPr>
                <w:rFonts w:cs="Arial"/>
                <w:noProof/>
              </w:rPr>
            </w:pPr>
            <w:r>
              <w:rPr>
                <w:rFonts w:cs="Arial"/>
                <w:noProof/>
              </w:rPr>
              <w:t xml:space="preserve">Radiation Protection </w:t>
            </w:r>
          </w:p>
        </w:tc>
        <w:tc>
          <w:tcPr>
            <w:tcW w:w="713" w:type="dxa"/>
            <w:shd w:val="clear" w:color="auto" w:fill="auto"/>
            <w:noWrap/>
            <w:vAlign w:val="bottom"/>
            <w:hideMark/>
          </w:tcPr>
          <w:p w:rsidR="00EC06FD" w:rsidRDefault="00F346DE">
            <w:pPr>
              <w:suppressAutoHyphens/>
              <w:spacing w:line="276" w:lineRule="auto"/>
              <w:jc w:val="center"/>
              <w:rPr>
                <w:rFonts w:cs="Arial"/>
                <w:noProof/>
              </w:rPr>
            </w:pPr>
            <w:r>
              <w:rPr>
                <w:rFonts w:cs="Arial"/>
                <w:noProof/>
              </w:rPr>
              <w:t>53%</w:t>
            </w:r>
          </w:p>
        </w:tc>
      </w:tr>
      <w:tr w:rsidR="00EC06FD">
        <w:trPr>
          <w:trHeight w:val="255"/>
          <w:jc w:val="center"/>
        </w:trPr>
        <w:tc>
          <w:tcPr>
            <w:tcW w:w="2202" w:type="dxa"/>
            <w:shd w:val="clear" w:color="auto" w:fill="auto"/>
            <w:noWrap/>
            <w:vAlign w:val="bottom"/>
            <w:hideMark/>
          </w:tcPr>
          <w:p w:rsidR="00EC06FD" w:rsidRDefault="00F346DE">
            <w:pPr>
              <w:suppressAutoHyphens/>
              <w:spacing w:line="276" w:lineRule="auto"/>
              <w:jc w:val="center"/>
              <w:rPr>
                <w:rFonts w:cs="Arial"/>
                <w:noProof/>
              </w:rPr>
            </w:pPr>
            <w:r>
              <w:rPr>
                <w:rFonts w:cs="Arial"/>
                <w:noProof/>
              </w:rPr>
              <w:t>Waste management</w:t>
            </w:r>
          </w:p>
        </w:tc>
        <w:tc>
          <w:tcPr>
            <w:tcW w:w="713" w:type="dxa"/>
            <w:shd w:val="clear" w:color="auto" w:fill="auto"/>
            <w:noWrap/>
            <w:vAlign w:val="bottom"/>
            <w:hideMark/>
          </w:tcPr>
          <w:p w:rsidR="00EC06FD" w:rsidRDefault="00F346DE">
            <w:pPr>
              <w:suppressAutoHyphens/>
              <w:spacing w:line="276" w:lineRule="auto"/>
              <w:jc w:val="center"/>
              <w:rPr>
                <w:rFonts w:cs="Arial"/>
                <w:noProof/>
              </w:rPr>
            </w:pPr>
            <w:r>
              <w:rPr>
                <w:rFonts w:cs="Arial"/>
                <w:noProof/>
              </w:rPr>
              <w:t>51%</w:t>
            </w:r>
          </w:p>
        </w:tc>
      </w:tr>
      <w:tr w:rsidR="00EC06FD">
        <w:trPr>
          <w:trHeight w:val="255"/>
          <w:jc w:val="center"/>
        </w:trPr>
        <w:tc>
          <w:tcPr>
            <w:tcW w:w="2202" w:type="dxa"/>
            <w:shd w:val="clear" w:color="auto" w:fill="auto"/>
            <w:noWrap/>
            <w:vAlign w:val="bottom"/>
            <w:hideMark/>
          </w:tcPr>
          <w:p w:rsidR="00EC06FD" w:rsidRDefault="00F346DE">
            <w:pPr>
              <w:suppressAutoHyphens/>
              <w:spacing w:line="276" w:lineRule="auto"/>
              <w:jc w:val="center"/>
              <w:rPr>
                <w:rFonts w:cs="Arial"/>
                <w:noProof/>
              </w:rPr>
            </w:pPr>
            <w:r>
              <w:rPr>
                <w:rFonts w:cs="Arial"/>
                <w:noProof/>
              </w:rPr>
              <w:t>Nuclear systems</w:t>
            </w:r>
          </w:p>
        </w:tc>
        <w:tc>
          <w:tcPr>
            <w:tcW w:w="713" w:type="dxa"/>
            <w:shd w:val="clear" w:color="auto" w:fill="auto"/>
            <w:noWrap/>
            <w:vAlign w:val="bottom"/>
            <w:hideMark/>
          </w:tcPr>
          <w:p w:rsidR="00EC06FD" w:rsidRDefault="00F346DE">
            <w:pPr>
              <w:suppressAutoHyphens/>
              <w:spacing w:line="276" w:lineRule="auto"/>
              <w:jc w:val="center"/>
              <w:rPr>
                <w:rFonts w:cs="Arial"/>
                <w:noProof/>
              </w:rPr>
            </w:pPr>
            <w:r>
              <w:rPr>
                <w:rFonts w:cs="Arial"/>
                <w:noProof/>
              </w:rPr>
              <w:t>45%</w:t>
            </w:r>
          </w:p>
        </w:tc>
      </w:tr>
    </w:tbl>
    <w:p w:rsidR="00EC06FD" w:rsidRDefault="00EC06FD">
      <w:pPr>
        <w:pStyle w:val="ListParagraph"/>
        <w:suppressAutoHyphens/>
        <w:spacing w:after="0" w:line="276" w:lineRule="auto"/>
        <w:ind w:left="360"/>
        <w:rPr>
          <w:noProof/>
        </w:rPr>
      </w:pPr>
    </w:p>
    <w:p w:rsidR="00EC06FD" w:rsidRDefault="00F346DE">
      <w:pPr>
        <w:pStyle w:val="ListParagraph"/>
        <w:numPr>
          <w:ilvl w:val="0"/>
          <w:numId w:val="32"/>
        </w:numPr>
        <w:suppressAutoHyphens/>
        <w:spacing w:after="0" w:line="276" w:lineRule="auto"/>
        <w:rPr>
          <w:noProof/>
        </w:rPr>
      </w:pPr>
      <w:r>
        <w:rPr>
          <w:i/>
          <w:noProof/>
        </w:rPr>
        <w:t>Are the forms of funding provided through Euratom Programme relevant to the needs of stakeholders</w:t>
      </w:r>
      <w:r>
        <w:rPr>
          <w:noProof/>
        </w:rPr>
        <w:t xml:space="preserve"> (answers 'agree' and 'strongly agree' put together)? </w:t>
      </w:r>
    </w:p>
    <w:tbl>
      <w:tblPr>
        <w:tblW w:w="5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960"/>
      </w:tblGrid>
      <w:tr w:rsidR="00EC06FD">
        <w:trPr>
          <w:trHeight w:val="255"/>
          <w:jc w:val="center"/>
        </w:trPr>
        <w:tc>
          <w:tcPr>
            <w:tcW w:w="4782" w:type="dxa"/>
            <w:shd w:val="clear" w:color="auto" w:fill="auto"/>
            <w:noWrap/>
            <w:vAlign w:val="bottom"/>
            <w:hideMark/>
          </w:tcPr>
          <w:p w:rsidR="00EC06FD" w:rsidRDefault="00F346DE">
            <w:pPr>
              <w:suppressAutoHyphens/>
              <w:spacing w:line="276" w:lineRule="auto"/>
              <w:rPr>
                <w:rFonts w:cs="Arial"/>
                <w:noProof/>
              </w:rPr>
            </w:pPr>
            <w:r>
              <w:rPr>
                <w:rFonts w:cs="Arial"/>
                <w:noProof/>
              </w:rPr>
              <w:t>Grants for research and innovation actions</w:t>
            </w:r>
          </w:p>
        </w:tc>
        <w:tc>
          <w:tcPr>
            <w:tcW w:w="96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70%</w:t>
            </w:r>
          </w:p>
        </w:tc>
      </w:tr>
      <w:tr w:rsidR="00EC06FD">
        <w:trPr>
          <w:trHeight w:val="255"/>
          <w:jc w:val="center"/>
        </w:trPr>
        <w:tc>
          <w:tcPr>
            <w:tcW w:w="4782" w:type="dxa"/>
            <w:shd w:val="clear" w:color="auto" w:fill="auto"/>
            <w:noWrap/>
            <w:vAlign w:val="bottom"/>
            <w:hideMark/>
          </w:tcPr>
          <w:p w:rsidR="00EC06FD" w:rsidRDefault="00F346DE">
            <w:pPr>
              <w:suppressAutoHyphens/>
              <w:spacing w:line="276" w:lineRule="auto"/>
              <w:rPr>
                <w:rFonts w:cs="Arial"/>
                <w:noProof/>
              </w:rPr>
            </w:pPr>
            <w:r>
              <w:rPr>
                <w:rFonts w:cs="Arial"/>
                <w:noProof/>
              </w:rPr>
              <w:t>Grants for coordination and support actions</w:t>
            </w:r>
          </w:p>
        </w:tc>
        <w:tc>
          <w:tcPr>
            <w:tcW w:w="96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63%</w:t>
            </w:r>
          </w:p>
        </w:tc>
      </w:tr>
      <w:tr w:rsidR="00EC06FD">
        <w:trPr>
          <w:trHeight w:val="255"/>
          <w:jc w:val="center"/>
        </w:trPr>
        <w:tc>
          <w:tcPr>
            <w:tcW w:w="4782" w:type="dxa"/>
            <w:shd w:val="clear" w:color="auto" w:fill="auto"/>
            <w:noWrap/>
            <w:vAlign w:val="bottom"/>
            <w:hideMark/>
          </w:tcPr>
          <w:p w:rsidR="00EC06FD" w:rsidRDefault="00F346DE">
            <w:pPr>
              <w:suppressAutoHyphens/>
              <w:spacing w:line="276" w:lineRule="auto"/>
              <w:rPr>
                <w:rFonts w:cs="Arial"/>
                <w:noProof/>
              </w:rPr>
            </w:pPr>
            <w:r>
              <w:rPr>
                <w:rFonts w:cs="Arial"/>
                <w:noProof/>
              </w:rPr>
              <w:t xml:space="preserve">Co-fund instrument for EJPs </w:t>
            </w:r>
            <w:r>
              <w:rPr>
                <w:rFonts w:cs="Arial"/>
                <w:i/>
                <w:noProof/>
                <w:sz w:val="18"/>
              </w:rPr>
              <w:t>(EURofusion and concert were not indicated)</w:t>
            </w:r>
          </w:p>
        </w:tc>
        <w:tc>
          <w:tcPr>
            <w:tcW w:w="96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43%</w:t>
            </w:r>
          </w:p>
        </w:tc>
      </w:tr>
      <w:tr w:rsidR="00EC06FD">
        <w:trPr>
          <w:trHeight w:val="255"/>
          <w:jc w:val="center"/>
        </w:trPr>
        <w:tc>
          <w:tcPr>
            <w:tcW w:w="4782" w:type="dxa"/>
            <w:shd w:val="clear" w:color="auto" w:fill="auto"/>
            <w:noWrap/>
            <w:vAlign w:val="bottom"/>
          </w:tcPr>
          <w:p w:rsidR="00EC06FD" w:rsidRDefault="00F346DE">
            <w:pPr>
              <w:suppressAutoHyphens/>
              <w:spacing w:line="276" w:lineRule="auto"/>
              <w:rPr>
                <w:rFonts w:cs="Arial"/>
                <w:noProof/>
              </w:rPr>
            </w:pPr>
            <w:r>
              <w:rPr>
                <w:rFonts w:cs="Arial"/>
                <w:noProof/>
              </w:rPr>
              <w:t xml:space="preserve">Recognition prize </w:t>
            </w:r>
            <w:r>
              <w:rPr>
                <w:rFonts w:cs="Arial"/>
                <w:noProof/>
                <w:sz w:val="18"/>
              </w:rPr>
              <w:t>(fusion prize was mentioned)</w:t>
            </w:r>
          </w:p>
        </w:tc>
        <w:tc>
          <w:tcPr>
            <w:tcW w:w="960" w:type="dxa"/>
            <w:shd w:val="clear" w:color="auto" w:fill="auto"/>
            <w:noWrap/>
            <w:vAlign w:val="bottom"/>
          </w:tcPr>
          <w:p w:rsidR="00EC06FD" w:rsidRDefault="00F346DE">
            <w:pPr>
              <w:suppressAutoHyphens/>
              <w:spacing w:line="276" w:lineRule="auto"/>
              <w:jc w:val="right"/>
              <w:rPr>
                <w:rFonts w:cs="Arial"/>
                <w:noProof/>
              </w:rPr>
            </w:pPr>
            <w:r>
              <w:rPr>
                <w:rFonts w:cs="Arial"/>
                <w:noProof/>
              </w:rPr>
              <w:t>20%</w:t>
            </w:r>
          </w:p>
        </w:tc>
      </w:tr>
      <w:tr w:rsidR="00EC06FD">
        <w:trPr>
          <w:trHeight w:val="255"/>
          <w:jc w:val="center"/>
        </w:trPr>
        <w:tc>
          <w:tcPr>
            <w:tcW w:w="4782" w:type="dxa"/>
            <w:shd w:val="clear" w:color="auto" w:fill="auto"/>
            <w:noWrap/>
            <w:vAlign w:val="bottom"/>
            <w:hideMark/>
          </w:tcPr>
          <w:p w:rsidR="00EC06FD" w:rsidRDefault="00F346DE">
            <w:pPr>
              <w:suppressAutoHyphens/>
              <w:spacing w:line="276" w:lineRule="auto"/>
              <w:rPr>
                <w:rFonts w:cs="Arial"/>
                <w:noProof/>
                <w:lang w:val="fr-BE"/>
              </w:rPr>
            </w:pPr>
            <w:r>
              <w:rPr>
                <w:rFonts w:cs="Arial"/>
                <w:noProof/>
                <w:lang w:val="fr-BE"/>
              </w:rPr>
              <w:t>Financial instruments (e.g. Innov Fin)</w:t>
            </w:r>
          </w:p>
        </w:tc>
        <w:tc>
          <w:tcPr>
            <w:tcW w:w="96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18%</w:t>
            </w:r>
          </w:p>
        </w:tc>
      </w:tr>
    </w:tbl>
    <w:p w:rsidR="00EC06FD" w:rsidRDefault="00EC06FD">
      <w:pPr>
        <w:suppressAutoHyphens/>
        <w:spacing w:line="276" w:lineRule="auto"/>
        <w:jc w:val="both"/>
        <w:rPr>
          <w:noProof/>
        </w:rPr>
      </w:pPr>
    </w:p>
    <w:p w:rsidR="00EC06FD" w:rsidRDefault="00F346DE">
      <w:pPr>
        <w:pStyle w:val="ListParagraph"/>
        <w:numPr>
          <w:ilvl w:val="0"/>
          <w:numId w:val="32"/>
        </w:numPr>
        <w:suppressAutoHyphens/>
        <w:spacing w:after="0" w:line="276" w:lineRule="auto"/>
        <w:rPr>
          <w:noProof/>
        </w:rPr>
      </w:pPr>
      <w:r>
        <w:rPr>
          <w:noProof/>
        </w:rPr>
        <w:t>The EU added value of the Euratom programme was rated high or very high by 72% of respondents.</w:t>
      </w:r>
    </w:p>
    <w:p w:rsidR="00EC06FD" w:rsidRDefault="00EC06FD">
      <w:pPr>
        <w:pStyle w:val="ListParagraph"/>
        <w:suppressAutoHyphens/>
        <w:spacing w:after="0" w:line="276" w:lineRule="auto"/>
        <w:ind w:left="360"/>
        <w:rPr>
          <w:noProof/>
        </w:rPr>
      </w:pPr>
    </w:p>
    <w:p w:rsidR="00EC06FD" w:rsidRDefault="00F346DE">
      <w:pPr>
        <w:pStyle w:val="ListParagraph"/>
        <w:numPr>
          <w:ilvl w:val="0"/>
          <w:numId w:val="32"/>
        </w:numPr>
        <w:suppressAutoHyphens/>
        <w:spacing w:after="0" w:line="276" w:lineRule="auto"/>
        <w:rPr>
          <w:noProof/>
        </w:rPr>
      </w:pPr>
      <w:r>
        <w:rPr>
          <w:noProof/>
        </w:rPr>
        <w:t>Opinion on the EU added value of different aspects of the Euratom programme (answers 'agree' and 'strongly agree' put together):</w:t>
      </w:r>
    </w:p>
    <w:p w:rsidR="00EC06FD" w:rsidRDefault="00EC06FD">
      <w:pPr>
        <w:suppressAutoHyphens/>
        <w:spacing w:line="276" w:lineRule="auto"/>
        <w:jc w:val="both"/>
        <w:rPr>
          <w:noProof/>
        </w:rPr>
      </w:pP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9"/>
        <w:gridCol w:w="850"/>
      </w:tblGrid>
      <w:tr w:rsidR="00EC06FD">
        <w:trPr>
          <w:trHeight w:val="255"/>
          <w:jc w:val="center"/>
        </w:trPr>
        <w:tc>
          <w:tcPr>
            <w:tcW w:w="8379" w:type="dxa"/>
            <w:shd w:val="clear" w:color="auto" w:fill="auto"/>
            <w:noWrap/>
            <w:vAlign w:val="bottom"/>
            <w:hideMark/>
          </w:tcPr>
          <w:p w:rsidR="00EC06FD" w:rsidRDefault="00F346DE">
            <w:pPr>
              <w:suppressAutoHyphens/>
              <w:spacing w:line="276" w:lineRule="auto"/>
              <w:rPr>
                <w:rFonts w:ascii="Arial" w:hAnsi="Arial" w:cs="Arial"/>
                <w:noProof/>
                <w:sz w:val="20"/>
                <w:szCs w:val="20"/>
              </w:rPr>
            </w:pPr>
            <w:r>
              <w:rPr>
                <w:rFonts w:ascii="Arial" w:hAnsi="Arial" w:cs="Arial"/>
                <w:noProof/>
                <w:sz w:val="20"/>
                <w:szCs w:val="20"/>
              </w:rPr>
              <w:t>Improving knowledge sharing and information dissemination</w:t>
            </w:r>
          </w:p>
        </w:tc>
        <w:tc>
          <w:tcPr>
            <w:tcW w:w="850" w:type="dxa"/>
            <w:shd w:val="clear" w:color="auto" w:fill="auto"/>
            <w:noWrap/>
            <w:vAlign w:val="bottom"/>
            <w:hideMark/>
          </w:tcPr>
          <w:p w:rsidR="00EC06FD" w:rsidRDefault="00F346DE">
            <w:pPr>
              <w:suppressAutoHyphens/>
              <w:spacing w:line="276" w:lineRule="auto"/>
              <w:jc w:val="right"/>
              <w:rPr>
                <w:rFonts w:ascii="Arial" w:hAnsi="Arial" w:cs="Arial"/>
                <w:noProof/>
                <w:sz w:val="20"/>
                <w:szCs w:val="20"/>
              </w:rPr>
            </w:pPr>
            <w:r>
              <w:rPr>
                <w:rFonts w:ascii="Arial" w:hAnsi="Arial" w:cs="Arial"/>
                <w:noProof/>
                <w:sz w:val="20"/>
                <w:szCs w:val="20"/>
              </w:rPr>
              <w:t>89%</w:t>
            </w:r>
          </w:p>
        </w:tc>
      </w:tr>
      <w:tr w:rsidR="00EC06FD">
        <w:trPr>
          <w:trHeight w:val="255"/>
          <w:jc w:val="center"/>
        </w:trPr>
        <w:tc>
          <w:tcPr>
            <w:tcW w:w="8379" w:type="dxa"/>
            <w:shd w:val="clear" w:color="auto" w:fill="auto"/>
            <w:noWrap/>
            <w:vAlign w:val="bottom"/>
            <w:hideMark/>
          </w:tcPr>
          <w:p w:rsidR="00EC06FD" w:rsidRDefault="00F346DE">
            <w:pPr>
              <w:suppressAutoHyphens/>
              <w:spacing w:line="276" w:lineRule="auto"/>
              <w:rPr>
                <w:rFonts w:ascii="Arial" w:hAnsi="Arial" w:cs="Arial"/>
                <w:noProof/>
                <w:sz w:val="20"/>
                <w:szCs w:val="20"/>
              </w:rPr>
            </w:pPr>
            <w:r>
              <w:rPr>
                <w:rFonts w:ascii="Arial" w:hAnsi="Arial" w:cs="Arial"/>
                <w:noProof/>
                <w:sz w:val="20"/>
                <w:szCs w:val="20"/>
              </w:rPr>
              <w:t>Mobilising wider pool of high level multi-disciplinary competencies than is available at national level</w:t>
            </w:r>
          </w:p>
        </w:tc>
        <w:tc>
          <w:tcPr>
            <w:tcW w:w="850" w:type="dxa"/>
            <w:shd w:val="clear" w:color="auto" w:fill="auto"/>
            <w:noWrap/>
            <w:vAlign w:val="bottom"/>
            <w:hideMark/>
          </w:tcPr>
          <w:p w:rsidR="00EC06FD" w:rsidRDefault="00F346DE">
            <w:pPr>
              <w:suppressAutoHyphens/>
              <w:spacing w:line="276" w:lineRule="auto"/>
              <w:jc w:val="right"/>
              <w:rPr>
                <w:rFonts w:ascii="Arial" w:hAnsi="Arial" w:cs="Arial"/>
                <w:noProof/>
                <w:sz w:val="20"/>
                <w:szCs w:val="20"/>
              </w:rPr>
            </w:pPr>
            <w:r>
              <w:rPr>
                <w:rFonts w:ascii="Arial" w:hAnsi="Arial" w:cs="Arial"/>
                <w:noProof/>
                <w:sz w:val="20"/>
                <w:szCs w:val="20"/>
              </w:rPr>
              <w:t>85%</w:t>
            </w:r>
          </w:p>
        </w:tc>
      </w:tr>
      <w:tr w:rsidR="00EC06FD">
        <w:trPr>
          <w:trHeight w:val="255"/>
          <w:jc w:val="center"/>
        </w:trPr>
        <w:tc>
          <w:tcPr>
            <w:tcW w:w="8379" w:type="dxa"/>
            <w:shd w:val="clear" w:color="auto" w:fill="auto"/>
            <w:noWrap/>
            <w:vAlign w:val="bottom"/>
            <w:hideMark/>
          </w:tcPr>
          <w:p w:rsidR="00EC06FD" w:rsidRDefault="00F346DE">
            <w:pPr>
              <w:suppressAutoHyphens/>
              <w:spacing w:line="276" w:lineRule="auto"/>
              <w:rPr>
                <w:rFonts w:ascii="Arial" w:hAnsi="Arial" w:cs="Arial"/>
                <w:noProof/>
                <w:sz w:val="20"/>
                <w:szCs w:val="20"/>
              </w:rPr>
            </w:pPr>
            <w:r>
              <w:rPr>
                <w:rFonts w:ascii="Arial" w:hAnsi="Arial" w:cs="Arial"/>
                <w:noProof/>
                <w:sz w:val="20"/>
                <w:szCs w:val="20"/>
              </w:rPr>
              <w:t>Undertaking programmes beyond the reach of individual Member States enabling reaching objectives that could no otherwise be achieved</w:t>
            </w:r>
          </w:p>
        </w:tc>
        <w:tc>
          <w:tcPr>
            <w:tcW w:w="850" w:type="dxa"/>
            <w:shd w:val="clear" w:color="auto" w:fill="auto"/>
            <w:noWrap/>
            <w:vAlign w:val="bottom"/>
            <w:hideMark/>
          </w:tcPr>
          <w:p w:rsidR="00EC06FD" w:rsidRDefault="00F346DE">
            <w:pPr>
              <w:suppressAutoHyphens/>
              <w:spacing w:line="276" w:lineRule="auto"/>
              <w:jc w:val="right"/>
              <w:rPr>
                <w:rFonts w:ascii="Arial" w:hAnsi="Arial" w:cs="Arial"/>
                <w:noProof/>
                <w:sz w:val="20"/>
                <w:szCs w:val="20"/>
              </w:rPr>
            </w:pPr>
            <w:r>
              <w:rPr>
                <w:rFonts w:ascii="Arial" w:hAnsi="Arial" w:cs="Arial"/>
                <w:noProof/>
                <w:sz w:val="20"/>
                <w:szCs w:val="20"/>
              </w:rPr>
              <w:t>82%</w:t>
            </w:r>
          </w:p>
        </w:tc>
      </w:tr>
      <w:tr w:rsidR="00EC06FD">
        <w:trPr>
          <w:trHeight w:val="255"/>
          <w:jc w:val="center"/>
        </w:trPr>
        <w:tc>
          <w:tcPr>
            <w:tcW w:w="8379" w:type="dxa"/>
            <w:shd w:val="clear" w:color="auto" w:fill="auto"/>
            <w:noWrap/>
            <w:vAlign w:val="bottom"/>
            <w:hideMark/>
          </w:tcPr>
          <w:p w:rsidR="00EC06FD" w:rsidRDefault="00F346DE">
            <w:pPr>
              <w:suppressAutoHyphens/>
              <w:spacing w:line="276" w:lineRule="auto"/>
              <w:rPr>
                <w:rFonts w:ascii="Arial" w:hAnsi="Arial" w:cs="Arial"/>
                <w:noProof/>
                <w:sz w:val="20"/>
                <w:szCs w:val="20"/>
              </w:rPr>
            </w:pPr>
            <w:r>
              <w:rPr>
                <w:rFonts w:ascii="Arial" w:hAnsi="Arial" w:cs="Arial"/>
                <w:noProof/>
                <w:sz w:val="20"/>
                <w:szCs w:val="20"/>
              </w:rPr>
              <w:t xml:space="preserve">Having a leverage effect on public investment </w:t>
            </w:r>
          </w:p>
        </w:tc>
        <w:tc>
          <w:tcPr>
            <w:tcW w:w="850" w:type="dxa"/>
            <w:shd w:val="clear" w:color="auto" w:fill="auto"/>
            <w:noWrap/>
            <w:vAlign w:val="bottom"/>
            <w:hideMark/>
          </w:tcPr>
          <w:p w:rsidR="00EC06FD" w:rsidRDefault="00F346DE">
            <w:pPr>
              <w:suppressAutoHyphens/>
              <w:spacing w:line="276" w:lineRule="auto"/>
              <w:jc w:val="right"/>
              <w:rPr>
                <w:rFonts w:ascii="Arial" w:hAnsi="Arial" w:cs="Arial"/>
                <w:noProof/>
                <w:sz w:val="20"/>
                <w:szCs w:val="20"/>
              </w:rPr>
            </w:pPr>
            <w:r>
              <w:rPr>
                <w:rFonts w:ascii="Arial" w:hAnsi="Arial" w:cs="Arial"/>
                <w:noProof/>
                <w:sz w:val="20"/>
                <w:szCs w:val="20"/>
              </w:rPr>
              <w:t>50%</w:t>
            </w:r>
          </w:p>
        </w:tc>
      </w:tr>
      <w:tr w:rsidR="00EC06FD">
        <w:trPr>
          <w:trHeight w:val="255"/>
          <w:jc w:val="center"/>
        </w:trPr>
        <w:tc>
          <w:tcPr>
            <w:tcW w:w="8379" w:type="dxa"/>
            <w:shd w:val="clear" w:color="auto" w:fill="auto"/>
            <w:noWrap/>
            <w:vAlign w:val="bottom"/>
            <w:hideMark/>
          </w:tcPr>
          <w:p w:rsidR="00EC06FD" w:rsidRDefault="00F346DE">
            <w:pPr>
              <w:suppressAutoHyphens/>
              <w:spacing w:line="276" w:lineRule="auto"/>
              <w:rPr>
                <w:rFonts w:ascii="Arial" w:hAnsi="Arial" w:cs="Arial"/>
                <w:noProof/>
                <w:sz w:val="20"/>
                <w:szCs w:val="20"/>
              </w:rPr>
            </w:pPr>
            <w:r>
              <w:rPr>
                <w:rFonts w:ascii="Arial" w:hAnsi="Arial" w:cs="Arial"/>
                <w:noProof/>
                <w:sz w:val="20"/>
                <w:szCs w:val="20"/>
              </w:rPr>
              <w:t>Achieving objectives at lower overall costs</w:t>
            </w:r>
          </w:p>
        </w:tc>
        <w:tc>
          <w:tcPr>
            <w:tcW w:w="850" w:type="dxa"/>
            <w:shd w:val="clear" w:color="auto" w:fill="auto"/>
            <w:noWrap/>
            <w:vAlign w:val="bottom"/>
            <w:hideMark/>
          </w:tcPr>
          <w:p w:rsidR="00EC06FD" w:rsidRDefault="00F346DE">
            <w:pPr>
              <w:suppressAutoHyphens/>
              <w:spacing w:line="276" w:lineRule="auto"/>
              <w:jc w:val="right"/>
              <w:rPr>
                <w:rFonts w:ascii="Arial" w:hAnsi="Arial" w:cs="Arial"/>
                <w:noProof/>
                <w:sz w:val="20"/>
                <w:szCs w:val="20"/>
              </w:rPr>
            </w:pPr>
            <w:r>
              <w:rPr>
                <w:rFonts w:ascii="Arial" w:hAnsi="Arial" w:cs="Arial"/>
                <w:noProof/>
                <w:sz w:val="20"/>
                <w:szCs w:val="20"/>
              </w:rPr>
              <w:t>49%</w:t>
            </w:r>
          </w:p>
        </w:tc>
      </w:tr>
      <w:tr w:rsidR="00EC06FD">
        <w:trPr>
          <w:trHeight w:val="255"/>
          <w:jc w:val="center"/>
        </w:trPr>
        <w:tc>
          <w:tcPr>
            <w:tcW w:w="8379" w:type="dxa"/>
            <w:shd w:val="clear" w:color="auto" w:fill="auto"/>
            <w:noWrap/>
            <w:vAlign w:val="bottom"/>
            <w:hideMark/>
          </w:tcPr>
          <w:p w:rsidR="00EC06FD" w:rsidRDefault="00F346DE">
            <w:pPr>
              <w:suppressAutoHyphens/>
              <w:spacing w:line="276" w:lineRule="auto"/>
              <w:rPr>
                <w:rFonts w:ascii="Arial" w:hAnsi="Arial" w:cs="Arial"/>
                <w:noProof/>
                <w:sz w:val="20"/>
                <w:szCs w:val="20"/>
              </w:rPr>
            </w:pPr>
            <w:r>
              <w:rPr>
                <w:rFonts w:ascii="Arial" w:hAnsi="Arial" w:cs="Arial"/>
                <w:noProof/>
                <w:sz w:val="20"/>
                <w:szCs w:val="20"/>
              </w:rPr>
              <w:t>Having a leverage effect on private investment</w:t>
            </w:r>
          </w:p>
        </w:tc>
        <w:tc>
          <w:tcPr>
            <w:tcW w:w="850" w:type="dxa"/>
            <w:shd w:val="clear" w:color="auto" w:fill="auto"/>
            <w:noWrap/>
            <w:vAlign w:val="bottom"/>
            <w:hideMark/>
          </w:tcPr>
          <w:p w:rsidR="00EC06FD" w:rsidRDefault="00F346DE">
            <w:pPr>
              <w:suppressAutoHyphens/>
              <w:spacing w:line="276" w:lineRule="auto"/>
              <w:jc w:val="right"/>
              <w:rPr>
                <w:rFonts w:ascii="Arial" w:hAnsi="Arial" w:cs="Arial"/>
                <w:noProof/>
                <w:sz w:val="20"/>
                <w:szCs w:val="20"/>
              </w:rPr>
            </w:pPr>
            <w:r>
              <w:rPr>
                <w:rFonts w:ascii="Arial" w:hAnsi="Arial" w:cs="Arial"/>
                <w:noProof/>
                <w:sz w:val="20"/>
                <w:szCs w:val="20"/>
              </w:rPr>
              <w:t>30%</w:t>
            </w:r>
          </w:p>
        </w:tc>
      </w:tr>
    </w:tbl>
    <w:p w:rsidR="00EC06FD" w:rsidRDefault="00EC06FD">
      <w:pPr>
        <w:suppressAutoHyphens/>
        <w:spacing w:line="276" w:lineRule="auto"/>
        <w:jc w:val="both"/>
        <w:rPr>
          <w:noProof/>
        </w:rPr>
      </w:pPr>
    </w:p>
    <w:p w:rsidR="00EC06FD" w:rsidRDefault="00F346DE">
      <w:pPr>
        <w:pStyle w:val="ListParagraph"/>
        <w:numPr>
          <w:ilvl w:val="0"/>
          <w:numId w:val="32"/>
        </w:numPr>
        <w:suppressAutoHyphens/>
        <w:spacing w:after="0" w:line="276" w:lineRule="auto"/>
        <w:rPr>
          <w:noProof/>
        </w:rPr>
      </w:pPr>
      <w:r>
        <w:rPr>
          <w:noProof/>
        </w:rPr>
        <w:t>65% of respondents agreed that the Euratom Program is coherent with other EU policies</w:t>
      </w:r>
    </w:p>
    <w:p w:rsidR="00EC06FD" w:rsidRDefault="00EC06FD">
      <w:pPr>
        <w:pStyle w:val="ListParagraph"/>
        <w:suppressAutoHyphens/>
        <w:spacing w:after="0" w:line="276" w:lineRule="auto"/>
        <w:ind w:left="360"/>
        <w:rPr>
          <w:noProof/>
        </w:rPr>
      </w:pPr>
    </w:p>
    <w:p w:rsidR="00EC06FD" w:rsidRDefault="00F346DE">
      <w:pPr>
        <w:pStyle w:val="ListParagraph"/>
        <w:numPr>
          <w:ilvl w:val="0"/>
          <w:numId w:val="32"/>
        </w:numPr>
        <w:suppressAutoHyphens/>
        <w:spacing w:after="0" w:line="276" w:lineRule="auto"/>
        <w:rPr>
          <w:bCs/>
          <w:noProof/>
        </w:rPr>
      </w:pPr>
      <w:r>
        <w:rPr>
          <w:noProof/>
        </w:rPr>
        <w:t xml:space="preserve">89% of respondents see consequences of discontinuing the Euratom Programme (10% don’t know). </w:t>
      </w:r>
    </w:p>
    <w:p w:rsidR="000D17A3" w:rsidRDefault="000D17A3">
      <w:pPr>
        <w:spacing w:after="200" w:line="276" w:lineRule="auto"/>
        <w:rPr>
          <w:rStyle w:val="Strong"/>
          <w:rFonts w:cs="Arial"/>
          <w:noProof/>
          <w:color w:val="333333"/>
          <w:szCs w:val="20"/>
          <w:lang w:eastAsia="en-US"/>
        </w:rPr>
      </w:pPr>
      <w:r>
        <w:rPr>
          <w:rStyle w:val="Strong"/>
          <w:rFonts w:cs="Arial"/>
          <w:noProof/>
          <w:color w:val="333333"/>
        </w:rPr>
        <w:br w:type="page"/>
      </w:r>
    </w:p>
    <w:p w:rsidR="00EC06FD" w:rsidRDefault="00EC06FD">
      <w:pPr>
        <w:pStyle w:val="ListParagraph"/>
        <w:suppressAutoHyphens/>
        <w:spacing w:after="0" w:line="276" w:lineRule="auto"/>
        <w:ind w:left="360"/>
        <w:rPr>
          <w:rStyle w:val="Strong"/>
          <w:rFonts w:cs="Arial"/>
          <w:noProof/>
          <w:color w:val="333333"/>
        </w:rPr>
      </w:pPr>
    </w:p>
    <w:tbl>
      <w:tblPr>
        <w:tblW w:w="8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8"/>
        <w:gridCol w:w="709"/>
      </w:tblGrid>
      <w:tr w:rsidR="00EC06FD">
        <w:trPr>
          <w:trHeight w:val="255"/>
          <w:jc w:val="center"/>
        </w:trPr>
        <w:tc>
          <w:tcPr>
            <w:tcW w:w="7528" w:type="dxa"/>
            <w:shd w:val="clear" w:color="auto" w:fill="auto"/>
            <w:noWrap/>
            <w:vAlign w:val="bottom"/>
          </w:tcPr>
          <w:p w:rsidR="00EC06FD" w:rsidRDefault="00F346DE">
            <w:pPr>
              <w:suppressAutoHyphens/>
              <w:spacing w:line="276" w:lineRule="auto"/>
              <w:rPr>
                <w:rFonts w:cs="Arial"/>
                <w:noProof/>
              </w:rPr>
            </w:pPr>
            <w:r>
              <w:rPr>
                <w:rFonts w:cs="Arial"/>
                <w:noProof/>
              </w:rPr>
              <w:t>Negative impact on:</w:t>
            </w:r>
          </w:p>
        </w:tc>
        <w:tc>
          <w:tcPr>
            <w:tcW w:w="709" w:type="dxa"/>
            <w:shd w:val="clear" w:color="auto" w:fill="auto"/>
            <w:noWrap/>
            <w:vAlign w:val="bottom"/>
          </w:tcPr>
          <w:p w:rsidR="00EC06FD" w:rsidRDefault="00EC06FD">
            <w:pPr>
              <w:suppressAutoHyphens/>
              <w:spacing w:line="276" w:lineRule="auto"/>
              <w:jc w:val="right"/>
              <w:rPr>
                <w:rFonts w:cs="Arial"/>
                <w:noProof/>
              </w:rPr>
            </w:pPr>
          </w:p>
        </w:tc>
      </w:tr>
      <w:tr w:rsidR="00EC06FD">
        <w:trPr>
          <w:trHeight w:val="255"/>
          <w:jc w:val="center"/>
        </w:trPr>
        <w:tc>
          <w:tcPr>
            <w:tcW w:w="7528" w:type="dxa"/>
            <w:shd w:val="clear" w:color="auto" w:fill="auto"/>
            <w:noWrap/>
            <w:vAlign w:val="bottom"/>
            <w:hideMark/>
          </w:tcPr>
          <w:p w:rsidR="00EC06FD" w:rsidRDefault="00F346DE">
            <w:pPr>
              <w:suppressAutoHyphens/>
              <w:spacing w:line="276" w:lineRule="auto"/>
              <w:rPr>
                <w:rFonts w:cs="Arial"/>
                <w:noProof/>
              </w:rPr>
            </w:pPr>
            <w:r>
              <w:rPr>
                <w:rFonts w:cs="Arial"/>
                <w:noProof/>
              </w:rPr>
              <w:t>nuclear education &amp; training</w:t>
            </w:r>
          </w:p>
        </w:tc>
        <w:tc>
          <w:tcPr>
            <w:tcW w:w="709"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75%</w:t>
            </w:r>
          </w:p>
        </w:tc>
      </w:tr>
      <w:tr w:rsidR="00EC06FD">
        <w:trPr>
          <w:trHeight w:val="255"/>
          <w:jc w:val="center"/>
        </w:trPr>
        <w:tc>
          <w:tcPr>
            <w:tcW w:w="7528" w:type="dxa"/>
            <w:shd w:val="clear" w:color="auto" w:fill="auto"/>
            <w:noWrap/>
            <w:vAlign w:val="bottom"/>
            <w:hideMark/>
          </w:tcPr>
          <w:p w:rsidR="00EC06FD" w:rsidRDefault="00F346DE">
            <w:pPr>
              <w:suppressAutoHyphens/>
              <w:spacing w:line="276" w:lineRule="auto"/>
              <w:rPr>
                <w:rFonts w:cs="Arial"/>
                <w:noProof/>
              </w:rPr>
            </w:pPr>
            <w:r>
              <w:rPr>
                <w:rFonts w:cs="Arial"/>
                <w:noProof/>
              </w:rPr>
              <w:t xml:space="preserve">research activities carried out by my organisation </w:t>
            </w:r>
          </w:p>
        </w:tc>
        <w:tc>
          <w:tcPr>
            <w:tcW w:w="709"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72%</w:t>
            </w:r>
          </w:p>
        </w:tc>
      </w:tr>
      <w:tr w:rsidR="00EC06FD">
        <w:trPr>
          <w:trHeight w:val="255"/>
          <w:jc w:val="center"/>
        </w:trPr>
        <w:tc>
          <w:tcPr>
            <w:tcW w:w="7528" w:type="dxa"/>
            <w:shd w:val="clear" w:color="auto" w:fill="auto"/>
            <w:noWrap/>
            <w:vAlign w:val="bottom"/>
            <w:hideMark/>
          </w:tcPr>
          <w:p w:rsidR="00EC06FD" w:rsidRDefault="00F346DE">
            <w:pPr>
              <w:suppressAutoHyphens/>
              <w:spacing w:line="276" w:lineRule="auto"/>
              <w:rPr>
                <w:rFonts w:cs="Arial"/>
                <w:noProof/>
              </w:rPr>
            </w:pPr>
            <w:r>
              <w:rPr>
                <w:rFonts w:cs="Arial"/>
                <w:noProof/>
              </w:rPr>
              <w:t>nuclear safety of more advanced nuclear systems in Europe</w:t>
            </w:r>
          </w:p>
        </w:tc>
        <w:tc>
          <w:tcPr>
            <w:tcW w:w="709"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66%</w:t>
            </w:r>
          </w:p>
        </w:tc>
      </w:tr>
      <w:tr w:rsidR="00EC06FD">
        <w:trPr>
          <w:trHeight w:val="255"/>
          <w:jc w:val="center"/>
        </w:trPr>
        <w:tc>
          <w:tcPr>
            <w:tcW w:w="7528" w:type="dxa"/>
            <w:shd w:val="clear" w:color="auto" w:fill="auto"/>
            <w:noWrap/>
            <w:vAlign w:val="bottom"/>
            <w:hideMark/>
          </w:tcPr>
          <w:p w:rsidR="00EC06FD" w:rsidRDefault="00F346DE">
            <w:pPr>
              <w:suppressAutoHyphens/>
              <w:spacing w:line="276" w:lineRule="auto"/>
              <w:rPr>
                <w:rFonts w:cs="Arial"/>
                <w:noProof/>
              </w:rPr>
            </w:pPr>
            <w:r>
              <w:rPr>
                <w:rFonts w:cs="Arial"/>
                <w:noProof/>
              </w:rPr>
              <w:t xml:space="preserve">nuclear safety of existing nuclear systems in Europe </w:t>
            </w:r>
          </w:p>
        </w:tc>
        <w:tc>
          <w:tcPr>
            <w:tcW w:w="709"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65%</w:t>
            </w:r>
          </w:p>
        </w:tc>
      </w:tr>
      <w:tr w:rsidR="00EC06FD">
        <w:trPr>
          <w:trHeight w:val="255"/>
          <w:jc w:val="center"/>
        </w:trPr>
        <w:tc>
          <w:tcPr>
            <w:tcW w:w="7528" w:type="dxa"/>
            <w:shd w:val="clear" w:color="auto" w:fill="auto"/>
            <w:noWrap/>
            <w:vAlign w:val="bottom"/>
            <w:hideMark/>
          </w:tcPr>
          <w:p w:rsidR="00EC06FD" w:rsidRDefault="00F346DE">
            <w:pPr>
              <w:suppressAutoHyphens/>
              <w:spacing w:line="276" w:lineRule="auto"/>
              <w:rPr>
                <w:rFonts w:cs="Arial"/>
                <w:noProof/>
              </w:rPr>
            </w:pPr>
            <w:r>
              <w:rPr>
                <w:rFonts w:cs="Arial"/>
                <w:noProof/>
              </w:rPr>
              <w:t>safe solutions for the final disposal of nuclear waste</w:t>
            </w:r>
          </w:p>
        </w:tc>
        <w:tc>
          <w:tcPr>
            <w:tcW w:w="709"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65%</w:t>
            </w:r>
          </w:p>
        </w:tc>
      </w:tr>
      <w:tr w:rsidR="00EC06FD">
        <w:trPr>
          <w:trHeight w:val="255"/>
          <w:jc w:val="center"/>
        </w:trPr>
        <w:tc>
          <w:tcPr>
            <w:tcW w:w="7528" w:type="dxa"/>
            <w:shd w:val="clear" w:color="auto" w:fill="auto"/>
            <w:noWrap/>
            <w:vAlign w:val="bottom"/>
            <w:hideMark/>
          </w:tcPr>
          <w:p w:rsidR="00EC06FD" w:rsidRDefault="00F346DE">
            <w:pPr>
              <w:suppressAutoHyphens/>
              <w:spacing w:line="276" w:lineRule="auto"/>
              <w:rPr>
                <w:rFonts w:cs="Arial"/>
                <w:noProof/>
              </w:rPr>
            </w:pPr>
            <w:r>
              <w:rPr>
                <w:rFonts w:cs="Arial"/>
                <w:noProof/>
              </w:rPr>
              <w:t>safe solutions for the storage of nuclear waste</w:t>
            </w:r>
          </w:p>
        </w:tc>
        <w:tc>
          <w:tcPr>
            <w:tcW w:w="709"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61%</w:t>
            </w:r>
          </w:p>
        </w:tc>
      </w:tr>
      <w:tr w:rsidR="00EC06FD">
        <w:trPr>
          <w:trHeight w:val="255"/>
          <w:jc w:val="center"/>
        </w:trPr>
        <w:tc>
          <w:tcPr>
            <w:tcW w:w="7528" w:type="dxa"/>
            <w:shd w:val="clear" w:color="auto" w:fill="auto"/>
            <w:noWrap/>
            <w:vAlign w:val="bottom"/>
            <w:hideMark/>
          </w:tcPr>
          <w:p w:rsidR="00EC06FD" w:rsidRDefault="00F346DE">
            <w:pPr>
              <w:suppressAutoHyphens/>
              <w:spacing w:line="276" w:lineRule="auto"/>
              <w:rPr>
                <w:rFonts w:cs="Arial"/>
                <w:noProof/>
              </w:rPr>
            </w:pPr>
            <w:r>
              <w:rPr>
                <w:rFonts w:cs="Arial"/>
                <w:noProof/>
              </w:rPr>
              <w:t>radiation protection in Europe</w:t>
            </w:r>
          </w:p>
        </w:tc>
        <w:tc>
          <w:tcPr>
            <w:tcW w:w="709"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60%</w:t>
            </w:r>
          </w:p>
        </w:tc>
      </w:tr>
      <w:tr w:rsidR="00EC06FD">
        <w:trPr>
          <w:trHeight w:val="255"/>
          <w:jc w:val="center"/>
        </w:trPr>
        <w:tc>
          <w:tcPr>
            <w:tcW w:w="7528" w:type="dxa"/>
            <w:shd w:val="clear" w:color="auto" w:fill="auto"/>
            <w:noWrap/>
            <w:vAlign w:val="bottom"/>
            <w:hideMark/>
          </w:tcPr>
          <w:p w:rsidR="00EC06FD" w:rsidRDefault="00F346DE">
            <w:pPr>
              <w:suppressAutoHyphens/>
              <w:spacing w:line="276" w:lineRule="auto"/>
              <w:rPr>
                <w:rFonts w:cs="Arial"/>
                <w:noProof/>
              </w:rPr>
            </w:pPr>
            <w:r>
              <w:rPr>
                <w:rFonts w:cs="Arial"/>
                <w:noProof/>
              </w:rPr>
              <w:t>EU position in fusion research</w:t>
            </w:r>
          </w:p>
        </w:tc>
        <w:tc>
          <w:tcPr>
            <w:tcW w:w="709"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60%</w:t>
            </w:r>
          </w:p>
        </w:tc>
      </w:tr>
      <w:tr w:rsidR="00EC06FD">
        <w:trPr>
          <w:trHeight w:val="255"/>
          <w:jc w:val="center"/>
        </w:trPr>
        <w:tc>
          <w:tcPr>
            <w:tcW w:w="7528" w:type="dxa"/>
            <w:shd w:val="clear" w:color="auto" w:fill="auto"/>
            <w:noWrap/>
            <w:vAlign w:val="bottom"/>
            <w:hideMark/>
          </w:tcPr>
          <w:p w:rsidR="00EC06FD" w:rsidRDefault="00F346DE">
            <w:pPr>
              <w:suppressAutoHyphens/>
              <w:spacing w:line="276" w:lineRule="auto"/>
              <w:rPr>
                <w:rFonts w:cs="Arial"/>
                <w:noProof/>
              </w:rPr>
            </w:pPr>
            <w:r>
              <w:rPr>
                <w:rFonts w:cs="Arial"/>
                <w:noProof/>
              </w:rPr>
              <w:t>Partitioning and transmutation of nuclear waste</w:t>
            </w:r>
          </w:p>
        </w:tc>
        <w:tc>
          <w:tcPr>
            <w:tcW w:w="709"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58%</w:t>
            </w:r>
          </w:p>
        </w:tc>
      </w:tr>
      <w:tr w:rsidR="00EC06FD">
        <w:trPr>
          <w:trHeight w:val="255"/>
          <w:jc w:val="center"/>
        </w:trPr>
        <w:tc>
          <w:tcPr>
            <w:tcW w:w="7528" w:type="dxa"/>
            <w:shd w:val="clear" w:color="auto" w:fill="auto"/>
            <w:noWrap/>
            <w:vAlign w:val="bottom"/>
            <w:hideMark/>
          </w:tcPr>
          <w:p w:rsidR="00EC06FD" w:rsidRDefault="00F346DE">
            <w:pPr>
              <w:suppressAutoHyphens/>
              <w:spacing w:line="276" w:lineRule="auto"/>
              <w:rPr>
                <w:rFonts w:cs="Arial"/>
                <w:noProof/>
              </w:rPr>
            </w:pPr>
            <w:r>
              <w:rPr>
                <w:rFonts w:cs="Arial"/>
                <w:noProof/>
              </w:rPr>
              <w:t>Development of radiation protection aspects of medical applications of radiation</w:t>
            </w:r>
          </w:p>
        </w:tc>
        <w:tc>
          <w:tcPr>
            <w:tcW w:w="709"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52%</w:t>
            </w:r>
          </w:p>
        </w:tc>
      </w:tr>
      <w:tr w:rsidR="00EC06FD">
        <w:trPr>
          <w:trHeight w:val="255"/>
          <w:jc w:val="center"/>
        </w:trPr>
        <w:tc>
          <w:tcPr>
            <w:tcW w:w="7528" w:type="dxa"/>
            <w:shd w:val="clear" w:color="auto" w:fill="auto"/>
            <w:noWrap/>
            <w:vAlign w:val="bottom"/>
            <w:hideMark/>
          </w:tcPr>
          <w:p w:rsidR="00EC06FD" w:rsidRDefault="00F346DE">
            <w:pPr>
              <w:suppressAutoHyphens/>
              <w:spacing w:line="276" w:lineRule="auto"/>
              <w:rPr>
                <w:rFonts w:cs="Arial"/>
                <w:noProof/>
              </w:rPr>
            </w:pPr>
            <w:r>
              <w:rPr>
                <w:rFonts w:cs="Arial"/>
                <w:noProof/>
              </w:rPr>
              <w:t>Development of the supply and use of radioisotopes</w:t>
            </w:r>
          </w:p>
        </w:tc>
        <w:tc>
          <w:tcPr>
            <w:tcW w:w="709"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47%</w:t>
            </w:r>
          </w:p>
        </w:tc>
      </w:tr>
    </w:tbl>
    <w:p w:rsidR="00EC06FD" w:rsidRDefault="00EC06FD">
      <w:pPr>
        <w:pStyle w:val="ListParagraph"/>
        <w:suppressAutoHyphens/>
        <w:spacing w:after="0" w:line="276" w:lineRule="auto"/>
        <w:ind w:left="360"/>
        <w:rPr>
          <w:noProof/>
        </w:rPr>
      </w:pPr>
    </w:p>
    <w:p w:rsidR="00EC06FD" w:rsidRDefault="00F346DE">
      <w:pPr>
        <w:pStyle w:val="ListParagraph"/>
        <w:numPr>
          <w:ilvl w:val="0"/>
          <w:numId w:val="32"/>
        </w:numPr>
        <w:suppressAutoHyphens/>
        <w:spacing w:after="0" w:line="276" w:lineRule="auto"/>
        <w:rPr>
          <w:noProof/>
        </w:rPr>
      </w:pPr>
      <w:r>
        <w:rPr>
          <w:noProof/>
        </w:rPr>
        <w:t>Stakeholders were asked to rate different implementation aspects of the current Euratom Programme (answers 'good' and 'acceptable' put together):</w:t>
      </w:r>
    </w:p>
    <w:tbl>
      <w:tblPr>
        <w:tblW w:w="7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3"/>
        <w:gridCol w:w="656"/>
      </w:tblGrid>
      <w:tr w:rsidR="00EC06FD">
        <w:trPr>
          <w:trHeight w:val="255"/>
          <w:jc w:val="center"/>
        </w:trPr>
        <w:tc>
          <w:tcPr>
            <w:tcW w:w="7103" w:type="dxa"/>
            <w:shd w:val="clear" w:color="auto" w:fill="auto"/>
            <w:noWrap/>
            <w:vAlign w:val="bottom"/>
            <w:hideMark/>
          </w:tcPr>
          <w:p w:rsidR="00EC06FD" w:rsidRDefault="00F346DE">
            <w:pPr>
              <w:suppressAutoHyphens/>
              <w:spacing w:line="276" w:lineRule="auto"/>
              <w:rPr>
                <w:rFonts w:cs="Arial"/>
                <w:noProof/>
              </w:rPr>
            </w:pPr>
            <w:r>
              <w:rPr>
                <w:rFonts w:cs="Arial"/>
                <w:noProof/>
              </w:rPr>
              <w:t>Contents of the calls for proposals</w:t>
            </w:r>
          </w:p>
        </w:tc>
        <w:tc>
          <w:tcPr>
            <w:tcW w:w="60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69%</w:t>
            </w:r>
          </w:p>
        </w:tc>
      </w:tr>
      <w:tr w:rsidR="00EC06FD">
        <w:trPr>
          <w:trHeight w:val="255"/>
          <w:jc w:val="center"/>
        </w:trPr>
        <w:tc>
          <w:tcPr>
            <w:tcW w:w="7103" w:type="dxa"/>
            <w:shd w:val="clear" w:color="auto" w:fill="auto"/>
            <w:noWrap/>
            <w:vAlign w:val="bottom"/>
            <w:hideMark/>
          </w:tcPr>
          <w:p w:rsidR="00EC06FD" w:rsidRDefault="00F346DE">
            <w:pPr>
              <w:suppressAutoHyphens/>
              <w:spacing w:line="276" w:lineRule="auto"/>
              <w:rPr>
                <w:rFonts w:cs="Arial"/>
                <w:noProof/>
              </w:rPr>
            </w:pPr>
            <w:r>
              <w:rPr>
                <w:rFonts w:cs="Arial"/>
                <w:noProof/>
              </w:rPr>
              <w:t>Clarity in the text presenting the calls for proposals</w:t>
            </w:r>
          </w:p>
        </w:tc>
        <w:tc>
          <w:tcPr>
            <w:tcW w:w="60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67%</w:t>
            </w:r>
          </w:p>
        </w:tc>
      </w:tr>
      <w:tr w:rsidR="00EC06FD">
        <w:trPr>
          <w:trHeight w:val="255"/>
          <w:jc w:val="center"/>
        </w:trPr>
        <w:tc>
          <w:tcPr>
            <w:tcW w:w="7103" w:type="dxa"/>
            <w:shd w:val="clear" w:color="auto" w:fill="auto"/>
            <w:noWrap/>
            <w:vAlign w:val="bottom"/>
            <w:hideMark/>
          </w:tcPr>
          <w:p w:rsidR="00EC06FD" w:rsidRDefault="00F346DE">
            <w:pPr>
              <w:suppressAutoHyphens/>
              <w:spacing w:line="276" w:lineRule="auto"/>
              <w:rPr>
                <w:rFonts w:cs="Arial"/>
                <w:noProof/>
              </w:rPr>
            </w:pPr>
            <w:r>
              <w:rPr>
                <w:rFonts w:cs="Arial"/>
                <w:noProof/>
              </w:rPr>
              <w:t>Frequency of calls for proposals</w:t>
            </w:r>
          </w:p>
        </w:tc>
        <w:tc>
          <w:tcPr>
            <w:tcW w:w="60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65%</w:t>
            </w:r>
          </w:p>
        </w:tc>
      </w:tr>
      <w:tr w:rsidR="00EC06FD">
        <w:trPr>
          <w:trHeight w:val="255"/>
          <w:jc w:val="center"/>
        </w:trPr>
        <w:tc>
          <w:tcPr>
            <w:tcW w:w="7103" w:type="dxa"/>
            <w:shd w:val="clear" w:color="auto" w:fill="auto"/>
            <w:noWrap/>
            <w:vAlign w:val="bottom"/>
            <w:hideMark/>
          </w:tcPr>
          <w:p w:rsidR="00EC06FD" w:rsidRDefault="00F346DE">
            <w:pPr>
              <w:suppressAutoHyphens/>
              <w:spacing w:line="276" w:lineRule="auto"/>
              <w:rPr>
                <w:rFonts w:cs="Arial"/>
                <w:noProof/>
              </w:rPr>
            </w:pPr>
            <w:r>
              <w:rPr>
                <w:rFonts w:cs="Arial"/>
                <w:noProof/>
              </w:rPr>
              <w:t>Time taken to evaluate and select proposals</w:t>
            </w:r>
          </w:p>
        </w:tc>
        <w:tc>
          <w:tcPr>
            <w:tcW w:w="60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65%</w:t>
            </w:r>
          </w:p>
        </w:tc>
      </w:tr>
      <w:tr w:rsidR="00EC06FD">
        <w:trPr>
          <w:trHeight w:val="255"/>
          <w:jc w:val="center"/>
        </w:trPr>
        <w:tc>
          <w:tcPr>
            <w:tcW w:w="7103" w:type="dxa"/>
            <w:shd w:val="clear" w:color="auto" w:fill="auto"/>
            <w:noWrap/>
            <w:vAlign w:val="bottom"/>
            <w:hideMark/>
          </w:tcPr>
          <w:p w:rsidR="00EC06FD" w:rsidRDefault="00F346DE">
            <w:pPr>
              <w:suppressAutoHyphens/>
              <w:spacing w:line="276" w:lineRule="auto"/>
              <w:rPr>
                <w:rFonts w:cs="Arial"/>
                <w:noProof/>
              </w:rPr>
            </w:pPr>
            <w:r>
              <w:rPr>
                <w:rFonts w:cs="Arial"/>
                <w:noProof/>
              </w:rPr>
              <w:t>Procedures for project monitoring and reporting</w:t>
            </w:r>
          </w:p>
        </w:tc>
        <w:tc>
          <w:tcPr>
            <w:tcW w:w="60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62%</w:t>
            </w:r>
          </w:p>
        </w:tc>
      </w:tr>
      <w:tr w:rsidR="00EC06FD">
        <w:trPr>
          <w:trHeight w:val="255"/>
          <w:jc w:val="center"/>
        </w:trPr>
        <w:tc>
          <w:tcPr>
            <w:tcW w:w="7103" w:type="dxa"/>
            <w:shd w:val="clear" w:color="auto" w:fill="auto"/>
            <w:noWrap/>
            <w:vAlign w:val="bottom"/>
            <w:hideMark/>
          </w:tcPr>
          <w:p w:rsidR="00EC06FD" w:rsidRDefault="00F346DE">
            <w:pPr>
              <w:suppressAutoHyphens/>
              <w:spacing w:line="276" w:lineRule="auto"/>
              <w:rPr>
                <w:rFonts w:cs="Arial"/>
                <w:noProof/>
              </w:rPr>
            </w:pPr>
            <w:r>
              <w:rPr>
                <w:rFonts w:cs="Arial"/>
                <w:noProof/>
              </w:rPr>
              <w:t>Balance between control and trust of beneficiaries</w:t>
            </w:r>
          </w:p>
        </w:tc>
        <w:tc>
          <w:tcPr>
            <w:tcW w:w="60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61%</w:t>
            </w:r>
          </w:p>
        </w:tc>
      </w:tr>
      <w:tr w:rsidR="00EC06FD">
        <w:trPr>
          <w:trHeight w:val="255"/>
          <w:jc w:val="center"/>
        </w:trPr>
        <w:tc>
          <w:tcPr>
            <w:tcW w:w="7103" w:type="dxa"/>
            <w:shd w:val="clear" w:color="auto" w:fill="auto"/>
            <w:noWrap/>
            <w:vAlign w:val="bottom"/>
            <w:hideMark/>
          </w:tcPr>
          <w:p w:rsidR="00EC06FD" w:rsidRDefault="00F346DE">
            <w:pPr>
              <w:suppressAutoHyphens/>
              <w:spacing w:line="276" w:lineRule="auto"/>
              <w:rPr>
                <w:rFonts w:cs="Arial"/>
                <w:noProof/>
              </w:rPr>
            </w:pPr>
            <w:r>
              <w:rPr>
                <w:rFonts w:cs="Arial"/>
                <w:noProof/>
              </w:rPr>
              <w:t>Communication activities to attract applicants</w:t>
            </w:r>
          </w:p>
        </w:tc>
        <w:tc>
          <w:tcPr>
            <w:tcW w:w="60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61%</w:t>
            </w:r>
          </w:p>
        </w:tc>
      </w:tr>
      <w:tr w:rsidR="00EC06FD">
        <w:trPr>
          <w:trHeight w:val="255"/>
          <w:jc w:val="center"/>
        </w:trPr>
        <w:tc>
          <w:tcPr>
            <w:tcW w:w="7103" w:type="dxa"/>
            <w:shd w:val="clear" w:color="auto" w:fill="auto"/>
            <w:noWrap/>
            <w:vAlign w:val="bottom"/>
            <w:hideMark/>
          </w:tcPr>
          <w:p w:rsidR="00EC06FD" w:rsidRDefault="00F346DE">
            <w:pPr>
              <w:suppressAutoHyphens/>
              <w:spacing w:line="276" w:lineRule="auto"/>
              <w:rPr>
                <w:rFonts w:cs="Arial"/>
                <w:noProof/>
              </w:rPr>
            </w:pPr>
            <w:r>
              <w:rPr>
                <w:rFonts w:cs="Arial"/>
                <w:noProof/>
              </w:rPr>
              <w:t>Time taken to establish contracts and launch projects</w:t>
            </w:r>
          </w:p>
        </w:tc>
        <w:tc>
          <w:tcPr>
            <w:tcW w:w="60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61%</w:t>
            </w:r>
          </w:p>
        </w:tc>
      </w:tr>
      <w:tr w:rsidR="00EC06FD">
        <w:trPr>
          <w:trHeight w:val="255"/>
          <w:jc w:val="center"/>
        </w:trPr>
        <w:tc>
          <w:tcPr>
            <w:tcW w:w="7103" w:type="dxa"/>
            <w:shd w:val="clear" w:color="auto" w:fill="auto"/>
            <w:noWrap/>
            <w:vAlign w:val="bottom"/>
            <w:hideMark/>
          </w:tcPr>
          <w:p w:rsidR="00EC06FD" w:rsidRDefault="00F346DE">
            <w:pPr>
              <w:suppressAutoHyphens/>
              <w:spacing w:line="276" w:lineRule="auto"/>
              <w:rPr>
                <w:rFonts w:cs="Arial"/>
                <w:noProof/>
              </w:rPr>
            </w:pPr>
            <w:r>
              <w:rPr>
                <w:rFonts w:cs="Arial"/>
                <w:noProof/>
              </w:rPr>
              <w:t>Support of the EC services during grant preparation and implementation</w:t>
            </w:r>
          </w:p>
        </w:tc>
        <w:tc>
          <w:tcPr>
            <w:tcW w:w="60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58%</w:t>
            </w:r>
          </w:p>
        </w:tc>
      </w:tr>
      <w:tr w:rsidR="00EC06FD">
        <w:trPr>
          <w:trHeight w:val="255"/>
          <w:jc w:val="center"/>
        </w:trPr>
        <w:tc>
          <w:tcPr>
            <w:tcW w:w="7103" w:type="dxa"/>
            <w:shd w:val="clear" w:color="auto" w:fill="auto"/>
            <w:noWrap/>
            <w:vAlign w:val="bottom"/>
            <w:hideMark/>
          </w:tcPr>
          <w:p w:rsidR="00EC06FD" w:rsidRDefault="00F346DE">
            <w:pPr>
              <w:suppressAutoHyphens/>
              <w:spacing w:line="276" w:lineRule="auto"/>
              <w:rPr>
                <w:rFonts w:cs="Arial"/>
                <w:noProof/>
              </w:rPr>
            </w:pPr>
            <w:r>
              <w:rPr>
                <w:rFonts w:cs="Arial"/>
                <w:noProof/>
              </w:rPr>
              <w:t>Time taken to issue payments to grant holders</w:t>
            </w:r>
          </w:p>
        </w:tc>
        <w:tc>
          <w:tcPr>
            <w:tcW w:w="60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58%</w:t>
            </w:r>
          </w:p>
        </w:tc>
      </w:tr>
      <w:tr w:rsidR="00EC06FD">
        <w:trPr>
          <w:trHeight w:val="255"/>
          <w:jc w:val="center"/>
        </w:trPr>
        <w:tc>
          <w:tcPr>
            <w:tcW w:w="7103" w:type="dxa"/>
            <w:shd w:val="clear" w:color="auto" w:fill="auto"/>
            <w:noWrap/>
            <w:vAlign w:val="bottom"/>
            <w:hideMark/>
          </w:tcPr>
          <w:p w:rsidR="00EC06FD" w:rsidRDefault="00F346DE">
            <w:pPr>
              <w:suppressAutoHyphens/>
              <w:spacing w:line="276" w:lineRule="auto"/>
              <w:rPr>
                <w:rFonts w:cs="Arial"/>
                <w:noProof/>
              </w:rPr>
            </w:pPr>
            <w:r>
              <w:rPr>
                <w:rFonts w:cs="Arial"/>
                <w:noProof/>
              </w:rPr>
              <w:t>Balance between new research stakeholders and established organisations</w:t>
            </w:r>
          </w:p>
        </w:tc>
        <w:tc>
          <w:tcPr>
            <w:tcW w:w="60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57%</w:t>
            </w:r>
          </w:p>
        </w:tc>
      </w:tr>
      <w:tr w:rsidR="00EC06FD">
        <w:trPr>
          <w:trHeight w:val="255"/>
          <w:jc w:val="center"/>
        </w:trPr>
        <w:tc>
          <w:tcPr>
            <w:tcW w:w="7103" w:type="dxa"/>
            <w:shd w:val="clear" w:color="auto" w:fill="auto"/>
            <w:noWrap/>
            <w:vAlign w:val="bottom"/>
            <w:hideMark/>
          </w:tcPr>
          <w:p w:rsidR="00EC06FD" w:rsidRDefault="00F346DE">
            <w:pPr>
              <w:suppressAutoHyphens/>
              <w:spacing w:line="276" w:lineRule="auto"/>
              <w:rPr>
                <w:rFonts w:cs="Arial"/>
                <w:noProof/>
              </w:rPr>
            </w:pPr>
            <w:r>
              <w:rPr>
                <w:rFonts w:cs="Arial"/>
                <w:noProof/>
              </w:rPr>
              <w:t>Quality of the feedback received by participants in the evaluation process</w:t>
            </w:r>
          </w:p>
        </w:tc>
        <w:tc>
          <w:tcPr>
            <w:tcW w:w="60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56%</w:t>
            </w:r>
          </w:p>
        </w:tc>
      </w:tr>
      <w:tr w:rsidR="00EC06FD">
        <w:trPr>
          <w:trHeight w:val="255"/>
          <w:jc w:val="center"/>
        </w:trPr>
        <w:tc>
          <w:tcPr>
            <w:tcW w:w="7103" w:type="dxa"/>
            <w:shd w:val="clear" w:color="auto" w:fill="auto"/>
            <w:noWrap/>
            <w:vAlign w:val="bottom"/>
            <w:hideMark/>
          </w:tcPr>
          <w:p w:rsidR="00EC06FD" w:rsidRDefault="00F346DE">
            <w:pPr>
              <w:suppressAutoHyphens/>
              <w:spacing w:line="276" w:lineRule="auto"/>
              <w:rPr>
                <w:rFonts w:cs="Arial"/>
                <w:noProof/>
              </w:rPr>
            </w:pPr>
            <w:r>
              <w:rPr>
                <w:rFonts w:cs="Arial"/>
                <w:noProof/>
              </w:rPr>
              <w:t>Balance in calls between small and large projects</w:t>
            </w:r>
          </w:p>
        </w:tc>
        <w:tc>
          <w:tcPr>
            <w:tcW w:w="60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55%</w:t>
            </w:r>
          </w:p>
        </w:tc>
      </w:tr>
      <w:tr w:rsidR="00EC06FD">
        <w:trPr>
          <w:trHeight w:val="255"/>
          <w:jc w:val="center"/>
        </w:trPr>
        <w:tc>
          <w:tcPr>
            <w:tcW w:w="7103" w:type="dxa"/>
            <w:shd w:val="clear" w:color="auto" w:fill="auto"/>
            <w:noWrap/>
            <w:vAlign w:val="bottom"/>
            <w:hideMark/>
          </w:tcPr>
          <w:p w:rsidR="00EC06FD" w:rsidRDefault="00F346DE">
            <w:pPr>
              <w:suppressAutoHyphens/>
              <w:spacing w:line="276" w:lineRule="auto"/>
              <w:rPr>
                <w:rFonts w:cs="Arial"/>
                <w:noProof/>
              </w:rPr>
            </w:pPr>
            <w:r>
              <w:rPr>
                <w:rFonts w:cs="Arial"/>
                <w:noProof/>
              </w:rPr>
              <w:t>Acceptance of the organisations usual accounting practices</w:t>
            </w:r>
          </w:p>
        </w:tc>
        <w:tc>
          <w:tcPr>
            <w:tcW w:w="60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54%</w:t>
            </w:r>
          </w:p>
        </w:tc>
      </w:tr>
      <w:tr w:rsidR="00EC06FD">
        <w:trPr>
          <w:trHeight w:val="255"/>
          <w:jc w:val="center"/>
        </w:trPr>
        <w:tc>
          <w:tcPr>
            <w:tcW w:w="7103" w:type="dxa"/>
            <w:shd w:val="clear" w:color="auto" w:fill="auto"/>
            <w:noWrap/>
            <w:vAlign w:val="bottom"/>
            <w:hideMark/>
          </w:tcPr>
          <w:p w:rsidR="00EC06FD" w:rsidRDefault="00F346DE">
            <w:pPr>
              <w:suppressAutoHyphens/>
              <w:spacing w:line="276" w:lineRule="auto"/>
              <w:rPr>
                <w:rFonts w:cs="Arial"/>
                <w:noProof/>
              </w:rPr>
            </w:pPr>
            <w:r>
              <w:rPr>
                <w:rFonts w:cs="Arial"/>
                <w:noProof/>
              </w:rPr>
              <w:t>Actions helping to close the research and innovation gap in Europe, in particular concerning Member States which acceded the EU and Euratom in 2004 or later</w:t>
            </w:r>
          </w:p>
        </w:tc>
        <w:tc>
          <w:tcPr>
            <w:tcW w:w="60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49%</w:t>
            </w:r>
          </w:p>
        </w:tc>
      </w:tr>
    </w:tbl>
    <w:p w:rsidR="00EC06FD" w:rsidRDefault="00EC06FD">
      <w:pPr>
        <w:pStyle w:val="ListParagraph"/>
        <w:suppressAutoHyphens/>
        <w:spacing w:after="0" w:line="276" w:lineRule="auto"/>
        <w:ind w:left="0"/>
        <w:rPr>
          <w:noProof/>
        </w:rPr>
      </w:pPr>
    </w:p>
    <w:p w:rsidR="00EC06FD" w:rsidRDefault="00F346DE">
      <w:pPr>
        <w:pStyle w:val="ListParagraph"/>
        <w:numPr>
          <w:ilvl w:val="0"/>
          <w:numId w:val="32"/>
        </w:numPr>
        <w:suppressAutoHyphens/>
        <w:spacing w:after="0" w:line="276" w:lineRule="auto"/>
        <w:rPr>
          <w:noProof/>
        </w:rPr>
      </w:pPr>
      <w:r>
        <w:rPr>
          <w:bCs/>
          <w:noProof/>
        </w:rPr>
        <w:t xml:space="preserve">Regarding the question whether benefits of participating in the Euratom project exceed the costs of participation, 62% respondents indicated that benefits either strongly (33%) or slightly (29%) outweigh costs. </w:t>
      </w:r>
    </w:p>
    <w:p w:rsidR="00EC06FD" w:rsidRDefault="00EC06FD">
      <w:pPr>
        <w:pStyle w:val="ListParagraph"/>
        <w:suppressAutoHyphens/>
        <w:spacing w:after="0" w:line="276" w:lineRule="auto"/>
        <w:ind w:left="0"/>
        <w:rPr>
          <w:noProof/>
        </w:rPr>
      </w:pPr>
    </w:p>
    <w:p w:rsidR="00EC06FD" w:rsidRDefault="00F346DE">
      <w:pPr>
        <w:pStyle w:val="ListParagraph"/>
        <w:numPr>
          <w:ilvl w:val="0"/>
          <w:numId w:val="32"/>
        </w:numPr>
        <w:suppressAutoHyphens/>
        <w:spacing w:after="0" w:line="276" w:lineRule="auto"/>
        <w:rPr>
          <w:bCs/>
          <w:noProof/>
        </w:rPr>
      </w:pPr>
      <w:r>
        <w:rPr>
          <w:bCs/>
          <w:noProof/>
        </w:rPr>
        <w:lastRenderedPageBreak/>
        <w:t xml:space="preserve">76% respondents agreed that participation of research entities from non-EU countries brings added value to the Euratom Programme. </w:t>
      </w:r>
    </w:p>
    <w:p w:rsidR="00EC06FD" w:rsidRDefault="00EC06FD">
      <w:pPr>
        <w:pStyle w:val="ListParagraph"/>
        <w:suppressAutoHyphens/>
        <w:spacing w:after="0" w:line="276" w:lineRule="auto"/>
        <w:ind w:left="360"/>
        <w:rPr>
          <w:bCs/>
          <w:noProof/>
        </w:rPr>
      </w:pPr>
    </w:p>
    <w:p w:rsidR="00EC06FD" w:rsidRDefault="00F346DE">
      <w:pPr>
        <w:pStyle w:val="ListParagraph"/>
        <w:numPr>
          <w:ilvl w:val="0"/>
          <w:numId w:val="32"/>
        </w:numPr>
        <w:suppressAutoHyphens/>
        <w:spacing w:after="0" w:line="276" w:lineRule="auto"/>
        <w:rPr>
          <w:bCs/>
          <w:noProof/>
        </w:rPr>
      </w:pPr>
      <w:r>
        <w:rPr>
          <w:bCs/>
          <w:noProof/>
        </w:rPr>
        <w:t xml:space="preserve">Very strong support for education and training under current programme - 94% respondent replied 'yes' to the question </w:t>
      </w:r>
      <w:r>
        <w:rPr>
          <w:bCs/>
          <w:i/>
          <w:noProof/>
        </w:rPr>
        <w:t>'Should education and training activities be supported by Euratom Programme?</w:t>
      </w:r>
      <w:r>
        <w:rPr>
          <w:bCs/>
          <w:noProof/>
        </w:rPr>
        <w:t>' And 36% replied that E&amp;T is not sufficiently supported by the Programme</w:t>
      </w:r>
    </w:p>
    <w:p w:rsidR="00EC06FD" w:rsidRDefault="00EC06FD">
      <w:pPr>
        <w:suppressAutoHyphens/>
        <w:spacing w:line="276" w:lineRule="auto"/>
        <w:jc w:val="both"/>
        <w:rPr>
          <w:b/>
          <w:bCs/>
          <w:noProof/>
          <w:u w:val="single"/>
        </w:rPr>
      </w:pPr>
    </w:p>
    <w:p w:rsidR="00EC06FD" w:rsidRDefault="00F346DE">
      <w:pPr>
        <w:pStyle w:val="ListParagraph"/>
        <w:numPr>
          <w:ilvl w:val="0"/>
          <w:numId w:val="32"/>
        </w:numPr>
        <w:suppressAutoHyphens/>
        <w:spacing w:after="0" w:line="276" w:lineRule="auto"/>
        <w:rPr>
          <w:noProof/>
        </w:rPr>
      </w:pPr>
      <w:r>
        <w:rPr>
          <w:noProof/>
        </w:rPr>
        <w:t xml:space="preserve">34% of respondents answered yes to the question on whether new organisation of fusion R&amp;D (roadmap implemented by EUROfusion) is an improvement. A smaller number of respondents were positive regarding transition to joint programming and appropriateness of the instrument (27% and 25% respectively). However for all three questions, the same percentage of respondents (59%) did not know answer. </w:t>
      </w:r>
    </w:p>
    <w:p w:rsidR="00EC06FD" w:rsidRDefault="00EC06FD">
      <w:pPr>
        <w:pStyle w:val="ListParagraph"/>
        <w:suppressAutoHyphens/>
        <w:spacing w:after="0" w:line="276" w:lineRule="auto"/>
        <w:ind w:left="360"/>
        <w:rPr>
          <w:noProof/>
        </w:rPr>
      </w:pPr>
    </w:p>
    <w:p w:rsidR="00EC06FD" w:rsidRDefault="00F346DE">
      <w:pPr>
        <w:pStyle w:val="ListParagraph"/>
        <w:numPr>
          <w:ilvl w:val="0"/>
          <w:numId w:val="32"/>
        </w:numPr>
        <w:suppressAutoHyphens/>
        <w:spacing w:after="0" w:line="276" w:lineRule="auto"/>
        <w:rPr>
          <w:bCs/>
          <w:noProof/>
        </w:rPr>
      </w:pPr>
      <w:r>
        <w:rPr>
          <w:noProof/>
        </w:rPr>
        <w:t>An overwhelming majority of respondents (84%) agreed that the current Euratom Programme's objectives should be continued in the next Euratom Programme</w:t>
      </w:r>
    </w:p>
    <w:p w:rsidR="00EC06FD" w:rsidRDefault="00F346DE">
      <w:pPr>
        <w:pStyle w:val="ListParagraph"/>
        <w:numPr>
          <w:ilvl w:val="0"/>
          <w:numId w:val="32"/>
        </w:numPr>
        <w:suppressAutoHyphens/>
        <w:spacing w:after="0" w:line="276" w:lineRule="auto"/>
        <w:rPr>
          <w:noProof/>
        </w:rPr>
      </w:pPr>
      <w:r>
        <w:rPr>
          <w:noProof/>
        </w:rPr>
        <w:t>When asked about specific fields of nuclear research respondents indicated (answers 'agree' and 'strongly agree' put together):</w:t>
      </w:r>
    </w:p>
    <w:p w:rsidR="00EC06FD" w:rsidRDefault="00EC06FD">
      <w:pPr>
        <w:pStyle w:val="ListParagraph"/>
        <w:suppressAutoHyphens/>
        <w:spacing w:after="0" w:line="276" w:lineRule="auto"/>
        <w:ind w:left="0"/>
        <w:rPr>
          <w:noProof/>
        </w:rPr>
      </w:pP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0"/>
        <w:gridCol w:w="709"/>
      </w:tblGrid>
      <w:tr w:rsidR="00EC06FD">
        <w:trPr>
          <w:trHeight w:val="255"/>
          <w:jc w:val="center"/>
        </w:trPr>
        <w:tc>
          <w:tcPr>
            <w:tcW w:w="8520" w:type="dxa"/>
            <w:shd w:val="clear" w:color="auto" w:fill="auto"/>
            <w:noWrap/>
            <w:vAlign w:val="bottom"/>
            <w:hideMark/>
          </w:tcPr>
          <w:p w:rsidR="00EC06FD" w:rsidRDefault="00F346DE">
            <w:pPr>
              <w:suppressAutoHyphens/>
              <w:spacing w:line="276" w:lineRule="auto"/>
              <w:rPr>
                <w:rFonts w:ascii="Arial" w:hAnsi="Arial" w:cs="Arial"/>
                <w:noProof/>
                <w:sz w:val="20"/>
                <w:szCs w:val="20"/>
              </w:rPr>
            </w:pPr>
            <w:r>
              <w:rPr>
                <w:rFonts w:ascii="Arial" w:hAnsi="Arial" w:cs="Arial"/>
                <w:noProof/>
                <w:sz w:val="20"/>
                <w:szCs w:val="20"/>
              </w:rPr>
              <w:t>Supports training activities to maintain high level of nuclear competence in Europe</w:t>
            </w:r>
          </w:p>
        </w:tc>
        <w:tc>
          <w:tcPr>
            <w:tcW w:w="709" w:type="dxa"/>
            <w:shd w:val="clear" w:color="auto" w:fill="auto"/>
            <w:noWrap/>
            <w:vAlign w:val="bottom"/>
            <w:hideMark/>
          </w:tcPr>
          <w:p w:rsidR="00EC06FD" w:rsidRDefault="00F346DE">
            <w:pPr>
              <w:suppressAutoHyphens/>
              <w:spacing w:line="276" w:lineRule="auto"/>
              <w:jc w:val="right"/>
              <w:rPr>
                <w:rFonts w:ascii="Arial" w:hAnsi="Arial" w:cs="Arial"/>
                <w:noProof/>
                <w:sz w:val="20"/>
                <w:szCs w:val="20"/>
              </w:rPr>
            </w:pPr>
            <w:r>
              <w:rPr>
                <w:rFonts w:ascii="Arial" w:hAnsi="Arial" w:cs="Arial"/>
                <w:noProof/>
                <w:sz w:val="20"/>
                <w:szCs w:val="20"/>
              </w:rPr>
              <w:t>82%</w:t>
            </w:r>
          </w:p>
        </w:tc>
      </w:tr>
      <w:tr w:rsidR="00EC06FD">
        <w:trPr>
          <w:trHeight w:val="255"/>
          <w:jc w:val="center"/>
        </w:trPr>
        <w:tc>
          <w:tcPr>
            <w:tcW w:w="8520" w:type="dxa"/>
            <w:shd w:val="clear" w:color="auto" w:fill="auto"/>
            <w:noWrap/>
            <w:vAlign w:val="bottom"/>
            <w:hideMark/>
          </w:tcPr>
          <w:p w:rsidR="00EC06FD" w:rsidRDefault="00F346DE">
            <w:pPr>
              <w:suppressAutoHyphens/>
              <w:spacing w:line="276" w:lineRule="auto"/>
              <w:rPr>
                <w:rFonts w:ascii="Arial" w:hAnsi="Arial" w:cs="Arial"/>
                <w:noProof/>
                <w:sz w:val="20"/>
                <w:szCs w:val="20"/>
              </w:rPr>
            </w:pPr>
            <w:r>
              <w:rPr>
                <w:rFonts w:ascii="Arial" w:hAnsi="Arial" w:cs="Arial"/>
                <w:noProof/>
                <w:sz w:val="20"/>
                <w:szCs w:val="20"/>
              </w:rPr>
              <w:t>Ensure availability of research infrastructures of pan-European relevance</w:t>
            </w:r>
          </w:p>
        </w:tc>
        <w:tc>
          <w:tcPr>
            <w:tcW w:w="709" w:type="dxa"/>
            <w:shd w:val="clear" w:color="auto" w:fill="auto"/>
            <w:noWrap/>
            <w:vAlign w:val="bottom"/>
            <w:hideMark/>
          </w:tcPr>
          <w:p w:rsidR="00EC06FD" w:rsidRDefault="00F346DE">
            <w:pPr>
              <w:suppressAutoHyphens/>
              <w:spacing w:line="276" w:lineRule="auto"/>
              <w:jc w:val="right"/>
              <w:rPr>
                <w:rFonts w:ascii="Arial" w:hAnsi="Arial" w:cs="Arial"/>
                <w:noProof/>
                <w:sz w:val="20"/>
                <w:szCs w:val="20"/>
              </w:rPr>
            </w:pPr>
            <w:r>
              <w:rPr>
                <w:rFonts w:ascii="Arial" w:hAnsi="Arial" w:cs="Arial"/>
                <w:noProof/>
                <w:sz w:val="20"/>
                <w:szCs w:val="20"/>
              </w:rPr>
              <w:t>82%</w:t>
            </w:r>
          </w:p>
        </w:tc>
      </w:tr>
      <w:tr w:rsidR="00EC06FD">
        <w:trPr>
          <w:trHeight w:val="255"/>
          <w:jc w:val="center"/>
        </w:trPr>
        <w:tc>
          <w:tcPr>
            <w:tcW w:w="8520" w:type="dxa"/>
            <w:shd w:val="clear" w:color="auto" w:fill="auto"/>
            <w:noWrap/>
            <w:vAlign w:val="bottom"/>
            <w:hideMark/>
          </w:tcPr>
          <w:p w:rsidR="00EC06FD" w:rsidRDefault="00F346DE">
            <w:pPr>
              <w:suppressAutoHyphens/>
              <w:spacing w:line="276" w:lineRule="auto"/>
              <w:rPr>
                <w:rFonts w:ascii="Arial" w:hAnsi="Arial" w:cs="Arial"/>
                <w:noProof/>
                <w:sz w:val="20"/>
                <w:szCs w:val="20"/>
              </w:rPr>
            </w:pPr>
            <w:r>
              <w:rPr>
                <w:rFonts w:ascii="Arial" w:hAnsi="Arial" w:cs="Arial"/>
                <w:noProof/>
                <w:sz w:val="20"/>
                <w:szCs w:val="20"/>
              </w:rPr>
              <w:t>Promote innovation</w:t>
            </w:r>
          </w:p>
        </w:tc>
        <w:tc>
          <w:tcPr>
            <w:tcW w:w="709" w:type="dxa"/>
            <w:shd w:val="clear" w:color="auto" w:fill="auto"/>
            <w:noWrap/>
            <w:vAlign w:val="bottom"/>
            <w:hideMark/>
          </w:tcPr>
          <w:p w:rsidR="00EC06FD" w:rsidRDefault="00F346DE">
            <w:pPr>
              <w:suppressAutoHyphens/>
              <w:spacing w:line="276" w:lineRule="auto"/>
              <w:jc w:val="right"/>
              <w:rPr>
                <w:rFonts w:ascii="Arial" w:hAnsi="Arial" w:cs="Arial"/>
                <w:noProof/>
                <w:sz w:val="20"/>
                <w:szCs w:val="20"/>
              </w:rPr>
            </w:pPr>
            <w:r>
              <w:rPr>
                <w:rFonts w:ascii="Arial" w:hAnsi="Arial" w:cs="Arial"/>
                <w:noProof/>
                <w:sz w:val="20"/>
                <w:szCs w:val="20"/>
              </w:rPr>
              <w:t>81%</w:t>
            </w:r>
          </w:p>
        </w:tc>
      </w:tr>
      <w:tr w:rsidR="00EC06FD">
        <w:trPr>
          <w:trHeight w:val="255"/>
          <w:jc w:val="center"/>
        </w:trPr>
        <w:tc>
          <w:tcPr>
            <w:tcW w:w="8520" w:type="dxa"/>
            <w:shd w:val="clear" w:color="auto" w:fill="auto"/>
            <w:noWrap/>
            <w:vAlign w:val="bottom"/>
            <w:hideMark/>
          </w:tcPr>
          <w:p w:rsidR="00EC06FD" w:rsidRDefault="00F346DE">
            <w:pPr>
              <w:suppressAutoHyphens/>
              <w:spacing w:line="276" w:lineRule="auto"/>
              <w:rPr>
                <w:rFonts w:ascii="Arial" w:hAnsi="Arial" w:cs="Arial"/>
                <w:noProof/>
                <w:sz w:val="20"/>
                <w:szCs w:val="20"/>
              </w:rPr>
            </w:pPr>
            <w:r>
              <w:rPr>
                <w:rFonts w:ascii="Arial" w:hAnsi="Arial" w:cs="Arial"/>
                <w:noProof/>
                <w:sz w:val="20"/>
                <w:szCs w:val="20"/>
              </w:rPr>
              <w:t>Support safety of more advanced nuclear systems</w:t>
            </w:r>
          </w:p>
        </w:tc>
        <w:tc>
          <w:tcPr>
            <w:tcW w:w="709" w:type="dxa"/>
            <w:shd w:val="clear" w:color="auto" w:fill="auto"/>
            <w:noWrap/>
            <w:vAlign w:val="bottom"/>
            <w:hideMark/>
          </w:tcPr>
          <w:p w:rsidR="00EC06FD" w:rsidRDefault="00F346DE">
            <w:pPr>
              <w:suppressAutoHyphens/>
              <w:spacing w:line="276" w:lineRule="auto"/>
              <w:jc w:val="right"/>
              <w:rPr>
                <w:rFonts w:ascii="Arial" w:hAnsi="Arial" w:cs="Arial"/>
                <w:noProof/>
                <w:sz w:val="20"/>
                <w:szCs w:val="20"/>
              </w:rPr>
            </w:pPr>
            <w:r>
              <w:rPr>
                <w:rFonts w:ascii="Arial" w:hAnsi="Arial" w:cs="Arial"/>
                <w:noProof/>
                <w:sz w:val="20"/>
                <w:szCs w:val="20"/>
              </w:rPr>
              <w:t>77%</w:t>
            </w:r>
          </w:p>
        </w:tc>
      </w:tr>
      <w:tr w:rsidR="00EC06FD">
        <w:trPr>
          <w:trHeight w:val="255"/>
          <w:jc w:val="center"/>
        </w:trPr>
        <w:tc>
          <w:tcPr>
            <w:tcW w:w="8520" w:type="dxa"/>
            <w:shd w:val="clear" w:color="auto" w:fill="auto"/>
            <w:noWrap/>
            <w:vAlign w:val="bottom"/>
            <w:hideMark/>
          </w:tcPr>
          <w:p w:rsidR="00EC06FD" w:rsidRDefault="00F346DE">
            <w:pPr>
              <w:suppressAutoHyphens/>
              <w:spacing w:line="276" w:lineRule="auto"/>
              <w:rPr>
                <w:rFonts w:ascii="Arial" w:hAnsi="Arial" w:cs="Arial"/>
                <w:noProof/>
                <w:sz w:val="20"/>
                <w:szCs w:val="20"/>
              </w:rPr>
            </w:pPr>
            <w:r>
              <w:rPr>
                <w:rFonts w:ascii="Arial" w:hAnsi="Arial" w:cs="Arial"/>
                <w:noProof/>
                <w:sz w:val="20"/>
                <w:szCs w:val="20"/>
              </w:rPr>
              <w:t>Contribute to the development of safe solutions for final disposal of nuclear waste</w:t>
            </w:r>
          </w:p>
        </w:tc>
        <w:tc>
          <w:tcPr>
            <w:tcW w:w="709" w:type="dxa"/>
            <w:shd w:val="clear" w:color="auto" w:fill="auto"/>
            <w:noWrap/>
            <w:vAlign w:val="bottom"/>
            <w:hideMark/>
          </w:tcPr>
          <w:p w:rsidR="00EC06FD" w:rsidRDefault="00F346DE">
            <w:pPr>
              <w:suppressAutoHyphens/>
              <w:spacing w:line="276" w:lineRule="auto"/>
              <w:jc w:val="right"/>
              <w:rPr>
                <w:rFonts w:ascii="Arial" w:hAnsi="Arial" w:cs="Arial"/>
                <w:noProof/>
                <w:sz w:val="20"/>
                <w:szCs w:val="20"/>
              </w:rPr>
            </w:pPr>
            <w:r>
              <w:rPr>
                <w:rFonts w:ascii="Arial" w:hAnsi="Arial" w:cs="Arial"/>
                <w:noProof/>
                <w:sz w:val="20"/>
                <w:szCs w:val="20"/>
              </w:rPr>
              <w:t>73%</w:t>
            </w:r>
          </w:p>
        </w:tc>
      </w:tr>
      <w:tr w:rsidR="00EC06FD">
        <w:trPr>
          <w:trHeight w:val="255"/>
          <w:jc w:val="center"/>
        </w:trPr>
        <w:tc>
          <w:tcPr>
            <w:tcW w:w="8520" w:type="dxa"/>
            <w:shd w:val="clear" w:color="auto" w:fill="auto"/>
            <w:noWrap/>
            <w:vAlign w:val="bottom"/>
            <w:hideMark/>
          </w:tcPr>
          <w:p w:rsidR="00EC06FD" w:rsidRDefault="00F346DE">
            <w:pPr>
              <w:suppressAutoHyphens/>
              <w:spacing w:line="276" w:lineRule="auto"/>
              <w:rPr>
                <w:rFonts w:ascii="Arial" w:hAnsi="Arial" w:cs="Arial"/>
                <w:noProof/>
                <w:sz w:val="20"/>
                <w:szCs w:val="20"/>
              </w:rPr>
            </w:pPr>
            <w:r>
              <w:rPr>
                <w:rFonts w:ascii="Arial" w:hAnsi="Arial" w:cs="Arial"/>
                <w:noProof/>
                <w:sz w:val="20"/>
                <w:szCs w:val="20"/>
              </w:rPr>
              <w:t>Support safety of existing nuclear systems</w:t>
            </w:r>
          </w:p>
        </w:tc>
        <w:tc>
          <w:tcPr>
            <w:tcW w:w="709" w:type="dxa"/>
            <w:shd w:val="clear" w:color="auto" w:fill="auto"/>
            <w:noWrap/>
            <w:vAlign w:val="bottom"/>
            <w:hideMark/>
          </w:tcPr>
          <w:p w:rsidR="00EC06FD" w:rsidRDefault="00F346DE">
            <w:pPr>
              <w:suppressAutoHyphens/>
              <w:spacing w:line="276" w:lineRule="auto"/>
              <w:jc w:val="right"/>
              <w:rPr>
                <w:rFonts w:ascii="Arial" w:hAnsi="Arial" w:cs="Arial"/>
                <w:noProof/>
                <w:sz w:val="20"/>
                <w:szCs w:val="20"/>
              </w:rPr>
            </w:pPr>
            <w:r>
              <w:rPr>
                <w:rFonts w:ascii="Arial" w:hAnsi="Arial" w:cs="Arial"/>
                <w:noProof/>
                <w:sz w:val="20"/>
                <w:szCs w:val="20"/>
              </w:rPr>
              <w:t>72%</w:t>
            </w:r>
          </w:p>
        </w:tc>
      </w:tr>
      <w:tr w:rsidR="00EC06FD">
        <w:trPr>
          <w:trHeight w:val="255"/>
          <w:jc w:val="center"/>
        </w:trPr>
        <w:tc>
          <w:tcPr>
            <w:tcW w:w="8520" w:type="dxa"/>
            <w:shd w:val="clear" w:color="auto" w:fill="auto"/>
            <w:noWrap/>
            <w:vAlign w:val="bottom"/>
            <w:hideMark/>
          </w:tcPr>
          <w:p w:rsidR="00EC06FD" w:rsidRDefault="00F346DE">
            <w:pPr>
              <w:suppressAutoHyphens/>
              <w:spacing w:line="276" w:lineRule="auto"/>
              <w:rPr>
                <w:rFonts w:ascii="Arial" w:hAnsi="Arial" w:cs="Arial"/>
                <w:noProof/>
                <w:sz w:val="20"/>
                <w:szCs w:val="20"/>
              </w:rPr>
            </w:pPr>
            <w:r>
              <w:rPr>
                <w:rFonts w:ascii="Arial" w:hAnsi="Arial" w:cs="Arial"/>
                <w:noProof/>
                <w:sz w:val="20"/>
                <w:szCs w:val="20"/>
              </w:rPr>
              <w:t>Contribute to the development of safe solutions for the storage of nuclear waste</w:t>
            </w:r>
          </w:p>
        </w:tc>
        <w:tc>
          <w:tcPr>
            <w:tcW w:w="709" w:type="dxa"/>
            <w:shd w:val="clear" w:color="auto" w:fill="auto"/>
            <w:noWrap/>
            <w:vAlign w:val="bottom"/>
            <w:hideMark/>
          </w:tcPr>
          <w:p w:rsidR="00EC06FD" w:rsidRDefault="00F346DE">
            <w:pPr>
              <w:suppressAutoHyphens/>
              <w:spacing w:line="276" w:lineRule="auto"/>
              <w:jc w:val="right"/>
              <w:rPr>
                <w:rFonts w:ascii="Arial" w:hAnsi="Arial" w:cs="Arial"/>
                <w:noProof/>
                <w:sz w:val="20"/>
                <w:szCs w:val="20"/>
              </w:rPr>
            </w:pPr>
            <w:r>
              <w:rPr>
                <w:rFonts w:ascii="Arial" w:hAnsi="Arial" w:cs="Arial"/>
                <w:noProof/>
                <w:sz w:val="20"/>
                <w:szCs w:val="20"/>
              </w:rPr>
              <w:t>72%</w:t>
            </w:r>
          </w:p>
        </w:tc>
      </w:tr>
      <w:tr w:rsidR="00EC06FD">
        <w:trPr>
          <w:trHeight w:val="255"/>
          <w:jc w:val="center"/>
        </w:trPr>
        <w:tc>
          <w:tcPr>
            <w:tcW w:w="8520" w:type="dxa"/>
            <w:shd w:val="clear" w:color="auto" w:fill="auto"/>
            <w:noWrap/>
            <w:vAlign w:val="bottom"/>
            <w:hideMark/>
          </w:tcPr>
          <w:p w:rsidR="00EC06FD" w:rsidRDefault="00F346DE">
            <w:pPr>
              <w:suppressAutoHyphens/>
              <w:spacing w:line="276" w:lineRule="auto"/>
              <w:rPr>
                <w:rFonts w:ascii="Arial" w:hAnsi="Arial" w:cs="Arial"/>
                <w:noProof/>
                <w:sz w:val="20"/>
                <w:szCs w:val="20"/>
              </w:rPr>
            </w:pPr>
            <w:r>
              <w:rPr>
                <w:rFonts w:ascii="Arial" w:hAnsi="Arial" w:cs="Arial"/>
                <w:noProof/>
                <w:sz w:val="20"/>
                <w:szCs w:val="20"/>
              </w:rPr>
              <w:t>Promote industrial competitiveness</w:t>
            </w:r>
          </w:p>
        </w:tc>
        <w:tc>
          <w:tcPr>
            <w:tcW w:w="709" w:type="dxa"/>
            <w:shd w:val="clear" w:color="auto" w:fill="auto"/>
            <w:noWrap/>
            <w:vAlign w:val="bottom"/>
            <w:hideMark/>
          </w:tcPr>
          <w:p w:rsidR="00EC06FD" w:rsidRDefault="00F346DE">
            <w:pPr>
              <w:suppressAutoHyphens/>
              <w:spacing w:line="276" w:lineRule="auto"/>
              <w:jc w:val="right"/>
              <w:rPr>
                <w:rFonts w:ascii="Arial" w:hAnsi="Arial" w:cs="Arial"/>
                <w:noProof/>
                <w:sz w:val="20"/>
                <w:szCs w:val="20"/>
              </w:rPr>
            </w:pPr>
            <w:r>
              <w:rPr>
                <w:rFonts w:ascii="Arial" w:hAnsi="Arial" w:cs="Arial"/>
                <w:noProof/>
                <w:sz w:val="20"/>
                <w:szCs w:val="20"/>
              </w:rPr>
              <w:t>65%</w:t>
            </w:r>
          </w:p>
        </w:tc>
      </w:tr>
      <w:tr w:rsidR="00EC06FD">
        <w:trPr>
          <w:trHeight w:val="255"/>
          <w:jc w:val="center"/>
        </w:trPr>
        <w:tc>
          <w:tcPr>
            <w:tcW w:w="8520" w:type="dxa"/>
            <w:shd w:val="clear" w:color="auto" w:fill="auto"/>
            <w:noWrap/>
            <w:vAlign w:val="bottom"/>
            <w:hideMark/>
          </w:tcPr>
          <w:p w:rsidR="00EC06FD" w:rsidRDefault="00F346DE">
            <w:pPr>
              <w:suppressAutoHyphens/>
              <w:spacing w:line="276" w:lineRule="auto"/>
              <w:rPr>
                <w:rFonts w:ascii="Arial" w:hAnsi="Arial" w:cs="Arial"/>
                <w:noProof/>
                <w:sz w:val="20"/>
                <w:szCs w:val="20"/>
              </w:rPr>
            </w:pPr>
            <w:r>
              <w:rPr>
                <w:rFonts w:ascii="Arial" w:hAnsi="Arial" w:cs="Arial"/>
                <w:noProof/>
                <w:sz w:val="20"/>
                <w:szCs w:val="20"/>
              </w:rPr>
              <w:t>Contribute to the development of safe solutions for the partitioning and transmutation of nuclear waste</w:t>
            </w:r>
          </w:p>
        </w:tc>
        <w:tc>
          <w:tcPr>
            <w:tcW w:w="709" w:type="dxa"/>
            <w:shd w:val="clear" w:color="auto" w:fill="auto"/>
            <w:noWrap/>
            <w:vAlign w:val="bottom"/>
            <w:hideMark/>
          </w:tcPr>
          <w:p w:rsidR="00EC06FD" w:rsidRDefault="00F346DE">
            <w:pPr>
              <w:suppressAutoHyphens/>
              <w:spacing w:line="276" w:lineRule="auto"/>
              <w:jc w:val="right"/>
              <w:rPr>
                <w:rFonts w:ascii="Arial" w:hAnsi="Arial" w:cs="Arial"/>
                <w:noProof/>
                <w:sz w:val="20"/>
                <w:szCs w:val="20"/>
              </w:rPr>
            </w:pPr>
            <w:r>
              <w:rPr>
                <w:rFonts w:ascii="Arial" w:hAnsi="Arial" w:cs="Arial"/>
                <w:noProof/>
                <w:sz w:val="20"/>
                <w:szCs w:val="20"/>
              </w:rPr>
              <w:t>62%</w:t>
            </w:r>
          </w:p>
        </w:tc>
      </w:tr>
      <w:tr w:rsidR="00EC06FD">
        <w:trPr>
          <w:trHeight w:val="255"/>
          <w:jc w:val="center"/>
        </w:trPr>
        <w:tc>
          <w:tcPr>
            <w:tcW w:w="8520" w:type="dxa"/>
            <w:shd w:val="clear" w:color="auto" w:fill="auto"/>
            <w:noWrap/>
            <w:vAlign w:val="bottom"/>
            <w:hideMark/>
          </w:tcPr>
          <w:p w:rsidR="00EC06FD" w:rsidRDefault="00F346DE">
            <w:pPr>
              <w:suppressAutoHyphens/>
              <w:spacing w:line="276" w:lineRule="auto"/>
              <w:rPr>
                <w:rFonts w:ascii="Arial" w:hAnsi="Arial" w:cs="Arial"/>
                <w:noProof/>
                <w:sz w:val="20"/>
                <w:szCs w:val="20"/>
              </w:rPr>
            </w:pPr>
            <w:r>
              <w:rPr>
                <w:rFonts w:ascii="Arial" w:hAnsi="Arial" w:cs="Arial"/>
                <w:noProof/>
                <w:sz w:val="20"/>
                <w:szCs w:val="20"/>
              </w:rPr>
              <w:t>Support low dose radiation research</w:t>
            </w:r>
          </w:p>
        </w:tc>
        <w:tc>
          <w:tcPr>
            <w:tcW w:w="709" w:type="dxa"/>
            <w:shd w:val="clear" w:color="auto" w:fill="auto"/>
            <w:noWrap/>
            <w:vAlign w:val="bottom"/>
            <w:hideMark/>
          </w:tcPr>
          <w:p w:rsidR="00EC06FD" w:rsidRDefault="00F346DE">
            <w:pPr>
              <w:suppressAutoHyphens/>
              <w:spacing w:line="276" w:lineRule="auto"/>
              <w:jc w:val="right"/>
              <w:rPr>
                <w:rFonts w:ascii="Arial" w:hAnsi="Arial" w:cs="Arial"/>
                <w:noProof/>
                <w:sz w:val="20"/>
                <w:szCs w:val="20"/>
              </w:rPr>
            </w:pPr>
            <w:r>
              <w:rPr>
                <w:rFonts w:ascii="Arial" w:hAnsi="Arial" w:cs="Arial"/>
                <w:noProof/>
                <w:sz w:val="20"/>
                <w:szCs w:val="20"/>
              </w:rPr>
              <w:t>61%</w:t>
            </w:r>
          </w:p>
        </w:tc>
      </w:tr>
      <w:tr w:rsidR="00EC06FD">
        <w:trPr>
          <w:trHeight w:val="255"/>
          <w:jc w:val="center"/>
        </w:trPr>
        <w:tc>
          <w:tcPr>
            <w:tcW w:w="8520" w:type="dxa"/>
            <w:shd w:val="clear" w:color="auto" w:fill="auto"/>
            <w:noWrap/>
            <w:vAlign w:val="bottom"/>
            <w:hideMark/>
          </w:tcPr>
          <w:p w:rsidR="00EC06FD" w:rsidRDefault="00F346DE">
            <w:pPr>
              <w:suppressAutoHyphens/>
              <w:spacing w:line="276" w:lineRule="auto"/>
              <w:rPr>
                <w:rFonts w:ascii="Arial" w:hAnsi="Arial" w:cs="Arial"/>
                <w:noProof/>
                <w:sz w:val="20"/>
                <w:szCs w:val="20"/>
              </w:rPr>
            </w:pPr>
            <w:r>
              <w:rPr>
                <w:rFonts w:ascii="Arial" w:hAnsi="Arial" w:cs="Arial"/>
                <w:noProof/>
                <w:sz w:val="20"/>
                <w:szCs w:val="20"/>
              </w:rPr>
              <w:t>Support development of radiation protection aspects of the medical applications</w:t>
            </w:r>
          </w:p>
        </w:tc>
        <w:tc>
          <w:tcPr>
            <w:tcW w:w="709" w:type="dxa"/>
            <w:shd w:val="clear" w:color="auto" w:fill="auto"/>
            <w:noWrap/>
            <w:vAlign w:val="bottom"/>
            <w:hideMark/>
          </w:tcPr>
          <w:p w:rsidR="00EC06FD" w:rsidRDefault="00F346DE">
            <w:pPr>
              <w:suppressAutoHyphens/>
              <w:spacing w:line="276" w:lineRule="auto"/>
              <w:jc w:val="right"/>
              <w:rPr>
                <w:rFonts w:ascii="Arial" w:hAnsi="Arial" w:cs="Arial"/>
                <w:noProof/>
                <w:sz w:val="20"/>
                <w:szCs w:val="20"/>
              </w:rPr>
            </w:pPr>
            <w:r>
              <w:rPr>
                <w:rFonts w:ascii="Arial" w:hAnsi="Arial" w:cs="Arial"/>
                <w:noProof/>
                <w:sz w:val="20"/>
                <w:szCs w:val="20"/>
              </w:rPr>
              <w:t>59%</w:t>
            </w:r>
          </w:p>
        </w:tc>
      </w:tr>
      <w:tr w:rsidR="00EC06FD">
        <w:trPr>
          <w:trHeight w:val="255"/>
          <w:jc w:val="center"/>
        </w:trPr>
        <w:tc>
          <w:tcPr>
            <w:tcW w:w="8520" w:type="dxa"/>
            <w:shd w:val="clear" w:color="auto" w:fill="auto"/>
            <w:noWrap/>
            <w:vAlign w:val="bottom"/>
            <w:hideMark/>
          </w:tcPr>
          <w:p w:rsidR="00EC06FD" w:rsidRDefault="00F346DE">
            <w:pPr>
              <w:suppressAutoHyphens/>
              <w:spacing w:line="276" w:lineRule="auto"/>
              <w:rPr>
                <w:rFonts w:ascii="Arial" w:hAnsi="Arial" w:cs="Arial"/>
                <w:noProof/>
                <w:sz w:val="20"/>
                <w:szCs w:val="20"/>
              </w:rPr>
            </w:pPr>
            <w:r>
              <w:rPr>
                <w:rFonts w:ascii="Arial" w:hAnsi="Arial" w:cs="Arial"/>
                <w:noProof/>
                <w:sz w:val="20"/>
                <w:szCs w:val="20"/>
              </w:rPr>
              <w:t>Support supply of radioisotopes</w:t>
            </w:r>
          </w:p>
        </w:tc>
        <w:tc>
          <w:tcPr>
            <w:tcW w:w="709" w:type="dxa"/>
            <w:shd w:val="clear" w:color="auto" w:fill="auto"/>
            <w:noWrap/>
            <w:vAlign w:val="bottom"/>
            <w:hideMark/>
          </w:tcPr>
          <w:p w:rsidR="00EC06FD" w:rsidRDefault="00F346DE">
            <w:pPr>
              <w:suppressAutoHyphens/>
              <w:spacing w:line="276" w:lineRule="auto"/>
              <w:jc w:val="right"/>
              <w:rPr>
                <w:rFonts w:ascii="Arial" w:hAnsi="Arial" w:cs="Arial"/>
                <w:noProof/>
                <w:sz w:val="20"/>
                <w:szCs w:val="20"/>
              </w:rPr>
            </w:pPr>
            <w:r>
              <w:rPr>
                <w:rFonts w:ascii="Arial" w:hAnsi="Arial" w:cs="Arial"/>
                <w:noProof/>
                <w:sz w:val="20"/>
                <w:szCs w:val="20"/>
              </w:rPr>
              <w:t>57%</w:t>
            </w:r>
          </w:p>
        </w:tc>
      </w:tr>
      <w:tr w:rsidR="00EC06FD">
        <w:trPr>
          <w:trHeight w:val="255"/>
          <w:jc w:val="center"/>
        </w:trPr>
        <w:tc>
          <w:tcPr>
            <w:tcW w:w="8520" w:type="dxa"/>
            <w:shd w:val="clear" w:color="auto" w:fill="auto"/>
            <w:noWrap/>
            <w:vAlign w:val="bottom"/>
            <w:hideMark/>
          </w:tcPr>
          <w:p w:rsidR="00EC06FD" w:rsidRDefault="00F346DE">
            <w:pPr>
              <w:suppressAutoHyphens/>
              <w:spacing w:line="276" w:lineRule="auto"/>
              <w:rPr>
                <w:rFonts w:ascii="Arial" w:hAnsi="Arial" w:cs="Arial"/>
                <w:noProof/>
                <w:sz w:val="20"/>
                <w:szCs w:val="20"/>
              </w:rPr>
            </w:pPr>
            <w:r>
              <w:rPr>
                <w:rFonts w:ascii="Arial" w:hAnsi="Arial" w:cs="Arial"/>
                <w:noProof/>
                <w:sz w:val="20"/>
                <w:szCs w:val="20"/>
              </w:rPr>
              <w:t>Lay the foundations for future fusion power plants (e.g. by developing materials, technologies and conceptual design</w:t>
            </w:r>
          </w:p>
        </w:tc>
        <w:tc>
          <w:tcPr>
            <w:tcW w:w="709" w:type="dxa"/>
            <w:shd w:val="clear" w:color="auto" w:fill="auto"/>
            <w:noWrap/>
            <w:vAlign w:val="bottom"/>
            <w:hideMark/>
          </w:tcPr>
          <w:p w:rsidR="00EC06FD" w:rsidRDefault="00F346DE">
            <w:pPr>
              <w:suppressAutoHyphens/>
              <w:spacing w:line="276" w:lineRule="auto"/>
              <w:jc w:val="right"/>
              <w:rPr>
                <w:rFonts w:ascii="Arial" w:hAnsi="Arial" w:cs="Arial"/>
                <w:noProof/>
                <w:sz w:val="20"/>
                <w:szCs w:val="20"/>
              </w:rPr>
            </w:pPr>
            <w:r>
              <w:rPr>
                <w:rFonts w:ascii="Arial" w:hAnsi="Arial" w:cs="Arial"/>
                <w:noProof/>
                <w:sz w:val="20"/>
                <w:szCs w:val="20"/>
              </w:rPr>
              <w:t>55%</w:t>
            </w:r>
          </w:p>
        </w:tc>
      </w:tr>
      <w:tr w:rsidR="00EC06FD">
        <w:trPr>
          <w:trHeight w:val="255"/>
          <w:jc w:val="center"/>
        </w:trPr>
        <w:tc>
          <w:tcPr>
            <w:tcW w:w="8520" w:type="dxa"/>
            <w:shd w:val="clear" w:color="auto" w:fill="auto"/>
            <w:noWrap/>
            <w:vAlign w:val="bottom"/>
            <w:hideMark/>
          </w:tcPr>
          <w:p w:rsidR="00EC06FD" w:rsidRDefault="00F346DE">
            <w:pPr>
              <w:suppressAutoHyphens/>
              <w:spacing w:line="276" w:lineRule="auto"/>
              <w:rPr>
                <w:rFonts w:ascii="Arial" w:hAnsi="Arial" w:cs="Arial"/>
                <w:noProof/>
                <w:sz w:val="20"/>
                <w:szCs w:val="20"/>
              </w:rPr>
            </w:pPr>
            <w:r>
              <w:rPr>
                <w:rFonts w:ascii="Arial" w:hAnsi="Arial" w:cs="Arial"/>
                <w:noProof/>
                <w:sz w:val="20"/>
                <w:szCs w:val="20"/>
              </w:rPr>
              <w:t xml:space="preserve">Move towards demonstration of feasibility of fusion as a power source </w:t>
            </w:r>
          </w:p>
        </w:tc>
        <w:tc>
          <w:tcPr>
            <w:tcW w:w="709" w:type="dxa"/>
            <w:shd w:val="clear" w:color="auto" w:fill="auto"/>
            <w:noWrap/>
            <w:vAlign w:val="bottom"/>
            <w:hideMark/>
          </w:tcPr>
          <w:p w:rsidR="00EC06FD" w:rsidRDefault="00F346DE">
            <w:pPr>
              <w:suppressAutoHyphens/>
              <w:spacing w:line="276" w:lineRule="auto"/>
              <w:jc w:val="right"/>
              <w:rPr>
                <w:rFonts w:ascii="Arial" w:hAnsi="Arial" w:cs="Arial"/>
                <w:noProof/>
                <w:sz w:val="20"/>
                <w:szCs w:val="20"/>
              </w:rPr>
            </w:pPr>
            <w:r>
              <w:rPr>
                <w:rFonts w:ascii="Arial" w:hAnsi="Arial" w:cs="Arial"/>
                <w:noProof/>
                <w:sz w:val="20"/>
                <w:szCs w:val="20"/>
              </w:rPr>
              <w:t>54%</w:t>
            </w:r>
          </w:p>
        </w:tc>
      </w:tr>
    </w:tbl>
    <w:p w:rsidR="00EC06FD" w:rsidRDefault="00EC06FD">
      <w:pPr>
        <w:pStyle w:val="ListParagraph"/>
        <w:suppressAutoHyphens/>
        <w:spacing w:after="0" w:line="276" w:lineRule="auto"/>
        <w:ind w:left="0"/>
        <w:rPr>
          <w:noProof/>
        </w:rPr>
      </w:pPr>
    </w:p>
    <w:p w:rsidR="00EC06FD" w:rsidRDefault="00F346DE">
      <w:pPr>
        <w:pStyle w:val="ListParagraph"/>
        <w:numPr>
          <w:ilvl w:val="0"/>
          <w:numId w:val="32"/>
        </w:numPr>
        <w:suppressAutoHyphens/>
        <w:spacing w:after="0" w:line="276" w:lineRule="auto"/>
        <w:rPr>
          <w:noProof/>
        </w:rPr>
      </w:pPr>
      <w:r>
        <w:rPr>
          <w:noProof/>
        </w:rPr>
        <w:t>58% of respondents were aware of the joint programming initiatives developed within fission. When asked to indicate in which fields Joint-Programming should be developed, the respondents indicated the following fields ('agree' and 'strongly agree' put together):</w:t>
      </w:r>
    </w:p>
    <w:p w:rsidR="00EC06FD" w:rsidRDefault="00EC06FD">
      <w:pPr>
        <w:pStyle w:val="ListParagraph"/>
        <w:suppressAutoHyphens/>
        <w:spacing w:after="0" w:line="276" w:lineRule="auto"/>
        <w:ind w:left="0"/>
        <w:rPr>
          <w:noProof/>
        </w:rPr>
      </w:pPr>
    </w:p>
    <w:tbl>
      <w:tblPr>
        <w:tblW w:w="5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8"/>
        <w:gridCol w:w="685"/>
      </w:tblGrid>
      <w:tr w:rsidR="00EC06FD">
        <w:trPr>
          <w:trHeight w:val="255"/>
          <w:jc w:val="center"/>
        </w:trPr>
        <w:tc>
          <w:tcPr>
            <w:tcW w:w="4838" w:type="dxa"/>
            <w:shd w:val="clear" w:color="auto" w:fill="auto"/>
            <w:noWrap/>
            <w:vAlign w:val="bottom"/>
          </w:tcPr>
          <w:p w:rsidR="00EC06FD" w:rsidRDefault="00F346DE">
            <w:pPr>
              <w:suppressAutoHyphens/>
              <w:spacing w:line="276" w:lineRule="auto"/>
              <w:rPr>
                <w:rFonts w:cs="Arial"/>
                <w:noProof/>
              </w:rPr>
            </w:pPr>
            <w:r>
              <w:rPr>
                <w:rFonts w:cs="Arial"/>
                <w:noProof/>
              </w:rPr>
              <w:t>Nuclear waste management</w:t>
            </w:r>
          </w:p>
        </w:tc>
        <w:tc>
          <w:tcPr>
            <w:tcW w:w="685" w:type="dxa"/>
            <w:shd w:val="clear" w:color="auto" w:fill="auto"/>
            <w:noWrap/>
            <w:vAlign w:val="bottom"/>
          </w:tcPr>
          <w:p w:rsidR="00EC06FD" w:rsidRDefault="00F346DE">
            <w:pPr>
              <w:suppressAutoHyphens/>
              <w:spacing w:line="276" w:lineRule="auto"/>
              <w:jc w:val="center"/>
              <w:rPr>
                <w:rFonts w:cs="Arial"/>
                <w:noProof/>
              </w:rPr>
            </w:pPr>
            <w:r>
              <w:rPr>
                <w:rFonts w:cs="Arial"/>
                <w:noProof/>
              </w:rPr>
              <w:t>57%</w:t>
            </w:r>
          </w:p>
        </w:tc>
      </w:tr>
      <w:tr w:rsidR="00EC06FD">
        <w:trPr>
          <w:trHeight w:val="255"/>
          <w:jc w:val="center"/>
        </w:trPr>
        <w:tc>
          <w:tcPr>
            <w:tcW w:w="4838" w:type="dxa"/>
            <w:shd w:val="clear" w:color="auto" w:fill="auto"/>
            <w:noWrap/>
            <w:vAlign w:val="bottom"/>
            <w:hideMark/>
          </w:tcPr>
          <w:p w:rsidR="00EC06FD" w:rsidRDefault="00F346DE">
            <w:pPr>
              <w:suppressAutoHyphens/>
              <w:spacing w:line="276" w:lineRule="auto"/>
              <w:rPr>
                <w:rFonts w:cs="Arial"/>
                <w:noProof/>
              </w:rPr>
            </w:pPr>
            <w:r>
              <w:rPr>
                <w:rFonts w:cs="Arial"/>
                <w:noProof/>
              </w:rPr>
              <w:t>Nuclear safety of more advanced nuclear systems</w:t>
            </w:r>
          </w:p>
        </w:tc>
        <w:tc>
          <w:tcPr>
            <w:tcW w:w="685" w:type="dxa"/>
            <w:shd w:val="clear" w:color="auto" w:fill="auto"/>
            <w:noWrap/>
            <w:vAlign w:val="bottom"/>
            <w:hideMark/>
          </w:tcPr>
          <w:p w:rsidR="00EC06FD" w:rsidRDefault="00F346DE">
            <w:pPr>
              <w:suppressAutoHyphens/>
              <w:spacing w:line="276" w:lineRule="auto"/>
              <w:jc w:val="center"/>
              <w:rPr>
                <w:rFonts w:cs="Arial"/>
                <w:noProof/>
              </w:rPr>
            </w:pPr>
            <w:r>
              <w:rPr>
                <w:rFonts w:cs="Arial"/>
                <w:noProof/>
              </w:rPr>
              <w:t>56%</w:t>
            </w:r>
          </w:p>
        </w:tc>
      </w:tr>
      <w:tr w:rsidR="00EC06FD">
        <w:trPr>
          <w:trHeight w:val="255"/>
          <w:jc w:val="center"/>
        </w:trPr>
        <w:tc>
          <w:tcPr>
            <w:tcW w:w="4838" w:type="dxa"/>
            <w:shd w:val="clear" w:color="auto" w:fill="auto"/>
            <w:noWrap/>
            <w:vAlign w:val="bottom"/>
            <w:hideMark/>
          </w:tcPr>
          <w:p w:rsidR="00EC06FD" w:rsidRDefault="00F346DE">
            <w:pPr>
              <w:suppressAutoHyphens/>
              <w:spacing w:line="276" w:lineRule="auto"/>
              <w:rPr>
                <w:rFonts w:cs="Arial"/>
                <w:noProof/>
              </w:rPr>
            </w:pPr>
            <w:r>
              <w:rPr>
                <w:rFonts w:cs="Arial"/>
                <w:noProof/>
              </w:rPr>
              <w:t>Materials of nuclear relevance</w:t>
            </w:r>
          </w:p>
        </w:tc>
        <w:tc>
          <w:tcPr>
            <w:tcW w:w="685" w:type="dxa"/>
            <w:shd w:val="clear" w:color="auto" w:fill="auto"/>
            <w:noWrap/>
            <w:vAlign w:val="bottom"/>
            <w:hideMark/>
          </w:tcPr>
          <w:p w:rsidR="00EC06FD" w:rsidRDefault="00F346DE">
            <w:pPr>
              <w:suppressAutoHyphens/>
              <w:spacing w:line="276" w:lineRule="auto"/>
              <w:jc w:val="center"/>
              <w:rPr>
                <w:rFonts w:cs="Arial"/>
                <w:noProof/>
              </w:rPr>
            </w:pPr>
            <w:r>
              <w:rPr>
                <w:rFonts w:cs="Arial"/>
                <w:noProof/>
              </w:rPr>
              <w:t>51%</w:t>
            </w:r>
          </w:p>
        </w:tc>
      </w:tr>
      <w:tr w:rsidR="00EC06FD">
        <w:trPr>
          <w:trHeight w:val="255"/>
          <w:jc w:val="center"/>
        </w:trPr>
        <w:tc>
          <w:tcPr>
            <w:tcW w:w="4838" w:type="dxa"/>
            <w:shd w:val="clear" w:color="auto" w:fill="auto"/>
            <w:noWrap/>
            <w:vAlign w:val="bottom"/>
            <w:hideMark/>
          </w:tcPr>
          <w:p w:rsidR="00EC06FD" w:rsidRDefault="00F346DE">
            <w:pPr>
              <w:suppressAutoHyphens/>
              <w:spacing w:line="276" w:lineRule="auto"/>
              <w:rPr>
                <w:rFonts w:cs="Arial"/>
                <w:noProof/>
              </w:rPr>
            </w:pPr>
            <w:r>
              <w:rPr>
                <w:rFonts w:cs="Arial"/>
                <w:noProof/>
              </w:rPr>
              <w:t>Nuclear safety of existing nuclear systems</w:t>
            </w:r>
          </w:p>
        </w:tc>
        <w:tc>
          <w:tcPr>
            <w:tcW w:w="685" w:type="dxa"/>
            <w:shd w:val="clear" w:color="auto" w:fill="auto"/>
            <w:noWrap/>
            <w:vAlign w:val="bottom"/>
            <w:hideMark/>
          </w:tcPr>
          <w:p w:rsidR="00EC06FD" w:rsidRDefault="00F346DE">
            <w:pPr>
              <w:suppressAutoHyphens/>
              <w:spacing w:line="276" w:lineRule="auto"/>
              <w:jc w:val="center"/>
              <w:rPr>
                <w:rFonts w:cs="Arial"/>
                <w:noProof/>
              </w:rPr>
            </w:pPr>
            <w:r>
              <w:rPr>
                <w:rFonts w:cs="Arial"/>
                <w:noProof/>
              </w:rPr>
              <w:t>49%</w:t>
            </w:r>
          </w:p>
        </w:tc>
      </w:tr>
    </w:tbl>
    <w:p w:rsidR="00EC06FD" w:rsidRDefault="00EC06FD">
      <w:pPr>
        <w:pStyle w:val="ListParagraph"/>
        <w:suppressAutoHyphens/>
        <w:spacing w:after="0" w:line="276" w:lineRule="auto"/>
        <w:ind w:left="0"/>
        <w:rPr>
          <w:noProof/>
        </w:rPr>
      </w:pPr>
    </w:p>
    <w:p w:rsidR="00EC06FD" w:rsidRDefault="00F346DE">
      <w:pPr>
        <w:pStyle w:val="ListParagraph"/>
        <w:numPr>
          <w:ilvl w:val="0"/>
          <w:numId w:val="32"/>
        </w:numPr>
        <w:suppressAutoHyphens/>
        <w:spacing w:after="0" w:line="276" w:lineRule="auto"/>
        <w:rPr>
          <w:noProof/>
        </w:rPr>
      </w:pPr>
      <w:r>
        <w:rPr>
          <w:noProof/>
        </w:rPr>
        <w:lastRenderedPageBreak/>
        <w:t xml:space="preserve">Regarding support for E&amp;T, respondents were asked which fields are important ('crucial'). While many people indicated so, there were also many answers (20%-30%) indicating that this activity is important but it should be better addressed at MS or industrial level. </w:t>
      </w:r>
    </w:p>
    <w:p w:rsidR="00EC06FD" w:rsidRDefault="00EC06FD">
      <w:pPr>
        <w:pStyle w:val="ListParagraph"/>
        <w:suppressAutoHyphens/>
        <w:spacing w:after="0" w:line="276" w:lineRule="auto"/>
        <w:ind w:left="0"/>
        <w:rPr>
          <w:rFonts w:cs="Helvetica"/>
          <w:b/>
          <w:bCs/>
          <w:noProof/>
          <w:color w:val="333333"/>
        </w:rPr>
      </w:pPr>
    </w:p>
    <w:tbl>
      <w:tblPr>
        <w:tblW w:w="5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2"/>
        <w:gridCol w:w="656"/>
      </w:tblGrid>
      <w:tr w:rsidR="00EC06FD">
        <w:trPr>
          <w:trHeight w:val="255"/>
          <w:jc w:val="center"/>
        </w:trPr>
        <w:tc>
          <w:tcPr>
            <w:tcW w:w="5022" w:type="dxa"/>
            <w:shd w:val="clear" w:color="auto" w:fill="auto"/>
            <w:noWrap/>
            <w:vAlign w:val="bottom"/>
            <w:hideMark/>
          </w:tcPr>
          <w:p w:rsidR="00EC06FD" w:rsidRDefault="00F346DE">
            <w:pPr>
              <w:suppressAutoHyphens/>
              <w:spacing w:line="276" w:lineRule="auto"/>
              <w:rPr>
                <w:rFonts w:cs="Arial"/>
                <w:noProof/>
              </w:rPr>
            </w:pPr>
            <w:r>
              <w:rPr>
                <w:rFonts w:cs="Arial"/>
                <w:noProof/>
              </w:rPr>
              <w:t>Nuclear safety of more advanced nuclear systems</w:t>
            </w:r>
          </w:p>
        </w:tc>
        <w:tc>
          <w:tcPr>
            <w:tcW w:w="60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56%</w:t>
            </w:r>
          </w:p>
        </w:tc>
      </w:tr>
      <w:tr w:rsidR="00EC06FD">
        <w:trPr>
          <w:trHeight w:val="255"/>
          <w:jc w:val="center"/>
        </w:trPr>
        <w:tc>
          <w:tcPr>
            <w:tcW w:w="5022" w:type="dxa"/>
            <w:shd w:val="clear" w:color="auto" w:fill="auto"/>
            <w:noWrap/>
            <w:vAlign w:val="bottom"/>
            <w:hideMark/>
          </w:tcPr>
          <w:p w:rsidR="00EC06FD" w:rsidRDefault="00F346DE">
            <w:pPr>
              <w:suppressAutoHyphens/>
              <w:spacing w:line="276" w:lineRule="auto"/>
              <w:rPr>
                <w:rFonts w:cs="Arial"/>
                <w:noProof/>
              </w:rPr>
            </w:pPr>
            <w:r>
              <w:rPr>
                <w:rFonts w:cs="Arial"/>
                <w:noProof/>
              </w:rPr>
              <w:t>Waste management</w:t>
            </w:r>
          </w:p>
        </w:tc>
        <w:tc>
          <w:tcPr>
            <w:tcW w:w="60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50%</w:t>
            </w:r>
          </w:p>
        </w:tc>
      </w:tr>
      <w:tr w:rsidR="00EC06FD">
        <w:trPr>
          <w:trHeight w:val="255"/>
          <w:jc w:val="center"/>
        </w:trPr>
        <w:tc>
          <w:tcPr>
            <w:tcW w:w="5022" w:type="dxa"/>
            <w:shd w:val="clear" w:color="auto" w:fill="auto"/>
            <w:noWrap/>
            <w:vAlign w:val="bottom"/>
            <w:hideMark/>
          </w:tcPr>
          <w:p w:rsidR="00EC06FD" w:rsidRDefault="00F346DE">
            <w:pPr>
              <w:suppressAutoHyphens/>
              <w:spacing w:line="276" w:lineRule="auto"/>
              <w:rPr>
                <w:rFonts w:cs="Arial"/>
                <w:noProof/>
              </w:rPr>
            </w:pPr>
            <w:r>
              <w:rPr>
                <w:rFonts w:cs="Arial"/>
                <w:noProof/>
              </w:rPr>
              <w:t>Nuclear fusion</w:t>
            </w:r>
          </w:p>
        </w:tc>
        <w:tc>
          <w:tcPr>
            <w:tcW w:w="60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48%</w:t>
            </w:r>
          </w:p>
        </w:tc>
      </w:tr>
      <w:tr w:rsidR="00EC06FD">
        <w:trPr>
          <w:trHeight w:val="255"/>
          <w:jc w:val="center"/>
        </w:trPr>
        <w:tc>
          <w:tcPr>
            <w:tcW w:w="5022" w:type="dxa"/>
            <w:shd w:val="clear" w:color="auto" w:fill="auto"/>
            <w:noWrap/>
            <w:vAlign w:val="bottom"/>
          </w:tcPr>
          <w:p w:rsidR="00EC06FD" w:rsidRDefault="00F346DE">
            <w:pPr>
              <w:suppressAutoHyphens/>
              <w:spacing w:line="276" w:lineRule="auto"/>
              <w:rPr>
                <w:rFonts w:cs="Arial"/>
                <w:noProof/>
              </w:rPr>
            </w:pPr>
            <w:r>
              <w:rPr>
                <w:rFonts w:cs="Arial"/>
                <w:noProof/>
              </w:rPr>
              <w:t>Radiation protection</w:t>
            </w:r>
          </w:p>
        </w:tc>
        <w:tc>
          <w:tcPr>
            <w:tcW w:w="600" w:type="dxa"/>
            <w:shd w:val="clear" w:color="auto" w:fill="auto"/>
            <w:noWrap/>
            <w:vAlign w:val="bottom"/>
          </w:tcPr>
          <w:p w:rsidR="00EC06FD" w:rsidRDefault="00F346DE">
            <w:pPr>
              <w:suppressAutoHyphens/>
              <w:spacing w:line="276" w:lineRule="auto"/>
              <w:jc w:val="right"/>
              <w:rPr>
                <w:rFonts w:cs="Arial"/>
                <w:noProof/>
              </w:rPr>
            </w:pPr>
            <w:r>
              <w:rPr>
                <w:rFonts w:cs="Arial"/>
                <w:noProof/>
              </w:rPr>
              <w:t>47%</w:t>
            </w:r>
          </w:p>
        </w:tc>
      </w:tr>
      <w:tr w:rsidR="00EC06FD">
        <w:trPr>
          <w:trHeight w:val="255"/>
          <w:jc w:val="center"/>
        </w:trPr>
        <w:tc>
          <w:tcPr>
            <w:tcW w:w="5022" w:type="dxa"/>
            <w:shd w:val="clear" w:color="auto" w:fill="auto"/>
            <w:noWrap/>
            <w:vAlign w:val="bottom"/>
            <w:hideMark/>
          </w:tcPr>
          <w:p w:rsidR="00EC06FD" w:rsidRDefault="00F346DE">
            <w:pPr>
              <w:suppressAutoHyphens/>
              <w:spacing w:line="276" w:lineRule="auto"/>
              <w:rPr>
                <w:rFonts w:cs="Arial"/>
                <w:noProof/>
              </w:rPr>
            </w:pPr>
            <w:r>
              <w:rPr>
                <w:rFonts w:cs="Arial"/>
                <w:noProof/>
              </w:rPr>
              <w:t>Nuclear security</w:t>
            </w:r>
          </w:p>
        </w:tc>
        <w:tc>
          <w:tcPr>
            <w:tcW w:w="60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45%</w:t>
            </w:r>
          </w:p>
        </w:tc>
      </w:tr>
      <w:tr w:rsidR="00EC06FD">
        <w:trPr>
          <w:trHeight w:val="255"/>
          <w:jc w:val="center"/>
        </w:trPr>
        <w:tc>
          <w:tcPr>
            <w:tcW w:w="5022" w:type="dxa"/>
            <w:shd w:val="clear" w:color="auto" w:fill="auto"/>
            <w:noWrap/>
            <w:vAlign w:val="bottom"/>
            <w:hideMark/>
          </w:tcPr>
          <w:p w:rsidR="00EC06FD" w:rsidRDefault="00F346DE">
            <w:pPr>
              <w:suppressAutoHyphens/>
              <w:spacing w:line="276" w:lineRule="auto"/>
              <w:rPr>
                <w:rFonts w:cs="Arial"/>
                <w:noProof/>
              </w:rPr>
            </w:pPr>
            <w:r>
              <w:rPr>
                <w:rFonts w:cs="Arial"/>
                <w:noProof/>
              </w:rPr>
              <w:t>Nuclear safety of existing nuclear systems</w:t>
            </w:r>
          </w:p>
        </w:tc>
        <w:tc>
          <w:tcPr>
            <w:tcW w:w="600" w:type="dxa"/>
            <w:shd w:val="clear" w:color="auto" w:fill="auto"/>
            <w:noWrap/>
            <w:vAlign w:val="bottom"/>
            <w:hideMark/>
          </w:tcPr>
          <w:p w:rsidR="00EC06FD" w:rsidRDefault="00F346DE">
            <w:pPr>
              <w:suppressAutoHyphens/>
              <w:spacing w:line="276" w:lineRule="auto"/>
              <w:jc w:val="right"/>
              <w:rPr>
                <w:rFonts w:cs="Arial"/>
                <w:noProof/>
              </w:rPr>
            </w:pPr>
            <w:r>
              <w:rPr>
                <w:rFonts w:cs="Arial"/>
                <w:noProof/>
              </w:rPr>
              <w:t>44%</w:t>
            </w:r>
          </w:p>
        </w:tc>
      </w:tr>
    </w:tbl>
    <w:p w:rsidR="00EC06FD" w:rsidRDefault="00EC06FD">
      <w:pPr>
        <w:pStyle w:val="ListParagraph"/>
        <w:suppressAutoHyphens/>
        <w:spacing w:after="0" w:line="276" w:lineRule="auto"/>
        <w:ind w:left="0"/>
        <w:rPr>
          <w:noProof/>
        </w:rPr>
      </w:pPr>
    </w:p>
    <w:p w:rsidR="00EC06FD" w:rsidRDefault="00F346DE">
      <w:pPr>
        <w:pStyle w:val="ListParagraph"/>
        <w:numPr>
          <w:ilvl w:val="0"/>
          <w:numId w:val="32"/>
        </w:numPr>
        <w:suppressAutoHyphens/>
        <w:spacing w:after="0" w:line="276" w:lineRule="auto"/>
        <w:rPr>
          <w:rFonts w:cs="Helvetica"/>
          <w:bCs/>
          <w:noProof/>
          <w:color w:val="333333"/>
        </w:rPr>
      </w:pPr>
      <w:r>
        <w:rPr>
          <w:noProof/>
        </w:rPr>
        <w:t xml:space="preserve">Mobility of researchers is another point of concern for respondents – while 34% agreed that Euratom provides sufficient support, 29% disagreed at the same time. This is probably why 63% of respondents was in favour of </w:t>
      </w:r>
      <w:r>
        <w:rPr>
          <w:rFonts w:cs="Helvetica"/>
          <w:bCs/>
          <w:noProof/>
          <w:color w:val="333333"/>
        </w:rPr>
        <w:t>Euratom offering grants for access to nuclear infrastructure of the JRC sites.</w:t>
      </w:r>
    </w:p>
    <w:p w:rsidR="00EC06FD" w:rsidRDefault="00EC06FD">
      <w:pPr>
        <w:rPr>
          <w:noProof/>
        </w:rPr>
      </w:pPr>
    </w:p>
    <w:p w:rsidR="00EC06FD" w:rsidRDefault="00F346DE">
      <w:pPr>
        <w:rPr>
          <w:noProof/>
        </w:rPr>
      </w:pPr>
      <w:r>
        <w:rPr>
          <w:noProof/>
        </w:rPr>
        <w:br w:type="page"/>
      </w:r>
    </w:p>
    <w:p w:rsidR="00EC06FD" w:rsidRDefault="00F346DE">
      <w:pPr>
        <w:pStyle w:val="Heading1"/>
        <w:numPr>
          <w:ilvl w:val="0"/>
          <w:numId w:val="0"/>
        </w:numPr>
        <w:rPr>
          <w:noProof/>
        </w:rPr>
      </w:pPr>
      <w:bookmarkStart w:id="720" w:name="_Toc494899816"/>
      <w:r>
        <w:rPr>
          <w:noProof/>
        </w:rPr>
        <w:lastRenderedPageBreak/>
        <w:t>Annex 3: Summary of SOFT Innovation Prizes awarded by the Euratom programme (2014-2016)</w:t>
      </w:r>
      <w:bookmarkEnd w:id="720"/>
    </w:p>
    <w:p w:rsidR="00EC06FD" w:rsidRDefault="00F346DE">
      <w:pPr>
        <w:rPr>
          <w:b/>
          <w:noProof/>
          <w:lang w:val="en"/>
        </w:rPr>
      </w:pPr>
      <w:r>
        <w:rPr>
          <w:b/>
          <w:noProof/>
          <w:lang w:val="en"/>
        </w:rPr>
        <w:t>SOFT Innovation Prize 2016</w:t>
      </w:r>
    </w:p>
    <w:p w:rsidR="00EC06FD" w:rsidRDefault="00EC06FD">
      <w:pPr>
        <w:shd w:val="clear" w:color="auto" w:fill="FFFFFF"/>
        <w:spacing w:line="405" w:lineRule="atLeast"/>
        <w:jc w:val="both"/>
        <w:outlineLvl w:val="2"/>
        <w:rPr>
          <w:b/>
          <w:noProof/>
          <w:color w:val="333333"/>
          <w:lang w:val="en"/>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283"/>
        <w:gridCol w:w="6663"/>
      </w:tblGrid>
      <w:tr w:rsidR="00EC06FD">
        <w:tc>
          <w:tcPr>
            <w:tcW w:w="2093" w:type="dxa"/>
            <w:tcBorders>
              <w:top w:val="single" w:sz="4" w:space="0" w:color="auto"/>
              <w:left w:val="single" w:sz="4" w:space="0" w:color="auto"/>
            </w:tcBorders>
            <w:vAlign w:val="center"/>
          </w:tcPr>
          <w:p w:rsidR="00EC06FD" w:rsidRDefault="00F346DE">
            <w:pPr>
              <w:spacing w:before="120"/>
              <w:jc w:val="both"/>
              <w:rPr>
                <w:b/>
                <w:noProof/>
              </w:rPr>
            </w:pPr>
            <w:r>
              <w:rPr>
                <w:b/>
                <w:noProof/>
              </w:rPr>
              <w:t>Proposal number:</w:t>
            </w:r>
          </w:p>
        </w:tc>
        <w:tc>
          <w:tcPr>
            <w:tcW w:w="283" w:type="dxa"/>
            <w:tcBorders>
              <w:top w:val="single" w:sz="4" w:space="0" w:color="auto"/>
            </w:tcBorders>
            <w:vAlign w:val="center"/>
          </w:tcPr>
          <w:p w:rsidR="00EC06FD" w:rsidRDefault="00EC06FD">
            <w:pPr>
              <w:spacing w:before="120"/>
              <w:jc w:val="both"/>
              <w:rPr>
                <w:noProof/>
              </w:rPr>
            </w:pPr>
          </w:p>
        </w:tc>
        <w:tc>
          <w:tcPr>
            <w:tcW w:w="6663" w:type="dxa"/>
            <w:tcBorders>
              <w:top w:val="single" w:sz="4" w:space="0" w:color="auto"/>
              <w:right w:val="single" w:sz="4" w:space="0" w:color="auto"/>
            </w:tcBorders>
            <w:vAlign w:val="center"/>
          </w:tcPr>
          <w:p w:rsidR="00EC06FD" w:rsidRDefault="00F346DE">
            <w:pPr>
              <w:spacing w:before="120"/>
              <w:jc w:val="both"/>
              <w:rPr>
                <w:noProof/>
              </w:rPr>
            </w:pPr>
            <w:r>
              <w:rPr>
                <w:noProof/>
              </w:rPr>
              <w:t>731318</w:t>
            </w:r>
          </w:p>
        </w:tc>
      </w:tr>
      <w:tr w:rsidR="00EC06FD">
        <w:tc>
          <w:tcPr>
            <w:tcW w:w="2093" w:type="dxa"/>
            <w:tcBorders>
              <w:left w:val="single" w:sz="4" w:space="0" w:color="auto"/>
            </w:tcBorders>
            <w:vAlign w:val="center"/>
          </w:tcPr>
          <w:p w:rsidR="00EC06FD" w:rsidRDefault="00F346DE">
            <w:pPr>
              <w:spacing w:before="120"/>
              <w:jc w:val="both"/>
              <w:rPr>
                <w:b/>
                <w:noProof/>
              </w:rPr>
            </w:pPr>
            <w:r>
              <w:rPr>
                <w:b/>
                <w:noProof/>
              </w:rPr>
              <w:t>Acronym:</w:t>
            </w:r>
          </w:p>
        </w:tc>
        <w:tc>
          <w:tcPr>
            <w:tcW w:w="283" w:type="dxa"/>
            <w:vAlign w:val="center"/>
          </w:tcPr>
          <w:p w:rsidR="00EC06FD" w:rsidRDefault="00EC06FD">
            <w:pPr>
              <w:spacing w:before="120"/>
              <w:jc w:val="both"/>
              <w:rPr>
                <w:noProof/>
              </w:rPr>
            </w:pPr>
          </w:p>
        </w:tc>
        <w:tc>
          <w:tcPr>
            <w:tcW w:w="6663" w:type="dxa"/>
            <w:tcBorders>
              <w:right w:val="single" w:sz="4" w:space="0" w:color="auto"/>
            </w:tcBorders>
            <w:vAlign w:val="center"/>
          </w:tcPr>
          <w:p w:rsidR="00EC06FD" w:rsidRDefault="00F346DE">
            <w:pPr>
              <w:spacing w:before="120"/>
              <w:jc w:val="both"/>
              <w:rPr>
                <w:noProof/>
              </w:rPr>
            </w:pPr>
            <w:r>
              <w:rPr>
                <w:noProof/>
              </w:rPr>
              <w:t>CroCo</w:t>
            </w:r>
          </w:p>
        </w:tc>
      </w:tr>
      <w:tr w:rsidR="00EC06FD">
        <w:tc>
          <w:tcPr>
            <w:tcW w:w="2093" w:type="dxa"/>
            <w:tcBorders>
              <w:left w:val="single" w:sz="4" w:space="0" w:color="auto"/>
            </w:tcBorders>
            <w:vAlign w:val="center"/>
          </w:tcPr>
          <w:p w:rsidR="00EC06FD" w:rsidRDefault="00F346DE">
            <w:pPr>
              <w:spacing w:before="120"/>
              <w:jc w:val="both"/>
              <w:rPr>
                <w:b/>
                <w:noProof/>
              </w:rPr>
            </w:pPr>
            <w:r>
              <w:rPr>
                <w:b/>
                <w:noProof/>
              </w:rPr>
              <w:t>Funding scheme:</w:t>
            </w:r>
          </w:p>
        </w:tc>
        <w:tc>
          <w:tcPr>
            <w:tcW w:w="283" w:type="dxa"/>
            <w:vAlign w:val="center"/>
          </w:tcPr>
          <w:p w:rsidR="00EC06FD" w:rsidRDefault="00EC06FD">
            <w:pPr>
              <w:spacing w:before="120"/>
              <w:jc w:val="both"/>
              <w:rPr>
                <w:noProof/>
              </w:rPr>
            </w:pPr>
          </w:p>
        </w:tc>
        <w:tc>
          <w:tcPr>
            <w:tcW w:w="6663" w:type="dxa"/>
            <w:tcBorders>
              <w:right w:val="single" w:sz="4" w:space="0" w:color="auto"/>
            </w:tcBorders>
            <w:vAlign w:val="center"/>
          </w:tcPr>
          <w:p w:rsidR="00EC06FD" w:rsidRDefault="00F346DE">
            <w:pPr>
              <w:spacing w:before="120"/>
              <w:jc w:val="both"/>
              <w:rPr>
                <w:noProof/>
              </w:rPr>
            </w:pPr>
            <w:r>
              <w:rPr>
                <w:noProof/>
              </w:rPr>
              <w:t>Recognition prize</w:t>
            </w:r>
          </w:p>
        </w:tc>
      </w:tr>
      <w:tr w:rsidR="00EC06FD">
        <w:tc>
          <w:tcPr>
            <w:tcW w:w="2093" w:type="dxa"/>
            <w:tcBorders>
              <w:left w:val="single" w:sz="4" w:space="0" w:color="auto"/>
            </w:tcBorders>
            <w:vAlign w:val="center"/>
          </w:tcPr>
          <w:p w:rsidR="00EC06FD" w:rsidRDefault="00F346DE">
            <w:pPr>
              <w:spacing w:before="120"/>
              <w:jc w:val="both"/>
              <w:rPr>
                <w:b/>
                <w:noProof/>
              </w:rPr>
            </w:pPr>
            <w:r>
              <w:rPr>
                <w:b/>
                <w:noProof/>
              </w:rPr>
              <w:t>Proposal title:</w:t>
            </w:r>
          </w:p>
        </w:tc>
        <w:tc>
          <w:tcPr>
            <w:tcW w:w="283" w:type="dxa"/>
            <w:vAlign w:val="center"/>
          </w:tcPr>
          <w:p w:rsidR="00EC06FD" w:rsidRDefault="00EC06FD">
            <w:pPr>
              <w:spacing w:before="120"/>
              <w:jc w:val="both"/>
              <w:rPr>
                <w:noProof/>
              </w:rPr>
            </w:pPr>
          </w:p>
        </w:tc>
        <w:tc>
          <w:tcPr>
            <w:tcW w:w="6663" w:type="dxa"/>
            <w:tcBorders>
              <w:right w:val="single" w:sz="4" w:space="0" w:color="auto"/>
            </w:tcBorders>
            <w:vAlign w:val="center"/>
          </w:tcPr>
          <w:p w:rsidR="00EC06FD" w:rsidRDefault="00F346DE">
            <w:pPr>
              <w:spacing w:before="120"/>
              <w:jc w:val="both"/>
              <w:rPr>
                <w:noProof/>
              </w:rPr>
            </w:pPr>
            <w:r>
              <w:rPr>
                <w:noProof/>
              </w:rPr>
              <w:t>A new type of high temperature superconducting cable</w:t>
            </w:r>
          </w:p>
        </w:tc>
      </w:tr>
      <w:tr w:rsidR="00EC06FD">
        <w:tc>
          <w:tcPr>
            <w:tcW w:w="2093" w:type="dxa"/>
            <w:tcBorders>
              <w:left w:val="single" w:sz="4" w:space="0" w:color="auto"/>
            </w:tcBorders>
            <w:vAlign w:val="center"/>
          </w:tcPr>
          <w:p w:rsidR="00EC06FD" w:rsidRDefault="00F346DE">
            <w:pPr>
              <w:spacing w:before="120"/>
              <w:jc w:val="both"/>
              <w:rPr>
                <w:b/>
                <w:noProof/>
              </w:rPr>
            </w:pPr>
            <w:r>
              <w:rPr>
                <w:b/>
                <w:noProof/>
              </w:rPr>
              <w:t>Total costs:</w:t>
            </w:r>
          </w:p>
        </w:tc>
        <w:tc>
          <w:tcPr>
            <w:tcW w:w="283" w:type="dxa"/>
            <w:vAlign w:val="center"/>
          </w:tcPr>
          <w:p w:rsidR="00EC06FD" w:rsidRDefault="00EC06FD">
            <w:pPr>
              <w:spacing w:before="120"/>
              <w:jc w:val="both"/>
              <w:rPr>
                <w:noProof/>
              </w:rPr>
            </w:pPr>
          </w:p>
        </w:tc>
        <w:tc>
          <w:tcPr>
            <w:tcW w:w="6663" w:type="dxa"/>
            <w:tcBorders>
              <w:right w:val="single" w:sz="4" w:space="0" w:color="auto"/>
            </w:tcBorders>
            <w:vAlign w:val="center"/>
          </w:tcPr>
          <w:p w:rsidR="00EC06FD" w:rsidRDefault="00F346DE">
            <w:pPr>
              <w:spacing w:before="120"/>
              <w:jc w:val="both"/>
              <w:rPr>
                <w:noProof/>
              </w:rPr>
            </w:pPr>
            <w:r>
              <w:rPr>
                <w:noProof/>
              </w:rPr>
              <w:t>50.000 €</w:t>
            </w:r>
          </w:p>
        </w:tc>
      </w:tr>
    </w:tbl>
    <w:p w:rsidR="00EC06FD" w:rsidRDefault="00EC06FD">
      <w:pPr>
        <w:shd w:val="clear" w:color="auto" w:fill="FFFFFF"/>
        <w:spacing w:line="405" w:lineRule="atLeast"/>
        <w:jc w:val="both"/>
        <w:outlineLvl w:val="2"/>
        <w:rPr>
          <w:b/>
          <w:noProof/>
          <w:color w:val="333333"/>
          <w:lang w:val="en"/>
        </w:rPr>
      </w:pPr>
    </w:p>
    <w:p w:rsidR="00EC06FD" w:rsidRDefault="00F346DE">
      <w:pPr>
        <w:shd w:val="clear" w:color="auto" w:fill="FFFFFF"/>
        <w:spacing w:after="120" w:line="270" w:lineRule="atLeast"/>
        <w:jc w:val="both"/>
        <w:rPr>
          <w:noProof/>
          <w:color w:val="333333"/>
          <w:lang w:val="en"/>
        </w:rPr>
      </w:pPr>
      <w:r>
        <w:rPr>
          <w:noProof/>
          <w:color w:val="333333"/>
          <w:lang w:val="en"/>
        </w:rPr>
        <w:t xml:space="preserve">At Karlsruhe Institute of Technology (KIT) and, in partnership with the Swiss Plasma Center (SPC) of Ecole Polytechnique Fédérale de Lausanne, a novel and innovative </w:t>
      </w:r>
      <w:r>
        <w:rPr>
          <w:noProof/>
        </w:rPr>
        <w:t>type of high temperature superconducting cable</w:t>
      </w:r>
      <w:r>
        <w:rPr>
          <w:noProof/>
          <w:color w:val="333333"/>
          <w:lang w:val="en"/>
        </w:rPr>
        <w:t xml:space="preserve"> based on REBCO material has been developed. This innovation is the scope of this application. </w:t>
      </w:r>
    </w:p>
    <w:p w:rsidR="00EC06FD" w:rsidRDefault="00F346DE">
      <w:pPr>
        <w:shd w:val="clear" w:color="auto" w:fill="FFFFFF"/>
        <w:spacing w:after="120" w:line="270" w:lineRule="atLeast"/>
        <w:jc w:val="both"/>
        <w:rPr>
          <w:noProof/>
          <w:color w:val="333333"/>
          <w:lang w:val="en"/>
        </w:rPr>
      </w:pPr>
      <w:r>
        <w:rPr>
          <w:noProof/>
          <w:color w:val="333333"/>
          <w:lang w:val="en"/>
        </w:rPr>
        <w:t xml:space="preserve">High Temperature high current superconductor cables are future keys to manufacture large high field magnets, because they provide efficiency and low inductance of the magnets, minimizing the high voltage requirements in case of quench. However, the established technology of low temperature superconductors NbTi and Nb3Sn is at the limit for the ITER magnets and an increase of operating temperature or a distinct increase of field is not possible. </w:t>
      </w:r>
    </w:p>
    <w:p w:rsidR="00EC06FD" w:rsidRDefault="00F346DE">
      <w:pPr>
        <w:shd w:val="clear" w:color="auto" w:fill="FFFFFF"/>
        <w:spacing w:line="270" w:lineRule="atLeast"/>
        <w:jc w:val="both"/>
        <w:rPr>
          <w:noProof/>
          <w:color w:val="333333"/>
          <w:lang w:val="en"/>
        </w:rPr>
      </w:pPr>
      <w:r>
        <w:rPr>
          <w:noProof/>
          <w:color w:val="333333"/>
          <w:lang w:val="en"/>
        </w:rPr>
        <w:t>High temperature superconductors (HTS) REBCO material allows higher currents at higher magnetic fields and/or temperatures, but the assembling into high current cables (e.g. 68 kA for the ITER TF coil) is challenging, due to the extreme aspect ratio of the thin REBCO tape. SPC has made a proposal to use round stacked conductors as basic strands for a Rutherford cable and demonstrated 60kA @ 5 K and 12 T. KIT recognized the exceptional potential of the round twisted stack concept of SPC and optimized current density, facilitated the joint formation and demonstrated a simple fabrication technology of long-length units named "CroCos". These CroCos can be used as base elements in high field magnet application and offer at the same time a large potential for power applications, transferring fusion know-how to industrial applications, e.g. low loss DC power transmission cables operated at 100 kA and cooled with liquid nitrogen.</w:t>
      </w:r>
    </w:p>
    <w:p w:rsidR="00EC06FD" w:rsidRDefault="00EC06FD">
      <w:pPr>
        <w:shd w:val="clear" w:color="auto" w:fill="FFFFFF"/>
        <w:spacing w:line="405" w:lineRule="atLeast"/>
        <w:jc w:val="both"/>
        <w:outlineLvl w:val="2"/>
        <w:rPr>
          <w:noProof/>
          <w:lang w:val="en"/>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283"/>
        <w:gridCol w:w="6663"/>
      </w:tblGrid>
      <w:tr w:rsidR="00EC06FD">
        <w:tc>
          <w:tcPr>
            <w:tcW w:w="2093" w:type="dxa"/>
            <w:tcBorders>
              <w:top w:val="single" w:sz="4" w:space="0" w:color="auto"/>
              <w:left w:val="single" w:sz="4" w:space="0" w:color="auto"/>
            </w:tcBorders>
            <w:vAlign w:val="center"/>
          </w:tcPr>
          <w:p w:rsidR="00EC06FD" w:rsidRDefault="00F346DE">
            <w:pPr>
              <w:spacing w:before="120"/>
              <w:jc w:val="both"/>
              <w:rPr>
                <w:b/>
                <w:noProof/>
              </w:rPr>
            </w:pPr>
            <w:r>
              <w:rPr>
                <w:b/>
                <w:noProof/>
              </w:rPr>
              <w:t>Proposal number:</w:t>
            </w:r>
          </w:p>
        </w:tc>
        <w:tc>
          <w:tcPr>
            <w:tcW w:w="283" w:type="dxa"/>
            <w:tcBorders>
              <w:top w:val="single" w:sz="4" w:space="0" w:color="auto"/>
            </w:tcBorders>
            <w:vAlign w:val="center"/>
          </w:tcPr>
          <w:p w:rsidR="00EC06FD" w:rsidRDefault="00EC06FD">
            <w:pPr>
              <w:spacing w:before="120"/>
              <w:jc w:val="both"/>
              <w:rPr>
                <w:noProof/>
              </w:rPr>
            </w:pPr>
          </w:p>
        </w:tc>
        <w:tc>
          <w:tcPr>
            <w:tcW w:w="6663" w:type="dxa"/>
            <w:tcBorders>
              <w:top w:val="single" w:sz="4" w:space="0" w:color="auto"/>
              <w:right w:val="single" w:sz="4" w:space="0" w:color="auto"/>
            </w:tcBorders>
            <w:vAlign w:val="center"/>
          </w:tcPr>
          <w:p w:rsidR="00EC06FD" w:rsidRDefault="00F346DE">
            <w:pPr>
              <w:spacing w:before="120"/>
              <w:jc w:val="both"/>
              <w:rPr>
                <w:noProof/>
              </w:rPr>
            </w:pPr>
            <w:r>
              <w:rPr>
                <w:noProof/>
              </w:rPr>
              <w:t>731446</w:t>
            </w:r>
          </w:p>
        </w:tc>
      </w:tr>
      <w:tr w:rsidR="00EC06FD">
        <w:tc>
          <w:tcPr>
            <w:tcW w:w="2093" w:type="dxa"/>
            <w:tcBorders>
              <w:left w:val="single" w:sz="4" w:space="0" w:color="auto"/>
            </w:tcBorders>
            <w:vAlign w:val="center"/>
          </w:tcPr>
          <w:p w:rsidR="00EC06FD" w:rsidRDefault="00F346DE">
            <w:pPr>
              <w:spacing w:before="120"/>
              <w:jc w:val="both"/>
              <w:rPr>
                <w:b/>
                <w:noProof/>
              </w:rPr>
            </w:pPr>
            <w:r>
              <w:rPr>
                <w:b/>
                <w:noProof/>
              </w:rPr>
              <w:t>Acronym:</w:t>
            </w:r>
          </w:p>
        </w:tc>
        <w:tc>
          <w:tcPr>
            <w:tcW w:w="283" w:type="dxa"/>
            <w:vAlign w:val="center"/>
          </w:tcPr>
          <w:p w:rsidR="00EC06FD" w:rsidRDefault="00EC06FD">
            <w:pPr>
              <w:spacing w:before="120"/>
              <w:jc w:val="both"/>
              <w:rPr>
                <w:noProof/>
              </w:rPr>
            </w:pPr>
          </w:p>
        </w:tc>
        <w:tc>
          <w:tcPr>
            <w:tcW w:w="6663" w:type="dxa"/>
            <w:tcBorders>
              <w:right w:val="single" w:sz="4" w:space="0" w:color="auto"/>
            </w:tcBorders>
            <w:vAlign w:val="center"/>
          </w:tcPr>
          <w:p w:rsidR="00EC06FD" w:rsidRDefault="00F346DE">
            <w:pPr>
              <w:spacing w:before="120"/>
              <w:jc w:val="both"/>
              <w:rPr>
                <w:noProof/>
              </w:rPr>
            </w:pPr>
            <w:r>
              <w:rPr>
                <w:noProof/>
              </w:rPr>
              <w:t>TRI2H2</w:t>
            </w:r>
          </w:p>
        </w:tc>
      </w:tr>
      <w:tr w:rsidR="00EC06FD">
        <w:tc>
          <w:tcPr>
            <w:tcW w:w="2093" w:type="dxa"/>
            <w:tcBorders>
              <w:left w:val="single" w:sz="4" w:space="0" w:color="auto"/>
            </w:tcBorders>
            <w:vAlign w:val="center"/>
          </w:tcPr>
          <w:p w:rsidR="00EC06FD" w:rsidRDefault="00F346DE">
            <w:pPr>
              <w:spacing w:before="120"/>
              <w:jc w:val="both"/>
              <w:rPr>
                <w:b/>
                <w:noProof/>
              </w:rPr>
            </w:pPr>
            <w:r>
              <w:rPr>
                <w:b/>
                <w:noProof/>
              </w:rPr>
              <w:t>Funding scheme:</w:t>
            </w:r>
          </w:p>
        </w:tc>
        <w:tc>
          <w:tcPr>
            <w:tcW w:w="283" w:type="dxa"/>
            <w:vAlign w:val="center"/>
          </w:tcPr>
          <w:p w:rsidR="00EC06FD" w:rsidRDefault="00EC06FD">
            <w:pPr>
              <w:spacing w:before="120"/>
              <w:jc w:val="both"/>
              <w:rPr>
                <w:noProof/>
              </w:rPr>
            </w:pPr>
          </w:p>
        </w:tc>
        <w:tc>
          <w:tcPr>
            <w:tcW w:w="6663" w:type="dxa"/>
            <w:tcBorders>
              <w:right w:val="single" w:sz="4" w:space="0" w:color="auto"/>
            </w:tcBorders>
            <w:vAlign w:val="center"/>
          </w:tcPr>
          <w:p w:rsidR="00EC06FD" w:rsidRDefault="00F346DE">
            <w:pPr>
              <w:spacing w:before="120"/>
              <w:jc w:val="both"/>
              <w:rPr>
                <w:noProof/>
              </w:rPr>
            </w:pPr>
            <w:r>
              <w:rPr>
                <w:noProof/>
              </w:rPr>
              <w:t>Recognition prize</w:t>
            </w:r>
          </w:p>
        </w:tc>
      </w:tr>
      <w:tr w:rsidR="00EC06FD">
        <w:tc>
          <w:tcPr>
            <w:tcW w:w="2093" w:type="dxa"/>
            <w:tcBorders>
              <w:left w:val="single" w:sz="4" w:space="0" w:color="auto"/>
            </w:tcBorders>
            <w:vAlign w:val="center"/>
          </w:tcPr>
          <w:p w:rsidR="00EC06FD" w:rsidRDefault="00F346DE">
            <w:pPr>
              <w:spacing w:before="120"/>
              <w:jc w:val="both"/>
              <w:rPr>
                <w:b/>
                <w:noProof/>
              </w:rPr>
            </w:pPr>
            <w:r>
              <w:rPr>
                <w:b/>
                <w:noProof/>
              </w:rPr>
              <w:t>Proposal title:</w:t>
            </w:r>
          </w:p>
        </w:tc>
        <w:tc>
          <w:tcPr>
            <w:tcW w:w="283" w:type="dxa"/>
            <w:vAlign w:val="center"/>
          </w:tcPr>
          <w:p w:rsidR="00EC06FD" w:rsidRDefault="00EC06FD">
            <w:pPr>
              <w:spacing w:before="120"/>
              <w:jc w:val="both"/>
              <w:rPr>
                <w:noProof/>
              </w:rPr>
            </w:pPr>
          </w:p>
        </w:tc>
        <w:tc>
          <w:tcPr>
            <w:tcW w:w="6663" w:type="dxa"/>
            <w:tcBorders>
              <w:right w:val="single" w:sz="4" w:space="0" w:color="auto"/>
            </w:tcBorders>
            <w:vAlign w:val="center"/>
          </w:tcPr>
          <w:p w:rsidR="00EC06FD" w:rsidRDefault="00F346DE">
            <w:pPr>
              <w:spacing w:before="120"/>
              <w:jc w:val="both"/>
              <w:rPr>
                <w:noProof/>
              </w:rPr>
            </w:pPr>
            <w:r>
              <w:rPr>
                <w:noProof/>
              </w:rPr>
              <w:t>New membrane technology to produce ultra-pure hydrogen</w:t>
            </w:r>
          </w:p>
        </w:tc>
      </w:tr>
      <w:tr w:rsidR="00EC06FD">
        <w:tc>
          <w:tcPr>
            <w:tcW w:w="2093" w:type="dxa"/>
            <w:tcBorders>
              <w:left w:val="single" w:sz="4" w:space="0" w:color="auto"/>
            </w:tcBorders>
            <w:vAlign w:val="center"/>
          </w:tcPr>
          <w:p w:rsidR="00EC06FD" w:rsidRDefault="00F346DE">
            <w:pPr>
              <w:spacing w:before="120"/>
              <w:jc w:val="both"/>
              <w:rPr>
                <w:b/>
                <w:noProof/>
              </w:rPr>
            </w:pPr>
            <w:r>
              <w:rPr>
                <w:b/>
                <w:noProof/>
              </w:rPr>
              <w:t>Total costs:</w:t>
            </w:r>
          </w:p>
        </w:tc>
        <w:tc>
          <w:tcPr>
            <w:tcW w:w="283" w:type="dxa"/>
            <w:vAlign w:val="center"/>
          </w:tcPr>
          <w:p w:rsidR="00EC06FD" w:rsidRDefault="00EC06FD">
            <w:pPr>
              <w:spacing w:before="120"/>
              <w:jc w:val="both"/>
              <w:rPr>
                <w:noProof/>
              </w:rPr>
            </w:pPr>
          </w:p>
        </w:tc>
        <w:tc>
          <w:tcPr>
            <w:tcW w:w="6663" w:type="dxa"/>
            <w:tcBorders>
              <w:right w:val="single" w:sz="4" w:space="0" w:color="auto"/>
            </w:tcBorders>
            <w:vAlign w:val="center"/>
          </w:tcPr>
          <w:p w:rsidR="00EC06FD" w:rsidRDefault="00F346DE">
            <w:pPr>
              <w:spacing w:before="120"/>
              <w:jc w:val="both"/>
              <w:rPr>
                <w:noProof/>
              </w:rPr>
            </w:pPr>
            <w:r>
              <w:rPr>
                <w:noProof/>
              </w:rPr>
              <w:t>25.000 €</w:t>
            </w:r>
          </w:p>
        </w:tc>
      </w:tr>
    </w:tbl>
    <w:p w:rsidR="00EC06FD" w:rsidRDefault="00EC06FD">
      <w:pPr>
        <w:shd w:val="clear" w:color="auto" w:fill="FFFFFF"/>
        <w:spacing w:line="405" w:lineRule="atLeast"/>
        <w:jc w:val="both"/>
        <w:outlineLvl w:val="2"/>
        <w:rPr>
          <w:b/>
          <w:noProof/>
          <w:color w:val="333333"/>
          <w:lang w:val="en"/>
        </w:rPr>
      </w:pPr>
    </w:p>
    <w:p w:rsidR="00EC06FD" w:rsidRDefault="00F346DE">
      <w:pPr>
        <w:shd w:val="clear" w:color="auto" w:fill="FFFFFF"/>
        <w:spacing w:after="120" w:line="270" w:lineRule="atLeast"/>
        <w:jc w:val="both"/>
        <w:rPr>
          <w:noProof/>
          <w:color w:val="333333"/>
          <w:lang w:val="en"/>
        </w:rPr>
      </w:pPr>
      <w:r>
        <w:rPr>
          <w:noProof/>
          <w:color w:val="333333"/>
          <w:lang w:val="en"/>
        </w:rPr>
        <w:t xml:space="preserve">At ENEA, Frascati and, in partnership with CEA, Cadarache (SPC), a novel and innovative </w:t>
      </w:r>
      <w:r>
        <w:rPr>
          <w:noProof/>
        </w:rPr>
        <w:t xml:space="preserve">type of membrane for hydrogen purification </w:t>
      </w:r>
      <w:r>
        <w:rPr>
          <w:noProof/>
          <w:color w:val="333333"/>
          <w:lang w:val="en"/>
        </w:rPr>
        <w:t xml:space="preserve">has been developed. This innovation is the scope of this application. </w:t>
      </w:r>
    </w:p>
    <w:p w:rsidR="00EC06FD" w:rsidRDefault="00F346DE">
      <w:pPr>
        <w:jc w:val="both"/>
        <w:rPr>
          <w:noProof/>
          <w:lang w:val="en"/>
        </w:rPr>
      </w:pPr>
      <w:r>
        <w:rPr>
          <w:noProof/>
          <w:color w:val="333333"/>
          <w:lang w:val="en"/>
        </w:rPr>
        <w:t xml:space="preserve">Palladium-based membranes have been studied for separating hydrogen isotopes in the fusion fuel cycle. ENEA and CEA designed and tested membrane reactors made of dense Pd-Ag </w:t>
      </w:r>
      <w:r>
        <w:rPr>
          <w:noProof/>
          <w:color w:val="333333"/>
          <w:lang w:val="en"/>
        </w:rPr>
        <w:lastRenderedPageBreak/>
        <w:t>tubes in a process developed for the recovery of tritium from JET soft housekeeping waste. These Pd-membranes exhibit infinite selectivity to the hydrogen isotopes and, therefore, can operate the detritiation processes with high efficiency. The tests carried out at Cadarache laboratories verified the effectiveness of the studied process for both detritiating the waste and recovering tritium in form of HT. The same Pd-membrane reactors have been tested for producing ultra-pure hydrogen via reforming of hydrocarbons, alcohols and biomass. In fact, fixed bed membrane reactors consisting of Pd-Ag membrane tubes filled with catalyst produce hydrogen with hydrogen yields higher than those of traditional reactors. Thanks to the proper mechanical design developed in the fusion fuel cycle applications, the Pd-membrane reactors exhibit good durability and reliability. Experiments demonstrated the effectiveness of these devices for recovering pure hydrogen from biomass. Particularly, Olive Mill Wastewater (OMW), that represents a major environmental concern because of its high pollution potential, has been successfully valorized for producing hydrogen and syngas by means of tubular Pd-membrane reactors.</w:t>
      </w:r>
    </w:p>
    <w:p w:rsidR="00EC06FD" w:rsidRDefault="00EC06FD">
      <w:pPr>
        <w:jc w:val="both"/>
        <w:rPr>
          <w:noProof/>
          <w:lang w:val="en"/>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283"/>
        <w:gridCol w:w="6663"/>
      </w:tblGrid>
      <w:tr w:rsidR="00EC06FD">
        <w:tc>
          <w:tcPr>
            <w:tcW w:w="2093" w:type="dxa"/>
            <w:tcBorders>
              <w:top w:val="single" w:sz="4" w:space="0" w:color="auto"/>
              <w:left w:val="single" w:sz="4" w:space="0" w:color="auto"/>
            </w:tcBorders>
            <w:vAlign w:val="center"/>
          </w:tcPr>
          <w:p w:rsidR="00EC06FD" w:rsidRDefault="00F346DE">
            <w:pPr>
              <w:spacing w:before="120"/>
              <w:jc w:val="both"/>
              <w:rPr>
                <w:b/>
                <w:noProof/>
              </w:rPr>
            </w:pPr>
            <w:r>
              <w:rPr>
                <w:b/>
                <w:noProof/>
              </w:rPr>
              <w:t>Proposal number:</w:t>
            </w:r>
          </w:p>
        </w:tc>
        <w:tc>
          <w:tcPr>
            <w:tcW w:w="283" w:type="dxa"/>
            <w:tcBorders>
              <w:top w:val="single" w:sz="4" w:space="0" w:color="auto"/>
            </w:tcBorders>
            <w:vAlign w:val="center"/>
          </w:tcPr>
          <w:p w:rsidR="00EC06FD" w:rsidRDefault="00EC06FD">
            <w:pPr>
              <w:spacing w:before="120"/>
              <w:jc w:val="both"/>
              <w:rPr>
                <w:noProof/>
              </w:rPr>
            </w:pPr>
          </w:p>
        </w:tc>
        <w:tc>
          <w:tcPr>
            <w:tcW w:w="6663" w:type="dxa"/>
            <w:tcBorders>
              <w:top w:val="single" w:sz="4" w:space="0" w:color="auto"/>
              <w:right w:val="single" w:sz="4" w:space="0" w:color="auto"/>
            </w:tcBorders>
            <w:vAlign w:val="center"/>
          </w:tcPr>
          <w:p w:rsidR="00EC06FD" w:rsidRDefault="00F346DE">
            <w:pPr>
              <w:spacing w:before="120"/>
              <w:jc w:val="both"/>
              <w:rPr>
                <w:noProof/>
              </w:rPr>
            </w:pPr>
            <w:r>
              <w:rPr>
                <w:noProof/>
              </w:rPr>
              <w:t>731435</w:t>
            </w:r>
          </w:p>
        </w:tc>
      </w:tr>
      <w:tr w:rsidR="00EC06FD">
        <w:tc>
          <w:tcPr>
            <w:tcW w:w="2093" w:type="dxa"/>
            <w:tcBorders>
              <w:left w:val="single" w:sz="4" w:space="0" w:color="auto"/>
            </w:tcBorders>
            <w:vAlign w:val="center"/>
          </w:tcPr>
          <w:p w:rsidR="00EC06FD" w:rsidRDefault="00F346DE">
            <w:pPr>
              <w:spacing w:before="120"/>
              <w:jc w:val="both"/>
              <w:rPr>
                <w:b/>
                <w:noProof/>
              </w:rPr>
            </w:pPr>
            <w:r>
              <w:rPr>
                <w:b/>
                <w:noProof/>
              </w:rPr>
              <w:t>Acronym:</w:t>
            </w:r>
          </w:p>
        </w:tc>
        <w:tc>
          <w:tcPr>
            <w:tcW w:w="283" w:type="dxa"/>
            <w:vAlign w:val="center"/>
          </w:tcPr>
          <w:p w:rsidR="00EC06FD" w:rsidRDefault="00EC06FD">
            <w:pPr>
              <w:spacing w:before="120"/>
              <w:jc w:val="both"/>
              <w:rPr>
                <w:noProof/>
              </w:rPr>
            </w:pPr>
          </w:p>
        </w:tc>
        <w:tc>
          <w:tcPr>
            <w:tcW w:w="6663" w:type="dxa"/>
            <w:tcBorders>
              <w:right w:val="single" w:sz="4" w:space="0" w:color="auto"/>
            </w:tcBorders>
            <w:vAlign w:val="center"/>
          </w:tcPr>
          <w:p w:rsidR="00EC06FD" w:rsidRDefault="00F346DE">
            <w:pPr>
              <w:spacing w:before="120"/>
              <w:jc w:val="both"/>
              <w:rPr>
                <w:noProof/>
              </w:rPr>
            </w:pPr>
            <w:r>
              <w:rPr>
                <w:noProof/>
              </w:rPr>
              <w:t>VORTEX</w:t>
            </w:r>
          </w:p>
        </w:tc>
      </w:tr>
      <w:tr w:rsidR="00EC06FD">
        <w:tc>
          <w:tcPr>
            <w:tcW w:w="2093" w:type="dxa"/>
            <w:tcBorders>
              <w:left w:val="single" w:sz="4" w:space="0" w:color="auto"/>
            </w:tcBorders>
            <w:vAlign w:val="center"/>
          </w:tcPr>
          <w:p w:rsidR="00EC06FD" w:rsidRDefault="00F346DE">
            <w:pPr>
              <w:spacing w:before="120"/>
              <w:jc w:val="both"/>
              <w:rPr>
                <w:b/>
                <w:noProof/>
              </w:rPr>
            </w:pPr>
            <w:r>
              <w:rPr>
                <w:b/>
                <w:noProof/>
              </w:rPr>
              <w:t>Funding scheme:</w:t>
            </w:r>
          </w:p>
        </w:tc>
        <w:tc>
          <w:tcPr>
            <w:tcW w:w="283" w:type="dxa"/>
            <w:vAlign w:val="center"/>
          </w:tcPr>
          <w:p w:rsidR="00EC06FD" w:rsidRDefault="00EC06FD">
            <w:pPr>
              <w:spacing w:before="120"/>
              <w:jc w:val="both"/>
              <w:rPr>
                <w:noProof/>
              </w:rPr>
            </w:pPr>
          </w:p>
        </w:tc>
        <w:tc>
          <w:tcPr>
            <w:tcW w:w="6663" w:type="dxa"/>
            <w:tcBorders>
              <w:right w:val="single" w:sz="4" w:space="0" w:color="auto"/>
            </w:tcBorders>
            <w:vAlign w:val="center"/>
          </w:tcPr>
          <w:p w:rsidR="00EC06FD" w:rsidRDefault="00F346DE">
            <w:pPr>
              <w:spacing w:before="120"/>
              <w:jc w:val="both"/>
              <w:rPr>
                <w:noProof/>
              </w:rPr>
            </w:pPr>
            <w:r>
              <w:rPr>
                <w:noProof/>
              </w:rPr>
              <w:t>Recognition prize</w:t>
            </w:r>
          </w:p>
        </w:tc>
      </w:tr>
      <w:tr w:rsidR="00EC06FD">
        <w:tc>
          <w:tcPr>
            <w:tcW w:w="2093" w:type="dxa"/>
            <w:tcBorders>
              <w:left w:val="single" w:sz="4" w:space="0" w:color="auto"/>
            </w:tcBorders>
            <w:vAlign w:val="center"/>
          </w:tcPr>
          <w:p w:rsidR="00EC06FD" w:rsidRDefault="00F346DE">
            <w:pPr>
              <w:spacing w:before="120"/>
              <w:jc w:val="both"/>
              <w:rPr>
                <w:b/>
                <w:noProof/>
              </w:rPr>
            </w:pPr>
            <w:r>
              <w:rPr>
                <w:b/>
                <w:noProof/>
              </w:rPr>
              <w:t>Proposal title:</w:t>
            </w:r>
          </w:p>
        </w:tc>
        <w:tc>
          <w:tcPr>
            <w:tcW w:w="283" w:type="dxa"/>
            <w:vAlign w:val="center"/>
          </w:tcPr>
          <w:p w:rsidR="00EC06FD" w:rsidRDefault="00EC06FD">
            <w:pPr>
              <w:spacing w:before="120"/>
              <w:jc w:val="both"/>
              <w:rPr>
                <w:noProof/>
              </w:rPr>
            </w:pPr>
          </w:p>
        </w:tc>
        <w:tc>
          <w:tcPr>
            <w:tcW w:w="6663" w:type="dxa"/>
            <w:tcBorders>
              <w:right w:val="single" w:sz="4" w:space="0" w:color="auto"/>
            </w:tcBorders>
            <w:vAlign w:val="center"/>
          </w:tcPr>
          <w:p w:rsidR="00EC06FD" w:rsidRDefault="00F346DE">
            <w:pPr>
              <w:spacing w:before="120"/>
              <w:jc w:val="both"/>
              <w:rPr>
                <w:noProof/>
              </w:rPr>
            </w:pPr>
            <w:r>
              <w:rPr>
                <w:noProof/>
              </w:rPr>
              <w:t xml:space="preserve">New virtual reality software technology to improve radioprotection </w:t>
            </w:r>
          </w:p>
        </w:tc>
      </w:tr>
      <w:tr w:rsidR="00EC06FD">
        <w:tc>
          <w:tcPr>
            <w:tcW w:w="2093" w:type="dxa"/>
            <w:tcBorders>
              <w:left w:val="single" w:sz="4" w:space="0" w:color="auto"/>
            </w:tcBorders>
            <w:vAlign w:val="center"/>
          </w:tcPr>
          <w:p w:rsidR="00EC06FD" w:rsidRDefault="00F346DE">
            <w:pPr>
              <w:spacing w:before="120"/>
              <w:jc w:val="both"/>
              <w:rPr>
                <w:b/>
                <w:noProof/>
              </w:rPr>
            </w:pPr>
            <w:r>
              <w:rPr>
                <w:b/>
                <w:noProof/>
              </w:rPr>
              <w:t>Total costs:</w:t>
            </w:r>
          </w:p>
        </w:tc>
        <w:tc>
          <w:tcPr>
            <w:tcW w:w="283" w:type="dxa"/>
            <w:vAlign w:val="center"/>
          </w:tcPr>
          <w:p w:rsidR="00EC06FD" w:rsidRDefault="00EC06FD">
            <w:pPr>
              <w:spacing w:before="120"/>
              <w:jc w:val="both"/>
              <w:rPr>
                <w:noProof/>
              </w:rPr>
            </w:pPr>
          </w:p>
        </w:tc>
        <w:tc>
          <w:tcPr>
            <w:tcW w:w="6663" w:type="dxa"/>
            <w:tcBorders>
              <w:right w:val="single" w:sz="4" w:space="0" w:color="auto"/>
            </w:tcBorders>
            <w:vAlign w:val="center"/>
          </w:tcPr>
          <w:p w:rsidR="00EC06FD" w:rsidRDefault="00F346DE">
            <w:pPr>
              <w:spacing w:before="120"/>
              <w:jc w:val="both"/>
              <w:rPr>
                <w:noProof/>
              </w:rPr>
            </w:pPr>
            <w:r>
              <w:rPr>
                <w:noProof/>
              </w:rPr>
              <w:t>12.500 €</w:t>
            </w:r>
          </w:p>
        </w:tc>
      </w:tr>
    </w:tbl>
    <w:p w:rsidR="00EC06FD" w:rsidRDefault="00EC06FD">
      <w:pPr>
        <w:shd w:val="clear" w:color="auto" w:fill="FFFFFF"/>
        <w:spacing w:line="405" w:lineRule="atLeast"/>
        <w:jc w:val="both"/>
        <w:outlineLvl w:val="2"/>
        <w:rPr>
          <w:b/>
          <w:noProof/>
          <w:color w:val="333333"/>
          <w:lang w:val="en"/>
        </w:rPr>
      </w:pPr>
    </w:p>
    <w:p w:rsidR="00EC06FD" w:rsidRDefault="00F346DE">
      <w:pPr>
        <w:shd w:val="clear" w:color="auto" w:fill="FFFFFF"/>
        <w:spacing w:after="120" w:line="270" w:lineRule="atLeast"/>
        <w:jc w:val="both"/>
        <w:rPr>
          <w:noProof/>
          <w:color w:val="333333"/>
          <w:lang w:val="en"/>
        </w:rPr>
      </w:pPr>
      <w:r>
        <w:rPr>
          <w:noProof/>
          <w:color w:val="333333"/>
          <w:lang w:val="en"/>
        </w:rPr>
        <w:t xml:space="preserve">At UKAEA, Culham, a novel and innovative </w:t>
      </w:r>
      <w:r>
        <w:rPr>
          <w:noProof/>
        </w:rPr>
        <w:t xml:space="preserve">software technology making use of virtual reality to improve radioprotection </w:t>
      </w:r>
      <w:r>
        <w:rPr>
          <w:noProof/>
          <w:color w:val="333333"/>
          <w:lang w:val="en"/>
        </w:rPr>
        <w:t xml:space="preserve">has been developed. This innovation is the scope of this application. </w:t>
      </w:r>
    </w:p>
    <w:p w:rsidR="00EC06FD" w:rsidRDefault="00F346DE">
      <w:pPr>
        <w:shd w:val="clear" w:color="auto" w:fill="FFFFFF"/>
        <w:spacing w:line="270" w:lineRule="atLeast"/>
        <w:jc w:val="both"/>
        <w:rPr>
          <w:noProof/>
          <w:color w:val="333333"/>
          <w:lang w:val="en"/>
        </w:rPr>
      </w:pPr>
      <w:r>
        <w:rPr>
          <w:noProof/>
          <w:color w:val="333333"/>
          <w:lang w:val="en"/>
        </w:rPr>
        <w:t>This innovation called VORTEX (Virtual Operator RadiaTion EXposure) combines virtual reality with radiation transport calculations in order to accurately determine the total dose to operatives and equipment during maintenance tasks in radiation environments. Used in a fission or fusion plant environment, VORTEX will enable the detailed planning of such tasks with a view to minimizing the exposure of the workforce.</w:t>
      </w:r>
    </w:p>
    <w:p w:rsidR="00EC06FD" w:rsidRDefault="00EC06FD">
      <w:pPr>
        <w:jc w:val="both"/>
        <w:rPr>
          <w:noProof/>
          <w:lang w:val="en"/>
        </w:rPr>
      </w:pPr>
    </w:p>
    <w:p w:rsidR="00EC06FD" w:rsidRDefault="00EC06FD">
      <w:pPr>
        <w:jc w:val="both"/>
        <w:rPr>
          <w:noProof/>
          <w:lang w:val="en"/>
        </w:rPr>
      </w:pPr>
    </w:p>
    <w:p w:rsidR="00EC06FD" w:rsidRDefault="00F346DE">
      <w:pPr>
        <w:rPr>
          <w:b/>
          <w:noProof/>
          <w:lang w:val="en"/>
        </w:rPr>
      </w:pPr>
      <w:r>
        <w:rPr>
          <w:b/>
          <w:noProof/>
          <w:lang w:val="en"/>
        </w:rPr>
        <w:t>SOFT prizes 2014</w:t>
      </w:r>
    </w:p>
    <w:p w:rsidR="00EC06FD" w:rsidRDefault="00EC06FD">
      <w:pPr>
        <w:shd w:val="clear" w:color="auto" w:fill="FFFFFF"/>
        <w:spacing w:line="405" w:lineRule="atLeast"/>
        <w:jc w:val="both"/>
        <w:outlineLvl w:val="2"/>
        <w:rPr>
          <w:b/>
          <w:noProof/>
          <w:color w:val="333333"/>
          <w:lang w:val="en"/>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283"/>
        <w:gridCol w:w="6663"/>
      </w:tblGrid>
      <w:tr w:rsidR="00EC06FD">
        <w:tc>
          <w:tcPr>
            <w:tcW w:w="2093" w:type="dxa"/>
            <w:tcBorders>
              <w:top w:val="single" w:sz="4" w:space="0" w:color="auto"/>
              <w:left w:val="single" w:sz="4" w:space="0" w:color="auto"/>
            </w:tcBorders>
            <w:vAlign w:val="center"/>
          </w:tcPr>
          <w:p w:rsidR="00EC06FD" w:rsidRDefault="00F346DE">
            <w:pPr>
              <w:spacing w:before="120"/>
              <w:jc w:val="both"/>
              <w:rPr>
                <w:b/>
                <w:noProof/>
              </w:rPr>
            </w:pPr>
            <w:r>
              <w:rPr>
                <w:b/>
                <w:noProof/>
              </w:rPr>
              <w:t>Proposal number:</w:t>
            </w:r>
          </w:p>
        </w:tc>
        <w:tc>
          <w:tcPr>
            <w:tcW w:w="283" w:type="dxa"/>
            <w:tcBorders>
              <w:top w:val="single" w:sz="4" w:space="0" w:color="auto"/>
            </w:tcBorders>
            <w:vAlign w:val="center"/>
          </w:tcPr>
          <w:p w:rsidR="00EC06FD" w:rsidRDefault="00EC06FD">
            <w:pPr>
              <w:spacing w:before="120"/>
              <w:jc w:val="both"/>
              <w:rPr>
                <w:noProof/>
              </w:rPr>
            </w:pPr>
          </w:p>
        </w:tc>
        <w:tc>
          <w:tcPr>
            <w:tcW w:w="6663" w:type="dxa"/>
            <w:tcBorders>
              <w:top w:val="single" w:sz="4" w:space="0" w:color="auto"/>
              <w:right w:val="single" w:sz="4" w:space="0" w:color="auto"/>
            </w:tcBorders>
            <w:vAlign w:val="center"/>
          </w:tcPr>
          <w:p w:rsidR="00EC06FD" w:rsidRDefault="00F346DE">
            <w:pPr>
              <w:spacing w:before="120"/>
              <w:jc w:val="both"/>
              <w:rPr>
                <w:noProof/>
              </w:rPr>
            </w:pPr>
            <w:r>
              <w:rPr>
                <w:noProof/>
              </w:rPr>
              <w:t>643929</w:t>
            </w:r>
          </w:p>
        </w:tc>
      </w:tr>
      <w:tr w:rsidR="00EC06FD">
        <w:tc>
          <w:tcPr>
            <w:tcW w:w="2093" w:type="dxa"/>
            <w:tcBorders>
              <w:left w:val="single" w:sz="4" w:space="0" w:color="auto"/>
            </w:tcBorders>
            <w:vAlign w:val="center"/>
          </w:tcPr>
          <w:p w:rsidR="00EC06FD" w:rsidRDefault="00F346DE">
            <w:pPr>
              <w:spacing w:before="120"/>
              <w:jc w:val="both"/>
              <w:rPr>
                <w:b/>
                <w:noProof/>
              </w:rPr>
            </w:pPr>
            <w:r>
              <w:rPr>
                <w:b/>
                <w:noProof/>
              </w:rPr>
              <w:t>Acronym:</w:t>
            </w:r>
          </w:p>
        </w:tc>
        <w:tc>
          <w:tcPr>
            <w:tcW w:w="283" w:type="dxa"/>
            <w:vAlign w:val="center"/>
          </w:tcPr>
          <w:p w:rsidR="00EC06FD" w:rsidRDefault="00EC06FD">
            <w:pPr>
              <w:spacing w:before="120"/>
              <w:jc w:val="both"/>
              <w:rPr>
                <w:noProof/>
              </w:rPr>
            </w:pPr>
          </w:p>
        </w:tc>
        <w:tc>
          <w:tcPr>
            <w:tcW w:w="6663" w:type="dxa"/>
            <w:tcBorders>
              <w:right w:val="single" w:sz="4" w:space="0" w:color="auto"/>
            </w:tcBorders>
            <w:vAlign w:val="center"/>
          </w:tcPr>
          <w:p w:rsidR="00EC06FD" w:rsidRDefault="00F346DE">
            <w:pPr>
              <w:spacing w:before="120"/>
              <w:jc w:val="both"/>
              <w:rPr>
                <w:noProof/>
              </w:rPr>
            </w:pPr>
            <w:r>
              <w:rPr>
                <w:noProof/>
              </w:rPr>
              <w:t>KALPUREX</w:t>
            </w:r>
          </w:p>
        </w:tc>
      </w:tr>
      <w:tr w:rsidR="00EC06FD">
        <w:tc>
          <w:tcPr>
            <w:tcW w:w="2093" w:type="dxa"/>
            <w:tcBorders>
              <w:left w:val="single" w:sz="4" w:space="0" w:color="auto"/>
            </w:tcBorders>
            <w:vAlign w:val="center"/>
          </w:tcPr>
          <w:p w:rsidR="00EC06FD" w:rsidRDefault="00F346DE">
            <w:pPr>
              <w:spacing w:before="120"/>
              <w:jc w:val="both"/>
              <w:rPr>
                <w:b/>
                <w:noProof/>
              </w:rPr>
            </w:pPr>
            <w:r>
              <w:rPr>
                <w:b/>
                <w:noProof/>
              </w:rPr>
              <w:t>Funding scheme:</w:t>
            </w:r>
          </w:p>
        </w:tc>
        <w:tc>
          <w:tcPr>
            <w:tcW w:w="283" w:type="dxa"/>
            <w:vAlign w:val="center"/>
          </w:tcPr>
          <w:p w:rsidR="00EC06FD" w:rsidRDefault="00EC06FD">
            <w:pPr>
              <w:spacing w:before="120"/>
              <w:jc w:val="both"/>
              <w:rPr>
                <w:noProof/>
              </w:rPr>
            </w:pPr>
          </w:p>
        </w:tc>
        <w:tc>
          <w:tcPr>
            <w:tcW w:w="6663" w:type="dxa"/>
            <w:tcBorders>
              <w:right w:val="single" w:sz="4" w:space="0" w:color="auto"/>
            </w:tcBorders>
            <w:vAlign w:val="center"/>
          </w:tcPr>
          <w:p w:rsidR="00EC06FD" w:rsidRDefault="00F346DE">
            <w:pPr>
              <w:spacing w:before="120"/>
              <w:jc w:val="both"/>
              <w:rPr>
                <w:noProof/>
              </w:rPr>
            </w:pPr>
            <w:r>
              <w:rPr>
                <w:noProof/>
              </w:rPr>
              <w:t>Recognition prize</w:t>
            </w:r>
          </w:p>
        </w:tc>
      </w:tr>
      <w:tr w:rsidR="00EC06FD">
        <w:tc>
          <w:tcPr>
            <w:tcW w:w="2093" w:type="dxa"/>
            <w:tcBorders>
              <w:left w:val="single" w:sz="4" w:space="0" w:color="auto"/>
            </w:tcBorders>
            <w:vAlign w:val="center"/>
          </w:tcPr>
          <w:p w:rsidR="00EC06FD" w:rsidRDefault="00F346DE">
            <w:pPr>
              <w:spacing w:before="120"/>
              <w:jc w:val="both"/>
              <w:rPr>
                <w:b/>
                <w:noProof/>
              </w:rPr>
            </w:pPr>
            <w:r>
              <w:rPr>
                <w:b/>
                <w:noProof/>
              </w:rPr>
              <w:t>Proposal title:</w:t>
            </w:r>
          </w:p>
        </w:tc>
        <w:tc>
          <w:tcPr>
            <w:tcW w:w="283" w:type="dxa"/>
            <w:vAlign w:val="center"/>
          </w:tcPr>
          <w:p w:rsidR="00EC06FD" w:rsidRDefault="00EC06FD">
            <w:pPr>
              <w:spacing w:before="120"/>
              <w:jc w:val="both"/>
              <w:rPr>
                <w:noProof/>
              </w:rPr>
            </w:pPr>
          </w:p>
        </w:tc>
        <w:tc>
          <w:tcPr>
            <w:tcW w:w="6663" w:type="dxa"/>
            <w:tcBorders>
              <w:right w:val="single" w:sz="4" w:space="0" w:color="auto"/>
            </w:tcBorders>
            <w:vAlign w:val="center"/>
          </w:tcPr>
          <w:p w:rsidR="00EC06FD" w:rsidRDefault="00F346DE">
            <w:pPr>
              <w:spacing w:before="120"/>
              <w:jc w:val="both"/>
              <w:rPr>
                <w:noProof/>
              </w:rPr>
            </w:pPr>
            <w:r>
              <w:rPr>
                <w:noProof/>
              </w:rPr>
              <w:t>A new process for continuous and non-cryogenic fusion exhaust gas pumping with a separation function for direct internal recycling</w:t>
            </w:r>
          </w:p>
        </w:tc>
      </w:tr>
      <w:tr w:rsidR="00EC06FD">
        <w:tc>
          <w:tcPr>
            <w:tcW w:w="2093" w:type="dxa"/>
            <w:tcBorders>
              <w:left w:val="single" w:sz="4" w:space="0" w:color="auto"/>
            </w:tcBorders>
            <w:vAlign w:val="center"/>
          </w:tcPr>
          <w:p w:rsidR="00EC06FD" w:rsidRDefault="00F346DE">
            <w:pPr>
              <w:spacing w:before="120"/>
              <w:jc w:val="both"/>
              <w:rPr>
                <w:b/>
                <w:noProof/>
              </w:rPr>
            </w:pPr>
            <w:r>
              <w:rPr>
                <w:b/>
                <w:noProof/>
              </w:rPr>
              <w:t>Total costs:</w:t>
            </w:r>
          </w:p>
        </w:tc>
        <w:tc>
          <w:tcPr>
            <w:tcW w:w="283" w:type="dxa"/>
            <w:vAlign w:val="center"/>
          </w:tcPr>
          <w:p w:rsidR="00EC06FD" w:rsidRDefault="00EC06FD">
            <w:pPr>
              <w:spacing w:before="120"/>
              <w:jc w:val="both"/>
              <w:rPr>
                <w:noProof/>
              </w:rPr>
            </w:pPr>
          </w:p>
        </w:tc>
        <w:tc>
          <w:tcPr>
            <w:tcW w:w="6663" w:type="dxa"/>
            <w:tcBorders>
              <w:right w:val="single" w:sz="4" w:space="0" w:color="auto"/>
            </w:tcBorders>
            <w:vAlign w:val="center"/>
          </w:tcPr>
          <w:p w:rsidR="00EC06FD" w:rsidRDefault="00F346DE">
            <w:pPr>
              <w:spacing w:before="120"/>
              <w:jc w:val="both"/>
              <w:rPr>
                <w:noProof/>
              </w:rPr>
            </w:pPr>
            <w:r>
              <w:rPr>
                <w:noProof/>
              </w:rPr>
              <w:t>15.000 €</w:t>
            </w:r>
          </w:p>
        </w:tc>
      </w:tr>
    </w:tbl>
    <w:p w:rsidR="00EC06FD" w:rsidRDefault="00EC06FD">
      <w:pPr>
        <w:shd w:val="clear" w:color="auto" w:fill="FFFFFF"/>
        <w:spacing w:line="405" w:lineRule="atLeast"/>
        <w:jc w:val="both"/>
        <w:outlineLvl w:val="2"/>
        <w:rPr>
          <w:b/>
          <w:noProof/>
          <w:color w:val="333333"/>
          <w:lang w:val="en"/>
        </w:rPr>
      </w:pPr>
    </w:p>
    <w:p w:rsidR="00EC06FD" w:rsidRDefault="00F346DE">
      <w:pPr>
        <w:jc w:val="both"/>
        <w:rPr>
          <w:noProof/>
          <w:szCs w:val="20"/>
          <w:lang w:eastAsia="en-US"/>
        </w:rPr>
      </w:pPr>
      <w:r>
        <w:rPr>
          <w:noProof/>
          <w:lang w:val="en"/>
        </w:rPr>
        <w:t xml:space="preserve">At Karlsruhe Institute of Technology (KIT), a novel and innovative fusion fuel cycle concept for DEMO and future fusion power plants has been developed. This innovation is the scope of </w:t>
      </w:r>
      <w:r>
        <w:rPr>
          <w:noProof/>
          <w:lang w:val="en"/>
        </w:rPr>
        <w:lastRenderedPageBreak/>
        <w:t>this application. It is based on a continuous and non-cryogenic but still fully tritium compatible process to pump the exhaust gas of the reactor. It further includes a direct internal recycling path for separation of pure hydrogen from the exhaust gas and leading it directly to the fuelling systems, in a short-cut around the tritium plant. By these measures, the tritium inventories are decreased, the cycle times are minimized and the tritium plant size is reduced. It therefore solves a potential showstopper and helps to make fusion energy more cost-attractive. KALPUREX (Karlsruhe liquid metal based pumping process for fusion reactor exhaust gases) is the process to implement this new and innovative concept. It is based on the use of a metal foil pump for separation and hydrogen recycling, of a mercury diffusion pump for primary pumping and of a mercury liquid ring pump for rough pumping. All three pump technologies had to be further developed with novel design solutions to make them suitable for fusion applications.</w:t>
      </w:r>
    </w:p>
    <w:p w:rsidR="00EC06FD" w:rsidRDefault="00EC06FD">
      <w:pPr>
        <w:rPr>
          <w:noProof/>
        </w:rPr>
      </w:pPr>
    </w:p>
    <w:p w:rsidR="00EC06FD" w:rsidRDefault="00F346DE">
      <w:pPr>
        <w:rPr>
          <w:noProof/>
        </w:rPr>
      </w:pPr>
      <w:r>
        <w:rPr>
          <w:noProof/>
        </w:rPr>
        <w:br w:type="page"/>
      </w:r>
    </w:p>
    <w:p w:rsidR="00EC06FD" w:rsidRDefault="00F346DE">
      <w:pPr>
        <w:pStyle w:val="Heading1"/>
        <w:numPr>
          <w:ilvl w:val="0"/>
          <w:numId w:val="0"/>
        </w:numPr>
        <w:rPr>
          <w:noProof/>
        </w:rPr>
      </w:pPr>
      <w:bookmarkStart w:id="721" w:name="_Toc494899817"/>
      <w:r>
        <w:rPr>
          <w:noProof/>
        </w:rPr>
        <w:lastRenderedPageBreak/>
        <w:t>Annex 4: An overview of important scientific results in fusion research (highlights on the basis of 2016 annual report of EUROfusion)</w:t>
      </w:r>
      <w:bookmarkEnd w:id="721"/>
    </w:p>
    <w:p w:rsidR="00EC06FD" w:rsidRDefault="00F346DE">
      <w:pPr>
        <w:jc w:val="both"/>
        <w:rPr>
          <w:noProof/>
        </w:rPr>
      </w:pPr>
      <w:r>
        <w:rPr>
          <w:noProof/>
        </w:rPr>
        <w:t>In the area of ITER relevant physics and support for future operation of the device several advances were made. For example, milestones set up to increase the confidence in JET performance being on track to reach the levels required for a successful Deuterium-Tritium (DT) campaign in 2019/20 were rapidly met when high power Neutral Beam heating became available</w:t>
      </w:r>
      <w:r>
        <w:rPr>
          <w:noProof/>
          <w:color w:val="1F497D"/>
        </w:rPr>
        <w:t xml:space="preserve"> </w:t>
      </w:r>
      <w:r>
        <w:rPr>
          <w:noProof/>
        </w:rPr>
        <w:t xml:space="preserve">from mid-September 2016. These milestones had been formulated by the independent EUROfusion Science &amp; Technology Advisory Committee (STAC) and it was crucial that they were met. A future JET DT campaign should yield invaluable results and experience in support of ITER (the DT fuel species mix will be used by ITER in its full performance phase). An important factor for enhancing the performance of JET has been to overcome the lower energy confinement found experimentally with the ITER Like Wall (ILW). Significant progress was made in improving the JET confinement during 2016, and the underlying reasons for the reduced energy confinement in the edge plasma region with the ILW are becoming clearer. Both experiments on JET and on ASDEX-Upgrade have made significant contributions in this respect (ASDEX Upgrade is also operating with a metallic wall). To put JET's role for risk mitigation into context for ITER, the ILW has now been operated for 6 years and if the same understanding on operating with a metal wall were to have been obtained from ITER experiments it would likely have taken much longer time (the number of experiments it will be possible to carry out on ITER per day are much fewer than what is achieved on JET) and been vastly more expensive (one year of operation of ITER will cost Europe ~85M€). </w:t>
      </w:r>
    </w:p>
    <w:p w:rsidR="00EC06FD" w:rsidRDefault="00EC06FD">
      <w:pPr>
        <w:ind w:left="720"/>
        <w:jc w:val="both"/>
        <w:rPr>
          <w:noProof/>
        </w:rPr>
      </w:pPr>
    </w:p>
    <w:p w:rsidR="00EC06FD" w:rsidRDefault="00F346DE">
      <w:pPr>
        <w:jc w:val="both"/>
        <w:rPr>
          <w:noProof/>
        </w:rPr>
      </w:pPr>
      <w:r>
        <w:rPr>
          <w:noProof/>
        </w:rPr>
        <w:t xml:space="preserve">Another important result, with potential implications for ITER, was discovered in a special Hydrogen campaign at JET (normally JET is operated with Deuterium plasmas). It was found that operation of hydrogen plasmas with only a small amount of Helium mixed in (~10%) required significantly less auxiliary heating power for the discharge to enter into to a so called high performance mode (H-mode). The standard operating scenario for ITER discharges should be H-mode and one would like to explore this confinement mode as early as possible. Unfortunately, with a single ion species the power required for entering into H-mode is about inversely proportional to the mass of the of the ion species. This poses a problem because in the initial (non-nuclear) phase of ITER the plan is to operate hydrogen plasmas. Because hydrogen has the lowest mass and the amount of auxiliary heating power available in the non-nuclear phase will be limited it would be very challenging to enter into H-mode in early ITER operation (one might have to resort to operating a very low magnetic field or in Helium plasmas, none of which is unproblematic). However, if the JET result extrapolates </w:t>
      </w:r>
      <w:r>
        <w:rPr>
          <w:noProof/>
          <w:color w:val="1F497D"/>
        </w:rPr>
        <w:t xml:space="preserve">to </w:t>
      </w:r>
      <w:r>
        <w:rPr>
          <w:noProof/>
        </w:rPr>
        <w:t>ITER it would significantly ease the difficulty of operating early with H-modes.</w:t>
      </w:r>
    </w:p>
    <w:p w:rsidR="00EC06FD" w:rsidRDefault="00EC06FD">
      <w:pPr>
        <w:ind w:left="720"/>
        <w:jc w:val="both"/>
        <w:rPr>
          <w:noProof/>
        </w:rPr>
      </w:pPr>
    </w:p>
    <w:p w:rsidR="00EC06FD" w:rsidRDefault="00F346DE">
      <w:pPr>
        <w:jc w:val="both"/>
        <w:rPr>
          <w:noProof/>
        </w:rPr>
      </w:pPr>
      <w:r>
        <w:rPr>
          <w:noProof/>
        </w:rPr>
        <w:t>Progress with important implications for ITER was made not only in terms of plasma physics. Just to mention an example, the dust generated by the JET ILW has been studied very carefully. Dust is a particular concern for ITER because of the tritium that can be lodged in it. Tritiated dust poses a number of safety hazards and could degrade e.g. in vessel diagnostics. The good news is that the dust generated by the ILW has been found to be two orders of magnitude below that of the previous carbon wall. This combined with analysis of the sources of dust generation with the ILW provides highly relevant information for ITER.</w:t>
      </w:r>
    </w:p>
    <w:p w:rsidR="00EC06FD" w:rsidRDefault="00EC06FD">
      <w:pPr>
        <w:ind w:left="720"/>
        <w:jc w:val="both"/>
        <w:rPr>
          <w:noProof/>
        </w:rPr>
      </w:pPr>
    </w:p>
    <w:p w:rsidR="00EC06FD" w:rsidRDefault="00F346DE">
      <w:pPr>
        <w:jc w:val="both"/>
        <w:rPr>
          <w:noProof/>
        </w:rPr>
      </w:pPr>
      <w:r>
        <w:rPr>
          <w:noProof/>
        </w:rPr>
        <w:t xml:space="preserve">Of course the EU fusion roadmap is not only concerned with tokamaks like ITER and JET, but also with an alternative configuration: the stellarator. It can be viewed as </w:t>
      </w:r>
      <w:r>
        <w:rPr>
          <w:noProof/>
          <w:color w:val="1F497D"/>
        </w:rPr>
        <w:t xml:space="preserve">a </w:t>
      </w:r>
      <w:r>
        <w:rPr>
          <w:noProof/>
        </w:rPr>
        <w:t xml:space="preserve">backup strategy to the tokamak or as a possible alternative for a second generation of fusion power </w:t>
      </w:r>
      <w:r>
        <w:rPr>
          <w:noProof/>
        </w:rPr>
        <w:lastRenderedPageBreak/>
        <w:t>plant. Mission 8 of the roadmap is dedicated to the stellarator and when W7-X in Greifswald, Germany, came into operation a significant milestone was reached. The commissioning and experimental campaign in 2016 demonstrated the accuracy of the magnetic field lines and higher than expected performance. In fact the experimental campaign resulted in significantly more results than had been anticipated and was a great success.</w:t>
      </w:r>
    </w:p>
    <w:p w:rsidR="00EC06FD" w:rsidRDefault="00EC06FD">
      <w:pPr>
        <w:ind w:left="720"/>
        <w:jc w:val="both"/>
        <w:rPr>
          <w:rFonts w:ascii="Calibri" w:hAnsi="Calibri"/>
          <w:noProof/>
          <w:color w:val="1F497D"/>
          <w:sz w:val="22"/>
          <w:szCs w:val="22"/>
        </w:rPr>
      </w:pPr>
    </w:p>
    <w:p w:rsidR="00EC06FD" w:rsidRDefault="00F346DE">
      <w:pPr>
        <w:jc w:val="both"/>
        <w:rPr>
          <w:noProof/>
        </w:rPr>
      </w:pPr>
      <w:r>
        <w:rPr>
          <w:noProof/>
        </w:rPr>
        <w:t xml:space="preserve">An increasingly important aspect of fusion research is fusion technology and </w:t>
      </w:r>
      <w:r>
        <w:rPr>
          <w:noProof/>
          <w:color w:val="1F497D"/>
        </w:rPr>
        <w:t xml:space="preserve">a </w:t>
      </w:r>
      <w:r>
        <w:rPr>
          <w:noProof/>
        </w:rPr>
        <w:t xml:space="preserve">number of advances were made in 2017. One of the perhaps most significant ones was a breakthrough in the development of High Temperature Super Conductor (HTS). The programme conducted in the framework of EUROfusion developed a novel fabrication route to embed several HTS tapes into a round conductor called “CROCO”. The development was entered into the 2016 SOFT recognition prize and won 1st place due to it novelty and wide range of applications beyond fusion. In fusion research it opens up the possibility of having very high field super conducting magnets which may have an impact on the size and cost of a fusion reactor. </w:t>
      </w:r>
    </w:p>
    <w:p w:rsidR="00EC06FD" w:rsidRDefault="00EC06FD">
      <w:pPr>
        <w:rPr>
          <w:noProof/>
        </w:rPr>
      </w:pPr>
    </w:p>
    <w:sectPr w:rsidR="00EC06FD">
      <w:headerReference w:type="even" r:id="rId76"/>
      <w:headerReference w:type="default" r:id="rId77"/>
      <w:footerReference w:type="even" r:id="rId78"/>
      <w:footerReference w:type="default" r:id="rId79"/>
      <w:headerReference w:type="first" r:id="rId80"/>
      <w:footerReference w:type="first" r:id="rId8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F91" w:rsidRDefault="00726F91">
      <w:r>
        <w:separator/>
      </w:r>
    </w:p>
  </w:endnote>
  <w:endnote w:type="continuationSeparator" w:id="0">
    <w:p w:rsidR="00726F91" w:rsidRDefault="00726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EYInterstate Light">
    <w:altName w:val="EC Square Sans Pro"/>
    <w:charset w:val="00"/>
    <w:family w:val="auto"/>
    <w:pitch w:val="variable"/>
    <w:sig w:usb0="00000001" w:usb1="5000206A"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panose1 w:val="020B0506040000020004"/>
    <w:charset w:val="00"/>
    <w:family w:val="swiss"/>
    <w:pitch w:val="variable"/>
    <w:sig w:usb0="A00002BF" w:usb1="5000E0FB" w:usb2="00000000" w:usb3="00000000" w:csb0="0000019F" w:csb1="00000000"/>
  </w:font>
  <w:font w:name="Verdana">
    <w:panose1 w:val="020B0604030504040204"/>
    <w:charset w:val="00"/>
    <w:family w:val="swiss"/>
    <w:pitch w:val="variable"/>
    <w:sig w:usb0="A10006FF" w:usb1="4000205B" w:usb2="00000010" w:usb3="00000000" w:csb0="0000019F" w:csb1="00000000"/>
  </w:font>
  <w:font w:name="HANJD X+ Gotham">
    <w:altName w:val="Gotham"/>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Footer"/>
      <w:jc w:val="center"/>
    </w:pPr>
    <w:r>
      <w:fldChar w:fldCharType="begin"/>
    </w:r>
    <w:r>
      <w:instrText>PAGE</w:instrText>
    </w:r>
    <w:r>
      <w:fldChar w:fldCharType="separate"/>
    </w:r>
    <w:r w:rsidR="00C162EC">
      <w:rPr>
        <w:noProof/>
      </w:rPr>
      <w:t>33</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9337435"/>
      <w:docPartObj>
        <w:docPartGallery w:val="Page Numbers (Bottom of Page)"/>
        <w:docPartUnique/>
      </w:docPartObj>
    </w:sdtPr>
    <w:sdtEndPr>
      <w:rPr>
        <w:noProof/>
      </w:rPr>
    </w:sdtEndPr>
    <w:sdtContent>
      <w:p w:rsidR="00726F91" w:rsidRDefault="00726F91">
        <w:pPr>
          <w:pStyle w:val="Footer"/>
          <w:jc w:val="center"/>
        </w:pPr>
        <w:r>
          <w:fldChar w:fldCharType="begin"/>
        </w:r>
        <w:r>
          <w:instrText xml:space="preserve"> PAGE   \* MERGEFORMAT </w:instrText>
        </w:r>
        <w:r>
          <w:fldChar w:fldCharType="separate"/>
        </w:r>
        <w:r w:rsidR="00C162EC">
          <w:rPr>
            <w:noProof/>
          </w:rPr>
          <w:t>11</w:t>
        </w:r>
        <w:r>
          <w:rPr>
            <w:noProof/>
          </w:rPr>
          <w:fldChar w:fldCharType="end"/>
        </w:r>
      </w:p>
    </w:sdtContent>
  </w:sdt>
  <w:p w:rsidR="00726F91" w:rsidRDefault="00726F9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Footer"/>
      <w:jc w:val="center"/>
    </w:pPr>
    <w:r>
      <w:fldChar w:fldCharType="begin"/>
    </w:r>
    <w:r>
      <w:instrText>PAGE</w:instrText>
    </w:r>
    <w:r>
      <w:fldChar w:fldCharType="separate"/>
    </w:r>
    <w:r w:rsidR="00C162EC">
      <w:rPr>
        <w:noProof/>
      </w:rPr>
      <w:t>35</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890027"/>
      <w:docPartObj>
        <w:docPartGallery w:val="Page Numbers (Bottom of Page)"/>
        <w:docPartUnique/>
      </w:docPartObj>
    </w:sdtPr>
    <w:sdtEndPr>
      <w:rPr>
        <w:noProof/>
      </w:rPr>
    </w:sdtEndPr>
    <w:sdtContent>
      <w:p w:rsidR="00726F91" w:rsidRDefault="00726F91">
        <w:pPr>
          <w:pStyle w:val="Footer"/>
          <w:jc w:val="center"/>
        </w:pPr>
        <w:r>
          <w:fldChar w:fldCharType="begin"/>
        </w:r>
        <w:r>
          <w:instrText xml:space="preserve"> PAGE   \* MERGEFORMAT </w:instrText>
        </w:r>
        <w:r>
          <w:fldChar w:fldCharType="separate"/>
        </w:r>
        <w:r w:rsidR="00C162EC">
          <w:rPr>
            <w:noProof/>
          </w:rPr>
          <w:t>34</w:t>
        </w:r>
        <w:r>
          <w:rPr>
            <w:noProof/>
          </w:rPr>
          <w:fldChar w:fldCharType="end"/>
        </w:r>
      </w:p>
    </w:sdtContent>
  </w:sdt>
  <w:p w:rsidR="00726F91" w:rsidRDefault="00726F9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Footer"/>
      <w:jc w:val="center"/>
    </w:pPr>
    <w:r>
      <w:fldChar w:fldCharType="begin"/>
    </w:r>
    <w:r>
      <w:instrText>PAGE</w:instrText>
    </w:r>
    <w:r>
      <w:fldChar w:fldCharType="separate"/>
    </w:r>
    <w:r>
      <w:rPr>
        <w:noProof/>
      </w:rPr>
      <w:t>32</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316271"/>
      <w:docPartObj>
        <w:docPartGallery w:val="Page Numbers (Bottom of Page)"/>
        <w:docPartUnique/>
      </w:docPartObj>
    </w:sdtPr>
    <w:sdtEndPr>
      <w:rPr>
        <w:noProof/>
      </w:rPr>
    </w:sdtEndPr>
    <w:sdtContent>
      <w:p w:rsidR="00726F91" w:rsidRDefault="00726F91">
        <w:pPr>
          <w:pStyle w:val="Footer"/>
          <w:jc w:val="center"/>
        </w:pPr>
        <w:r>
          <w:fldChar w:fldCharType="begin"/>
        </w:r>
        <w:r>
          <w:instrText xml:space="preserve"> PAGE   \* MERGEFORMAT </w:instrText>
        </w:r>
        <w:r>
          <w:fldChar w:fldCharType="separate"/>
        </w:r>
        <w:r w:rsidR="00C162EC">
          <w:rPr>
            <w:noProof/>
          </w:rPr>
          <w:t>36</w:t>
        </w:r>
        <w:r>
          <w:rPr>
            <w:noProof/>
          </w:rPr>
          <w:fldChar w:fldCharType="end"/>
        </w:r>
      </w:p>
    </w:sdtContent>
  </w:sdt>
  <w:p w:rsidR="00726F91" w:rsidRDefault="00726F91">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Footer"/>
      <w:jc w:val="center"/>
    </w:pPr>
    <w:r>
      <w:fldChar w:fldCharType="begin"/>
    </w:r>
    <w:r>
      <w:instrText>PAGE</w:instrText>
    </w:r>
    <w:r>
      <w:fldChar w:fldCharType="separate"/>
    </w:r>
    <w:r>
      <w:rPr>
        <w:noProof/>
      </w:rPr>
      <w:t>55</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415520"/>
      <w:docPartObj>
        <w:docPartGallery w:val="Page Numbers (Bottom of Page)"/>
        <w:docPartUnique/>
      </w:docPartObj>
    </w:sdtPr>
    <w:sdtEndPr>
      <w:rPr>
        <w:noProof/>
      </w:rPr>
    </w:sdtEndPr>
    <w:sdtContent>
      <w:p w:rsidR="00726F91" w:rsidRDefault="00726F91">
        <w:pPr>
          <w:pStyle w:val="Footer"/>
          <w:jc w:val="center"/>
        </w:pPr>
        <w:r>
          <w:fldChar w:fldCharType="begin"/>
        </w:r>
        <w:r>
          <w:instrText xml:space="preserve"> PAGE   \* MERGEFORMAT </w:instrText>
        </w:r>
        <w:r>
          <w:fldChar w:fldCharType="separate"/>
        </w:r>
        <w:r w:rsidR="00C162EC">
          <w:rPr>
            <w:noProof/>
          </w:rPr>
          <w:t>37</w:t>
        </w:r>
        <w:r>
          <w:rPr>
            <w:noProof/>
          </w:rPr>
          <w:fldChar w:fldCharType="end"/>
        </w:r>
      </w:p>
    </w:sdtContent>
  </w:sdt>
  <w:p w:rsidR="00726F91" w:rsidRDefault="00726F91">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Footer"/>
      <w:jc w:val="center"/>
    </w:pPr>
    <w:r>
      <w:fldChar w:fldCharType="begin"/>
    </w:r>
    <w:r>
      <w:instrText>PAGE</w:instrText>
    </w:r>
    <w:r>
      <w:fldChar w:fldCharType="separate"/>
    </w:r>
    <w:r w:rsidR="00C162EC">
      <w:rPr>
        <w:noProof/>
      </w:rPr>
      <w:t>39</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968038"/>
      <w:docPartObj>
        <w:docPartGallery w:val="Page Numbers (Bottom of Page)"/>
        <w:docPartUnique/>
      </w:docPartObj>
    </w:sdtPr>
    <w:sdtEndPr>
      <w:rPr>
        <w:noProof/>
      </w:rPr>
    </w:sdtEndPr>
    <w:sdtContent>
      <w:p w:rsidR="00726F91" w:rsidRDefault="00726F91">
        <w:pPr>
          <w:pStyle w:val="Footer"/>
          <w:jc w:val="center"/>
        </w:pPr>
        <w:r>
          <w:fldChar w:fldCharType="begin"/>
        </w:r>
        <w:r>
          <w:instrText xml:space="preserve"> PAGE   \* MERGEFORMAT </w:instrText>
        </w:r>
        <w:r>
          <w:fldChar w:fldCharType="separate"/>
        </w:r>
        <w:r w:rsidR="00C162EC">
          <w:rPr>
            <w:noProof/>
          </w:rPr>
          <w:t>38</w:t>
        </w:r>
        <w:r>
          <w:rPr>
            <w:noProof/>
          </w:rPr>
          <w:fldChar w:fldCharType="end"/>
        </w:r>
      </w:p>
    </w:sdtContent>
  </w:sdt>
  <w:p w:rsidR="00726F91" w:rsidRDefault="00726F91">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Footer"/>
      <w:jc w:val="center"/>
    </w:pPr>
    <w:r>
      <w:fldChar w:fldCharType="begin"/>
    </w:r>
    <w:r>
      <w:instrText>PAGE</w:instrText>
    </w:r>
    <w:r>
      <w:fldChar w:fldCharType="separate"/>
    </w:r>
    <w:r>
      <w:rPr>
        <w:noProof/>
      </w:rPr>
      <w:t>62</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854350"/>
      <w:docPartObj>
        <w:docPartGallery w:val="Page Numbers (Bottom of Page)"/>
        <w:docPartUnique/>
      </w:docPartObj>
    </w:sdtPr>
    <w:sdtEndPr>
      <w:rPr>
        <w:noProof/>
      </w:rPr>
    </w:sdtEndPr>
    <w:sdtContent>
      <w:p w:rsidR="00726F91" w:rsidRDefault="00726F91">
        <w:pPr>
          <w:pStyle w:val="Footer"/>
          <w:jc w:val="center"/>
        </w:pPr>
        <w:r>
          <w:fldChar w:fldCharType="begin"/>
        </w:r>
        <w:r>
          <w:instrText xml:space="preserve"> PAGE   \* MERGEFORMAT </w:instrText>
        </w:r>
        <w:r>
          <w:fldChar w:fldCharType="separate"/>
        </w:r>
        <w:r w:rsidR="00C162EC">
          <w:rPr>
            <w:noProof/>
          </w:rPr>
          <w:t>40</w:t>
        </w:r>
        <w:r>
          <w:rPr>
            <w:noProof/>
          </w:rPr>
          <w:fldChar w:fldCharType="end"/>
        </w:r>
      </w:p>
    </w:sdtContent>
  </w:sdt>
  <w:p w:rsidR="00726F91" w:rsidRDefault="00726F91">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Footer"/>
      <w:jc w:val="center"/>
    </w:pPr>
    <w:r>
      <w:fldChar w:fldCharType="begin"/>
    </w:r>
    <w:r>
      <w:instrText>PAGE</w:instrText>
    </w:r>
    <w:r>
      <w:fldChar w:fldCharType="separate"/>
    </w:r>
    <w:r w:rsidR="00C162EC">
      <w:rPr>
        <w:noProof/>
      </w:rPr>
      <w:t>49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406194"/>
      <w:docPartObj>
        <w:docPartGallery w:val="Page Numbers (Bottom of Page)"/>
        <w:docPartUnique/>
      </w:docPartObj>
    </w:sdtPr>
    <w:sdtEndPr>
      <w:rPr>
        <w:noProof/>
      </w:rPr>
    </w:sdtEndPr>
    <w:sdtContent>
      <w:p w:rsidR="00726F91" w:rsidRDefault="00726F91">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p w:rsidR="00726F91" w:rsidRDefault="00726F9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977019"/>
      <w:docPartObj>
        <w:docPartGallery w:val="Page Numbers (Bottom of Page)"/>
        <w:docPartUnique/>
      </w:docPartObj>
    </w:sdtPr>
    <w:sdtEndPr>
      <w:rPr>
        <w:noProof/>
      </w:rPr>
    </w:sdtEndPr>
    <w:sdtContent>
      <w:p w:rsidR="00726F91" w:rsidRDefault="00726F91">
        <w:pPr>
          <w:pStyle w:val="Footer"/>
          <w:ind w:right="0"/>
          <w:jc w:val="center"/>
        </w:pPr>
        <w:r>
          <w:fldChar w:fldCharType="begin"/>
        </w:r>
        <w:r>
          <w:instrText xml:space="preserve"> PAGE   \* MERGEFORMAT </w:instrText>
        </w:r>
        <w:r>
          <w:fldChar w:fldCharType="separate"/>
        </w:r>
        <w:r w:rsidR="00C162EC">
          <w:rPr>
            <w:noProof/>
          </w:rPr>
          <w:t>3</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044203"/>
      <w:docPartObj>
        <w:docPartGallery w:val="Page Numbers (Bottom of Page)"/>
        <w:docPartUnique/>
      </w:docPartObj>
    </w:sdtPr>
    <w:sdtEndPr>
      <w:rPr>
        <w:noProof/>
      </w:rPr>
    </w:sdtEndPr>
    <w:sdtContent>
      <w:p w:rsidR="00726F91" w:rsidRDefault="00726F91">
        <w:pPr>
          <w:pStyle w:val="Footer"/>
          <w:jc w:val="center"/>
        </w:pPr>
        <w:r>
          <w:fldChar w:fldCharType="begin"/>
        </w:r>
        <w:r>
          <w:instrText xml:space="preserve"> PAGE   \* MERGEFORMAT </w:instrText>
        </w:r>
        <w:r>
          <w:fldChar w:fldCharType="separate"/>
        </w:r>
        <w:r w:rsidR="00C162EC">
          <w:rPr>
            <w:noProof/>
          </w:rPr>
          <w:t>2</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Footer"/>
      <w:jc w:val="center"/>
    </w:pPr>
    <w:r>
      <w:fldChar w:fldCharType="begin"/>
    </w:r>
    <w:r>
      <w:instrText>PAGE</w:instrText>
    </w:r>
    <w:r>
      <w:fldChar w:fldCharType="separate"/>
    </w:r>
    <w:r w:rsidR="007D2DD1">
      <w:rPr>
        <w:noProof/>
      </w:rPr>
      <w:t>11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8876923"/>
      <w:docPartObj>
        <w:docPartGallery w:val="Page Numbers (Bottom of Page)"/>
        <w:docPartUnique/>
      </w:docPartObj>
    </w:sdtPr>
    <w:sdtEndPr>
      <w:rPr>
        <w:noProof/>
      </w:rPr>
    </w:sdtEndPr>
    <w:sdtContent>
      <w:p w:rsidR="00726F91" w:rsidRDefault="00726F91">
        <w:pPr>
          <w:pStyle w:val="Footer"/>
          <w:jc w:val="center"/>
        </w:pPr>
        <w:r>
          <w:fldChar w:fldCharType="begin"/>
        </w:r>
        <w:r>
          <w:instrText xml:space="preserve"> PAGE   \* MERGEFORMAT </w:instrText>
        </w:r>
        <w:r>
          <w:fldChar w:fldCharType="separate"/>
        </w:r>
        <w:r w:rsidR="00C162EC">
          <w:rPr>
            <w:noProof/>
          </w:rPr>
          <w:t>10</w:t>
        </w:r>
        <w:r>
          <w:rPr>
            <w:noProof/>
          </w:rPr>
          <w:fldChar w:fldCharType="end"/>
        </w:r>
      </w:p>
    </w:sdtContent>
  </w:sdt>
  <w:p w:rsidR="00726F91" w:rsidRDefault="00726F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F91" w:rsidRDefault="00726F91">
      <w:r>
        <w:separator/>
      </w:r>
    </w:p>
  </w:footnote>
  <w:footnote w:type="continuationSeparator" w:id="0">
    <w:p w:rsidR="00726F91" w:rsidRDefault="00726F91">
      <w:r>
        <w:continuationSeparator/>
      </w:r>
    </w:p>
  </w:footnote>
  <w:footnote w:id="1">
    <w:p w:rsidR="00726F91" w:rsidRDefault="00726F91">
      <w:pPr>
        <w:pStyle w:val="FootnoteText"/>
        <w:spacing w:after="0"/>
        <w:ind w:left="142" w:hanging="142"/>
        <w:contextualSpacing/>
      </w:pPr>
      <w:r>
        <w:rPr>
          <w:rStyle w:val="FootnoteReference"/>
        </w:rPr>
        <w:footnoteRef/>
      </w:r>
      <w:r>
        <w:t xml:space="preserve"> OJ L 347, 20 December 2013</w:t>
      </w:r>
    </w:p>
  </w:footnote>
  <w:footnote w:id="2">
    <w:p w:rsidR="00726F91" w:rsidRDefault="00726F91">
      <w:pPr>
        <w:pStyle w:val="FootnoteText"/>
        <w:spacing w:after="0"/>
        <w:ind w:left="142" w:hanging="142"/>
        <w:contextualSpacing/>
      </w:pPr>
      <w:r>
        <w:rPr>
          <w:rStyle w:val="FootnoteReference"/>
        </w:rPr>
        <w:footnoteRef/>
      </w:r>
      <w:r>
        <w:t xml:space="preserve"> </w:t>
      </w:r>
      <w:r>
        <w:tab/>
        <w:t xml:space="preserve">More information here: </w:t>
      </w:r>
      <w:hyperlink r:id="rId1" w:history="1">
        <w:r>
          <w:rPr>
            <w:rStyle w:val="Hyperlink"/>
            <w:rFonts w:eastAsiaTheme="minorHAnsi"/>
          </w:rPr>
          <w:t>http://ec.europa.eu/smart-regulation/guidelines/toc_guide_en.htm</w:t>
        </w:r>
      </w:hyperlink>
    </w:p>
  </w:footnote>
  <w:footnote w:id="3">
    <w:p w:rsidR="00726F91" w:rsidRDefault="00726F91">
      <w:pPr>
        <w:pStyle w:val="FootnoteText"/>
        <w:spacing w:after="0"/>
        <w:ind w:left="142" w:hanging="142"/>
        <w:contextualSpacing/>
      </w:pPr>
      <w:r>
        <w:rPr>
          <w:rStyle w:val="FootnoteReference"/>
        </w:rPr>
        <w:footnoteRef/>
      </w:r>
      <w:r>
        <w:t xml:space="preserve"> </w:t>
      </w:r>
      <w:r>
        <w:tab/>
        <w:t>Article 4 of Euratom Treaty</w:t>
      </w:r>
    </w:p>
  </w:footnote>
  <w:footnote w:id="4">
    <w:p w:rsidR="00726F91" w:rsidRDefault="00726F91">
      <w:pPr>
        <w:pStyle w:val="FootnoteText"/>
        <w:spacing w:after="0"/>
        <w:ind w:left="142" w:hanging="142"/>
        <w:contextualSpacing/>
      </w:pPr>
      <w:r>
        <w:rPr>
          <w:rStyle w:val="FootnoteReference"/>
        </w:rPr>
        <w:footnoteRef/>
      </w:r>
      <w:r>
        <w:t xml:space="preserve"> </w:t>
      </w:r>
      <w:r>
        <w:tab/>
        <w:t xml:space="preserve">Article 4 of the Council Regulation (Euratom) 1314/2013 </w:t>
      </w:r>
    </w:p>
  </w:footnote>
  <w:footnote w:id="5">
    <w:p w:rsidR="00726F91" w:rsidRDefault="00726F91">
      <w:pPr>
        <w:pStyle w:val="FootnoteText"/>
        <w:spacing w:after="0"/>
        <w:ind w:left="142" w:hanging="142"/>
        <w:contextualSpacing/>
      </w:pPr>
      <w:r>
        <w:rPr>
          <w:rStyle w:val="FootnoteReference"/>
        </w:rPr>
        <w:footnoteRef/>
      </w:r>
      <w:r>
        <w:t xml:space="preserve"> </w:t>
      </w:r>
      <w:r>
        <w:tab/>
        <w:t>The intervention logic is based on the following documents: Euratom Programme's Impact Assessment that establishes and assesses the problem definition, objectives and options of the programme; The Euratom Programme's Regulation that defines the general and specific objectives, priorities, budget and principles for the management of the programme; The Work Programmes 2014-2015 and 2016-2017, which detail the activities undertaken so far.</w:t>
      </w:r>
    </w:p>
  </w:footnote>
  <w:footnote w:id="6">
    <w:p w:rsidR="00726F91" w:rsidRDefault="00726F91">
      <w:pPr>
        <w:pStyle w:val="FootnoteText"/>
        <w:spacing w:after="0"/>
        <w:ind w:left="142" w:hanging="142"/>
        <w:contextualSpacing/>
      </w:pPr>
      <w:r>
        <w:rPr>
          <w:rStyle w:val="FootnoteReference"/>
        </w:rPr>
        <w:footnoteRef/>
      </w:r>
      <w:r>
        <w:t xml:space="preserve"> </w:t>
      </w:r>
      <w:r>
        <w:tab/>
        <w:t>Relevance: assessment of whether the original objectives of Euratom Programme are still relevant and how well they still match the current needs and problems. Effectiveness: how successful Euratom Programme has been in achieving or progressing towards its objectives. Efficiency: the relationship between the resources used by Euratom Programme and the changes it is generating. Coherence: how well or not the different actions work together, internally and with other EU interventions/policies. EU added value: assessment of the value resulting from Euratom Programme that is additional to the value that could result from interventions which would be carried out at regional or national levels.</w:t>
      </w:r>
    </w:p>
  </w:footnote>
  <w:footnote w:id="7">
    <w:p w:rsidR="00726F91" w:rsidRDefault="00726F91">
      <w:pPr>
        <w:rPr>
          <w:sz w:val="20"/>
          <w:szCs w:val="20"/>
          <w:lang w:eastAsia="en-US"/>
        </w:rPr>
      </w:pPr>
      <w:r>
        <w:rPr>
          <w:rStyle w:val="FootnoteReference"/>
          <w:sz w:val="20"/>
          <w:szCs w:val="20"/>
        </w:rPr>
        <w:footnoteRef/>
      </w:r>
      <w:r>
        <w:rPr>
          <w:sz w:val="20"/>
          <w:szCs w:val="20"/>
        </w:rPr>
        <w:t xml:space="preserve"> </w:t>
      </w:r>
      <w:r>
        <w:rPr>
          <w:sz w:val="20"/>
          <w:szCs w:val="20"/>
          <w:lang w:eastAsia="en-US"/>
        </w:rPr>
        <w:t>Commission decision (C(2016)3922) of 29.6.2016 setting up the Commission expert group on the interim evaluation of indirect actions of the Euratom Research and Training Programme (2014-2018)</w:t>
      </w:r>
    </w:p>
  </w:footnote>
  <w:footnote w:id="8">
    <w:p w:rsidR="00726F91" w:rsidRDefault="00726F91">
      <w:pPr>
        <w:pStyle w:val="FootnoteText"/>
        <w:spacing w:after="0"/>
        <w:ind w:left="142" w:hanging="142"/>
        <w:contextualSpacing/>
      </w:pPr>
      <w:r>
        <w:rPr>
          <w:rStyle w:val="FootnoteReference"/>
        </w:rPr>
        <w:footnoteRef/>
      </w:r>
      <w:r>
        <w:t xml:space="preserve"> </w:t>
      </w:r>
      <w:r>
        <w:tab/>
        <w:t>Further details on the methodologies adopted for this interim evaluation are provided in Annex 1.</w:t>
      </w:r>
    </w:p>
  </w:footnote>
  <w:footnote w:id="9">
    <w:p w:rsidR="00726F91" w:rsidRDefault="00726F91">
      <w:pPr>
        <w:pStyle w:val="FootnoteText"/>
        <w:spacing w:after="0"/>
      </w:pPr>
      <w:r>
        <w:rPr>
          <w:rStyle w:val="FootnoteReference"/>
        </w:rPr>
        <w:footnoteRef/>
      </w:r>
      <w:r>
        <w:t xml:space="preserve"> Euratom statistics are published in the Horizon 2020 Annual Monitoring reports - </w:t>
      </w:r>
      <w:hyperlink r:id="rId2" w:history="1">
        <w:r>
          <w:rPr>
            <w:rStyle w:val="Hyperlink"/>
          </w:rPr>
          <w:t>https://ec.europa.eu/research/evaluations/index_en.cfm?pg=monitoring</w:t>
        </w:r>
      </w:hyperlink>
      <w:r>
        <w:t xml:space="preserve"> </w:t>
      </w:r>
    </w:p>
  </w:footnote>
  <w:footnote w:id="10">
    <w:p w:rsidR="00726F91" w:rsidRDefault="00726F91">
      <w:pPr>
        <w:pStyle w:val="FootnoteText"/>
        <w:spacing w:after="0"/>
      </w:pPr>
      <w:r>
        <w:rPr>
          <w:rStyle w:val="FootnoteReference"/>
        </w:rPr>
        <w:footnoteRef/>
      </w:r>
      <w:r>
        <w:t xml:space="preserve"> Data on Euratom projects can be found on CORDIS website </w:t>
      </w:r>
      <w:hyperlink r:id="rId3" w:history="1">
        <w:r>
          <w:rPr>
            <w:rStyle w:val="Hyperlink"/>
          </w:rPr>
          <w:t>http://cordis.europa.eu/projects/home_en.html</w:t>
        </w:r>
      </w:hyperlink>
      <w:r>
        <w:t xml:space="preserve"> </w:t>
      </w:r>
    </w:p>
  </w:footnote>
  <w:footnote w:id="11">
    <w:p w:rsidR="00726F91" w:rsidRDefault="00726F91">
      <w:pPr>
        <w:pStyle w:val="FootnoteText"/>
        <w:spacing w:after="0"/>
        <w:ind w:left="142" w:hanging="142"/>
        <w:contextualSpacing/>
      </w:pPr>
      <w:r>
        <w:rPr>
          <w:rStyle w:val="FootnoteReference"/>
        </w:rPr>
        <w:footnoteRef/>
      </w:r>
      <w:r>
        <w:t xml:space="preserve"> A full analysis of the stakeholder consultation (both the questionnaire and the position papers) is provided in Annex 2. The SWD summarises key stakeholder input on relevant topics. </w:t>
      </w:r>
    </w:p>
  </w:footnote>
  <w:footnote w:id="12">
    <w:p w:rsidR="00726F91" w:rsidRDefault="00726F91">
      <w:pPr>
        <w:pStyle w:val="FootnoteText"/>
        <w:tabs>
          <w:tab w:val="left" w:pos="284"/>
        </w:tabs>
        <w:spacing w:after="0"/>
        <w:ind w:left="284" w:hanging="284"/>
      </w:pPr>
      <w:r>
        <w:rPr>
          <w:rStyle w:val="FootnoteReference"/>
        </w:rPr>
        <w:footnoteRef/>
      </w:r>
      <w:r>
        <w:t xml:space="preserve"> </w:t>
      </w:r>
      <w:r>
        <w:tab/>
        <w:t>The European Fusion Development Agreement (EFDA) and the Contracts of Association between the Commission and national fusion laboratories, which all expired at the end of 2013</w:t>
      </w:r>
    </w:p>
  </w:footnote>
  <w:footnote w:id="13">
    <w:p w:rsidR="00726F91" w:rsidRDefault="00726F91">
      <w:pPr>
        <w:tabs>
          <w:tab w:val="left" w:pos="284"/>
        </w:tabs>
        <w:ind w:left="284" w:hanging="284"/>
        <w:rPr>
          <w:sz w:val="20"/>
          <w:szCs w:val="20"/>
        </w:rPr>
      </w:pPr>
      <w:r>
        <w:rPr>
          <w:rStyle w:val="FootnoteReference"/>
          <w:sz w:val="20"/>
          <w:szCs w:val="20"/>
        </w:rPr>
        <w:footnoteRef/>
      </w:r>
      <w:r>
        <w:rPr>
          <w:sz w:val="20"/>
          <w:szCs w:val="20"/>
        </w:rPr>
        <w:t xml:space="preserve"> </w:t>
      </w:r>
      <w:r>
        <w:rPr>
          <w:sz w:val="20"/>
          <w:szCs w:val="20"/>
        </w:rPr>
        <w:tab/>
        <w:t>Established in accordance with point (i) of the Annex I of the Council regulation (Euratom) No 1314/2013.</w:t>
      </w:r>
    </w:p>
  </w:footnote>
  <w:footnote w:id="14">
    <w:p w:rsidR="00726F91" w:rsidRDefault="00726F91">
      <w:pPr>
        <w:pStyle w:val="FootnoteText"/>
        <w:tabs>
          <w:tab w:val="left" w:pos="284"/>
        </w:tabs>
        <w:spacing w:after="0"/>
        <w:ind w:left="284" w:hanging="284"/>
      </w:pPr>
      <w:r>
        <w:rPr>
          <w:rStyle w:val="FootnoteReference"/>
        </w:rPr>
        <w:footnoteRef/>
      </w:r>
      <w:r>
        <w:t xml:space="preserve"> </w:t>
      </w:r>
      <w:r>
        <w:tab/>
        <w:t xml:space="preserve">For more information see </w:t>
      </w:r>
      <w:hyperlink r:id="rId4" w:history="1">
        <w:r>
          <w:t>https://www.euro-fusion.org/</w:t>
        </w:r>
      </w:hyperlink>
      <w:r>
        <w:t xml:space="preserve"> </w:t>
      </w:r>
    </w:p>
  </w:footnote>
  <w:footnote w:id="15">
    <w:p w:rsidR="00726F91" w:rsidRDefault="00726F91">
      <w:pPr>
        <w:tabs>
          <w:tab w:val="left" w:pos="284"/>
        </w:tabs>
        <w:ind w:left="284" w:hanging="284"/>
        <w:rPr>
          <w:sz w:val="20"/>
          <w:szCs w:val="20"/>
        </w:rPr>
      </w:pPr>
      <w:r>
        <w:rPr>
          <w:rStyle w:val="FootnoteReference"/>
          <w:sz w:val="20"/>
          <w:szCs w:val="20"/>
        </w:rPr>
        <w:footnoteRef/>
      </w:r>
      <w:r>
        <w:rPr>
          <w:sz w:val="20"/>
          <w:szCs w:val="20"/>
        </w:rPr>
        <w:t xml:space="preserve"> </w:t>
      </w:r>
      <w:r>
        <w:rPr>
          <w:sz w:val="20"/>
          <w:szCs w:val="20"/>
        </w:rPr>
        <w:tab/>
        <w:t xml:space="preserve">‘Fusion Electricity – A roadmap to the realisation of fusion energy’, </w:t>
      </w:r>
      <w:hyperlink r:id="rId5" w:history="1">
        <w:r>
          <w:rPr>
            <w:rStyle w:val="Hyperlink"/>
            <w:rFonts w:eastAsiaTheme="minorHAnsi"/>
            <w:sz w:val="20"/>
            <w:szCs w:val="20"/>
          </w:rPr>
          <w:t>https://www.euro-fusion.org/eurofusion/the-road-to-fusion-electricity/</w:t>
        </w:r>
      </w:hyperlink>
      <w:r>
        <w:rPr>
          <w:sz w:val="20"/>
          <w:szCs w:val="20"/>
        </w:rPr>
        <w:t xml:space="preserve"> </w:t>
      </w:r>
    </w:p>
  </w:footnote>
  <w:footnote w:id="16">
    <w:p w:rsidR="00726F91" w:rsidRDefault="00726F91">
      <w:pPr>
        <w:pStyle w:val="FootnoteText"/>
        <w:tabs>
          <w:tab w:val="left" w:pos="284"/>
        </w:tabs>
        <w:spacing w:after="0"/>
        <w:ind w:left="284" w:hanging="284"/>
      </w:pPr>
      <w:r>
        <w:rPr>
          <w:rStyle w:val="FootnoteReference"/>
        </w:rPr>
        <w:footnoteRef/>
      </w:r>
      <w:r>
        <w:t xml:space="preserve"> </w:t>
      </w:r>
      <w:r>
        <w:tab/>
        <w:t xml:space="preserve">For more information see </w:t>
      </w:r>
      <w:hyperlink r:id="rId6" w:history="1">
        <w:r>
          <w:rPr>
            <w:rStyle w:val="Hyperlink"/>
            <w:rFonts w:eastAsiaTheme="minorHAnsi"/>
            <w:lang w:eastAsia="en-GB"/>
          </w:rPr>
          <w:t>https://www.euro-fusion.org/jet/</w:t>
        </w:r>
      </w:hyperlink>
      <w:r>
        <w:rPr>
          <w:rStyle w:val="Hyperlink"/>
          <w:rFonts w:eastAsiaTheme="minorHAnsi"/>
          <w:lang w:eastAsia="en-GB"/>
        </w:rPr>
        <w:tab/>
      </w:r>
      <w:r>
        <w:t xml:space="preserve">  </w:t>
      </w:r>
    </w:p>
  </w:footnote>
  <w:footnote w:id="17">
    <w:p w:rsidR="00726F91" w:rsidRDefault="00726F91">
      <w:pPr>
        <w:pStyle w:val="FootnoteText"/>
        <w:spacing w:after="0"/>
      </w:pPr>
      <w:r>
        <w:rPr>
          <w:rStyle w:val="FootnoteReference"/>
        </w:rPr>
        <w:footnoteRef/>
      </w:r>
      <w:r>
        <w:t xml:space="preserve"> This number does not include projects launched within framework of CONCERT European Joint Programme in radiation protection research</w:t>
      </w:r>
    </w:p>
  </w:footnote>
  <w:footnote w:id="18">
    <w:p w:rsidR="00726F91" w:rsidRDefault="00726F91">
      <w:pPr>
        <w:pStyle w:val="FootnoteText"/>
        <w:spacing w:after="0"/>
      </w:pPr>
      <w:r>
        <w:rPr>
          <w:rStyle w:val="FootnoteReference"/>
        </w:rPr>
        <w:footnoteRef/>
      </w:r>
      <w:r>
        <w:t xml:space="preserve"> Based on data available from EUROfusion and from 22 fission projects</w:t>
      </w:r>
    </w:p>
  </w:footnote>
  <w:footnote w:id="19">
    <w:p w:rsidR="00726F91" w:rsidRDefault="00726F91">
      <w:pPr>
        <w:pStyle w:val="FootnoteText"/>
        <w:spacing w:after="0"/>
      </w:pPr>
      <w:r>
        <w:rPr>
          <w:rStyle w:val="FootnoteReference"/>
        </w:rPr>
        <w:footnoteRef/>
      </w:r>
      <w:r>
        <w:t xml:space="preserve"> For fission and fusion</w:t>
      </w:r>
    </w:p>
  </w:footnote>
  <w:footnote w:id="20">
    <w:p w:rsidR="00726F91" w:rsidRDefault="00726F91">
      <w:pPr>
        <w:pStyle w:val="FootnoteText"/>
        <w:spacing w:after="0"/>
      </w:pPr>
      <w:r>
        <w:rPr>
          <w:rStyle w:val="FootnoteReference"/>
        </w:rPr>
        <w:footnoteRef/>
      </w:r>
      <w:r>
        <w:t xml:space="preserve"> Data will be available at the end of the projects (for fission).</w:t>
      </w:r>
    </w:p>
  </w:footnote>
  <w:footnote w:id="21">
    <w:p w:rsidR="00726F91" w:rsidRDefault="00726F91">
      <w:pPr>
        <w:pStyle w:val="FootnoteText"/>
        <w:spacing w:after="0"/>
        <w:ind w:left="284" w:hanging="284"/>
      </w:pPr>
      <w:r>
        <w:rPr>
          <w:rStyle w:val="FootnoteReference"/>
        </w:rPr>
        <w:footnoteRef/>
      </w:r>
      <w:r>
        <w:t xml:space="preserve"> </w:t>
      </w:r>
      <w:hyperlink r:id="rId7" w:history="1">
        <w:r>
          <w:rPr>
            <w:rStyle w:val="Hyperlink"/>
            <w:rFonts w:eastAsiaTheme="minorHAnsi"/>
          </w:rPr>
          <w:t>http://www.snetp.eu/</w:t>
        </w:r>
      </w:hyperlink>
      <w:r>
        <w:t xml:space="preserve"> </w:t>
      </w:r>
    </w:p>
  </w:footnote>
  <w:footnote w:id="22">
    <w:p w:rsidR="00726F91" w:rsidRDefault="00726F91">
      <w:pPr>
        <w:pStyle w:val="FootnoteText"/>
        <w:spacing w:after="0"/>
        <w:ind w:left="284" w:hanging="284"/>
      </w:pPr>
      <w:r>
        <w:rPr>
          <w:rStyle w:val="FootnoteReference"/>
        </w:rPr>
        <w:footnoteRef/>
      </w:r>
      <w:r>
        <w:t xml:space="preserve"> </w:t>
      </w:r>
      <w:hyperlink r:id="rId8" w:history="1">
        <w:r>
          <w:rPr>
            <w:rStyle w:val="Hyperlink"/>
            <w:rFonts w:eastAsiaTheme="minorHAnsi"/>
          </w:rPr>
          <w:t>http://www.igdtp.eu/</w:t>
        </w:r>
      </w:hyperlink>
      <w:r>
        <w:t xml:space="preserve"> </w:t>
      </w:r>
    </w:p>
  </w:footnote>
  <w:footnote w:id="23">
    <w:p w:rsidR="00726F91" w:rsidRDefault="00726F91">
      <w:pPr>
        <w:pStyle w:val="FootnoteText"/>
        <w:spacing w:after="0"/>
        <w:ind w:left="284" w:hanging="284"/>
      </w:pPr>
      <w:r>
        <w:rPr>
          <w:rStyle w:val="FootnoteReference"/>
        </w:rPr>
        <w:footnoteRef/>
      </w:r>
      <w:r>
        <w:t xml:space="preserve"> </w:t>
      </w:r>
      <w:hyperlink r:id="rId9" w:history="1">
        <w:r>
          <w:rPr>
            <w:rStyle w:val="Hyperlink"/>
            <w:rFonts w:eastAsiaTheme="minorHAnsi"/>
          </w:rPr>
          <w:t>http://www.nugenia.org/</w:t>
        </w:r>
      </w:hyperlink>
      <w:r>
        <w:t xml:space="preserve"> </w:t>
      </w:r>
    </w:p>
  </w:footnote>
  <w:footnote w:id="24">
    <w:p w:rsidR="00726F91" w:rsidRDefault="00726F91">
      <w:pPr>
        <w:pStyle w:val="FootnoteText"/>
        <w:spacing w:after="0"/>
      </w:pPr>
      <w:r>
        <w:rPr>
          <w:rStyle w:val="FootnoteReference"/>
        </w:rPr>
        <w:footnoteRef/>
      </w:r>
      <w:r>
        <w:t xml:space="preserve"> </w:t>
      </w:r>
      <w:hyperlink r:id="rId10" w:history="1">
        <w:r>
          <w:rPr>
            <w:rStyle w:val="Hyperlink"/>
          </w:rPr>
          <w:t>http://www.melodi-online.eu/</w:t>
        </w:r>
      </w:hyperlink>
      <w:r>
        <w:t xml:space="preserve"> </w:t>
      </w:r>
    </w:p>
  </w:footnote>
  <w:footnote w:id="25">
    <w:p w:rsidR="00726F91" w:rsidRDefault="00726F91">
      <w:pPr>
        <w:pStyle w:val="FootnoteText"/>
        <w:spacing w:after="0"/>
      </w:pPr>
      <w:r>
        <w:rPr>
          <w:rStyle w:val="FootnoteReference"/>
        </w:rPr>
        <w:footnoteRef/>
      </w:r>
      <w:r>
        <w:t xml:space="preserve"> </w:t>
      </w:r>
      <w:hyperlink r:id="rId11" w:history="1">
        <w:r>
          <w:rPr>
            <w:rStyle w:val="Hyperlink"/>
          </w:rPr>
          <w:t>http://www.er-alliance.eu/</w:t>
        </w:r>
      </w:hyperlink>
      <w:r>
        <w:t xml:space="preserve"> </w:t>
      </w:r>
    </w:p>
  </w:footnote>
  <w:footnote w:id="26">
    <w:p w:rsidR="00726F91" w:rsidRDefault="00726F91">
      <w:pPr>
        <w:pStyle w:val="FootnoteText"/>
        <w:spacing w:after="0"/>
      </w:pPr>
      <w:r>
        <w:rPr>
          <w:rStyle w:val="FootnoteReference"/>
        </w:rPr>
        <w:footnoteRef/>
      </w:r>
      <w:r>
        <w:t xml:space="preserve"> </w:t>
      </w:r>
      <w:hyperlink r:id="rId12" w:history="1">
        <w:r>
          <w:rPr>
            <w:rStyle w:val="Hyperlink"/>
          </w:rPr>
          <w:t>http://www.eu-neris.net/</w:t>
        </w:r>
      </w:hyperlink>
      <w:r>
        <w:t xml:space="preserve"> </w:t>
      </w:r>
    </w:p>
  </w:footnote>
  <w:footnote w:id="27">
    <w:p w:rsidR="00726F91" w:rsidRDefault="00726F91">
      <w:pPr>
        <w:pStyle w:val="FootnoteText"/>
        <w:spacing w:after="0"/>
      </w:pPr>
      <w:r>
        <w:rPr>
          <w:rStyle w:val="FootnoteReference"/>
        </w:rPr>
        <w:footnoteRef/>
      </w:r>
      <w:r>
        <w:t xml:space="preserve"> </w:t>
      </w:r>
      <w:hyperlink r:id="rId13" w:history="1">
        <w:r>
          <w:rPr>
            <w:rStyle w:val="Hyperlink"/>
          </w:rPr>
          <w:t>http://www.eurados.org/</w:t>
        </w:r>
      </w:hyperlink>
      <w:r>
        <w:t xml:space="preserve"> </w:t>
      </w:r>
    </w:p>
  </w:footnote>
  <w:footnote w:id="28">
    <w:p w:rsidR="00726F91" w:rsidRDefault="00726F91">
      <w:pPr>
        <w:pStyle w:val="FootnoteText"/>
        <w:spacing w:after="0"/>
      </w:pPr>
      <w:r>
        <w:rPr>
          <w:rStyle w:val="FootnoteReference"/>
        </w:rPr>
        <w:footnoteRef/>
      </w:r>
      <w:r>
        <w:t xml:space="preserve"> </w:t>
      </w:r>
      <w:hyperlink r:id="rId14" w:history="1">
        <w:r>
          <w:rPr>
            <w:rStyle w:val="Hyperlink"/>
          </w:rPr>
          <w:t>http://www.eibir.org/scientific-activities/joint-initiatives/european-alliance-for-medical-radiation-protection-research-euramed/</w:t>
        </w:r>
      </w:hyperlink>
      <w:r>
        <w:t xml:space="preserve">  </w:t>
      </w:r>
    </w:p>
  </w:footnote>
  <w:footnote w:id="29">
    <w:p w:rsidR="00726F91" w:rsidRDefault="00726F91">
      <w:pPr>
        <w:pStyle w:val="FootnoteText"/>
        <w:spacing w:after="0"/>
        <w:ind w:left="284" w:hanging="284"/>
      </w:pPr>
      <w:r>
        <w:rPr>
          <w:rStyle w:val="FootnoteReference"/>
        </w:rPr>
        <w:footnoteRef/>
      </w:r>
      <w:r>
        <w:t xml:space="preserve"> </w:t>
      </w:r>
      <w:hyperlink r:id="rId15" w:history="1">
        <w:r>
          <w:rPr>
            <w:rStyle w:val="Hyperlink"/>
            <w:rFonts w:eastAsiaTheme="minorHAnsi"/>
          </w:rPr>
          <w:t>https://setis.ec.europa.eu/implementing-integrated-set-plan/nuclear-safety-ongoing-work</w:t>
        </w:r>
      </w:hyperlink>
      <w:r>
        <w:t xml:space="preserve"> </w:t>
      </w:r>
    </w:p>
  </w:footnote>
  <w:footnote w:id="30">
    <w:p w:rsidR="00726F91" w:rsidRDefault="00726F91">
      <w:pPr>
        <w:pStyle w:val="FootnoteText"/>
        <w:spacing w:after="0"/>
      </w:pPr>
      <w:r>
        <w:rPr>
          <w:rStyle w:val="FootnoteReference"/>
        </w:rPr>
        <w:footnoteRef/>
      </w:r>
      <w:r>
        <w:t xml:space="preserve"> </w:t>
      </w:r>
      <w:hyperlink r:id="rId16" w:history="1">
        <w:r>
          <w:rPr>
            <w:rStyle w:val="Hyperlink"/>
            <w:rFonts w:eastAsiaTheme="minorHAnsi"/>
          </w:rPr>
          <w:t>https://www.euro-fusion.org/eurofusion/the-road-to-fusion-electricity/</w:t>
        </w:r>
      </w:hyperlink>
      <w:r>
        <w:t xml:space="preserve"> </w:t>
      </w:r>
    </w:p>
  </w:footnote>
  <w:footnote w:id="31">
    <w:p w:rsidR="00726F91" w:rsidRDefault="00726F91">
      <w:pPr>
        <w:pStyle w:val="FootnoteText"/>
        <w:spacing w:after="0"/>
      </w:pPr>
      <w:r>
        <w:rPr>
          <w:rStyle w:val="FootnoteReference"/>
        </w:rPr>
        <w:footnoteRef/>
      </w:r>
      <w:r>
        <w:t xml:space="preserve"> E&amp;Y study on fission research</w:t>
      </w:r>
    </w:p>
  </w:footnote>
  <w:footnote w:id="32">
    <w:p w:rsidR="00726F91" w:rsidRDefault="00726F91">
      <w:pPr>
        <w:pStyle w:val="FootnoteText"/>
        <w:spacing w:after="0"/>
      </w:pPr>
      <w:r>
        <w:rPr>
          <w:rStyle w:val="FootnoteReference"/>
        </w:rPr>
        <w:footnoteRef/>
      </w:r>
      <w:r>
        <w:t xml:space="preserve"> Ibidem</w:t>
      </w:r>
    </w:p>
  </w:footnote>
  <w:footnote w:id="33">
    <w:p w:rsidR="00726F91" w:rsidRDefault="00726F91">
      <w:pPr>
        <w:pStyle w:val="FootnoteText"/>
        <w:spacing w:after="0"/>
      </w:pPr>
      <w:r>
        <w:rPr>
          <w:rStyle w:val="FootnoteReference"/>
        </w:rPr>
        <w:footnoteRef/>
      </w:r>
      <w:r>
        <w:t xml:space="preserve"> See footnote 12</w:t>
      </w:r>
    </w:p>
  </w:footnote>
  <w:footnote w:id="34">
    <w:p w:rsidR="00726F91" w:rsidRDefault="00726F91">
      <w:pPr>
        <w:pStyle w:val="FootnoteText"/>
        <w:spacing w:after="0"/>
      </w:pPr>
      <w:r>
        <w:rPr>
          <w:rStyle w:val="FootnoteReference"/>
        </w:rPr>
        <w:footnoteRef/>
      </w:r>
      <w:r>
        <w:t xml:space="preserve"> </w:t>
      </w:r>
      <w:r>
        <w:tab/>
        <w:t>Milestones have been defined in the co-fund grant agreement with the EUROfusion consortium.</w:t>
      </w:r>
    </w:p>
  </w:footnote>
  <w:footnote w:id="35">
    <w:p w:rsidR="00726F91" w:rsidRDefault="00726F91">
      <w:pPr>
        <w:pStyle w:val="FootnoteText"/>
      </w:pPr>
      <w:r>
        <w:rPr>
          <w:rStyle w:val="FootnoteReference"/>
        </w:rPr>
        <w:footnoteRef/>
      </w:r>
      <w:r>
        <w:t xml:space="preserve"> </w:t>
      </w:r>
      <w:r>
        <w:tab/>
        <w:t>Annex 5 to the Report from the Commission Expert Group provides a list of technical achievements during the period 2014-2016 in each Mission.</w:t>
      </w:r>
    </w:p>
  </w:footnote>
  <w:footnote w:id="36">
    <w:p w:rsidR="00726F91" w:rsidRDefault="00726F91">
      <w:pPr>
        <w:pStyle w:val="FootnoteText"/>
        <w:spacing w:after="0"/>
      </w:pPr>
      <w:r>
        <w:rPr>
          <w:rStyle w:val="FootnoteReference"/>
        </w:rPr>
        <w:footnoteRef/>
      </w:r>
      <w:r>
        <w:t xml:space="preserve"> </w:t>
      </w:r>
      <w:r>
        <w:tab/>
        <w:t xml:space="preserve">For more info ttp://www.fusenet.eu/ </w:t>
      </w:r>
    </w:p>
  </w:footnote>
  <w:footnote w:id="37">
    <w:p w:rsidR="00726F91" w:rsidRDefault="00726F91">
      <w:pPr>
        <w:pStyle w:val="FootnoteText"/>
      </w:pPr>
      <w:r>
        <w:rPr>
          <w:rStyle w:val="FootnoteReference"/>
        </w:rPr>
        <w:footnoteRef/>
      </w:r>
      <w:r>
        <w:t xml:space="preserve"> </w:t>
      </w:r>
      <w:r>
        <w:tab/>
        <w:t>Conf. recommendation 21 of the Review of Human Resources in the European Fusion Landscape (March 2016)</w:t>
      </w:r>
    </w:p>
  </w:footnote>
  <w:footnote w:id="38">
    <w:p w:rsidR="00726F91" w:rsidRDefault="00726F91">
      <w:pPr>
        <w:pStyle w:val="FootnoteText"/>
        <w:spacing w:after="0"/>
      </w:pPr>
      <w:r>
        <w:rPr>
          <w:rStyle w:val="FootnoteReference"/>
        </w:rPr>
        <w:footnoteRef/>
      </w:r>
      <w:r>
        <w:t xml:space="preserve"> </w:t>
      </w:r>
      <w:r>
        <w:tab/>
        <w:t>Commission decision C(2013) 8201 of 10 December 2013</w:t>
      </w:r>
    </w:p>
  </w:footnote>
  <w:footnote w:id="39">
    <w:p w:rsidR="00726F91" w:rsidRDefault="00726F91">
      <w:pPr>
        <w:pStyle w:val="FootnoteText"/>
        <w:spacing w:after="0"/>
        <w:rPr>
          <w:lang w:val="en-US"/>
        </w:rPr>
      </w:pPr>
      <w:r>
        <w:rPr>
          <w:rStyle w:val="FootnoteReference"/>
        </w:rPr>
        <w:footnoteRef/>
      </w:r>
      <w:r>
        <w:t xml:space="preserve"> </w:t>
      </w:r>
      <w:r>
        <w:tab/>
      </w:r>
      <w:hyperlink r:id="rId17" w:tgtFrame="_blank" w:tooltip="Council decision concerning the FP7 Euratom for nuclear research and training activities" w:history="1">
        <w:r>
          <w:rPr>
            <w:rStyle w:val="Hyperlink"/>
            <w:rFonts w:eastAsiaTheme="minorHAnsi"/>
            <w:lang w:val="en-US"/>
          </w:rPr>
          <w:t>Council Decision 2006/970/Euratom of 18 December 2006 concerning the Seventh Framework Programme of the European Atomic Energy Community (Euratom) for nuclear research and training activities (2007 to 2011)</w:t>
        </w:r>
      </w:hyperlink>
      <w:r>
        <w:rPr>
          <w:lang w:val="en-US"/>
        </w:rPr>
        <w:t xml:space="preserve"> includes a budget of EUR 2 751 million to be spent over five years (2007-2011).</w:t>
      </w:r>
    </w:p>
  </w:footnote>
  <w:footnote w:id="40">
    <w:p w:rsidR="00726F91" w:rsidRDefault="00726F91">
      <w:pPr>
        <w:pStyle w:val="FootnoteText"/>
        <w:spacing w:after="0"/>
        <w:rPr>
          <w:lang w:val="en-US"/>
        </w:rPr>
      </w:pPr>
      <w:r>
        <w:rPr>
          <w:rStyle w:val="FootnoteReference"/>
        </w:rPr>
        <w:footnoteRef/>
      </w:r>
      <w:r>
        <w:t xml:space="preserve"> </w:t>
      </w:r>
      <w:r>
        <w:tab/>
      </w:r>
      <w:hyperlink r:id="rId18" w:tgtFrame="_blank" w:tooltip="Council decision concerning the FP7 Euratom for nuclear research and training activities" w:history="1">
        <w:r>
          <w:rPr>
            <w:rStyle w:val="Hyperlink"/>
            <w:rFonts w:eastAsiaTheme="minorHAnsi"/>
            <w:lang w:val="en-US"/>
          </w:rPr>
          <w:t>Council Decision 2012/95/Euratom of 19 December 2011 concerning the Seventh Framework Programme of the European Atomic Energy Community (Euratom) for nuclear research and training activities (20012 to 2013)</w:t>
        </w:r>
      </w:hyperlink>
      <w:r>
        <w:rPr>
          <w:lang w:val="en-US"/>
        </w:rPr>
        <w:t xml:space="preserve"> includes a budget of EUR </w:t>
      </w:r>
      <w:r>
        <w:rPr>
          <w:color w:val="000000"/>
        </w:rPr>
        <w:t xml:space="preserve">EUR 233,2 </w:t>
      </w:r>
      <w:r>
        <w:rPr>
          <w:lang w:val="en-US"/>
        </w:rPr>
        <w:t>million to be spent over two years (2012-2013)</w:t>
      </w:r>
    </w:p>
  </w:footnote>
  <w:footnote w:id="41">
    <w:p w:rsidR="00726F91" w:rsidRDefault="00726F91">
      <w:pPr>
        <w:pStyle w:val="FootnoteText"/>
        <w:spacing w:after="0"/>
        <w:rPr>
          <w:lang w:val="en-US"/>
        </w:rPr>
      </w:pPr>
      <w:r>
        <w:rPr>
          <w:rStyle w:val="FootnoteReference"/>
        </w:rPr>
        <w:footnoteRef/>
      </w:r>
      <w:r>
        <w:t xml:space="preserve"> </w:t>
      </w:r>
      <w:r>
        <w:tab/>
      </w:r>
      <w:r>
        <w:rPr>
          <w:lang w:val="en-US"/>
        </w:rPr>
        <w:t xml:space="preserve">Report available on </w:t>
      </w:r>
      <w:hyperlink r:id="rId19" w:history="1">
        <w:r>
          <w:rPr>
            <w:rStyle w:val="Hyperlink"/>
            <w:rFonts w:eastAsiaTheme="minorHAnsi"/>
            <w:lang w:val="en-US"/>
          </w:rPr>
          <w:t>https://ec.europa.eu/research/evaluations/index_en.cfm</w:t>
        </w:r>
      </w:hyperlink>
      <w:r>
        <w:rPr>
          <w:lang w:val="en-US"/>
        </w:rPr>
        <w:t xml:space="preserve"> </w:t>
      </w:r>
    </w:p>
  </w:footnote>
  <w:footnote w:id="42">
    <w:p w:rsidR="00726F91" w:rsidRDefault="00726F91">
      <w:pPr>
        <w:pStyle w:val="FootnoteText"/>
      </w:pPr>
      <w:r>
        <w:rPr>
          <w:rStyle w:val="FootnoteReference"/>
        </w:rPr>
        <w:footnoteRef/>
      </w:r>
      <w:r>
        <w:t xml:space="preserve"> Grant for EUROfusion (including JET contract) and grant for CONCERT (EJP in radiation protection)</w:t>
      </w:r>
    </w:p>
  </w:footnote>
  <w:footnote w:id="43">
    <w:p w:rsidR="00726F91" w:rsidRDefault="00726F91">
      <w:pPr>
        <w:pStyle w:val="FootnoteText"/>
        <w:spacing w:after="0"/>
        <w:ind w:left="0" w:firstLine="0"/>
        <w:contextualSpacing/>
      </w:pPr>
      <w:r>
        <w:rPr>
          <w:rStyle w:val="FootnoteReference"/>
        </w:rPr>
        <w:footnoteRef/>
      </w:r>
      <w:r>
        <w:t xml:space="preserve"> E.g. see </w:t>
      </w:r>
      <w:hyperlink r:id="rId20" w:history="1">
        <w:r>
          <w:rPr>
            <w:rStyle w:val="Hyperlink"/>
            <w:rFonts w:eastAsiaTheme="minorHAnsi"/>
          </w:rPr>
          <w:t>http://www.eui.eu/Documents/MWP/Publications/20111012MWP-ACOSurveyResearchFunding-Full.pdf</w:t>
        </w:r>
      </w:hyperlink>
      <w:r>
        <w:t xml:space="preserve"> </w:t>
      </w:r>
    </w:p>
  </w:footnote>
  <w:footnote w:id="44">
    <w:p w:rsidR="00726F91" w:rsidRDefault="00726F91">
      <w:pPr>
        <w:pStyle w:val="FootnoteText"/>
        <w:spacing w:after="0"/>
        <w:ind w:left="0" w:firstLine="0"/>
        <w:contextualSpacing/>
      </w:pPr>
      <w:r>
        <w:rPr>
          <w:rStyle w:val="FootnoteReference"/>
        </w:rPr>
        <w:footnoteRef/>
      </w:r>
      <w:r>
        <w:t xml:space="preserve">Available at: </w:t>
      </w:r>
      <w:hyperlink r:id="rId21" w:history="1">
        <w:r>
          <w:rPr>
            <w:rStyle w:val="Hyperlink"/>
            <w:rFonts w:eastAsiaTheme="minorHAnsi"/>
          </w:rPr>
          <w:t>http://ec.europa.eu/research/participants/data/ref/h2020/other/events/survey/h2020_simplification-survey_final-report_en.pdf</w:t>
        </w:r>
      </w:hyperlink>
      <w:r>
        <w:t xml:space="preserve"> </w:t>
      </w:r>
    </w:p>
  </w:footnote>
  <w:footnote w:id="45">
    <w:p w:rsidR="00726F91" w:rsidRDefault="00726F91">
      <w:pPr>
        <w:pStyle w:val="FootnoteText"/>
        <w:spacing w:after="0"/>
        <w:ind w:left="0" w:firstLine="0"/>
        <w:contextualSpacing/>
      </w:pPr>
      <w:r>
        <w:rPr>
          <w:rStyle w:val="FootnoteReference"/>
        </w:rPr>
        <w:footnoteRef/>
      </w:r>
      <w:r>
        <w:t xml:space="preserve"> Streamlined ex-ante checks, reduced requirements for work time recording, reduced audit burden, an acceleration of the granting processes and fully paperless proposal and grant management. </w:t>
      </w:r>
    </w:p>
  </w:footnote>
  <w:footnote w:id="46">
    <w:p w:rsidR="00726F91" w:rsidRDefault="00726F91">
      <w:pPr>
        <w:pStyle w:val="FootnoteText"/>
      </w:pPr>
      <w:r>
        <w:rPr>
          <w:rStyle w:val="FootnoteReference"/>
        </w:rPr>
        <w:footnoteRef/>
      </w:r>
      <w:r>
        <w:t xml:space="preserve"> For more details see Ernst &amp; Young study on fission research</w:t>
      </w:r>
    </w:p>
  </w:footnote>
  <w:footnote w:id="47">
    <w:p w:rsidR="00726F91" w:rsidRDefault="00726F91">
      <w:pPr>
        <w:pStyle w:val="FootnoteText"/>
      </w:pPr>
      <w:r>
        <w:rPr>
          <w:rStyle w:val="FootnoteReference"/>
        </w:rPr>
        <w:footnoteRef/>
      </w:r>
      <w:r>
        <w:t xml:space="preserve"> ibidem, p.104 and later</w:t>
      </w:r>
    </w:p>
  </w:footnote>
  <w:footnote w:id="48">
    <w:p w:rsidR="00726F91" w:rsidRDefault="00726F91">
      <w:pPr>
        <w:pStyle w:val="FootnoteText"/>
      </w:pPr>
      <w:r>
        <w:rPr>
          <w:rStyle w:val="FootnoteReference"/>
        </w:rPr>
        <w:footnoteRef/>
      </w:r>
      <w:r>
        <w:t xml:space="preserve"> Ibidem, p.106 and later</w:t>
      </w:r>
    </w:p>
  </w:footnote>
  <w:footnote w:id="49">
    <w:p w:rsidR="00726F91" w:rsidRDefault="00726F91">
      <w:pPr>
        <w:pStyle w:val="FootnoteText"/>
        <w:spacing w:after="0"/>
      </w:pPr>
      <w:r>
        <w:rPr>
          <w:rStyle w:val="FootnoteReference"/>
        </w:rPr>
        <w:footnoteRef/>
      </w:r>
      <w:r>
        <w:t xml:space="preserve">   European Commission, results of the 2016-2017 call for proposals.</w:t>
      </w:r>
    </w:p>
  </w:footnote>
  <w:footnote w:id="50">
    <w:p w:rsidR="00726F91" w:rsidRDefault="00726F91">
      <w:pPr>
        <w:pStyle w:val="FootnoteText"/>
        <w:spacing w:after="0"/>
        <w:ind w:left="284" w:hanging="284"/>
      </w:pPr>
      <w:r>
        <w:rPr>
          <w:rStyle w:val="FootnoteReference"/>
        </w:rPr>
        <w:footnoteRef/>
      </w:r>
      <w:r>
        <w:t xml:space="preserve"> </w:t>
      </w:r>
      <w:r>
        <w:tab/>
      </w:r>
      <w:r>
        <w:rPr>
          <w:color w:val="000000"/>
        </w:rPr>
        <w:t>Council Directive 2009/71/Euratom of 25 June 2009 and its revision 2014/87/Euratom, establishing a Community framework for the nuclear safety of nuclear installations.</w:t>
      </w:r>
    </w:p>
  </w:footnote>
  <w:footnote w:id="51">
    <w:p w:rsidR="00726F91" w:rsidRDefault="00726F91">
      <w:pPr>
        <w:pStyle w:val="FootnoteText"/>
        <w:spacing w:after="0"/>
        <w:ind w:left="284" w:hanging="284"/>
      </w:pPr>
      <w:r>
        <w:rPr>
          <w:rStyle w:val="FootnoteReference"/>
        </w:rPr>
        <w:footnoteRef/>
      </w:r>
      <w:r>
        <w:t xml:space="preserve"> </w:t>
      </w:r>
      <w:r>
        <w:tab/>
      </w:r>
      <w:r>
        <w:rPr>
          <w:color w:val="000000"/>
        </w:rPr>
        <w:t>Council Directive (2011/70/Euratom) of 19 July 2011 establishing a Community framework for the responsible and safe management of spent fuel and radioactive waste.</w:t>
      </w:r>
    </w:p>
  </w:footnote>
  <w:footnote w:id="52">
    <w:p w:rsidR="00726F91" w:rsidRDefault="00726F91">
      <w:pPr>
        <w:pStyle w:val="FootnoteText"/>
        <w:spacing w:after="0"/>
        <w:ind w:left="284" w:hanging="284"/>
      </w:pPr>
      <w:r>
        <w:rPr>
          <w:rStyle w:val="FootnoteReference"/>
        </w:rPr>
        <w:footnoteRef/>
      </w:r>
      <w:r>
        <w:t xml:space="preserve"> </w:t>
      </w:r>
      <w:r>
        <w:tab/>
      </w:r>
      <w:r>
        <w:rPr>
          <w:color w:val="000000"/>
        </w:rPr>
        <w:t>Council Directive 2013/59/Euratom laying down basic safety standards for protection against the dangers arising from exposure to ionising radiation</w:t>
      </w:r>
      <w:r>
        <w:t>.</w:t>
      </w:r>
    </w:p>
  </w:footnote>
  <w:footnote w:id="53">
    <w:p w:rsidR="00726F91" w:rsidRDefault="00726F91">
      <w:pPr>
        <w:pStyle w:val="FootnoteText"/>
      </w:pPr>
      <w:r>
        <w:rPr>
          <w:rStyle w:val="FootnoteReference"/>
        </w:rPr>
        <w:footnoteRef/>
      </w:r>
      <w:r>
        <w:t xml:space="preserve"> Ernst &amp; Young study, 2016.</w:t>
      </w:r>
    </w:p>
  </w:footnote>
  <w:footnote w:id="54">
    <w:p w:rsidR="00726F91" w:rsidRDefault="00726F91">
      <w:pPr>
        <w:pStyle w:val="FootnoteText"/>
        <w:jc w:val="left"/>
      </w:pPr>
      <w:r>
        <w:rPr>
          <w:rStyle w:val="FootnoteReference"/>
        </w:rPr>
        <w:footnoteRef/>
      </w:r>
      <w:r>
        <w:t xml:space="preserve"> http://ec.europa.eu/smart-regulation/roadmaps/docs/2015_rtd_014_interim_evaluation_euratom_research_en.pdf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spacing w:after="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spacing w:after="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717552"/>
      <w:docPartObj>
        <w:docPartGallery w:val="Watermarks"/>
        <w:docPartUnique/>
      </w:docPartObj>
    </w:sdtPr>
    <w:sdtEndPr/>
    <w:sdtContent>
      <w:p w:rsidR="00726F91" w:rsidRDefault="00C162EC">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0;text-align:left;margin-left:0;margin-top:0;width:412.4pt;height:247.45pt;rotation:315;z-index:-251645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spacing w:after="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714912"/>
      <w:docPartObj>
        <w:docPartGallery w:val="Watermarks"/>
        <w:docPartUnique/>
      </w:docPartObj>
    </w:sdtPr>
    <w:sdtEndPr/>
    <w:sdtContent>
      <w:p w:rsidR="00726F91" w:rsidRDefault="00C162EC">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spacing w:after="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spacing w:after="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246193"/>
      <w:docPartObj>
        <w:docPartGallery w:val="Watermarks"/>
        <w:docPartUnique/>
      </w:docPartObj>
    </w:sdtPr>
    <w:sdtEndPr/>
    <w:sdtContent>
      <w:p w:rsidR="00726F91" w:rsidRDefault="00C162EC">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412.4pt;height:247.4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spacing w:after="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spacing w:after="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496641"/>
      <w:docPartObj>
        <w:docPartGallery w:val="Watermarks"/>
        <w:docPartUnique/>
      </w:docPartObj>
    </w:sdtPr>
    <w:sdtEndPr/>
    <w:sdtContent>
      <w:p w:rsidR="00726F91" w:rsidRDefault="00C162EC">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91" w:rsidRDefault="00726F91">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2120A61"/>
    <w:multiLevelType w:val="hybridMultilevel"/>
    <w:tmpl w:val="FD2060A6"/>
    <w:lvl w:ilvl="0" w:tplc="5EF0939A">
      <w:start w:val="1"/>
      <w:numFmt w:val="lowerLetter"/>
      <w:pStyle w:val="ListNumberTable"/>
      <w:lvlText w:val="(%1)"/>
      <w:lvlJc w:val="left"/>
      <w:pPr>
        <w:tabs>
          <w:tab w:val="num" w:pos="567"/>
        </w:tabs>
        <w:ind w:left="567" w:hanging="567"/>
      </w:pPr>
      <w:rPr>
        <w:rFonts w:ascii="EYInterstate Light" w:eastAsia="Times New Roman" w:hAnsi="EYInterstate Light" w:cs="Arial"/>
        <w:b w:val="0"/>
        <w:i w:val="0"/>
        <w:sz w:val="20"/>
      </w:rPr>
    </w:lvl>
    <w:lvl w:ilvl="1" w:tplc="04130019">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
    <w:nsid w:val="04BC4664"/>
    <w:multiLevelType w:val="multilevel"/>
    <w:tmpl w:val="78F26EB0"/>
    <w:lvl w:ilvl="0">
      <w:start w:val="1"/>
      <w:numFmt w:val="decimal"/>
      <w:pStyle w:val="Title1"/>
      <w:lvlText w:val="%1."/>
      <w:lvlJc w:val="left"/>
      <w:pPr>
        <w:ind w:left="680" w:hanging="680"/>
      </w:pPr>
    </w:lvl>
    <w:lvl w:ilvl="1">
      <w:start w:val="1"/>
      <w:numFmt w:val="decimal"/>
      <w:pStyle w:val="Title2"/>
      <w:lvlText w:val="%1.%2."/>
      <w:lvlJc w:val="left"/>
      <w:pPr>
        <w:ind w:left="680" w:hanging="680"/>
      </w:pPr>
    </w:lvl>
    <w:lvl w:ilvl="2">
      <w:start w:val="1"/>
      <w:numFmt w:val="decimal"/>
      <w:pStyle w:val="Title2"/>
      <w:lvlText w:val="%1.%2.%3."/>
      <w:lvlJc w:val="left"/>
      <w:pPr>
        <w:ind w:left="1360" w:hanging="680"/>
      </w:pPr>
    </w:lvl>
    <w:lvl w:ilvl="3">
      <w:start w:val="1"/>
      <w:numFmt w:val="decimal"/>
      <w:lvlText w:val="%1.%2.%3.%4"/>
      <w:lvlJc w:val="left"/>
      <w:pPr>
        <w:ind w:left="1544" w:hanging="864"/>
      </w:pPr>
    </w:lvl>
    <w:lvl w:ilvl="4">
      <w:start w:val="1"/>
      <w:numFmt w:val="decimal"/>
      <w:lvlText w:val="%1.%2.%3.%4.%5"/>
      <w:lvlJc w:val="left"/>
      <w:pPr>
        <w:ind w:left="1688" w:hanging="1008"/>
      </w:pPr>
    </w:lvl>
    <w:lvl w:ilvl="5">
      <w:start w:val="1"/>
      <w:numFmt w:val="decimal"/>
      <w:lvlText w:val="%1.%2.%3.%4.%5.%6"/>
      <w:lvlJc w:val="left"/>
      <w:pPr>
        <w:ind w:left="1832" w:hanging="1152"/>
      </w:pPr>
    </w:lvl>
    <w:lvl w:ilvl="6">
      <w:start w:val="1"/>
      <w:numFmt w:val="decimal"/>
      <w:lvlText w:val="%1.%2.%3.%4.%5.%6.%7"/>
      <w:lvlJc w:val="left"/>
      <w:pPr>
        <w:ind w:left="1976" w:hanging="1296"/>
      </w:pPr>
    </w:lvl>
    <w:lvl w:ilvl="7">
      <w:start w:val="1"/>
      <w:numFmt w:val="decimal"/>
      <w:lvlText w:val="%1.%2.%3.%4.%5.%6.%7.%8"/>
      <w:lvlJc w:val="left"/>
      <w:pPr>
        <w:ind w:left="2120" w:hanging="1440"/>
      </w:pPr>
    </w:lvl>
    <w:lvl w:ilvl="8">
      <w:start w:val="1"/>
      <w:numFmt w:val="decimal"/>
      <w:lvlText w:val="%1.%2.%3.%4.%5.%6.%7.%8.%9"/>
      <w:lvlJc w:val="left"/>
      <w:pPr>
        <w:ind w:left="2264" w:hanging="1584"/>
      </w:pPr>
    </w:lvl>
  </w:abstractNum>
  <w:abstractNum w:abstractNumId="4">
    <w:nsid w:val="04CD640A"/>
    <w:multiLevelType w:val="hybridMultilevel"/>
    <w:tmpl w:val="6204B558"/>
    <w:lvl w:ilvl="0" w:tplc="2E62E06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8B07EB8"/>
    <w:multiLevelType w:val="hybridMultilevel"/>
    <w:tmpl w:val="4E0C996A"/>
    <w:lvl w:ilvl="0" w:tplc="08090001">
      <w:start w:val="1"/>
      <w:numFmt w:val="bullet"/>
      <w:lvlText w:val=""/>
      <w:lvlJc w:val="left"/>
      <w:pPr>
        <w:tabs>
          <w:tab w:val="num" w:pos="837"/>
        </w:tabs>
        <w:ind w:left="837" w:hanging="480"/>
      </w:pPr>
      <w:rPr>
        <w:rFonts w:ascii="Symbol" w:hAnsi="Symbol"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
    <w:nsid w:val="1048426E"/>
    <w:multiLevelType w:val="hybridMultilevel"/>
    <w:tmpl w:val="0B24A188"/>
    <w:lvl w:ilvl="0" w:tplc="5AACFB20">
      <w:start w:val="1"/>
      <w:numFmt w:val="bullet"/>
      <w:pStyle w:val="RTDBulletpoint1"/>
      <w:lvlText w:val=""/>
      <w:lvlJc w:val="left"/>
      <w:pPr>
        <w:ind w:left="360" w:hanging="360"/>
      </w:pPr>
      <w:rPr>
        <w:rFonts w:ascii="Symbol" w:hAnsi="Symbol" w:hint="default"/>
        <w:color w:val="00AEF0"/>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7">
    <w:nsid w:val="13F141C8"/>
    <w:multiLevelType w:val="hybridMultilevel"/>
    <w:tmpl w:val="A8F2D226"/>
    <w:lvl w:ilvl="0" w:tplc="20A6C07E">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4066F5F"/>
    <w:multiLevelType w:val="hybridMultilevel"/>
    <w:tmpl w:val="B3706222"/>
    <w:lvl w:ilvl="0" w:tplc="8E1AFAA8">
      <w:numFmt w:val="bullet"/>
      <w:lvlText w:val="-"/>
      <w:lvlJc w:val="left"/>
      <w:pPr>
        <w:ind w:left="360" w:hanging="360"/>
      </w:pPr>
      <w:rPr>
        <w:rFonts w:ascii="Cambria" w:eastAsia="Calibri" w:hAnsi="Cambri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5DC4ABF"/>
    <w:multiLevelType w:val="hybridMultilevel"/>
    <w:tmpl w:val="A1F4BC48"/>
    <w:lvl w:ilvl="0" w:tplc="20A6C07E">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B5B20BD"/>
    <w:multiLevelType w:val="multilevel"/>
    <w:tmpl w:val="84146FFE"/>
    <w:numStyleLink w:val="RTDList"/>
  </w:abstractNum>
  <w:abstractNum w:abstractNumId="12">
    <w:nsid w:val="1F2337F9"/>
    <w:multiLevelType w:val="hybridMultilevel"/>
    <w:tmpl w:val="38125F1C"/>
    <w:lvl w:ilvl="0" w:tplc="41E43C2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F734306"/>
    <w:multiLevelType w:val="multilevel"/>
    <w:tmpl w:val="6A60743C"/>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862"/>
        </w:tabs>
        <w:ind w:left="862" w:hanging="720"/>
      </w:pPr>
      <w:rPr>
        <w:b/>
      </w:rPr>
    </w:lvl>
    <w:lvl w:ilvl="2">
      <w:start w:val="1"/>
      <w:numFmt w:val="decimal"/>
      <w:pStyle w:val="Heading3"/>
      <w:lvlText w:val="%1.%2.%3."/>
      <w:lvlJc w:val="left"/>
      <w:pPr>
        <w:tabs>
          <w:tab w:val="num" w:pos="1287"/>
        </w:tabs>
        <w:ind w:left="1287" w:hanging="720"/>
      </w:pPr>
    </w:lvl>
    <w:lvl w:ilvl="3">
      <w:start w:val="1"/>
      <w:numFmt w:val="decimal"/>
      <w:pStyle w:val="Heading4"/>
      <w:lvlText w:val="%1.%2.%3.%4."/>
      <w:lvlJc w:val="left"/>
      <w:pPr>
        <w:tabs>
          <w:tab w:val="num" w:pos="1854"/>
        </w:tabs>
        <w:ind w:left="1854"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FC46288"/>
    <w:multiLevelType w:val="hybridMultilevel"/>
    <w:tmpl w:val="203277D6"/>
    <w:lvl w:ilvl="0" w:tplc="17DEF40E">
      <w:start w:val="1"/>
      <w:numFmt w:val="bullet"/>
      <w:lvlText w:val="►"/>
      <w:lvlJc w:val="left"/>
      <w:pPr>
        <w:ind w:left="1440" w:hanging="360"/>
      </w:pPr>
      <w:rPr>
        <w:rFonts w:ascii="Arial" w:hAnsi="Arial" w:hint="default"/>
      </w:rPr>
    </w:lvl>
    <w:lvl w:ilvl="1" w:tplc="4834544C">
      <w:start w:val="1"/>
      <w:numFmt w:val="bullet"/>
      <w:lvlText w:val="►"/>
      <w:lvlJc w:val="left"/>
      <w:pPr>
        <w:ind w:left="360" w:hanging="360"/>
      </w:pPr>
      <w:rPr>
        <w:rFonts w:ascii="Arial" w:hAnsi="Arial" w:hint="default"/>
        <w:color w:val="FFC000"/>
      </w:rPr>
    </w:lvl>
    <w:lvl w:ilvl="2" w:tplc="6922D15C">
      <w:start w:val="1"/>
      <w:numFmt w:val="bullet"/>
      <w:lvlText w:val=""/>
      <w:lvlJc w:val="left"/>
      <w:pPr>
        <w:ind w:left="2160" w:hanging="360"/>
      </w:pPr>
      <w:rPr>
        <w:rFonts w:ascii="Wingdings" w:hAnsi="Wingdings" w:hint="default"/>
      </w:rPr>
    </w:lvl>
    <w:lvl w:ilvl="3" w:tplc="2F008E6C" w:tentative="1">
      <w:start w:val="1"/>
      <w:numFmt w:val="bullet"/>
      <w:lvlText w:val=""/>
      <w:lvlJc w:val="left"/>
      <w:pPr>
        <w:ind w:left="2880" w:hanging="360"/>
      </w:pPr>
      <w:rPr>
        <w:rFonts w:ascii="Symbol" w:hAnsi="Symbol" w:hint="default"/>
      </w:rPr>
    </w:lvl>
    <w:lvl w:ilvl="4" w:tplc="695C8E7E" w:tentative="1">
      <w:start w:val="1"/>
      <w:numFmt w:val="bullet"/>
      <w:lvlText w:val="o"/>
      <w:lvlJc w:val="left"/>
      <w:pPr>
        <w:ind w:left="3600" w:hanging="360"/>
      </w:pPr>
      <w:rPr>
        <w:rFonts w:ascii="Courier New" w:hAnsi="Courier New" w:hint="default"/>
      </w:rPr>
    </w:lvl>
    <w:lvl w:ilvl="5" w:tplc="E0A6020A" w:tentative="1">
      <w:start w:val="1"/>
      <w:numFmt w:val="bullet"/>
      <w:lvlText w:val=""/>
      <w:lvlJc w:val="left"/>
      <w:pPr>
        <w:ind w:left="4320" w:hanging="360"/>
      </w:pPr>
      <w:rPr>
        <w:rFonts w:ascii="Wingdings" w:hAnsi="Wingdings" w:hint="default"/>
      </w:rPr>
    </w:lvl>
    <w:lvl w:ilvl="6" w:tplc="9E000448" w:tentative="1">
      <w:start w:val="1"/>
      <w:numFmt w:val="bullet"/>
      <w:lvlText w:val=""/>
      <w:lvlJc w:val="left"/>
      <w:pPr>
        <w:ind w:left="5040" w:hanging="360"/>
      </w:pPr>
      <w:rPr>
        <w:rFonts w:ascii="Symbol" w:hAnsi="Symbol" w:hint="default"/>
      </w:rPr>
    </w:lvl>
    <w:lvl w:ilvl="7" w:tplc="BB36B2C6" w:tentative="1">
      <w:start w:val="1"/>
      <w:numFmt w:val="bullet"/>
      <w:lvlText w:val="o"/>
      <w:lvlJc w:val="left"/>
      <w:pPr>
        <w:ind w:left="5760" w:hanging="360"/>
      </w:pPr>
      <w:rPr>
        <w:rFonts w:ascii="Courier New" w:hAnsi="Courier New" w:hint="default"/>
      </w:rPr>
    </w:lvl>
    <w:lvl w:ilvl="8" w:tplc="DFDA34FE" w:tentative="1">
      <w:start w:val="1"/>
      <w:numFmt w:val="bullet"/>
      <w:lvlText w:val=""/>
      <w:lvlJc w:val="left"/>
      <w:pPr>
        <w:ind w:left="6480" w:hanging="360"/>
      </w:pPr>
      <w:rPr>
        <w:rFonts w:ascii="Wingdings" w:hAnsi="Wingdings" w:hint="default"/>
      </w:rPr>
    </w:lvl>
  </w:abstractNum>
  <w:abstractNum w:abstractNumId="15">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5F72819"/>
    <w:multiLevelType w:val="hybridMultilevel"/>
    <w:tmpl w:val="269CA7DE"/>
    <w:lvl w:ilvl="0" w:tplc="20A6C07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6455909"/>
    <w:multiLevelType w:val="hybridMultilevel"/>
    <w:tmpl w:val="84146FFE"/>
    <w:styleLink w:val="RTDList"/>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9">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2">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82B03E0"/>
    <w:multiLevelType w:val="hybridMultilevel"/>
    <w:tmpl w:val="99A4B9EE"/>
    <w:lvl w:ilvl="0" w:tplc="20A6C07E">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6">
    <w:nsid w:val="3D4F4F6B"/>
    <w:multiLevelType w:val="hybridMultilevel"/>
    <w:tmpl w:val="1EA027F0"/>
    <w:lvl w:ilvl="0" w:tplc="20A6C07E">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0E71731"/>
    <w:multiLevelType w:val="hybridMultilevel"/>
    <w:tmpl w:val="D9423E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9">
    <w:nsid w:val="49F6176E"/>
    <w:multiLevelType w:val="hybridMultilevel"/>
    <w:tmpl w:val="36D053DE"/>
    <w:lvl w:ilvl="0" w:tplc="566E44CC">
      <w:start w:val="1"/>
      <w:numFmt w:val="bullet"/>
      <w:lvlText w:val="►"/>
      <w:lvlJc w:val="left"/>
      <w:pPr>
        <w:ind w:left="360" w:hanging="360"/>
      </w:pPr>
      <w:rPr>
        <w:rFonts w:ascii="Arial" w:hAnsi="Arial" w:hint="default"/>
        <w:b w:val="0"/>
        <w:i w:val="0"/>
        <w:caps w:val="0"/>
        <w:strike w:val="0"/>
        <w:dstrike w:val="0"/>
        <w:vanish w:val="0"/>
        <w:color w:val="FFD400"/>
        <w:spacing w:val="0"/>
        <w:kern w:val="0"/>
        <w:position w:val="0"/>
        <w:sz w:val="20"/>
        <w:u w:val="none"/>
        <w:vertAlign w:val="baseline"/>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3">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4">
    <w:nsid w:val="626639B0"/>
    <w:multiLevelType w:val="hybridMultilevel"/>
    <w:tmpl w:val="1E9A77AA"/>
    <w:lvl w:ilvl="0" w:tplc="1B026542">
      <w:start w:val="1"/>
      <w:numFmt w:val="bullet"/>
      <w:lvlText w:val="-"/>
      <w:lvlJc w:val="left"/>
      <w:pPr>
        <w:ind w:left="510" w:hanging="17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46E15CB"/>
    <w:multiLevelType w:val="hybridMultilevel"/>
    <w:tmpl w:val="A4D89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7">
    <w:nsid w:val="70A30053"/>
    <w:multiLevelType w:val="hybridMultilevel"/>
    <w:tmpl w:val="57269D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7FDC6CB1"/>
    <w:multiLevelType w:val="hybridMultilevel"/>
    <w:tmpl w:val="1396AA76"/>
    <w:lvl w:ilvl="0" w:tplc="040C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3"/>
  </w:num>
  <w:num w:numId="4">
    <w:abstractNumId w:val="25"/>
  </w:num>
  <w:num w:numId="5">
    <w:abstractNumId w:val="18"/>
  </w:num>
  <w:num w:numId="6">
    <w:abstractNumId w:val="24"/>
  </w:num>
  <w:num w:numId="7">
    <w:abstractNumId w:val="33"/>
  </w:num>
  <w:num w:numId="8">
    <w:abstractNumId w:val="36"/>
  </w:num>
  <w:num w:numId="9">
    <w:abstractNumId w:val="21"/>
  </w:num>
  <w:num w:numId="10">
    <w:abstractNumId w:val="32"/>
  </w:num>
  <w:num w:numId="11">
    <w:abstractNumId w:val="31"/>
  </w:num>
  <w:num w:numId="12">
    <w:abstractNumId w:val="28"/>
  </w:num>
  <w:num w:numId="13">
    <w:abstractNumId w:val="30"/>
  </w:num>
  <w:num w:numId="14">
    <w:abstractNumId w:val="15"/>
  </w:num>
  <w:num w:numId="15">
    <w:abstractNumId w:val="22"/>
  </w:num>
  <w:num w:numId="16">
    <w:abstractNumId w:val="10"/>
  </w:num>
  <w:num w:numId="17">
    <w:abstractNumId w:val="19"/>
  </w:num>
  <w:num w:numId="18">
    <w:abstractNumId w:val="38"/>
  </w:num>
  <w:num w:numId="19">
    <w:abstractNumId w:val="20"/>
  </w:num>
  <w:num w:numId="20">
    <w:abstractNumId w:val="6"/>
  </w:num>
  <w:num w:numId="21">
    <w:abstractNumId w:val="11"/>
  </w:num>
  <w:num w:numId="22">
    <w:abstractNumId w:val="3"/>
  </w:num>
  <w:num w:numId="23">
    <w:abstractNumId w:val="17"/>
  </w:num>
  <w:num w:numId="24">
    <w:abstractNumId w:val="5"/>
  </w:num>
  <w:num w:numId="25">
    <w:abstractNumId w:val="35"/>
  </w:num>
  <w:num w:numId="26">
    <w:abstractNumId w:val="12"/>
  </w:num>
  <w:num w:numId="27">
    <w:abstractNumId w:val="4"/>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7"/>
  </w:num>
  <w:num w:numId="32">
    <w:abstractNumId w:val="27"/>
  </w:num>
  <w:num w:numId="33">
    <w:abstractNumId w:val="2"/>
  </w:num>
  <w:num w:numId="34">
    <w:abstractNumId w:val="14"/>
  </w:num>
  <w:num w:numId="35">
    <w:abstractNumId w:val="29"/>
  </w:num>
  <w:num w:numId="36">
    <w:abstractNumId w:val="39"/>
  </w:num>
  <w:num w:numId="37">
    <w:abstractNumId w:val="26"/>
  </w:num>
  <w:num w:numId="38">
    <w:abstractNumId w:val="16"/>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13"/>
  </w:num>
  <w:num w:numId="42">
    <w:abstractNumId w:val="9"/>
  </w:num>
  <w:num w:numId="43">
    <w:abstractNumId w:val="23"/>
  </w:num>
  <w:num w:numId="44">
    <w:abstractNumId w:val="37"/>
  </w:num>
  <w:num w:numId="45">
    <w:abstractNumId w:val="13"/>
  </w:num>
  <w:num w:numId="46">
    <w:abstractNumId w:val="34"/>
  </w:num>
  <w:num w:numId="47">
    <w:abstractNumId w:val="13"/>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hideSpellingErrors/>
  <w:hideGrammaticalErrors/>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Red"/>
    <w:docVar w:name="LW_ACCOMPAGNANT.CP" w:val="Accompanying the document"/>
    <w:docVar w:name="LW_CORRIGENDUM" w:val="&lt;UNUSED&gt;"/>
    <w:docVar w:name="LW_COVERPAGE_EXISTS" w:val="True"/>
    <w:docVar w:name="LW_COVERPAGE_GUID" w:val="34884501-9290-41C6-A523-1000481B7FC0"/>
    <w:docVar w:name="LW_COVERPAGE_TYPE" w:val="1"/>
    <w:docVar w:name="LW_CROSSREFERENCE" w:val="{COM(2017) 697 final}_x000b_{SWD(2017) 426 final}_x000b_{SWD(2017) 440 final}_x000b_{SWD(2017) 441 final}"/>
    <w:docVar w:name="LW_DocType" w:val="NORMAL"/>
    <w:docVar w:name="LW_EMISSION" w:val="1.12.2017"/>
    <w:docVar w:name="LW_EMISSION_ISODATE" w:val="2017-12-01"/>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Interim evaluation of the Euratom Research and Training Programme 2014-2018"/>
    <w:docVar w:name="LW_PART_NBR" w:val="1"/>
    <w:docVar w:name="LW_PART_NBR_TOTAL" w:val="1"/>
    <w:docVar w:name="LW_REF.INST.NEW" w:val="SWD"/>
    <w:docVar w:name="LW_REF.INST.NEW_ADOPTED" w:val="final"/>
    <w:docVar w:name="LW_REF.INST.NEW_TEXT" w:val="(2017) 42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INTERIM EVALUATION OF INDIRECT ACTIONS OF THE EURATOM RESEARCH AND TRAINING PROGRAMME"/>
    <w:docVar w:name="LW_TYPE.DOC.CP" w:val="COMMISSION STAFF WORKING DOCUMENT"/>
    <w:docVar w:name="LW_TYPEACTEPRINCIPAL.CP" w:val="REPORT FROM THE COMMISSION TO THE EUROPEAN PARLIAMENT, THE COUNCIL AND THE EUROPEAN ECONOMIC AND SOCIAL COMMITTEE"/>
  </w:docVars>
  <w:rsids>
    <w:rsidRoot w:val="00EC06FD"/>
    <w:rsid w:val="000D17A3"/>
    <w:rsid w:val="001C18E6"/>
    <w:rsid w:val="002D46E9"/>
    <w:rsid w:val="003C694B"/>
    <w:rsid w:val="005C4FC5"/>
    <w:rsid w:val="00726F91"/>
    <w:rsid w:val="0079160C"/>
    <w:rsid w:val="007D2DD1"/>
    <w:rsid w:val="00810BF1"/>
    <w:rsid w:val="008701C0"/>
    <w:rsid w:val="008768A8"/>
    <w:rsid w:val="009C49DA"/>
    <w:rsid w:val="00B03013"/>
    <w:rsid w:val="00B460C4"/>
    <w:rsid w:val="00C162EC"/>
    <w:rsid w:val="00E13DD6"/>
    <w:rsid w:val="00EC06FD"/>
    <w:rsid w:val="00F34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35" w:qFormat="1"/>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Text1"/>
    <w:link w:val="Heading1Char"/>
    <w:qFormat/>
    <w:pPr>
      <w:keepNext/>
      <w:numPr>
        <w:numId w:val="3"/>
      </w:numPr>
      <w:spacing w:before="240" w:after="240"/>
      <w:jc w:val="both"/>
      <w:outlineLvl w:val="0"/>
    </w:pPr>
    <w:rPr>
      <w:b/>
      <w:smallCaps/>
      <w:szCs w:val="20"/>
      <w:lang w:eastAsia="en-US"/>
    </w:rPr>
  </w:style>
  <w:style w:type="paragraph" w:styleId="Heading2">
    <w:name w:val="heading 2"/>
    <w:basedOn w:val="Normal"/>
    <w:next w:val="Text2"/>
    <w:link w:val="Heading2Char"/>
    <w:qFormat/>
    <w:pPr>
      <w:keepNext/>
      <w:numPr>
        <w:ilvl w:val="1"/>
        <w:numId w:val="3"/>
      </w:numPr>
      <w:spacing w:after="240"/>
      <w:jc w:val="both"/>
      <w:outlineLvl w:val="1"/>
    </w:pPr>
    <w:rPr>
      <w:b/>
      <w:szCs w:val="20"/>
      <w:lang w:eastAsia="en-US"/>
    </w:rPr>
  </w:style>
  <w:style w:type="paragraph" w:styleId="Heading3">
    <w:name w:val="heading 3"/>
    <w:basedOn w:val="Normal"/>
    <w:next w:val="Text3"/>
    <w:link w:val="Heading3Char"/>
    <w:qFormat/>
    <w:pPr>
      <w:keepNext/>
      <w:numPr>
        <w:ilvl w:val="2"/>
        <w:numId w:val="3"/>
      </w:numPr>
      <w:suppressAutoHyphens/>
      <w:spacing w:after="240" w:line="276" w:lineRule="auto"/>
      <w:jc w:val="both"/>
      <w:outlineLvl w:val="2"/>
    </w:pPr>
    <w:rPr>
      <w:i/>
      <w:szCs w:val="20"/>
      <w:lang w:eastAsia="en-US"/>
    </w:rPr>
  </w:style>
  <w:style w:type="paragraph" w:styleId="Heading4">
    <w:name w:val="heading 4"/>
    <w:basedOn w:val="Normal"/>
    <w:next w:val="Text4"/>
    <w:link w:val="Heading4Char"/>
    <w:qFormat/>
    <w:pPr>
      <w:keepNext/>
      <w:numPr>
        <w:ilvl w:val="3"/>
        <w:numId w:val="3"/>
      </w:numPr>
      <w:spacing w:after="240"/>
      <w:jc w:val="both"/>
      <w:outlineLvl w:val="3"/>
    </w:pPr>
    <w:rPr>
      <w:szCs w:val="20"/>
      <w:lang w:eastAsia="en-US"/>
    </w:rPr>
  </w:style>
  <w:style w:type="paragraph" w:styleId="Heading5">
    <w:name w:val="heading 5"/>
    <w:basedOn w:val="Normal"/>
    <w:next w:val="Normal"/>
    <w:link w:val="Heading5Char"/>
    <w:qFormat/>
    <w:pPr>
      <w:tabs>
        <w:tab w:val="num" w:pos="0"/>
      </w:tabs>
      <w:spacing w:before="240" w:after="60"/>
      <w:jc w:val="both"/>
      <w:outlineLvl w:val="4"/>
    </w:pPr>
    <w:rPr>
      <w:rFonts w:ascii="Arial" w:hAnsi="Arial"/>
      <w:sz w:val="22"/>
      <w:szCs w:val="20"/>
      <w:lang w:eastAsia="en-US"/>
    </w:rPr>
  </w:style>
  <w:style w:type="paragraph" w:styleId="Heading6">
    <w:name w:val="heading 6"/>
    <w:basedOn w:val="Normal"/>
    <w:next w:val="Normal"/>
    <w:link w:val="Heading6Char"/>
    <w:qFormat/>
    <w:pPr>
      <w:tabs>
        <w:tab w:val="num" w:pos="0"/>
      </w:tabs>
      <w:spacing w:before="240" w:after="60"/>
      <w:jc w:val="both"/>
      <w:outlineLvl w:val="5"/>
    </w:pPr>
    <w:rPr>
      <w:rFonts w:ascii="Arial" w:hAnsi="Arial"/>
      <w:i/>
      <w:sz w:val="22"/>
      <w:szCs w:val="20"/>
      <w:lang w:eastAsia="en-US"/>
    </w:rPr>
  </w:style>
  <w:style w:type="paragraph" w:styleId="Heading7">
    <w:name w:val="heading 7"/>
    <w:basedOn w:val="Normal"/>
    <w:next w:val="Normal"/>
    <w:link w:val="Heading7Char"/>
    <w:qFormat/>
    <w:pPr>
      <w:tabs>
        <w:tab w:val="num" w:pos="0"/>
      </w:tabs>
      <w:spacing w:before="240" w:after="60"/>
      <w:jc w:val="both"/>
      <w:outlineLvl w:val="6"/>
    </w:pPr>
    <w:rPr>
      <w:rFonts w:ascii="Arial" w:hAnsi="Arial"/>
      <w:sz w:val="20"/>
      <w:szCs w:val="20"/>
      <w:lang w:eastAsia="en-US"/>
    </w:rPr>
  </w:style>
  <w:style w:type="paragraph" w:styleId="Heading8">
    <w:name w:val="heading 8"/>
    <w:basedOn w:val="Normal"/>
    <w:next w:val="Normal"/>
    <w:link w:val="Heading8Char"/>
    <w:qFormat/>
    <w:pPr>
      <w:tabs>
        <w:tab w:val="num" w:pos="0"/>
      </w:tabs>
      <w:spacing w:before="240" w:after="60"/>
      <w:jc w:val="both"/>
      <w:outlineLvl w:val="7"/>
    </w:pPr>
    <w:rPr>
      <w:rFonts w:ascii="Arial" w:hAnsi="Arial"/>
      <w:i/>
      <w:sz w:val="20"/>
      <w:szCs w:val="20"/>
      <w:lang w:eastAsia="en-US"/>
    </w:rPr>
  </w:style>
  <w:style w:type="paragraph" w:styleId="Heading9">
    <w:name w:val="heading 9"/>
    <w:basedOn w:val="Normal"/>
    <w:next w:val="Normal"/>
    <w:link w:val="Heading9Char"/>
    <w:qFormat/>
    <w:pPr>
      <w:tabs>
        <w:tab w:val="num" w:pos="0"/>
      </w:tabs>
      <w:spacing w:before="240" w:after="60"/>
      <w:jc w:val="both"/>
      <w:outlineLvl w:val="8"/>
    </w:pPr>
    <w:rPr>
      <w:rFonts w:ascii="Arial" w:hAnsi="Arial"/>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pPr>
      <w:spacing w:after="240"/>
      <w:ind w:left="482"/>
      <w:jc w:val="both"/>
    </w:pPr>
    <w:rPr>
      <w:szCs w:val="20"/>
      <w:lang w:eastAsia="en-US"/>
    </w:rPr>
  </w:style>
  <w:style w:type="paragraph" w:customStyle="1" w:styleId="Text2">
    <w:name w:val="Text 2"/>
    <w:basedOn w:val="Normal"/>
    <w:pPr>
      <w:tabs>
        <w:tab w:val="left" w:pos="2302"/>
      </w:tabs>
      <w:spacing w:after="240"/>
      <w:ind w:left="1202"/>
      <w:jc w:val="both"/>
    </w:pPr>
    <w:rPr>
      <w:szCs w:val="20"/>
      <w:lang w:eastAsia="en-US"/>
    </w:rPr>
  </w:style>
  <w:style w:type="paragraph" w:customStyle="1" w:styleId="Text3">
    <w:name w:val="Text 3"/>
    <w:basedOn w:val="Normal"/>
    <w:pPr>
      <w:tabs>
        <w:tab w:val="left" w:pos="2302"/>
      </w:tabs>
      <w:spacing w:after="240"/>
      <w:ind w:left="1202"/>
      <w:jc w:val="both"/>
    </w:pPr>
    <w:rPr>
      <w:szCs w:val="20"/>
      <w:lang w:eastAsia="en-US"/>
    </w:rPr>
  </w:style>
  <w:style w:type="paragraph" w:customStyle="1" w:styleId="Text4">
    <w:name w:val="Text 4"/>
    <w:basedOn w:val="Normal"/>
    <w:pPr>
      <w:tabs>
        <w:tab w:val="left" w:pos="2302"/>
      </w:tabs>
      <w:spacing w:after="240"/>
      <w:ind w:left="1202"/>
      <w:jc w:val="both"/>
    </w:pPr>
    <w:rPr>
      <w:szCs w:val="20"/>
      <w:lang w:eastAsia="en-US"/>
    </w:rPr>
  </w:style>
  <w:style w:type="paragraph" w:customStyle="1" w:styleId="Address">
    <w:name w:val="Address"/>
    <w:basedOn w:val="Normal"/>
    <w:rPr>
      <w:szCs w:val="20"/>
      <w:lang w:eastAsia="en-US"/>
    </w:rPr>
  </w:style>
  <w:style w:type="paragraph" w:customStyle="1" w:styleId="AddressTL">
    <w:name w:val="AddressTL"/>
    <w:basedOn w:val="Normal"/>
    <w:next w:val="Normal"/>
    <w:pPr>
      <w:spacing w:after="720"/>
    </w:pPr>
    <w:rPr>
      <w:szCs w:val="20"/>
      <w:lang w:eastAsia="en-US"/>
    </w:rPr>
  </w:style>
  <w:style w:type="paragraph" w:customStyle="1" w:styleId="AddressTR">
    <w:name w:val="AddressTR"/>
    <w:basedOn w:val="Normal"/>
    <w:next w:val="Normal"/>
    <w:pPr>
      <w:spacing w:after="720"/>
      <w:ind w:left="5103"/>
    </w:pPr>
    <w:rPr>
      <w:szCs w:val="20"/>
      <w:lang w:eastAsia="en-US"/>
    </w:rPr>
  </w:style>
  <w:style w:type="paragraph" w:styleId="BlockText">
    <w:name w:val="Block Text"/>
    <w:basedOn w:val="Normal"/>
    <w:pPr>
      <w:spacing w:after="120"/>
      <w:ind w:left="1440" w:right="1440"/>
      <w:jc w:val="both"/>
    </w:pPr>
    <w:rPr>
      <w:szCs w:val="20"/>
      <w:lang w:eastAsia="en-US"/>
    </w:rPr>
  </w:style>
  <w:style w:type="paragraph" w:styleId="BodyText">
    <w:name w:val="Body Text"/>
    <w:aliases w:val="Document,Doc,Body Text2,doc,Standard paragraph,BodyText, (Norm),Body Text 12,bt,gl,uvlaka 2,(Norm),heading3,Body Text - Level 2,1body,BodText,body text,Body Txt,Body Text-10,Body Text Char2,Text Char1,Τίτλος Μελέτης,- TF,b.,b,F2 Body Text,Text"/>
    <w:basedOn w:val="Normal"/>
    <w:link w:val="BodyTextChar"/>
    <w:qFormat/>
    <w:pPr>
      <w:spacing w:after="120"/>
      <w:jc w:val="both"/>
    </w:pPr>
    <w:rPr>
      <w:szCs w:val="20"/>
      <w:lang w:eastAsia="en-US"/>
    </w:rPr>
  </w:style>
  <w:style w:type="character" w:customStyle="1" w:styleId="BodyTextChar">
    <w:name w:val="Body Text Char"/>
    <w:aliases w:val="Document Char,Doc Char,Body Text2 Char,doc Char,Standard paragraph Char,BodyText Char, (Norm) Char,Body Text 12 Char,bt Char,gl Char,uvlaka 2 Char,(Norm) Char,heading3 Char,Body Text - Level 2 Char,1body Char,BodText Char,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szCs w:val="20"/>
      <w:lang w:eastAsia="en-US"/>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jc w:val="both"/>
    </w:pPr>
    <w:rPr>
      <w:sz w:val="16"/>
      <w:szCs w:val="20"/>
      <w:lang w:eastAsia="en-US"/>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jc w:val="both"/>
    </w:pPr>
    <w:rPr>
      <w:szCs w:val="20"/>
      <w:lang w:eastAsia="en-US"/>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szCs w:val="20"/>
      <w:lang w:eastAsia="en-US"/>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jc w:val="both"/>
    </w:pPr>
    <w:rPr>
      <w:sz w:val="16"/>
      <w:szCs w:val="20"/>
      <w:lang w:eastAsia="en-US"/>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Caption1 Char Char Char Char Char Char Char Char Tegn Tegn Tegn Tegn Tegn,Caption1 Char Char Char Char Char Char Char Char Tegn Tegn Tegn,Caption1 Char Char Char Char Char Char Char Char Tegn Tegn, Char Char Char,Tabelko,Beschriftung Char2 Char"/>
    <w:basedOn w:val="Normal"/>
    <w:next w:val="Normal"/>
    <w:link w:val="CaptionChar"/>
    <w:uiPriority w:val="35"/>
    <w:qFormat/>
    <w:pPr>
      <w:spacing w:before="120" w:after="120"/>
      <w:jc w:val="both"/>
    </w:pPr>
    <w:rPr>
      <w:b/>
      <w:szCs w:val="20"/>
      <w:lang w:eastAsia="en-US"/>
    </w:rPr>
  </w:style>
  <w:style w:type="paragraph" w:customStyle="1" w:styleId="ChapterTitle">
    <w:name w:val="ChapterTitle"/>
    <w:basedOn w:val="Normal"/>
    <w:next w:val="SectionTitle"/>
    <w:pPr>
      <w:keepNext/>
      <w:spacing w:after="480"/>
      <w:jc w:val="center"/>
    </w:pPr>
    <w:rPr>
      <w:b/>
      <w:sz w:val="32"/>
      <w:szCs w:val="20"/>
      <w:lang w:eastAsia="en-US"/>
    </w:rPr>
  </w:style>
  <w:style w:type="paragraph" w:customStyle="1" w:styleId="SectionTitle">
    <w:name w:val="SectionTitle"/>
    <w:basedOn w:val="Normal"/>
    <w:next w:val="Heading1"/>
    <w:pPr>
      <w:keepNext/>
      <w:spacing w:after="480"/>
      <w:jc w:val="center"/>
    </w:pPr>
    <w:rPr>
      <w:b/>
      <w:smallCaps/>
      <w:sz w:val="28"/>
      <w:szCs w:val="20"/>
      <w:lang w:eastAsia="en-US"/>
    </w:rPr>
  </w:style>
  <w:style w:type="paragraph" w:styleId="Closing">
    <w:name w:val="Closing"/>
    <w:basedOn w:val="Normal"/>
    <w:link w:val="ClosingChar"/>
    <w:pPr>
      <w:spacing w:after="240"/>
      <w:ind w:left="4252"/>
      <w:jc w:val="both"/>
    </w:pPr>
    <w:rPr>
      <w:szCs w:val="20"/>
      <w:lang w:eastAsia="en-US"/>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pPr>
      <w:spacing w:after="240"/>
      <w:jc w:val="both"/>
    </w:pPr>
    <w:rPr>
      <w:sz w:val="20"/>
      <w:szCs w:val="20"/>
      <w:lang w:eastAsia="en-US"/>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Date">
    <w:name w:val="Date"/>
    <w:basedOn w:val="Normal"/>
    <w:next w:val="References"/>
    <w:link w:val="DateChar"/>
    <w:pPr>
      <w:ind w:left="5103" w:right="-567"/>
    </w:pPr>
    <w:rPr>
      <w:szCs w:val="20"/>
      <w:lang w:eastAsia="en-US"/>
    </w:r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ind w:left="5103"/>
    </w:pPr>
    <w:rPr>
      <w:sz w:val="20"/>
      <w:szCs w:val="20"/>
      <w:lang w:eastAsia="en-US"/>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4"/>
      <w:shd w:val="clear" w:color="auto" w:fill="000080"/>
      <w:lang w:eastAsia="en-GB"/>
    </w:rPr>
  </w:style>
  <w:style w:type="paragraph" w:customStyle="1" w:styleId="DoubSign">
    <w:name w:val="DoubSign"/>
    <w:basedOn w:val="Normal"/>
    <w:next w:val="Enclosures"/>
    <w:pPr>
      <w:tabs>
        <w:tab w:val="left" w:pos="5103"/>
      </w:tabs>
      <w:spacing w:before="1200"/>
    </w:pPr>
    <w:rPr>
      <w:szCs w:val="20"/>
      <w:lang w:eastAsia="en-US"/>
    </w:rPr>
  </w:style>
  <w:style w:type="paragraph" w:customStyle="1" w:styleId="Enclosures">
    <w:name w:val="Enclosures"/>
    <w:basedOn w:val="Normal"/>
    <w:pPr>
      <w:keepNext/>
      <w:keepLines/>
      <w:tabs>
        <w:tab w:val="left" w:pos="5642"/>
      </w:tabs>
      <w:spacing w:before="480"/>
      <w:ind w:left="1191" w:hanging="1191"/>
    </w:pPr>
    <w:rPr>
      <w:szCs w:val="20"/>
      <w:lang w:eastAsia="en-US"/>
    </w:r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4"/>
      <w:lang w:eastAsia="en-GB"/>
    </w:rPr>
  </w:style>
  <w:style w:type="paragraph" w:styleId="EnvelopeAddress">
    <w:name w:val="envelope address"/>
    <w:basedOn w:val="Normal"/>
    <w:pPr>
      <w:framePr w:w="7920" w:h="1980" w:hRule="exact" w:hSpace="180" w:wrap="auto" w:hAnchor="page" w:xAlign="center" w:yAlign="bottom"/>
      <w:jc w:val="both"/>
    </w:pPr>
    <w:rPr>
      <w:szCs w:val="20"/>
      <w:lang w:eastAsia="en-US"/>
    </w:rPr>
  </w:style>
  <w:style w:type="paragraph" w:styleId="EnvelopeReturn">
    <w:name w:val="envelope return"/>
    <w:basedOn w:val="Normal"/>
    <w:pPr>
      <w:jc w:val="both"/>
    </w:pPr>
    <w:rPr>
      <w:sz w:val="20"/>
      <w:szCs w:val="20"/>
      <w:lang w:eastAsia="en-US"/>
    </w:rPr>
  </w:style>
  <w:style w:type="paragraph" w:styleId="Footer">
    <w:name w:val="footer"/>
    <w:basedOn w:val="Normal"/>
    <w:link w:val="FooterChar"/>
    <w:uiPriority w:val="99"/>
    <w:unhideWhenUsed/>
    <w:pPr>
      <w:tabs>
        <w:tab w:val="center" w:pos="4535"/>
        <w:tab w:val="right" w:pos="9071"/>
        <w:tab w:val="right" w:pos="9921"/>
      </w:tabs>
      <w:spacing w:before="360"/>
      <w:ind w:left="-850" w:right="-850"/>
    </w:pPr>
    <w:rPr>
      <w:rFonts w:eastAsiaTheme="minorHAnsi"/>
      <w:szCs w:val="22"/>
      <w:lang w:eastAsia="en-US"/>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styleId="FootnoteText">
    <w:name w:val="footnote text"/>
    <w:aliases w:val="Schriftart: 9 pt,Schriftart: 10 pt,Schriftart: 8 pt,o,WB-Fußnotentext,fn,Footnotes,Footnote ak,ﬂnotentext,WB-Fuﬂnotentext,footnote text,single space,Footnote Text English,FOOTNOTES,Footnote text,Podrozdział,Reference,Car,Fußnote,FoodNote,f"/>
    <w:basedOn w:val="Normal"/>
    <w:link w:val="FootnoteTextChar"/>
    <w:uiPriority w:val="99"/>
    <w:qFormat/>
    <w:pPr>
      <w:spacing w:after="240"/>
      <w:ind w:left="357" w:hanging="357"/>
      <w:jc w:val="both"/>
    </w:pPr>
    <w:rPr>
      <w:sz w:val="20"/>
      <w:szCs w:val="20"/>
      <w:lang w:eastAsia="en-US"/>
    </w:rPr>
  </w:style>
  <w:style w:type="character" w:customStyle="1" w:styleId="FootnoteTextChar">
    <w:name w:val="Footnote Text Char"/>
    <w:aliases w:val="Schriftart: 9 pt Char,Schriftart: 10 pt Char,Schriftart: 8 pt Char,o Char,WB-Fußnotentext Char,fn Char,Footnotes Char,Footnote ak Char,ﬂnotentext Char,WB-Fuﬂnotentext Char,footnote text Char,single space Char,FOOTNOTES Char,Car Char"/>
    <w:basedOn w:val="DefaultParagraphFont"/>
    <w:link w:val="FootnoteText"/>
    <w:uiPriority w:val="99"/>
    <w:rPr>
      <w:rFonts w:ascii="Times New Roman" w:eastAsia="Times New Roman" w:hAnsi="Times New Roman" w:cs="Times New Roman"/>
      <w:sz w:val="20"/>
      <w:szCs w:val="20"/>
    </w:rPr>
  </w:style>
  <w:style w:type="paragraph" w:styleId="Header">
    <w:name w:val="header"/>
    <w:basedOn w:val="Normal"/>
    <w:link w:val="HeaderChar"/>
    <w:uiPriority w:val="99"/>
    <w:unhideWhenUsed/>
    <w:pPr>
      <w:tabs>
        <w:tab w:val="center" w:pos="4535"/>
        <w:tab w:val="right" w:pos="9071"/>
      </w:tabs>
      <w:spacing w:after="120"/>
      <w:jc w:val="both"/>
    </w:pPr>
    <w:rPr>
      <w:rFonts w:eastAsiaTheme="minorHAnsi"/>
      <w:szCs w:val="22"/>
      <w:lang w:eastAsia="en-US"/>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Index1">
    <w:name w:val="index 1"/>
    <w:basedOn w:val="Normal"/>
    <w:next w:val="Normal"/>
    <w:autoRedefine/>
    <w:semiHidden/>
    <w:pPr>
      <w:spacing w:after="240"/>
      <w:ind w:left="240" w:hanging="240"/>
      <w:jc w:val="both"/>
    </w:pPr>
    <w:rPr>
      <w:szCs w:val="20"/>
      <w:lang w:eastAsia="en-US"/>
    </w:r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spacing w:after="240"/>
      <w:ind w:left="283" w:hanging="283"/>
      <w:jc w:val="both"/>
    </w:pPr>
    <w:rPr>
      <w:szCs w:val="20"/>
      <w:lang w:eastAsia="en-US"/>
    </w:rPr>
  </w:style>
  <w:style w:type="paragraph" w:styleId="List2">
    <w:name w:val="List 2"/>
    <w:basedOn w:val="Normal"/>
    <w:pPr>
      <w:spacing w:after="240"/>
      <w:ind w:left="566" w:hanging="283"/>
      <w:jc w:val="both"/>
    </w:pPr>
    <w:rPr>
      <w:szCs w:val="20"/>
      <w:lang w:eastAsia="en-US"/>
    </w:rPr>
  </w:style>
  <w:style w:type="paragraph" w:styleId="List3">
    <w:name w:val="List 3"/>
    <w:basedOn w:val="Normal"/>
    <w:pPr>
      <w:spacing w:after="240"/>
      <w:ind w:left="849" w:hanging="283"/>
      <w:jc w:val="both"/>
    </w:pPr>
    <w:rPr>
      <w:szCs w:val="20"/>
      <w:lang w:eastAsia="en-US"/>
    </w:rPr>
  </w:style>
  <w:style w:type="paragraph" w:styleId="List4">
    <w:name w:val="List 4"/>
    <w:basedOn w:val="Normal"/>
    <w:pPr>
      <w:spacing w:after="240"/>
      <w:ind w:left="1132" w:hanging="283"/>
      <w:jc w:val="both"/>
    </w:pPr>
    <w:rPr>
      <w:szCs w:val="20"/>
      <w:lang w:eastAsia="en-US"/>
    </w:rPr>
  </w:style>
  <w:style w:type="paragraph" w:styleId="List5">
    <w:name w:val="List 5"/>
    <w:basedOn w:val="Normal"/>
    <w:pPr>
      <w:spacing w:after="240"/>
      <w:ind w:left="1415" w:hanging="283"/>
      <w:jc w:val="both"/>
    </w:pPr>
    <w:rPr>
      <w:szCs w:val="20"/>
      <w:lang w:eastAsia="en-US"/>
    </w:rPr>
  </w:style>
  <w:style w:type="paragraph" w:styleId="ListBullet">
    <w:name w:val="List Bullet"/>
    <w:basedOn w:val="Normal"/>
    <w:pPr>
      <w:numPr>
        <w:numId w:val="4"/>
      </w:numPr>
      <w:spacing w:after="240"/>
      <w:jc w:val="both"/>
    </w:pPr>
    <w:rPr>
      <w:szCs w:val="20"/>
      <w:lang w:eastAsia="en-US"/>
    </w:r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spacing w:after="240"/>
      <w:jc w:val="both"/>
    </w:pPr>
    <w:rPr>
      <w:szCs w:val="20"/>
      <w:lang w:eastAsia="en-US"/>
    </w:rPr>
  </w:style>
  <w:style w:type="paragraph" w:styleId="ListContinue">
    <w:name w:val="List Continue"/>
    <w:basedOn w:val="Normal"/>
    <w:pPr>
      <w:spacing w:after="120"/>
      <w:ind w:left="283"/>
      <w:jc w:val="both"/>
    </w:pPr>
    <w:rPr>
      <w:szCs w:val="20"/>
      <w:lang w:eastAsia="en-US"/>
    </w:rPr>
  </w:style>
  <w:style w:type="paragraph" w:styleId="ListContinue2">
    <w:name w:val="List Continue 2"/>
    <w:basedOn w:val="Normal"/>
    <w:pPr>
      <w:spacing w:after="120"/>
      <w:ind w:left="566"/>
      <w:jc w:val="both"/>
    </w:pPr>
    <w:rPr>
      <w:szCs w:val="20"/>
      <w:lang w:eastAsia="en-US"/>
    </w:rPr>
  </w:style>
  <w:style w:type="paragraph" w:styleId="ListContinue3">
    <w:name w:val="List Continue 3"/>
    <w:basedOn w:val="Normal"/>
    <w:pPr>
      <w:spacing w:after="120"/>
      <w:ind w:left="849"/>
      <w:jc w:val="both"/>
    </w:pPr>
    <w:rPr>
      <w:szCs w:val="20"/>
      <w:lang w:eastAsia="en-US"/>
    </w:rPr>
  </w:style>
  <w:style w:type="paragraph" w:styleId="ListContinue4">
    <w:name w:val="List Continue 4"/>
    <w:basedOn w:val="Normal"/>
    <w:pPr>
      <w:spacing w:after="120"/>
      <w:ind w:left="1132"/>
      <w:jc w:val="both"/>
    </w:pPr>
    <w:rPr>
      <w:szCs w:val="20"/>
      <w:lang w:eastAsia="en-US"/>
    </w:rPr>
  </w:style>
  <w:style w:type="paragraph" w:styleId="ListContinue5">
    <w:name w:val="List Continue 5"/>
    <w:basedOn w:val="Normal"/>
    <w:pPr>
      <w:spacing w:after="120"/>
      <w:ind w:left="1415"/>
      <w:jc w:val="both"/>
    </w:pPr>
    <w:rPr>
      <w:szCs w:val="20"/>
      <w:lang w:eastAsia="en-US"/>
    </w:rPr>
  </w:style>
  <w:style w:type="paragraph" w:styleId="ListNumber">
    <w:name w:val="List Number"/>
    <w:basedOn w:val="Normal"/>
    <w:pPr>
      <w:numPr>
        <w:numId w:val="14"/>
      </w:numPr>
      <w:spacing w:after="240"/>
      <w:jc w:val="both"/>
    </w:pPr>
    <w:rPr>
      <w:szCs w:val="20"/>
      <w:lang w:eastAsia="en-US"/>
    </w:r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spacing w:after="240"/>
      <w:jc w:val="both"/>
    </w:pPr>
    <w:rPr>
      <w:szCs w:val="20"/>
      <w:lang w:eastAsia="en-US"/>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jc w:val="both"/>
    </w:pPr>
    <w:rPr>
      <w:rFonts w:ascii="Arial" w:hAnsi="Arial"/>
      <w:szCs w:val="20"/>
      <w:lang w:eastAsia="en-US"/>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spacing w:after="240"/>
      <w:ind w:left="720"/>
      <w:jc w:val="both"/>
    </w:pPr>
    <w:rPr>
      <w:szCs w:val="20"/>
      <w:lang w:eastAsia="en-US"/>
    </w:rPr>
  </w:style>
  <w:style w:type="paragraph" w:styleId="NoteHeading">
    <w:name w:val="Note Heading"/>
    <w:basedOn w:val="Normal"/>
    <w:next w:val="Normal"/>
    <w:link w:val="NoteHeadingChar"/>
    <w:pPr>
      <w:spacing w:after="240"/>
      <w:jc w:val="both"/>
    </w:pPr>
    <w:rPr>
      <w:szCs w:val="20"/>
      <w:lang w:eastAsia="en-US"/>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szCs w:val="20"/>
      <w:lang w:eastAsia="en-US"/>
    </w:rPr>
  </w:style>
  <w:style w:type="paragraph" w:customStyle="1" w:styleId="Subject">
    <w:name w:val="Subject"/>
    <w:basedOn w:val="Normal"/>
    <w:next w:val="Normal"/>
    <w:pPr>
      <w:spacing w:after="480"/>
      <w:ind w:left="1531" w:hanging="1531"/>
    </w:pPr>
    <w:rPr>
      <w:b/>
      <w:szCs w:val="20"/>
      <w:lang w:eastAsia="en-US"/>
    </w:rPr>
  </w:style>
  <w:style w:type="paragraph" w:customStyle="1" w:styleId="NoteList">
    <w:name w:val="NoteList"/>
    <w:basedOn w:val="Normal"/>
    <w:next w:val="Subject"/>
    <w:pPr>
      <w:tabs>
        <w:tab w:val="left" w:pos="5823"/>
      </w:tabs>
      <w:spacing w:before="720" w:after="720"/>
      <w:ind w:left="5104" w:hanging="3119"/>
    </w:pPr>
    <w:rPr>
      <w:b/>
      <w:smallCaps/>
      <w:szCs w:val="20"/>
      <w:lang w:eastAsia="en-U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szCs w:val="20"/>
      <w:lang w:eastAsia="en-US"/>
    </w:rPr>
  </w:style>
  <w:style w:type="paragraph" w:styleId="PlainText">
    <w:name w:val="Plain Text"/>
    <w:basedOn w:val="Normal"/>
    <w:link w:val="PlainTextChar"/>
    <w:pPr>
      <w:spacing w:after="240"/>
      <w:jc w:val="both"/>
    </w:pPr>
    <w:rPr>
      <w:rFonts w:ascii="Courier New" w:hAnsi="Courier New"/>
      <w:sz w:val="20"/>
      <w:szCs w:val="20"/>
      <w:lang w:eastAsia="en-US"/>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pPr>
      <w:spacing w:after="240"/>
      <w:jc w:val="both"/>
    </w:pPr>
    <w:rPr>
      <w:szCs w:val="20"/>
      <w:lang w:eastAsia="en-US"/>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ind w:left="5103"/>
      <w:jc w:val="center"/>
    </w:pPr>
    <w:rPr>
      <w:szCs w:val="20"/>
      <w:lang w:eastAsia="en-US"/>
    </w:r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szCs w:val="20"/>
      <w:lang w:eastAsia="en-US"/>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spacing w:after="240"/>
      <w:jc w:val="center"/>
    </w:pPr>
    <w:rPr>
      <w:b/>
      <w:sz w:val="40"/>
      <w:szCs w:val="20"/>
      <w:lang w:eastAsia="en-US"/>
    </w:rPr>
  </w:style>
  <w:style w:type="paragraph" w:customStyle="1" w:styleId="SubTitle2">
    <w:name w:val="SubTitle 2"/>
    <w:basedOn w:val="Normal"/>
    <w:pPr>
      <w:spacing w:after="240"/>
      <w:jc w:val="center"/>
    </w:pPr>
    <w:rPr>
      <w:b/>
      <w:sz w:val="32"/>
      <w:szCs w:val="20"/>
      <w:lang w:eastAsia="en-US"/>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spacing w:after="240"/>
      <w:ind w:left="480" w:hanging="480"/>
      <w:jc w:val="both"/>
    </w:pPr>
    <w:rPr>
      <w:szCs w:val="20"/>
      <w:lang w:eastAsia="en-US"/>
    </w:rPr>
  </w:style>
  <w:style w:type="paragraph" w:styleId="Title">
    <w:name w:val="Title"/>
    <w:basedOn w:val="Normal"/>
    <w:next w:val="SubTitle1"/>
    <w:link w:val="TitleChar"/>
    <w:qFormat/>
    <w:pPr>
      <w:spacing w:after="480"/>
      <w:jc w:val="center"/>
    </w:pPr>
    <w:rPr>
      <w:b/>
      <w:kern w:val="28"/>
      <w:sz w:val="48"/>
      <w:szCs w:val="20"/>
      <w:lang w:eastAsia="en-US"/>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jc w:val="both"/>
    </w:pPr>
    <w:rPr>
      <w:caps/>
      <w:szCs w:val="20"/>
      <w:lang w:eastAsia="en-US"/>
    </w:rPr>
  </w:style>
  <w:style w:type="paragraph" w:styleId="TOC2">
    <w:name w:val="toc 2"/>
    <w:basedOn w:val="Normal"/>
    <w:next w:val="Normal"/>
    <w:uiPriority w:val="39"/>
    <w:pPr>
      <w:tabs>
        <w:tab w:val="right" w:leader="dot" w:pos="8640"/>
      </w:tabs>
      <w:spacing w:before="60" w:after="60"/>
      <w:ind w:left="1077" w:right="720" w:hanging="595"/>
      <w:jc w:val="both"/>
    </w:pPr>
    <w:rPr>
      <w:szCs w:val="20"/>
      <w:lang w:eastAsia="en-US"/>
    </w:rPr>
  </w:style>
  <w:style w:type="paragraph" w:styleId="TOC3">
    <w:name w:val="toc 3"/>
    <w:basedOn w:val="Normal"/>
    <w:next w:val="Normal"/>
    <w:uiPriority w:val="39"/>
    <w:pPr>
      <w:tabs>
        <w:tab w:val="right" w:leader="dot" w:pos="8640"/>
      </w:tabs>
      <w:spacing w:before="60" w:after="60"/>
      <w:ind w:left="1916" w:right="720" w:hanging="839"/>
      <w:jc w:val="both"/>
    </w:pPr>
    <w:rPr>
      <w:szCs w:val="20"/>
      <w:lang w:eastAsia="en-US"/>
    </w:rPr>
  </w:style>
  <w:style w:type="paragraph" w:styleId="TOC4">
    <w:name w:val="toc 4"/>
    <w:basedOn w:val="Normal"/>
    <w:next w:val="Normal"/>
    <w:uiPriority w:val="39"/>
    <w:pPr>
      <w:tabs>
        <w:tab w:val="right" w:leader="dot" w:pos="8641"/>
      </w:tabs>
      <w:spacing w:before="60" w:after="60"/>
      <w:ind w:left="2880" w:right="720" w:hanging="964"/>
      <w:jc w:val="both"/>
    </w:pPr>
    <w:rPr>
      <w:szCs w:val="20"/>
      <w:lang w:eastAsia="en-US"/>
    </w:rPr>
  </w:style>
  <w:style w:type="paragraph" w:styleId="TOC5">
    <w:name w:val="toc 5"/>
    <w:basedOn w:val="Normal"/>
    <w:next w:val="Normal"/>
    <w:uiPriority w:val="39"/>
    <w:pPr>
      <w:tabs>
        <w:tab w:val="right" w:leader="dot" w:pos="8641"/>
      </w:tabs>
      <w:spacing w:before="240" w:after="120"/>
      <w:ind w:right="720"/>
      <w:jc w:val="both"/>
    </w:pPr>
    <w:rPr>
      <w:caps/>
      <w:szCs w:val="20"/>
      <w:lang w:eastAsia="en-US"/>
    </w:rPr>
  </w:style>
  <w:style w:type="paragraph" w:styleId="TOC6">
    <w:name w:val="toc 6"/>
    <w:basedOn w:val="Normal"/>
    <w:next w:val="Normal"/>
    <w:autoRedefine/>
    <w:uiPriority w:val="39"/>
    <w:pPr>
      <w:spacing w:after="240"/>
      <w:ind w:left="1200"/>
      <w:jc w:val="both"/>
    </w:pPr>
    <w:rPr>
      <w:szCs w:val="20"/>
      <w:lang w:eastAsia="en-US"/>
    </w:rPr>
  </w:style>
  <w:style w:type="paragraph" w:styleId="TOC7">
    <w:name w:val="toc 7"/>
    <w:basedOn w:val="Normal"/>
    <w:next w:val="Normal"/>
    <w:autoRedefine/>
    <w:uiPriority w:val="39"/>
    <w:pPr>
      <w:spacing w:after="240"/>
      <w:ind w:left="1440"/>
      <w:jc w:val="both"/>
    </w:pPr>
    <w:rPr>
      <w:szCs w:val="20"/>
      <w:lang w:eastAsia="en-US"/>
    </w:rPr>
  </w:style>
  <w:style w:type="paragraph" w:styleId="TOC8">
    <w:name w:val="toc 8"/>
    <w:basedOn w:val="Normal"/>
    <w:next w:val="Normal"/>
    <w:autoRedefine/>
    <w:uiPriority w:val="39"/>
    <w:pPr>
      <w:spacing w:after="240"/>
      <w:ind w:left="1680"/>
      <w:jc w:val="both"/>
    </w:pPr>
    <w:rPr>
      <w:szCs w:val="20"/>
      <w:lang w:eastAsia="en-US"/>
    </w:rPr>
  </w:style>
  <w:style w:type="paragraph" w:styleId="TOC9">
    <w:name w:val="toc 9"/>
    <w:basedOn w:val="Normal"/>
    <w:next w:val="Normal"/>
    <w:autoRedefine/>
    <w:uiPriority w:val="39"/>
    <w:pPr>
      <w:spacing w:after="240"/>
      <w:ind w:left="1920"/>
      <w:jc w:val="both"/>
    </w:pPr>
    <w:rPr>
      <w:szCs w:val="20"/>
      <w:lang w:eastAsia="en-US"/>
    </w:rPr>
  </w:style>
  <w:style w:type="paragraph" w:customStyle="1" w:styleId="YReferences">
    <w:name w:val="YReferences"/>
    <w:basedOn w:val="Normal"/>
    <w:next w:val="Normal"/>
    <w:uiPriority w:val="99"/>
    <w:pPr>
      <w:spacing w:after="480"/>
      <w:ind w:left="1531" w:hanging="1531"/>
      <w:jc w:val="both"/>
    </w:pPr>
    <w:rPr>
      <w:szCs w:val="20"/>
      <w:lang w:eastAsia="en-US"/>
    </w:rPr>
  </w:style>
  <w:style w:type="paragraph" w:customStyle="1" w:styleId="ListBullet1">
    <w:name w:val="List Bullet 1"/>
    <w:basedOn w:val="Text1"/>
    <w:pPr>
      <w:numPr>
        <w:numId w:val="5"/>
      </w:numPr>
    </w:pPr>
  </w:style>
  <w:style w:type="paragraph" w:customStyle="1" w:styleId="ListDash">
    <w:name w:val="List Dash"/>
    <w:basedOn w:val="Normal"/>
    <w:pPr>
      <w:numPr>
        <w:numId w:val="9"/>
      </w:numPr>
      <w:spacing w:after="240"/>
      <w:jc w:val="both"/>
    </w:pPr>
    <w:rPr>
      <w:szCs w:val="20"/>
      <w:lang w:eastAsia="en-US"/>
    </w:r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spacing w:after="240"/>
      <w:jc w:val="both"/>
    </w:pPr>
    <w:rPr>
      <w:szCs w:val="20"/>
      <w:lang w:eastAsia="en-US"/>
    </w:rPr>
  </w:style>
  <w:style w:type="paragraph" w:customStyle="1" w:styleId="ListNumberLevel3">
    <w:name w:val="List Number (Level 3)"/>
    <w:basedOn w:val="Normal"/>
    <w:pPr>
      <w:numPr>
        <w:ilvl w:val="2"/>
        <w:numId w:val="14"/>
      </w:numPr>
      <w:spacing w:after="240"/>
      <w:jc w:val="both"/>
    </w:pPr>
    <w:rPr>
      <w:szCs w:val="20"/>
      <w:lang w:eastAsia="en-US"/>
    </w:rPr>
  </w:style>
  <w:style w:type="paragraph" w:customStyle="1" w:styleId="ListNumberLevel4">
    <w:name w:val="List Number (Level 4)"/>
    <w:basedOn w:val="Normal"/>
    <w:pPr>
      <w:numPr>
        <w:ilvl w:val="3"/>
        <w:numId w:val="14"/>
      </w:numPr>
      <w:spacing w:after="240"/>
      <w:jc w:val="both"/>
    </w:pPr>
    <w:rPr>
      <w:szCs w:val="20"/>
      <w:lang w:eastAsia="en-US"/>
    </w:r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after="240"/>
      <w:jc w:val="center"/>
    </w:pPr>
    <w:rPr>
      <w:b/>
      <w:szCs w:val="20"/>
      <w:lang w:eastAsia="en-US"/>
    </w:rPr>
  </w:style>
  <w:style w:type="paragraph" w:customStyle="1" w:styleId="Contact">
    <w:name w:val="Contact"/>
    <w:basedOn w:val="Normal"/>
    <w:next w:val="Normal"/>
    <w:pPr>
      <w:spacing w:after="480"/>
      <w:ind w:left="567" w:hanging="567"/>
    </w:pPr>
    <w:rPr>
      <w:szCs w:val="20"/>
      <w:lang w:eastAsia="en-US"/>
    </w:rPr>
  </w:style>
  <w:style w:type="paragraph" w:customStyle="1" w:styleId="Designator">
    <w:name w:val="Designator"/>
    <w:basedOn w:val="Normal"/>
    <w:pPr>
      <w:jc w:val="center"/>
    </w:pPr>
    <w:rPr>
      <w:b/>
      <w:caps/>
      <w:sz w:val="32"/>
      <w:szCs w:val="20"/>
      <w:lang w:eastAsia="en-US"/>
    </w:rPr>
  </w:style>
  <w:style w:type="paragraph" w:customStyle="1" w:styleId="Releasable">
    <w:name w:val="Releasable"/>
    <w:basedOn w:val="Normal"/>
    <w:qFormat/>
    <w:pPr>
      <w:jc w:val="center"/>
    </w:pPr>
    <w:rPr>
      <w:b/>
      <w:caps/>
      <w:sz w:val="32"/>
      <w:szCs w:val="20"/>
      <w:lang w:val="de-DE" w:eastAsia="en-US"/>
    </w:rPr>
  </w:style>
  <w:style w:type="paragraph" w:customStyle="1" w:styleId="RUE">
    <w:name w:val="RUE"/>
    <w:basedOn w:val="Normal"/>
    <w:pPr>
      <w:jc w:val="center"/>
    </w:pPr>
    <w:rPr>
      <w:b/>
      <w:caps/>
      <w:sz w:val="32"/>
      <w:szCs w:val="20"/>
      <w:bdr w:val="single" w:sz="18" w:space="0" w:color="auto"/>
      <w:lang w:val="de-DE" w:eastAsia="en-US"/>
    </w:rPr>
  </w:style>
  <w:style w:type="paragraph" w:customStyle="1" w:styleId="ConfidentialUE">
    <w:name w:val="Confidential UE"/>
    <w:basedOn w:val="Normal"/>
    <w:pPr>
      <w:jc w:val="center"/>
    </w:pPr>
    <w:rPr>
      <w:b/>
      <w:caps/>
      <w:sz w:val="32"/>
      <w:szCs w:val="20"/>
      <w:bdr w:val="single" w:sz="18" w:space="0" w:color="auto"/>
      <w:lang w:eastAsia="en-US"/>
    </w:rPr>
  </w:style>
  <w:style w:type="paragraph" w:customStyle="1" w:styleId="SecretUE">
    <w:name w:val="Secret UE"/>
    <w:basedOn w:val="Normal"/>
    <w:pPr>
      <w:jc w:val="center"/>
    </w:pPr>
    <w:rPr>
      <w:b/>
      <w:caps/>
      <w:color w:val="FF0000"/>
      <w:sz w:val="32"/>
      <w:szCs w:val="20"/>
      <w:bdr w:val="single" w:sz="18" w:space="0" w:color="FF0000"/>
      <w:lang w:eastAsia="en-US"/>
    </w:rPr>
  </w:style>
  <w:style w:type="paragraph" w:customStyle="1" w:styleId="TrsSecretUE">
    <w:name w:val="Très Secret UE"/>
    <w:basedOn w:val="Normal"/>
    <w:pPr>
      <w:jc w:val="center"/>
    </w:pPr>
    <w:rPr>
      <w:b/>
      <w:caps/>
      <w:color w:val="FF0000"/>
      <w:sz w:val="32"/>
      <w:szCs w:val="20"/>
      <w:bdr w:val="single" w:sz="18" w:space="0" w:color="FF0000"/>
      <w:lang w:eastAsia="en-US"/>
    </w:rPr>
  </w:style>
  <w:style w:type="paragraph" w:customStyle="1" w:styleId="LegalNumPar">
    <w:name w:val="LegalNumPar"/>
    <w:basedOn w:val="Normal"/>
    <w:pPr>
      <w:numPr>
        <w:numId w:val="19"/>
      </w:numPr>
      <w:spacing w:after="240" w:line="360" w:lineRule="auto"/>
    </w:pPr>
    <w:rPr>
      <w:rFonts w:eastAsiaTheme="minorHAnsi"/>
      <w:szCs w:val="22"/>
      <w:lang w:eastAsia="en-US"/>
    </w:rPr>
  </w:style>
  <w:style w:type="paragraph" w:customStyle="1" w:styleId="LegalNumPar2">
    <w:name w:val="LegalNumPar2"/>
    <w:basedOn w:val="Normal"/>
    <w:pPr>
      <w:numPr>
        <w:ilvl w:val="1"/>
        <w:numId w:val="19"/>
      </w:numPr>
      <w:spacing w:after="240" w:line="360" w:lineRule="auto"/>
      <w:ind w:left="952" w:hanging="476"/>
    </w:pPr>
    <w:rPr>
      <w:rFonts w:eastAsiaTheme="minorHAnsi"/>
      <w:szCs w:val="22"/>
      <w:lang w:eastAsia="en-US"/>
    </w:rPr>
  </w:style>
  <w:style w:type="paragraph" w:customStyle="1" w:styleId="LegalNumPar3">
    <w:name w:val="LegalNumPar3"/>
    <w:basedOn w:val="Normal"/>
    <w:pPr>
      <w:numPr>
        <w:ilvl w:val="2"/>
        <w:numId w:val="19"/>
      </w:numPr>
      <w:spacing w:after="240" w:line="360" w:lineRule="auto"/>
    </w:pPr>
    <w:rPr>
      <w:rFonts w:eastAsiaTheme="minorHAnsi"/>
      <w:szCs w:val="22"/>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Typedudocument">
    <w:name w:val="Type du document"/>
    <w:basedOn w:val="Normal"/>
    <w:next w:val="Normal"/>
    <w:link w:val="TypedudocumentChar"/>
    <w:pPr>
      <w:spacing w:before="360"/>
      <w:jc w:val="center"/>
    </w:pPr>
    <w:rPr>
      <w:rFonts w:eastAsiaTheme="minorHAnsi"/>
      <w:b/>
      <w:szCs w:val="22"/>
      <w:lang w:eastAsia="en-US"/>
    </w:rPr>
  </w:style>
  <w:style w:type="paragraph" w:customStyle="1" w:styleId="Titreobjet">
    <w:name w:val="Titre objet"/>
    <w:basedOn w:val="Normal"/>
    <w:next w:val="Normal"/>
    <w:pPr>
      <w:spacing w:before="360" w:after="360"/>
      <w:jc w:val="center"/>
    </w:pPr>
    <w:rPr>
      <w:rFonts w:eastAsiaTheme="minorHAnsi"/>
      <w:b/>
      <w:szCs w:val="22"/>
      <w:lang w:eastAsia="en-US"/>
    </w:rPr>
  </w:style>
  <w:style w:type="paragraph" w:customStyle="1" w:styleId="Accompagnant">
    <w:name w:val="Accompagnant"/>
    <w:basedOn w:val="Normal"/>
    <w:next w:val="Normal"/>
    <w:pPr>
      <w:spacing w:after="240"/>
      <w:jc w:val="center"/>
    </w:pPr>
    <w:rPr>
      <w:rFonts w:eastAsiaTheme="minorHAnsi"/>
      <w:b/>
      <w:i/>
      <w:szCs w:val="22"/>
      <w:lang w:eastAsia="en-US"/>
    </w:rPr>
  </w:style>
  <w:style w:type="paragraph" w:customStyle="1" w:styleId="Typeacteprincipal">
    <w:name w:val="Type acte principal"/>
    <w:basedOn w:val="Normal"/>
    <w:next w:val="Normal"/>
    <w:pPr>
      <w:spacing w:after="240"/>
      <w:jc w:val="center"/>
    </w:pPr>
    <w:rPr>
      <w:rFonts w:eastAsiaTheme="minorHAnsi"/>
      <w:b/>
      <w:szCs w:val="22"/>
      <w:lang w:eastAsia="en-US"/>
    </w:rPr>
  </w:style>
  <w:style w:type="paragraph" w:customStyle="1" w:styleId="Objetacteprincipal">
    <w:name w:val="Objet acte principal"/>
    <w:basedOn w:val="Normal"/>
    <w:next w:val="Normal"/>
    <w:pPr>
      <w:spacing w:after="360"/>
      <w:jc w:val="center"/>
    </w:pPr>
    <w:rPr>
      <w:rFonts w:eastAsiaTheme="minorHAnsi"/>
      <w:b/>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TypedudocumentChar">
    <w:name w:val="Type du document Char"/>
    <w:basedOn w:val="DefaultParagraphFont"/>
    <w:link w:val="Typedudocument"/>
    <w:rPr>
      <w:rFonts w:ascii="Times New Roman" w:hAnsi="Times New Roman" w:cs="Times New Roman"/>
      <w:b/>
      <w:sz w:val="24"/>
    </w:rPr>
  </w:style>
  <w:style w:type="character" w:customStyle="1" w:styleId="FooterCoverPageChar">
    <w:name w:val="Footer Cover Page Char"/>
    <w:basedOn w:val="TypedudocumentChar"/>
    <w:link w:val="FooterCoverPage"/>
    <w:rPr>
      <w:rFonts w:ascii="Times New Roman" w:eastAsia="Times New Roman" w:hAnsi="Times New Roman" w:cs="Times New Roman"/>
      <w:b w:val="0"/>
      <w:sz w:val="24"/>
      <w:szCs w:val="24"/>
      <w:lang w:eastAsia="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TypedudocumentChar"/>
    <w:link w:val="HeaderCoverPage"/>
    <w:rPr>
      <w:rFonts w:ascii="Times New Roman" w:eastAsia="Times New Roman" w:hAnsi="Times New Roman" w:cs="Times New Roman"/>
      <w:b w:val="0"/>
      <w:sz w:val="24"/>
      <w:szCs w:val="24"/>
      <w:lang w:eastAsia="en-GB"/>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GB"/>
    </w:rPr>
  </w:style>
  <w:style w:type="paragraph" w:styleId="ListParagraph">
    <w:name w:val="List Paragraph"/>
    <w:aliases w:val="1st level - Bullet List Paragraph,Lettre d'introduction,Normal bullet 2,Bullet list,Listenabsatz1,OM numbered bullets,Table of contents numbered,F5 List Paragraph,Numbered List,Paragraph,Bullet EY,List Paragraph11,Normal bullet 21,Nad"/>
    <w:basedOn w:val="Normal"/>
    <w:link w:val="ListParagraphChar"/>
    <w:uiPriority w:val="34"/>
    <w:qFormat/>
    <w:pPr>
      <w:spacing w:after="240"/>
      <w:ind w:left="720"/>
      <w:contextualSpacing/>
      <w:jc w:val="both"/>
    </w:pPr>
    <w:rPr>
      <w:szCs w:val="20"/>
      <w:lang w:eastAsia="en-US"/>
    </w:rPr>
  </w:style>
  <w:style w:type="character" w:styleId="FootnoteReference">
    <w:name w:val="footnote reference"/>
    <w:aliases w:val="Footnote Reference Superscript,Footnote symbol,Voetnootverwijzing,Times 10 Point,Exposant 3 Point,Footnote Reference Number,Footnote reference number,Ref,de nota al pie,note TESI,SUPERS,EN Footnote Reference,FR,E...,nota de rodapé,fr"/>
    <w:basedOn w:val="DefaultParagraphFont"/>
    <w:link w:val="CharCharChar1"/>
    <w:uiPriority w:val="99"/>
    <w:unhideWhenUsed/>
    <w:qFormat/>
    <w:rPr>
      <w:vertAlign w:val="superscript"/>
    </w:rPr>
  </w:style>
  <w:style w:type="character" w:customStyle="1" w:styleId="ListParagraphChar">
    <w:name w:val="List Paragraph Char"/>
    <w:aliases w:val="1st level - Bullet List Paragraph Char,Lettre d'introduction Char,Normal bullet 2 Char,Bullet list Char,Listenabsatz1 Char,OM numbered bullets Char,Table of contents numbered Char,F5 List Paragraph Char,Numbered List Char,Nad Char"/>
    <w:basedOn w:val="DefaultParagraphFont"/>
    <w:link w:val="ListParagraph"/>
    <w:uiPriority w:val="34"/>
    <w:rPr>
      <w:rFonts w:ascii="Times New Roman" w:eastAsia="Times New Roman" w:hAnsi="Times New Roman" w:cs="Times New Roman"/>
      <w:sz w:val="24"/>
      <w:szCs w:val="20"/>
    </w:rPr>
  </w:style>
  <w:style w:type="paragraph" w:customStyle="1" w:styleId="CharCharChar1">
    <w:name w:val="Char Char Char1"/>
    <w:basedOn w:val="Normal"/>
    <w:link w:val="FootnoteReference"/>
    <w:uiPriority w:val="99"/>
    <w:pPr>
      <w:spacing w:after="160" w:line="240" w:lineRule="exact"/>
    </w:pPr>
    <w:rPr>
      <w:rFonts w:asciiTheme="minorHAnsi" w:eastAsiaTheme="minorHAnsi" w:hAnsiTheme="minorHAnsi" w:cstheme="minorBidi"/>
      <w:sz w:val="22"/>
      <w:szCs w:val="22"/>
      <w:vertAlign w:val="superscript"/>
      <w:lang w:eastAsia="en-US"/>
    </w:rPr>
  </w:style>
  <w:style w:type="character" w:styleId="Strong">
    <w:name w:val="Strong"/>
    <w:basedOn w:val="DefaultParagraphFont"/>
    <w:uiPriority w:val="22"/>
    <w:qFormat/>
    <w:rPr>
      <w:b/>
      <w:bC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60" w:line="240" w:lineRule="exact"/>
      <w:jc w:val="both"/>
    </w:pPr>
    <w:rPr>
      <w:sz w:val="20"/>
      <w:szCs w:val="20"/>
      <w:vertAlign w:val="superscript"/>
    </w:rPr>
  </w:style>
  <w:style w:type="table" w:styleId="TableGrid1">
    <w:name w:val="Table Grid 1"/>
    <w:basedOn w:val="TableNormal"/>
    <w:unhideWhenUsed/>
    <w:pPr>
      <w:spacing w:after="240" w:line="240" w:lineRule="auto"/>
      <w:jc w:val="both"/>
    </w:pPr>
    <w:rPr>
      <w:rFonts w:ascii="Times New Roman" w:eastAsia="Times New Roman" w:hAnsi="Times New Roman" w:cs="Times New Roman"/>
      <w:sz w:val="20"/>
      <w:szCs w:val="20"/>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val="nl-BE" w:eastAsia="nl-BE"/>
    </w:rPr>
    <w:tblPr/>
  </w:style>
  <w:style w:type="character" w:styleId="CommentReference">
    <w:name w:val="annotation reference"/>
    <w:basedOn w:val="DefaultParagraphFont"/>
    <w:uiPriority w:val="99"/>
    <w:unhideWhenUsed/>
    <w:rPr>
      <w:sz w:val="16"/>
      <w:szCs w:val="16"/>
    </w:rPr>
  </w:style>
  <w:style w:type="table" w:styleId="TableGrid">
    <w:name w:val="Table Grid"/>
    <w:aliases w:val="Document Table"/>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Caption1 Char Char Char Char Char Char Char Char Tegn Tegn Tegn Tegn Tegn Char,Caption1 Char Char Char Char Char Char Char Char Tegn Tegn Tegn Char,Caption1 Char Char Char Char Char Char Char Char Tegn Tegn Char, Char Char Char Char"/>
    <w:link w:val="Caption"/>
    <w:uiPriority w:val="35"/>
    <w:rPr>
      <w:rFonts w:ascii="Times New Roman" w:eastAsia="Times New Roman" w:hAnsi="Times New Roman" w:cs="Times New Roman"/>
      <w:b/>
      <w:sz w:val="24"/>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NormalWeb">
    <w:name w:val="Normal (Web)"/>
    <w:basedOn w:val="Normal"/>
    <w:uiPriority w:val="99"/>
    <w:unhideWhenUsed/>
    <w:pPr>
      <w:spacing w:before="100" w:beforeAutospacing="1" w:after="100" w:afterAutospacing="1"/>
    </w:pPr>
    <w:rPr>
      <w:rFonts w:eastAsiaTheme="minorEastAsia"/>
    </w:rPr>
  </w:style>
  <w:style w:type="table" w:styleId="LightList-Accent1">
    <w:name w:val="Light List Accent 1"/>
    <w:basedOn w:val="TableNormal"/>
    <w:uiPriority w:val="61"/>
    <w:pPr>
      <w:spacing w:after="0" w:line="240" w:lineRule="auto"/>
    </w:pPr>
    <w:rPr>
      <w:rFonts w:eastAsiaTheme="minorEastAsia"/>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Cuadrculaclara-nfasis1512">
    <w:name w:val="Cuadrícula clara - Énfasis 1512"/>
    <w:basedOn w:val="TableNormal"/>
    <w:uiPriority w:val="62"/>
    <w:pPr>
      <w:spacing w:after="0" w:line="240" w:lineRule="auto"/>
      <w:jc w:val="center"/>
    </w:pPr>
    <w:rPr>
      <w:rFonts w:ascii="Arial" w:hAnsi="Arial"/>
      <w:sz w:val="18"/>
      <w:lang w:val="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vAlign w:val="center"/>
    </w:tcPr>
    <w:tblStylePr w:type="firstRow">
      <w:pPr>
        <w:spacing w:before="0" w:after="0" w:line="240" w:lineRule="auto"/>
        <w:jc w:val="center"/>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jc w:val="center"/>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pPr>
        <w:jc w:val="center"/>
      </w:pPr>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pPr>
        <w:jc w:val="center"/>
      </w:p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ource">
    <w:name w:val="Source"/>
    <w:basedOn w:val="Normal"/>
    <w:next w:val="Normal"/>
    <w:link w:val="SourceChar"/>
    <w:qFormat/>
    <w:pPr>
      <w:spacing w:after="360"/>
      <w:jc w:val="both"/>
    </w:pPr>
    <w:rPr>
      <w:rFonts w:asciiTheme="minorHAnsi" w:eastAsiaTheme="minorHAnsi" w:hAnsiTheme="minorHAnsi" w:cstheme="minorBidi"/>
      <w:color w:val="1F497D" w:themeColor="text2"/>
      <w:sz w:val="18"/>
      <w:szCs w:val="22"/>
      <w:lang w:eastAsia="en-US"/>
    </w:rPr>
  </w:style>
  <w:style w:type="character" w:customStyle="1" w:styleId="SourceChar">
    <w:name w:val="Source Char"/>
    <w:basedOn w:val="DefaultParagraphFont"/>
    <w:link w:val="Source"/>
    <w:rPr>
      <w:color w:val="1F497D" w:themeColor="text2"/>
      <w:sz w:val="18"/>
    </w:rPr>
  </w:style>
  <w:style w:type="character" w:customStyle="1" w:styleId="A10">
    <w:name w:val="A10"/>
    <w:basedOn w:val="DefaultParagraphFont"/>
    <w:uiPriority w:val="99"/>
    <w:rPr>
      <w:rFonts w:ascii="EC Square Sans Pro" w:hAnsi="EC Square Sans Pro" w:hint="default"/>
      <w:color w:val="000000"/>
    </w:rPr>
  </w:style>
  <w:style w:type="paragraph" w:customStyle="1" w:styleId="normaltext">
    <w:name w:val="normal text"/>
    <w:basedOn w:val="Normal"/>
    <w:qFormat/>
    <w:pPr>
      <w:spacing w:before="120" w:after="120" w:line="264" w:lineRule="auto"/>
      <w:jc w:val="both"/>
    </w:pPr>
    <w:rPr>
      <w:rFonts w:ascii="Arial" w:eastAsiaTheme="minorEastAsia" w:hAnsi="Arial" w:cstheme="minorBidi"/>
      <w:sz w:val="20"/>
      <w:lang w:val="en-US" w:eastAsia="en-US"/>
    </w:rPr>
  </w:style>
  <w:style w:type="paragraph" w:customStyle="1" w:styleId="source0">
    <w:name w:val="source"/>
    <w:basedOn w:val="Normal"/>
    <w:link w:val="sourceChar0"/>
    <w:qFormat/>
    <w:pPr>
      <w:spacing w:after="200" w:line="276" w:lineRule="auto"/>
      <w:jc w:val="both"/>
    </w:pPr>
    <w:rPr>
      <w:rFonts w:eastAsiaTheme="minorHAnsi" w:cstheme="minorBidi"/>
      <w:sz w:val="20"/>
      <w:szCs w:val="22"/>
      <w:lang w:eastAsia="en-US"/>
    </w:rPr>
  </w:style>
  <w:style w:type="paragraph" w:customStyle="1" w:styleId="Caption1">
    <w:name w:val="Caption1"/>
    <w:basedOn w:val="Caption"/>
    <w:link w:val="captionChar0"/>
    <w:qFormat/>
    <w:pPr>
      <w:spacing w:before="0" w:after="200"/>
    </w:pPr>
    <w:rPr>
      <w:rFonts w:eastAsiaTheme="minorHAnsi" w:cstheme="minorBidi"/>
      <w:bCs/>
      <w:color w:val="4F81BD" w:themeColor="accent1"/>
      <w:sz w:val="18"/>
      <w:szCs w:val="18"/>
    </w:rPr>
  </w:style>
  <w:style w:type="character" w:customStyle="1" w:styleId="sourceChar0">
    <w:name w:val="source Char"/>
    <w:basedOn w:val="DefaultParagraphFont"/>
    <w:link w:val="source0"/>
    <w:rPr>
      <w:rFonts w:ascii="Times New Roman" w:hAnsi="Times New Roman"/>
      <w:sz w:val="20"/>
    </w:rPr>
  </w:style>
  <w:style w:type="character" w:customStyle="1" w:styleId="captionChar0">
    <w:name w:val="caption Char"/>
    <w:basedOn w:val="DefaultParagraphFont"/>
    <w:link w:val="Caption1"/>
    <w:rPr>
      <w:rFonts w:ascii="Times New Roman" w:hAnsi="Times New Roman"/>
      <w:b/>
      <w:bCs/>
      <w:color w:val="4F81BD" w:themeColor="accent1"/>
      <w:sz w:val="18"/>
      <w:szCs w:val="18"/>
    </w:rPr>
  </w:style>
  <w:style w:type="paragraph" w:customStyle="1" w:styleId="RTDBulletpoint1">
    <w:name w:val="RTD Bullet point1"/>
    <w:basedOn w:val="NormalIndent"/>
    <w:link w:val="RTDBulletpoint1Char"/>
    <w:qFormat/>
    <w:pPr>
      <w:numPr>
        <w:numId w:val="20"/>
      </w:numPr>
      <w:ind w:left="284" w:hanging="284"/>
    </w:pPr>
    <w:rPr>
      <w:rFonts w:ascii="Verdana" w:hAnsi="Verdana"/>
      <w:sz w:val="20"/>
      <w:lang w:val="en-US" w:eastAsia="nl-BE"/>
    </w:rPr>
  </w:style>
  <w:style w:type="character" w:customStyle="1" w:styleId="RTDBulletpoint1Char">
    <w:name w:val="RTD Bullet point1 Char"/>
    <w:basedOn w:val="DefaultParagraphFont"/>
    <w:link w:val="RTDBulletpoint1"/>
    <w:rPr>
      <w:rFonts w:ascii="Verdana" w:eastAsia="Times New Roman" w:hAnsi="Verdana" w:cs="Times New Roman"/>
      <w:sz w:val="20"/>
      <w:szCs w:val="20"/>
      <w:lang w:val="en-US" w:eastAsia="nl-BE"/>
    </w:rPr>
  </w:style>
  <w:style w:type="paragraph" w:customStyle="1" w:styleId="RTDBody">
    <w:name w:val="RTD Body"/>
    <w:basedOn w:val="Normal"/>
    <w:link w:val="RTDBodyChar"/>
    <w:qFormat/>
    <w:pPr>
      <w:spacing w:after="240"/>
    </w:pPr>
    <w:rPr>
      <w:rFonts w:ascii="Verdana" w:hAnsi="Verdana"/>
      <w:sz w:val="20"/>
      <w:szCs w:val="18"/>
      <w:lang w:val="nl-BE" w:eastAsia="nl-BE"/>
    </w:rPr>
  </w:style>
  <w:style w:type="character" w:customStyle="1" w:styleId="RTDBodyChar">
    <w:name w:val="RTD Body Char"/>
    <w:link w:val="RTDBody"/>
    <w:rPr>
      <w:rFonts w:ascii="Verdana" w:eastAsia="Times New Roman" w:hAnsi="Verdana" w:cs="Times New Roman"/>
      <w:sz w:val="20"/>
      <w:szCs w:val="18"/>
      <w:lang w:val="nl-BE" w:eastAsia="nl-BE"/>
    </w:rPr>
  </w:style>
  <w:style w:type="paragraph" w:customStyle="1" w:styleId="RTDHeading02">
    <w:name w:val="RTD_Heading_02"/>
    <w:basedOn w:val="Normal"/>
    <w:qFormat/>
    <w:pPr>
      <w:numPr>
        <w:ilvl w:val="1"/>
        <w:numId w:val="21"/>
      </w:numPr>
      <w:spacing w:after="240" w:line="276" w:lineRule="auto"/>
      <w:ind w:left="1080"/>
      <w:jc w:val="both"/>
    </w:pPr>
    <w:rPr>
      <w:rFonts w:ascii="Verdana" w:hAnsi="Verdana"/>
      <w:b/>
      <w:sz w:val="20"/>
      <w:szCs w:val="18"/>
      <w:lang w:val="it-IT" w:eastAsia="nl-BE"/>
    </w:rPr>
  </w:style>
  <w:style w:type="paragraph" w:customStyle="1" w:styleId="RTDHeading03">
    <w:name w:val="RTD_Heading_03"/>
    <w:basedOn w:val="RTDBody"/>
    <w:next w:val="ListParagraph"/>
    <w:link w:val="RTDHeading03Char"/>
    <w:qFormat/>
    <w:pPr>
      <w:numPr>
        <w:ilvl w:val="2"/>
        <w:numId w:val="21"/>
      </w:numPr>
      <w:ind w:left="1800"/>
      <w:jc w:val="both"/>
    </w:pPr>
    <w:rPr>
      <w:i/>
      <w:lang w:val="it-IT"/>
    </w:rPr>
  </w:style>
  <w:style w:type="numbering" w:customStyle="1" w:styleId="RTDList">
    <w:name w:val="RTD List"/>
    <w:uiPriority w:val="99"/>
    <w:pPr>
      <w:numPr>
        <w:numId w:val="23"/>
      </w:numPr>
    </w:pPr>
  </w:style>
  <w:style w:type="paragraph" w:customStyle="1" w:styleId="Titre4">
    <w:name w:val="Titre 4"/>
    <w:basedOn w:val="Normal"/>
    <w:pPr>
      <w:numPr>
        <w:ilvl w:val="3"/>
        <w:numId w:val="21"/>
      </w:numPr>
      <w:spacing w:after="240"/>
      <w:jc w:val="both"/>
    </w:pPr>
    <w:rPr>
      <w:rFonts w:ascii="Verdana" w:hAnsi="Verdana"/>
      <w:sz w:val="18"/>
      <w:szCs w:val="18"/>
      <w:lang w:val="nl-BE" w:eastAsia="nl-BE"/>
    </w:rPr>
  </w:style>
  <w:style w:type="character" w:customStyle="1" w:styleId="RTDHeading03Char">
    <w:name w:val="RTD_Heading_03 Char"/>
    <w:basedOn w:val="RTDBodyChar"/>
    <w:link w:val="RTDHeading03"/>
    <w:rPr>
      <w:rFonts w:ascii="Verdana" w:eastAsia="Times New Roman" w:hAnsi="Verdana" w:cs="Times New Roman"/>
      <w:i/>
      <w:sz w:val="20"/>
      <w:szCs w:val="18"/>
      <w:lang w:val="it-IT" w:eastAsia="nl-BE"/>
    </w:rPr>
  </w:style>
  <w:style w:type="table" w:styleId="LightShading-Accent1">
    <w:name w:val="Light Shading Accent 1"/>
    <w:basedOn w:val="TableNormal"/>
    <w:uiPriority w:val="60"/>
    <w:pPr>
      <w:spacing w:after="0" w:line="240" w:lineRule="auto"/>
    </w:pPr>
    <w:rPr>
      <w:rFonts w:ascii="Times New Roman" w:eastAsia="Times New Roman" w:hAnsi="Times New Roman" w:cs="Times New Roman"/>
      <w:color w:val="365F91" w:themeColor="accent1" w:themeShade="BF"/>
      <w:sz w:val="20"/>
      <w:szCs w:val="20"/>
      <w:lang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
    <w:name w:val="Table"/>
    <w:basedOn w:val="Normal"/>
    <w:next w:val="BodyText"/>
    <w:link w:val="TableChar"/>
    <w:uiPriority w:val="11"/>
    <w:qFormat/>
    <w:pPr>
      <w:keepNext/>
      <w:tabs>
        <w:tab w:val="num" w:pos="851"/>
      </w:tabs>
      <w:spacing w:before="120" w:after="120" w:line="240" w:lineRule="atLeast"/>
      <w:ind w:left="1928" w:hanging="1077"/>
    </w:pPr>
    <w:rPr>
      <w:rFonts w:ascii="Calibri" w:eastAsiaTheme="minorHAnsi" w:hAnsi="Calibri"/>
      <w:b/>
      <w:color w:val="0067AC"/>
      <w:sz w:val="20"/>
      <w:lang w:eastAsia="en-US"/>
    </w:rPr>
  </w:style>
  <w:style w:type="character" w:customStyle="1" w:styleId="TableChar">
    <w:name w:val="Table Char"/>
    <w:basedOn w:val="DefaultParagraphFont"/>
    <w:link w:val="Table"/>
    <w:uiPriority w:val="11"/>
    <w:rPr>
      <w:rFonts w:ascii="Calibri" w:hAnsi="Calibri" w:cs="Times New Roman"/>
      <w:b/>
      <w:color w:val="0067AC"/>
      <w:sz w:val="20"/>
      <w:szCs w:val="24"/>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TextChar">
    <w:name w:val="Text Char"/>
    <w:basedOn w:val="DefaultParagraphFont"/>
    <w:locked/>
    <w:rPr>
      <w:rFonts w:eastAsiaTheme="minorEastAsia"/>
      <w:noProof/>
      <w:sz w:val="24"/>
      <w:lang w:eastAsia="lt-LT"/>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character" w:styleId="SubtleEmphasis">
    <w:name w:val="Subtle Emphasis"/>
    <w:basedOn w:val="DefaultParagraphFont"/>
    <w:uiPriority w:val="19"/>
    <w:qFormat/>
    <w:rPr>
      <w:i/>
      <w:iCs/>
      <w:color w:val="404040" w:themeColor="text1" w:themeTint="BF"/>
    </w:rPr>
  </w:style>
  <w:style w:type="table" w:styleId="LightGrid-Accent1">
    <w:name w:val="Light Grid Accent 1"/>
    <w:basedOn w:val="TableNormal"/>
    <w:uiPriority w:val="62"/>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BodyTextNoSpace">
    <w:name w:val="Body TextNoSpace"/>
    <w:basedOn w:val="BodyText"/>
    <w:uiPriority w:val="1"/>
    <w:qFormat/>
    <w:pPr>
      <w:spacing w:after="0" w:line="240" w:lineRule="atLeast"/>
      <w:ind w:left="851"/>
      <w:jc w:val="left"/>
    </w:pPr>
    <w:rPr>
      <w:rFonts w:ascii="Arial" w:eastAsiaTheme="minorHAnsi" w:hAnsi="Arial"/>
      <w:sz w:val="20"/>
      <w:szCs w:val="24"/>
    </w:rPr>
  </w:style>
  <w:style w:type="numbering" w:customStyle="1" w:styleId="NoList1">
    <w:name w:val="No List1"/>
    <w:next w:val="NoList"/>
    <w:uiPriority w:val="99"/>
    <w:semiHidden/>
    <w:unhideWhenUsed/>
  </w:style>
  <w:style w:type="table" w:customStyle="1" w:styleId="DocumentTable1">
    <w:name w:val="Document Table1"/>
    <w:basedOn w:val="TableNormal"/>
    <w:next w:val="TableGrid"/>
    <w:uiPriority w:val="59"/>
    <w:pPr>
      <w:spacing w:after="0" w:line="240" w:lineRule="auto"/>
    </w:pPr>
    <w:rPr>
      <w:rFonts w:ascii="Calibri" w:eastAsia="Times New Roman"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pPr>
      <w:spacing w:line="181" w:lineRule="atLeast"/>
    </w:pPr>
    <w:rPr>
      <w:rFonts w:ascii="HANJD X+ Gotham" w:eastAsia="Times New Roman" w:hAnsi="HANJD X+ Gotham"/>
      <w:color w:val="auto"/>
      <w:lang w:eastAsia="en-GB"/>
    </w:rPr>
  </w:style>
  <w:style w:type="paragraph" w:customStyle="1" w:styleId="f13">
    <w:name w:val="f13"/>
    <w:basedOn w:val="Normal"/>
    <w:pPr>
      <w:spacing w:before="100" w:beforeAutospacing="1" w:after="100" w:afterAutospacing="1"/>
    </w:pPr>
  </w:style>
  <w:style w:type="paragraph" w:customStyle="1" w:styleId="Tableau">
    <w:name w:val="Tableau"/>
    <w:basedOn w:val="Normal"/>
    <w:next w:val="Normal"/>
    <w:pPr>
      <w:keepNext/>
      <w:keepLines/>
      <w:spacing w:after="40" w:line="290" w:lineRule="atLeast"/>
    </w:pPr>
    <w:rPr>
      <w:rFonts w:ascii="Verdana" w:hAnsi="Verdana"/>
      <w:sz w:val="17"/>
      <w:lang w:eastAsia="en-US"/>
    </w:rPr>
  </w:style>
  <w:style w:type="paragraph" w:customStyle="1" w:styleId="TitreTableau">
    <w:name w:val="Titre Tableau"/>
    <w:basedOn w:val="Caption"/>
    <w:next w:val="Tableau"/>
    <w:link w:val="TitreTableauChar"/>
    <w:pPr>
      <w:keepNext/>
      <w:keepLines/>
      <w:tabs>
        <w:tab w:val="left" w:pos="1276"/>
      </w:tabs>
      <w:spacing w:line="290" w:lineRule="atLeast"/>
      <w:ind w:left="1276" w:hanging="1276"/>
    </w:pPr>
    <w:rPr>
      <w:rFonts w:ascii="Verdana" w:hAnsi="Verdana"/>
      <w:bCs/>
      <w:sz w:val="20"/>
      <w:szCs w:val="22"/>
    </w:rPr>
  </w:style>
  <w:style w:type="character" w:customStyle="1" w:styleId="TitreTableauChar">
    <w:name w:val="Titre Tableau Char"/>
    <w:link w:val="TitreTableau"/>
    <w:locked/>
    <w:rPr>
      <w:rFonts w:ascii="Verdana" w:eastAsia="Times New Roman" w:hAnsi="Verdana" w:cs="Times New Roman"/>
      <w:b/>
      <w:bCs/>
      <w:sz w:val="20"/>
    </w:rPr>
  </w:style>
  <w:style w:type="table" w:customStyle="1" w:styleId="HelleListe-Akzent11">
    <w:name w:val="Helle Liste - Akzent 11"/>
    <w:basedOn w:val="TableNormal"/>
    <w:uiPriority w:val="61"/>
    <w:pPr>
      <w:spacing w:after="0" w:line="240" w:lineRule="auto"/>
    </w:pPr>
    <w:rPr>
      <w:rFonts w:ascii="Calibri" w:eastAsia="Times New Roman" w:hAnsi="Calibri" w:cs="Times New Roman"/>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odyA">
    <w:name w:val="Body A"/>
    <w:pPr>
      <w:spacing w:after="240" w:line="240" w:lineRule="auto"/>
      <w:jc w:val="both"/>
    </w:pPr>
    <w:rPr>
      <w:rFonts w:ascii="Times New Roman" w:eastAsia="Arial Unicode MS" w:hAnsi="Times New Roman" w:cs="Arial Unicode MS"/>
      <w:color w:val="000000"/>
      <w:sz w:val="24"/>
      <w:szCs w:val="24"/>
      <w:u w:color="000000"/>
      <w:lang w:val="en-US" w:eastAsia="en-GB"/>
    </w:rPr>
  </w:style>
  <w:style w:type="table" w:customStyle="1" w:styleId="DocumentTable2">
    <w:name w:val="Document Table2"/>
    <w:basedOn w:val="TableNormal"/>
    <w:next w:val="TableGrid"/>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DocumentTable3">
    <w:name w:val="Document Table3"/>
    <w:basedOn w:val="TableNormal"/>
    <w:next w:val="TableGrid"/>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customStyle="1" w:styleId="FactsheetBody">
    <w:name w:val="Factsheet Body"/>
    <w:basedOn w:val="Normal"/>
    <w:link w:val="FactsheetBodyChar"/>
    <w:qFormat/>
    <w:pPr>
      <w:spacing w:after="200" w:line="276" w:lineRule="auto"/>
      <w:ind w:left="-567"/>
      <w:jc w:val="both"/>
    </w:pPr>
    <w:rPr>
      <w:rFonts w:ascii="EC Square Sans Pro" w:eastAsia="Calibri" w:hAnsi="EC Square Sans Pro"/>
      <w:sz w:val="22"/>
      <w:szCs w:val="22"/>
      <w:lang w:eastAsia="en-US"/>
    </w:rPr>
  </w:style>
  <w:style w:type="character" w:customStyle="1" w:styleId="FactsheetBodyChar">
    <w:name w:val="Factsheet Body Char"/>
    <w:link w:val="FactsheetBody"/>
    <w:rPr>
      <w:rFonts w:ascii="EC Square Sans Pro" w:eastAsia="Calibri" w:hAnsi="EC Square Sans Pro" w:cs="Times New Roman"/>
    </w:rPr>
  </w:style>
  <w:style w:type="table" w:customStyle="1" w:styleId="DocumentTable4">
    <w:name w:val="Document Table4"/>
    <w:basedOn w:val="TableNormal"/>
    <w:next w:val="TableGrid"/>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customStyle="1" w:styleId="CM1">
    <w:name w:val="CM1"/>
    <w:basedOn w:val="Normal"/>
    <w:next w:val="Normal"/>
    <w:uiPriority w:val="99"/>
    <w:pPr>
      <w:autoSpaceDE w:val="0"/>
      <w:autoSpaceDN w:val="0"/>
      <w:adjustRightInd w:val="0"/>
    </w:pPr>
    <w:rPr>
      <w:rFonts w:ascii="EUAlbertina" w:eastAsia="Calibri" w:hAnsi="EUAlbertina"/>
    </w:rPr>
  </w:style>
  <w:style w:type="paragraph" w:customStyle="1" w:styleId="CM3">
    <w:name w:val="CM3"/>
    <w:basedOn w:val="Default"/>
    <w:next w:val="Default"/>
    <w:uiPriority w:val="99"/>
    <w:rPr>
      <w:rFonts w:ascii="EUAlbertina" w:eastAsia="Times New Roman" w:hAnsi="EUAlbertina"/>
      <w:color w:val="auto"/>
      <w:lang w:eastAsia="en-GB"/>
    </w:rPr>
  </w:style>
  <w:style w:type="table" w:customStyle="1" w:styleId="DocumentTable41">
    <w:name w:val="Document Table41"/>
    <w:basedOn w:val="TableNormal"/>
    <w:next w:val="TableGrid"/>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Cuadrculaclara-nfasis11">
    <w:name w:val="Cuadrícula clara - Énfasis 11"/>
    <w:basedOn w:val="TableNormal"/>
    <w:uiPriority w:val="62"/>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None">
    <w:name w:val="None"/>
  </w:style>
  <w:style w:type="paragraph" w:customStyle="1" w:styleId="Title1">
    <w:name w:val="Title 1"/>
    <w:basedOn w:val="Normal"/>
    <w:next w:val="Normal"/>
    <w:qFormat/>
    <w:pPr>
      <w:numPr>
        <w:numId w:val="22"/>
      </w:numPr>
      <w:tabs>
        <w:tab w:val="num" w:pos="360"/>
      </w:tabs>
      <w:spacing w:before="240" w:after="240"/>
      <w:outlineLvl w:val="0"/>
    </w:pPr>
    <w:rPr>
      <w:rFonts w:ascii="Verdana" w:eastAsiaTheme="minorHAnsi" w:hAnsi="Verdana" w:cstheme="minorBidi"/>
      <w:b/>
      <w:caps/>
      <w:sz w:val="22"/>
      <w:szCs w:val="22"/>
      <w:lang w:eastAsia="en-US"/>
    </w:rPr>
  </w:style>
  <w:style w:type="paragraph" w:customStyle="1" w:styleId="Title2">
    <w:name w:val="Title 2"/>
    <w:basedOn w:val="Title1"/>
    <w:next w:val="Normal"/>
    <w:qFormat/>
    <w:pPr>
      <w:numPr>
        <w:ilvl w:val="2"/>
      </w:numPr>
      <w:tabs>
        <w:tab w:val="num" w:pos="360"/>
      </w:tabs>
      <w:outlineLvl w:val="1"/>
    </w:pPr>
    <w:rPr>
      <w:i/>
      <w:caps w:val="0"/>
      <w:sz w:val="20"/>
    </w:rPr>
  </w:style>
  <w:style w:type="table" w:customStyle="1" w:styleId="DocumentTable5">
    <w:name w:val="Document Table5"/>
    <w:basedOn w:val="TableNormal"/>
    <w:next w:val="TableGrid"/>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styleId="Emphasis">
    <w:name w:val="Emphasis"/>
    <w:basedOn w:val="DefaultParagraphFont"/>
    <w:uiPriority w:val="20"/>
    <w:qFormat/>
    <w:rPr>
      <w:i/>
      <w:iCs/>
    </w:rPr>
  </w:style>
  <w:style w:type="character" w:customStyle="1" w:styleId="tgc">
    <w:name w:val="_tgc"/>
    <w:basedOn w:val="DefaultParagraphFont"/>
  </w:style>
  <w:style w:type="paragraph" w:customStyle="1" w:styleId="CM4">
    <w:name w:val="CM4"/>
    <w:basedOn w:val="Normal"/>
    <w:next w:val="Normal"/>
    <w:uiPriority w:val="99"/>
    <w:pPr>
      <w:autoSpaceDE w:val="0"/>
      <w:autoSpaceDN w:val="0"/>
      <w:adjustRightInd w:val="0"/>
    </w:pPr>
    <w:rPr>
      <w:rFonts w:ascii="EUAlbertina" w:hAnsi="EUAlbertina"/>
    </w:rPr>
  </w:style>
  <w:style w:type="character" w:customStyle="1" w:styleId="FootnoteTextChar1">
    <w:name w:val="Footnote Text Char1"/>
    <w:aliases w:val="fn Char1,FT Char1,ft Char1,SD Footnote Text Char1,Footnote Text AG Char1,Fußnotentextf Char1,Note de bas de page Car Car Char1,Note de bas de page Car Car Car Car Car Char1,Note de bas de page Car Car Car Car Char1,stile 1 Char1"/>
    <w:basedOn w:val="DefaultParagraphFont"/>
    <w:uiPriority w:val="99"/>
    <w:semiHidden/>
    <w:locked/>
    <w:rPr>
      <w:rFonts w:ascii="Arial" w:hAnsi="Arial" w:cs="Arial"/>
      <w:sz w:val="20"/>
      <w:szCs w:val="20"/>
      <w:lang w:val="en-US" w:eastAsia="en-US"/>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pPr>
      <w:spacing w:after="160" w:line="240" w:lineRule="exact"/>
      <w:jc w:val="both"/>
    </w:pPr>
    <w:rPr>
      <w:rFonts w:ascii="Arial" w:hAnsi="Arial" w:cs="Arial"/>
      <w:position w:val="6"/>
      <w:szCs w:val="20"/>
      <w:vertAlign w:val="superscript"/>
      <w:lang w:val="en-US" w:eastAsia="en-US"/>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Pr>
      <w:rFonts w:ascii="Arial" w:eastAsia="Times New Roman" w:hAnsi="Arial" w:cs="Arial"/>
      <w:vanish/>
      <w:sz w:val="16"/>
      <w:szCs w:val="16"/>
      <w:lang w:eastAsia="en-GB"/>
    </w:rPr>
  </w:style>
  <w:style w:type="paragraph" w:customStyle="1" w:styleId="Body">
    <w:name w:val="Body"/>
    <w:basedOn w:val="Normal"/>
    <w:link w:val="BodyChar"/>
    <w:qFormat/>
    <w:pPr>
      <w:spacing w:before="120" w:line="276" w:lineRule="auto"/>
      <w:jc w:val="both"/>
    </w:pPr>
    <w:rPr>
      <w:rFonts w:ascii="Verdana" w:hAnsi="Verdana"/>
      <w:sz w:val="20"/>
      <w:szCs w:val="20"/>
      <w:lang w:eastAsia="en-US"/>
    </w:rPr>
  </w:style>
  <w:style w:type="character" w:customStyle="1" w:styleId="BodyChar">
    <w:name w:val="Body Char"/>
    <w:link w:val="Body"/>
    <w:rPr>
      <w:rFonts w:ascii="Verdana" w:eastAsia="Times New Roman" w:hAnsi="Verdana" w:cs="Times New Roman"/>
      <w:sz w:val="20"/>
      <w:szCs w:val="20"/>
    </w:rPr>
  </w:style>
  <w:style w:type="paragraph" w:customStyle="1" w:styleId="PSParagraphTitle">
    <w:name w:val="PS_Paragraph_Title"/>
    <w:basedOn w:val="Normal"/>
    <w:link w:val="PSParagraphTitleChar"/>
    <w:qFormat/>
    <w:pPr>
      <w:spacing w:before="120" w:after="120"/>
      <w:jc w:val="both"/>
    </w:pPr>
    <w:rPr>
      <w:b/>
      <w:i/>
      <w:sz w:val="20"/>
      <w:szCs w:val="20"/>
    </w:rPr>
  </w:style>
  <w:style w:type="character" w:customStyle="1" w:styleId="PSParagraphTitleChar">
    <w:name w:val="PS_Paragraph_Title Char"/>
    <w:basedOn w:val="DefaultParagraphFont"/>
    <w:link w:val="PSParagraphTitle"/>
    <w:rPr>
      <w:rFonts w:ascii="Times New Roman" w:eastAsia="Times New Roman" w:hAnsi="Times New Roman" w:cs="Times New Roman"/>
      <w:b/>
      <w:i/>
      <w:sz w:val="20"/>
      <w:szCs w:val="20"/>
      <w:lang w:eastAsia="en-GB"/>
    </w:rPr>
  </w:style>
  <w:style w:type="paragraph" w:customStyle="1" w:styleId="PSNormal">
    <w:name w:val="PS_Normal"/>
    <w:basedOn w:val="Normal"/>
    <w:pPr>
      <w:jc w:val="both"/>
    </w:pPr>
    <w:rPr>
      <w:sz w:val="20"/>
      <w:szCs w:val="20"/>
    </w:rPr>
  </w:style>
  <w:style w:type="paragraph" w:customStyle="1" w:styleId="PStabletxtCenter">
    <w:name w:val="PS_table_txt_Center"/>
    <w:link w:val="PStabletxtCenterChar"/>
    <w:qFormat/>
    <w:pPr>
      <w:spacing w:after="0" w:line="240" w:lineRule="auto"/>
      <w:jc w:val="center"/>
    </w:pPr>
    <w:rPr>
      <w:rFonts w:ascii="Times New Roman" w:eastAsia="Times New Roman" w:hAnsi="Times New Roman" w:cs="Times New Roman"/>
      <w:sz w:val="18"/>
      <w:szCs w:val="20"/>
      <w:lang w:eastAsia="en-GB"/>
    </w:rPr>
  </w:style>
  <w:style w:type="character" w:customStyle="1" w:styleId="PStabletxtCenterChar">
    <w:name w:val="PS_table_txt_Center Char"/>
    <w:basedOn w:val="DefaultParagraphFont"/>
    <w:link w:val="PStabletxtCenter"/>
    <w:rPr>
      <w:rFonts w:ascii="Times New Roman" w:eastAsia="Times New Roman" w:hAnsi="Times New Roman" w:cs="Times New Roman"/>
      <w:sz w:val="18"/>
      <w:szCs w:val="20"/>
      <w:lang w:eastAsia="en-GB"/>
    </w:rPr>
  </w:style>
  <w:style w:type="character" w:customStyle="1" w:styleId="apple-converted-space">
    <w:name w:val="apple-converted-space"/>
    <w:basedOn w:val="DefaultParagraphFont"/>
  </w:style>
  <w:style w:type="paragraph" w:customStyle="1" w:styleId="xmsonormal">
    <w:name w:val="x_msonormal"/>
    <w:basedOn w:val="Normal"/>
    <w:pPr>
      <w:spacing w:before="100" w:beforeAutospacing="1" w:after="100" w:afterAutospacing="1"/>
    </w:pPr>
  </w:style>
  <w:style w:type="paragraph" w:customStyle="1" w:styleId="xmsoplaintext">
    <w:name w:val="x_msoplaintext"/>
    <w:basedOn w:val="Normal"/>
    <w:pPr>
      <w:spacing w:before="100" w:beforeAutospacing="1" w:after="100" w:afterAutospacing="1"/>
    </w:pPr>
  </w:style>
  <w:style w:type="character" w:styleId="BookTitle">
    <w:name w:val="Book Title"/>
    <w:aliases w:val="Recommendation"/>
    <w:autoRedefine/>
    <w:uiPriority w:val="33"/>
    <w:qFormat/>
    <w:rPr>
      <w:rFonts w:ascii="Verdana" w:hAnsi="Verdana" w:cs="Arial"/>
      <w:b/>
      <w:sz w:val="20"/>
    </w:rPr>
  </w:style>
  <w:style w:type="paragraph" w:customStyle="1" w:styleId="ListNumberTable">
    <w:name w:val="List Number Table"/>
    <w:basedOn w:val="Normal"/>
    <w:uiPriority w:val="99"/>
    <w:pPr>
      <w:numPr>
        <w:numId w:val="33"/>
      </w:numPr>
      <w:tabs>
        <w:tab w:val="clear" w:pos="567"/>
        <w:tab w:val="left" w:pos="284"/>
      </w:tabs>
      <w:overflowPunct w:val="0"/>
      <w:autoSpaceDE w:val="0"/>
      <w:autoSpaceDN w:val="0"/>
      <w:adjustRightInd w:val="0"/>
      <w:spacing w:before="120" w:after="120"/>
      <w:ind w:left="928" w:hanging="360"/>
      <w:jc w:val="both"/>
      <w:textAlignment w:val="baseline"/>
    </w:pPr>
    <w:rPr>
      <w:rFonts w:ascii="Arial" w:hAnsi="Arial" w:cs="Arial"/>
      <w:color w:val="FFFFFF"/>
      <w:sz w:val="20"/>
      <w:szCs w:val="20"/>
      <w:lang w:eastAsia="en-US"/>
    </w:rPr>
  </w:style>
  <w:style w:type="character" w:customStyle="1" w:styleId="CaptionChar1">
    <w:name w:val="Caption Char1"/>
    <w:aliases w:val="Tasks Char,Beschriftung Char1 Char1 Char,Beschriftung Char Char Char1 Char,Beschriftung Char1 Char Char Char,Beschriftung Char Char Char Char Char,Beschriftung Char Char1 Char Char,Beschriftung Char Char2 Char"/>
    <w:uiPriority w:val="35"/>
    <w:locked/>
    <w:rPr>
      <w:b/>
      <w:sz w:val="24"/>
    </w:rPr>
  </w:style>
  <w:style w:type="paragraph" w:customStyle="1" w:styleId="Declassification">
    <w:name w:val="Declassification"/>
    <w:basedOn w:val="Normal"/>
    <w:next w:val="Normal"/>
    <w:pPr>
      <w:jc w:val="both"/>
    </w:pPr>
    <w:rPr>
      <w:rFonts w:eastAsiaTheme="minorHAnsi"/>
      <w:szCs w:val="22"/>
      <w:lang w:eastAsia="en-US"/>
    </w:rPr>
  </w:style>
  <w:style w:type="paragraph" w:customStyle="1" w:styleId="HeaderLandscape">
    <w:name w:val="HeaderLandscape"/>
    <w:basedOn w:val="Normal"/>
    <w:pPr>
      <w:tabs>
        <w:tab w:val="center" w:pos="7285"/>
        <w:tab w:val="right" w:pos="14003"/>
      </w:tabs>
      <w:spacing w:after="120"/>
      <w:jc w:val="both"/>
    </w:pPr>
    <w:rPr>
      <w:rFonts w:eastAsiaTheme="minorHAnsi"/>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ind w:left="-567" w:right="-567"/>
    </w:pPr>
    <w:rPr>
      <w:rFonts w:eastAsiaTheme="minorHAnsi"/>
      <w:szCs w:val="22"/>
      <w:lang w:eastAsia="en-US"/>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35" w:qFormat="1"/>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Text1"/>
    <w:link w:val="Heading1Char"/>
    <w:qFormat/>
    <w:pPr>
      <w:keepNext/>
      <w:numPr>
        <w:numId w:val="3"/>
      </w:numPr>
      <w:spacing w:before="240" w:after="240"/>
      <w:jc w:val="both"/>
      <w:outlineLvl w:val="0"/>
    </w:pPr>
    <w:rPr>
      <w:b/>
      <w:smallCaps/>
      <w:szCs w:val="20"/>
      <w:lang w:eastAsia="en-US"/>
    </w:rPr>
  </w:style>
  <w:style w:type="paragraph" w:styleId="Heading2">
    <w:name w:val="heading 2"/>
    <w:basedOn w:val="Normal"/>
    <w:next w:val="Text2"/>
    <w:link w:val="Heading2Char"/>
    <w:qFormat/>
    <w:pPr>
      <w:keepNext/>
      <w:numPr>
        <w:ilvl w:val="1"/>
        <w:numId w:val="3"/>
      </w:numPr>
      <w:spacing w:after="240"/>
      <w:jc w:val="both"/>
      <w:outlineLvl w:val="1"/>
    </w:pPr>
    <w:rPr>
      <w:b/>
      <w:szCs w:val="20"/>
      <w:lang w:eastAsia="en-US"/>
    </w:rPr>
  </w:style>
  <w:style w:type="paragraph" w:styleId="Heading3">
    <w:name w:val="heading 3"/>
    <w:basedOn w:val="Normal"/>
    <w:next w:val="Text3"/>
    <w:link w:val="Heading3Char"/>
    <w:qFormat/>
    <w:pPr>
      <w:keepNext/>
      <w:numPr>
        <w:ilvl w:val="2"/>
        <w:numId w:val="3"/>
      </w:numPr>
      <w:suppressAutoHyphens/>
      <w:spacing w:after="240" w:line="276" w:lineRule="auto"/>
      <w:jc w:val="both"/>
      <w:outlineLvl w:val="2"/>
    </w:pPr>
    <w:rPr>
      <w:i/>
      <w:szCs w:val="20"/>
      <w:lang w:eastAsia="en-US"/>
    </w:rPr>
  </w:style>
  <w:style w:type="paragraph" w:styleId="Heading4">
    <w:name w:val="heading 4"/>
    <w:basedOn w:val="Normal"/>
    <w:next w:val="Text4"/>
    <w:link w:val="Heading4Char"/>
    <w:qFormat/>
    <w:pPr>
      <w:keepNext/>
      <w:numPr>
        <w:ilvl w:val="3"/>
        <w:numId w:val="3"/>
      </w:numPr>
      <w:spacing w:after="240"/>
      <w:jc w:val="both"/>
      <w:outlineLvl w:val="3"/>
    </w:pPr>
    <w:rPr>
      <w:szCs w:val="20"/>
      <w:lang w:eastAsia="en-US"/>
    </w:rPr>
  </w:style>
  <w:style w:type="paragraph" w:styleId="Heading5">
    <w:name w:val="heading 5"/>
    <w:basedOn w:val="Normal"/>
    <w:next w:val="Normal"/>
    <w:link w:val="Heading5Char"/>
    <w:qFormat/>
    <w:pPr>
      <w:tabs>
        <w:tab w:val="num" w:pos="0"/>
      </w:tabs>
      <w:spacing w:before="240" w:after="60"/>
      <w:jc w:val="both"/>
      <w:outlineLvl w:val="4"/>
    </w:pPr>
    <w:rPr>
      <w:rFonts w:ascii="Arial" w:hAnsi="Arial"/>
      <w:sz w:val="22"/>
      <w:szCs w:val="20"/>
      <w:lang w:eastAsia="en-US"/>
    </w:rPr>
  </w:style>
  <w:style w:type="paragraph" w:styleId="Heading6">
    <w:name w:val="heading 6"/>
    <w:basedOn w:val="Normal"/>
    <w:next w:val="Normal"/>
    <w:link w:val="Heading6Char"/>
    <w:qFormat/>
    <w:pPr>
      <w:tabs>
        <w:tab w:val="num" w:pos="0"/>
      </w:tabs>
      <w:spacing w:before="240" w:after="60"/>
      <w:jc w:val="both"/>
      <w:outlineLvl w:val="5"/>
    </w:pPr>
    <w:rPr>
      <w:rFonts w:ascii="Arial" w:hAnsi="Arial"/>
      <w:i/>
      <w:sz w:val="22"/>
      <w:szCs w:val="20"/>
      <w:lang w:eastAsia="en-US"/>
    </w:rPr>
  </w:style>
  <w:style w:type="paragraph" w:styleId="Heading7">
    <w:name w:val="heading 7"/>
    <w:basedOn w:val="Normal"/>
    <w:next w:val="Normal"/>
    <w:link w:val="Heading7Char"/>
    <w:qFormat/>
    <w:pPr>
      <w:tabs>
        <w:tab w:val="num" w:pos="0"/>
      </w:tabs>
      <w:spacing w:before="240" w:after="60"/>
      <w:jc w:val="both"/>
      <w:outlineLvl w:val="6"/>
    </w:pPr>
    <w:rPr>
      <w:rFonts w:ascii="Arial" w:hAnsi="Arial"/>
      <w:sz w:val="20"/>
      <w:szCs w:val="20"/>
      <w:lang w:eastAsia="en-US"/>
    </w:rPr>
  </w:style>
  <w:style w:type="paragraph" w:styleId="Heading8">
    <w:name w:val="heading 8"/>
    <w:basedOn w:val="Normal"/>
    <w:next w:val="Normal"/>
    <w:link w:val="Heading8Char"/>
    <w:qFormat/>
    <w:pPr>
      <w:tabs>
        <w:tab w:val="num" w:pos="0"/>
      </w:tabs>
      <w:spacing w:before="240" w:after="60"/>
      <w:jc w:val="both"/>
      <w:outlineLvl w:val="7"/>
    </w:pPr>
    <w:rPr>
      <w:rFonts w:ascii="Arial" w:hAnsi="Arial"/>
      <w:i/>
      <w:sz w:val="20"/>
      <w:szCs w:val="20"/>
      <w:lang w:eastAsia="en-US"/>
    </w:rPr>
  </w:style>
  <w:style w:type="paragraph" w:styleId="Heading9">
    <w:name w:val="heading 9"/>
    <w:basedOn w:val="Normal"/>
    <w:next w:val="Normal"/>
    <w:link w:val="Heading9Char"/>
    <w:qFormat/>
    <w:pPr>
      <w:tabs>
        <w:tab w:val="num" w:pos="0"/>
      </w:tabs>
      <w:spacing w:before="240" w:after="60"/>
      <w:jc w:val="both"/>
      <w:outlineLvl w:val="8"/>
    </w:pPr>
    <w:rPr>
      <w:rFonts w:ascii="Arial" w:hAnsi="Arial"/>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pPr>
      <w:spacing w:after="240"/>
      <w:ind w:left="482"/>
      <w:jc w:val="both"/>
    </w:pPr>
    <w:rPr>
      <w:szCs w:val="20"/>
      <w:lang w:eastAsia="en-US"/>
    </w:rPr>
  </w:style>
  <w:style w:type="paragraph" w:customStyle="1" w:styleId="Text2">
    <w:name w:val="Text 2"/>
    <w:basedOn w:val="Normal"/>
    <w:pPr>
      <w:tabs>
        <w:tab w:val="left" w:pos="2302"/>
      </w:tabs>
      <w:spacing w:after="240"/>
      <w:ind w:left="1202"/>
      <w:jc w:val="both"/>
    </w:pPr>
    <w:rPr>
      <w:szCs w:val="20"/>
      <w:lang w:eastAsia="en-US"/>
    </w:rPr>
  </w:style>
  <w:style w:type="paragraph" w:customStyle="1" w:styleId="Text3">
    <w:name w:val="Text 3"/>
    <w:basedOn w:val="Normal"/>
    <w:pPr>
      <w:tabs>
        <w:tab w:val="left" w:pos="2302"/>
      </w:tabs>
      <w:spacing w:after="240"/>
      <w:ind w:left="1202"/>
      <w:jc w:val="both"/>
    </w:pPr>
    <w:rPr>
      <w:szCs w:val="20"/>
      <w:lang w:eastAsia="en-US"/>
    </w:rPr>
  </w:style>
  <w:style w:type="paragraph" w:customStyle="1" w:styleId="Text4">
    <w:name w:val="Text 4"/>
    <w:basedOn w:val="Normal"/>
    <w:pPr>
      <w:tabs>
        <w:tab w:val="left" w:pos="2302"/>
      </w:tabs>
      <w:spacing w:after="240"/>
      <w:ind w:left="1202"/>
      <w:jc w:val="both"/>
    </w:pPr>
    <w:rPr>
      <w:szCs w:val="20"/>
      <w:lang w:eastAsia="en-US"/>
    </w:rPr>
  </w:style>
  <w:style w:type="paragraph" w:customStyle="1" w:styleId="Address">
    <w:name w:val="Address"/>
    <w:basedOn w:val="Normal"/>
    <w:rPr>
      <w:szCs w:val="20"/>
      <w:lang w:eastAsia="en-US"/>
    </w:rPr>
  </w:style>
  <w:style w:type="paragraph" w:customStyle="1" w:styleId="AddressTL">
    <w:name w:val="AddressTL"/>
    <w:basedOn w:val="Normal"/>
    <w:next w:val="Normal"/>
    <w:pPr>
      <w:spacing w:after="720"/>
    </w:pPr>
    <w:rPr>
      <w:szCs w:val="20"/>
      <w:lang w:eastAsia="en-US"/>
    </w:rPr>
  </w:style>
  <w:style w:type="paragraph" w:customStyle="1" w:styleId="AddressTR">
    <w:name w:val="AddressTR"/>
    <w:basedOn w:val="Normal"/>
    <w:next w:val="Normal"/>
    <w:pPr>
      <w:spacing w:after="720"/>
      <w:ind w:left="5103"/>
    </w:pPr>
    <w:rPr>
      <w:szCs w:val="20"/>
      <w:lang w:eastAsia="en-US"/>
    </w:rPr>
  </w:style>
  <w:style w:type="paragraph" w:styleId="BlockText">
    <w:name w:val="Block Text"/>
    <w:basedOn w:val="Normal"/>
    <w:pPr>
      <w:spacing w:after="120"/>
      <w:ind w:left="1440" w:right="1440"/>
      <w:jc w:val="both"/>
    </w:pPr>
    <w:rPr>
      <w:szCs w:val="20"/>
      <w:lang w:eastAsia="en-US"/>
    </w:rPr>
  </w:style>
  <w:style w:type="paragraph" w:styleId="BodyText">
    <w:name w:val="Body Text"/>
    <w:aliases w:val="Document,Doc,Body Text2,doc,Standard paragraph,BodyText, (Norm),Body Text 12,bt,gl,uvlaka 2,(Norm),heading3,Body Text - Level 2,1body,BodText,body text,Body Txt,Body Text-10,Body Text Char2,Text Char1,Τίτλος Μελέτης,- TF,b.,b,F2 Body Text,Text"/>
    <w:basedOn w:val="Normal"/>
    <w:link w:val="BodyTextChar"/>
    <w:qFormat/>
    <w:pPr>
      <w:spacing w:after="120"/>
      <w:jc w:val="both"/>
    </w:pPr>
    <w:rPr>
      <w:szCs w:val="20"/>
      <w:lang w:eastAsia="en-US"/>
    </w:rPr>
  </w:style>
  <w:style w:type="character" w:customStyle="1" w:styleId="BodyTextChar">
    <w:name w:val="Body Text Char"/>
    <w:aliases w:val="Document Char,Doc Char,Body Text2 Char,doc Char,Standard paragraph Char,BodyText Char, (Norm) Char,Body Text 12 Char,bt Char,gl Char,uvlaka 2 Char,(Norm) Char,heading3 Char,Body Text - Level 2 Char,1body Char,BodText Char,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szCs w:val="20"/>
      <w:lang w:eastAsia="en-US"/>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jc w:val="both"/>
    </w:pPr>
    <w:rPr>
      <w:sz w:val="16"/>
      <w:szCs w:val="20"/>
      <w:lang w:eastAsia="en-US"/>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jc w:val="both"/>
    </w:pPr>
    <w:rPr>
      <w:szCs w:val="20"/>
      <w:lang w:eastAsia="en-US"/>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szCs w:val="20"/>
      <w:lang w:eastAsia="en-US"/>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jc w:val="both"/>
    </w:pPr>
    <w:rPr>
      <w:sz w:val="16"/>
      <w:szCs w:val="20"/>
      <w:lang w:eastAsia="en-US"/>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Caption1 Char Char Char Char Char Char Char Char Tegn Tegn Tegn Tegn Tegn,Caption1 Char Char Char Char Char Char Char Char Tegn Tegn Tegn,Caption1 Char Char Char Char Char Char Char Char Tegn Tegn, Char Char Char,Tabelko,Beschriftung Char2 Char"/>
    <w:basedOn w:val="Normal"/>
    <w:next w:val="Normal"/>
    <w:link w:val="CaptionChar"/>
    <w:uiPriority w:val="35"/>
    <w:qFormat/>
    <w:pPr>
      <w:spacing w:before="120" w:after="120"/>
      <w:jc w:val="both"/>
    </w:pPr>
    <w:rPr>
      <w:b/>
      <w:szCs w:val="20"/>
      <w:lang w:eastAsia="en-US"/>
    </w:rPr>
  </w:style>
  <w:style w:type="paragraph" w:customStyle="1" w:styleId="ChapterTitle">
    <w:name w:val="ChapterTitle"/>
    <w:basedOn w:val="Normal"/>
    <w:next w:val="SectionTitle"/>
    <w:pPr>
      <w:keepNext/>
      <w:spacing w:after="480"/>
      <w:jc w:val="center"/>
    </w:pPr>
    <w:rPr>
      <w:b/>
      <w:sz w:val="32"/>
      <w:szCs w:val="20"/>
      <w:lang w:eastAsia="en-US"/>
    </w:rPr>
  </w:style>
  <w:style w:type="paragraph" w:customStyle="1" w:styleId="SectionTitle">
    <w:name w:val="SectionTitle"/>
    <w:basedOn w:val="Normal"/>
    <w:next w:val="Heading1"/>
    <w:pPr>
      <w:keepNext/>
      <w:spacing w:after="480"/>
      <w:jc w:val="center"/>
    </w:pPr>
    <w:rPr>
      <w:b/>
      <w:smallCaps/>
      <w:sz w:val="28"/>
      <w:szCs w:val="20"/>
      <w:lang w:eastAsia="en-US"/>
    </w:rPr>
  </w:style>
  <w:style w:type="paragraph" w:styleId="Closing">
    <w:name w:val="Closing"/>
    <w:basedOn w:val="Normal"/>
    <w:link w:val="ClosingChar"/>
    <w:pPr>
      <w:spacing w:after="240"/>
      <w:ind w:left="4252"/>
      <w:jc w:val="both"/>
    </w:pPr>
    <w:rPr>
      <w:szCs w:val="20"/>
      <w:lang w:eastAsia="en-US"/>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pPr>
      <w:spacing w:after="240"/>
      <w:jc w:val="both"/>
    </w:pPr>
    <w:rPr>
      <w:sz w:val="20"/>
      <w:szCs w:val="20"/>
      <w:lang w:eastAsia="en-US"/>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Date">
    <w:name w:val="Date"/>
    <w:basedOn w:val="Normal"/>
    <w:next w:val="References"/>
    <w:link w:val="DateChar"/>
    <w:pPr>
      <w:ind w:left="5103" w:right="-567"/>
    </w:pPr>
    <w:rPr>
      <w:szCs w:val="20"/>
      <w:lang w:eastAsia="en-US"/>
    </w:r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ind w:left="5103"/>
    </w:pPr>
    <w:rPr>
      <w:sz w:val="20"/>
      <w:szCs w:val="20"/>
      <w:lang w:eastAsia="en-US"/>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4"/>
      <w:shd w:val="clear" w:color="auto" w:fill="000080"/>
      <w:lang w:eastAsia="en-GB"/>
    </w:rPr>
  </w:style>
  <w:style w:type="paragraph" w:customStyle="1" w:styleId="DoubSign">
    <w:name w:val="DoubSign"/>
    <w:basedOn w:val="Normal"/>
    <w:next w:val="Enclosures"/>
    <w:pPr>
      <w:tabs>
        <w:tab w:val="left" w:pos="5103"/>
      </w:tabs>
      <w:spacing w:before="1200"/>
    </w:pPr>
    <w:rPr>
      <w:szCs w:val="20"/>
      <w:lang w:eastAsia="en-US"/>
    </w:rPr>
  </w:style>
  <w:style w:type="paragraph" w:customStyle="1" w:styleId="Enclosures">
    <w:name w:val="Enclosures"/>
    <w:basedOn w:val="Normal"/>
    <w:pPr>
      <w:keepNext/>
      <w:keepLines/>
      <w:tabs>
        <w:tab w:val="left" w:pos="5642"/>
      </w:tabs>
      <w:spacing w:before="480"/>
      <w:ind w:left="1191" w:hanging="1191"/>
    </w:pPr>
    <w:rPr>
      <w:szCs w:val="20"/>
      <w:lang w:eastAsia="en-US"/>
    </w:r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4"/>
      <w:lang w:eastAsia="en-GB"/>
    </w:rPr>
  </w:style>
  <w:style w:type="paragraph" w:styleId="EnvelopeAddress">
    <w:name w:val="envelope address"/>
    <w:basedOn w:val="Normal"/>
    <w:pPr>
      <w:framePr w:w="7920" w:h="1980" w:hRule="exact" w:hSpace="180" w:wrap="auto" w:hAnchor="page" w:xAlign="center" w:yAlign="bottom"/>
      <w:jc w:val="both"/>
    </w:pPr>
    <w:rPr>
      <w:szCs w:val="20"/>
      <w:lang w:eastAsia="en-US"/>
    </w:rPr>
  </w:style>
  <w:style w:type="paragraph" w:styleId="EnvelopeReturn">
    <w:name w:val="envelope return"/>
    <w:basedOn w:val="Normal"/>
    <w:pPr>
      <w:jc w:val="both"/>
    </w:pPr>
    <w:rPr>
      <w:sz w:val="20"/>
      <w:szCs w:val="20"/>
      <w:lang w:eastAsia="en-US"/>
    </w:rPr>
  </w:style>
  <w:style w:type="paragraph" w:styleId="Footer">
    <w:name w:val="footer"/>
    <w:basedOn w:val="Normal"/>
    <w:link w:val="FooterChar"/>
    <w:uiPriority w:val="99"/>
    <w:unhideWhenUsed/>
    <w:pPr>
      <w:tabs>
        <w:tab w:val="center" w:pos="4535"/>
        <w:tab w:val="right" w:pos="9071"/>
        <w:tab w:val="right" w:pos="9921"/>
      </w:tabs>
      <w:spacing w:before="360"/>
      <w:ind w:left="-850" w:right="-850"/>
    </w:pPr>
    <w:rPr>
      <w:rFonts w:eastAsiaTheme="minorHAnsi"/>
      <w:szCs w:val="22"/>
      <w:lang w:eastAsia="en-US"/>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styleId="FootnoteText">
    <w:name w:val="footnote text"/>
    <w:aliases w:val="Schriftart: 9 pt,Schriftart: 10 pt,Schriftart: 8 pt,o,WB-Fußnotentext,fn,Footnotes,Footnote ak,ﬂnotentext,WB-Fuﬂnotentext,footnote text,single space,Footnote Text English,FOOTNOTES,Footnote text,Podrozdział,Reference,Car,Fußnote,FoodNote,f"/>
    <w:basedOn w:val="Normal"/>
    <w:link w:val="FootnoteTextChar"/>
    <w:uiPriority w:val="99"/>
    <w:qFormat/>
    <w:pPr>
      <w:spacing w:after="240"/>
      <w:ind w:left="357" w:hanging="357"/>
      <w:jc w:val="both"/>
    </w:pPr>
    <w:rPr>
      <w:sz w:val="20"/>
      <w:szCs w:val="20"/>
      <w:lang w:eastAsia="en-US"/>
    </w:rPr>
  </w:style>
  <w:style w:type="character" w:customStyle="1" w:styleId="FootnoteTextChar">
    <w:name w:val="Footnote Text Char"/>
    <w:aliases w:val="Schriftart: 9 pt Char,Schriftart: 10 pt Char,Schriftart: 8 pt Char,o Char,WB-Fußnotentext Char,fn Char,Footnotes Char,Footnote ak Char,ﬂnotentext Char,WB-Fuﬂnotentext Char,footnote text Char,single space Char,FOOTNOTES Char,Car Char"/>
    <w:basedOn w:val="DefaultParagraphFont"/>
    <w:link w:val="FootnoteText"/>
    <w:uiPriority w:val="99"/>
    <w:rPr>
      <w:rFonts w:ascii="Times New Roman" w:eastAsia="Times New Roman" w:hAnsi="Times New Roman" w:cs="Times New Roman"/>
      <w:sz w:val="20"/>
      <w:szCs w:val="20"/>
    </w:rPr>
  </w:style>
  <w:style w:type="paragraph" w:styleId="Header">
    <w:name w:val="header"/>
    <w:basedOn w:val="Normal"/>
    <w:link w:val="HeaderChar"/>
    <w:uiPriority w:val="99"/>
    <w:unhideWhenUsed/>
    <w:pPr>
      <w:tabs>
        <w:tab w:val="center" w:pos="4535"/>
        <w:tab w:val="right" w:pos="9071"/>
      </w:tabs>
      <w:spacing w:after="120"/>
      <w:jc w:val="both"/>
    </w:pPr>
    <w:rPr>
      <w:rFonts w:eastAsiaTheme="minorHAnsi"/>
      <w:szCs w:val="22"/>
      <w:lang w:eastAsia="en-US"/>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Index1">
    <w:name w:val="index 1"/>
    <w:basedOn w:val="Normal"/>
    <w:next w:val="Normal"/>
    <w:autoRedefine/>
    <w:semiHidden/>
    <w:pPr>
      <w:spacing w:after="240"/>
      <w:ind w:left="240" w:hanging="240"/>
      <w:jc w:val="both"/>
    </w:pPr>
    <w:rPr>
      <w:szCs w:val="20"/>
      <w:lang w:eastAsia="en-US"/>
    </w:r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spacing w:after="240"/>
      <w:ind w:left="283" w:hanging="283"/>
      <w:jc w:val="both"/>
    </w:pPr>
    <w:rPr>
      <w:szCs w:val="20"/>
      <w:lang w:eastAsia="en-US"/>
    </w:rPr>
  </w:style>
  <w:style w:type="paragraph" w:styleId="List2">
    <w:name w:val="List 2"/>
    <w:basedOn w:val="Normal"/>
    <w:pPr>
      <w:spacing w:after="240"/>
      <w:ind w:left="566" w:hanging="283"/>
      <w:jc w:val="both"/>
    </w:pPr>
    <w:rPr>
      <w:szCs w:val="20"/>
      <w:lang w:eastAsia="en-US"/>
    </w:rPr>
  </w:style>
  <w:style w:type="paragraph" w:styleId="List3">
    <w:name w:val="List 3"/>
    <w:basedOn w:val="Normal"/>
    <w:pPr>
      <w:spacing w:after="240"/>
      <w:ind w:left="849" w:hanging="283"/>
      <w:jc w:val="both"/>
    </w:pPr>
    <w:rPr>
      <w:szCs w:val="20"/>
      <w:lang w:eastAsia="en-US"/>
    </w:rPr>
  </w:style>
  <w:style w:type="paragraph" w:styleId="List4">
    <w:name w:val="List 4"/>
    <w:basedOn w:val="Normal"/>
    <w:pPr>
      <w:spacing w:after="240"/>
      <w:ind w:left="1132" w:hanging="283"/>
      <w:jc w:val="both"/>
    </w:pPr>
    <w:rPr>
      <w:szCs w:val="20"/>
      <w:lang w:eastAsia="en-US"/>
    </w:rPr>
  </w:style>
  <w:style w:type="paragraph" w:styleId="List5">
    <w:name w:val="List 5"/>
    <w:basedOn w:val="Normal"/>
    <w:pPr>
      <w:spacing w:after="240"/>
      <w:ind w:left="1415" w:hanging="283"/>
      <w:jc w:val="both"/>
    </w:pPr>
    <w:rPr>
      <w:szCs w:val="20"/>
      <w:lang w:eastAsia="en-US"/>
    </w:rPr>
  </w:style>
  <w:style w:type="paragraph" w:styleId="ListBullet">
    <w:name w:val="List Bullet"/>
    <w:basedOn w:val="Normal"/>
    <w:pPr>
      <w:numPr>
        <w:numId w:val="4"/>
      </w:numPr>
      <w:spacing w:after="240"/>
      <w:jc w:val="both"/>
    </w:pPr>
    <w:rPr>
      <w:szCs w:val="20"/>
      <w:lang w:eastAsia="en-US"/>
    </w:r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spacing w:after="240"/>
      <w:jc w:val="both"/>
    </w:pPr>
    <w:rPr>
      <w:szCs w:val="20"/>
      <w:lang w:eastAsia="en-US"/>
    </w:rPr>
  </w:style>
  <w:style w:type="paragraph" w:styleId="ListContinue">
    <w:name w:val="List Continue"/>
    <w:basedOn w:val="Normal"/>
    <w:pPr>
      <w:spacing w:after="120"/>
      <w:ind w:left="283"/>
      <w:jc w:val="both"/>
    </w:pPr>
    <w:rPr>
      <w:szCs w:val="20"/>
      <w:lang w:eastAsia="en-US"/>
    </w:rPr>
  </w:style>
  <w:style w:type="paragraph" w:styleId="ListContinue2">
    <w:name w:val="List Continue 2"/>
    <w:basedOn w:val="Normal"/>
    <w:pPr>
      <w:spacing w:after="120"/>
      <w:ind w:left="566"/>
      <w:jc w:val="both"/>
    </w:pPr>
    <w:rPr>
      <w:szCs w:val="20"/>
      <w:lang w:eastAsia="en-US"/>
    </w:rPr>
  </w:style>
  <w:style w:type="paragraph" w:styleId="ListContinue3">
    <w:name w:val="List Continue 3"/>
    <w:basedOn w:val="Normal"/>
    <w:pPr>
      <w:spacing w:after="120"/>
      <w:ind w:left="849"/>
      <w:jc w:val="both"/>
    </w:pPr>
    <w:rPr>
      <w:szCs w:val="20"/>
      <w:lang w:eastAsia="en-US"/>
    </w:rPr>
  </w:style>
  <w:style w:type="paragraph" w:styleId="ListContinue4">
    <w:name w:val="List Continue 4"/>
    <w:basedOn w:val="Normal"/>
    <w:pPr>
      <w:spacing w:after="120"/>
      <w:ind w:left="1132"/>
      <w:jc w:val="both"/>
    </w:pPr>
    <w:rPr>
      <w:szCs w:val="20"/>
      <w:lang w:eastAsia="en-US"/>
    </w:rPr>
  </w:style>
  <w:style w:type="paragraph" w:styleId="ListContinue5">
    <w:name w:val="List Continue 5"/>
    <w:basedOn w:val="Normal"/>
    <w:pPr>
      <w:spacing w:after="120"/>
      <w:ind w:left="1415"/>
      <w:jc w:val="both"/>
    </w:pPr>
    <w:rPr>
      <w:szCs w:val="20"/>
      <w:lang w:eastAsia="en-US"/>
    </w:rPr>
  </w:style>
  <w:style w:type="paragraph" w:styleId="ListNumber">
    <w:name w:val="List Number"/>
    <w:basedOn w:val="Normal"/>
    <w:pPr>
      <w:numPr>
        <w:numId w:val="14"/>
      </w:numPr>
      <w:spacing w:after="240"/>
      <w:jc w:val="both"/>
    </w:pPr>
    <w:rPr>
      <w:szCs w:val="20"/>
      <w:lang w:eastAsia="en-US"/>
    </w:r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spacing w:after="240"/>
      <w:jc w:val="both"/>
    </w:pPr>
    <w:rPr>
      <w:szCs w:val="20"/>
      <w:lang w:eastAsia="en-US"/>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jc w:val="both"/>
    </w:pPr>
    <w:rPr>
      <w:rFonts w:ascii="Arial" w:hAnsi="Arial"/>
      <w:szCs w:val="20"/>
      <w:lang w:eastAsia="en-US"/>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spacing w:after="240"/>
      <w:ind w:left="720"/>
      <w:jc w:val="both"/>
    </w:pPr>
    <w:rPr>
      <w:szCs w:val="20"/>
      <w:lang w:eastAsia="en-US"/>
    </w:rPr>
  </w:style>
  <w:style w:type="paragraph" w:styleId="NoteHeading">
    <w:name w:val="Note Heading"/>
    <w:basedOn w:val="Normal"/>
    <w:next w:val="Normal"/>
    <w:link w:val="NoteHeadingChar"/>
    <w:pPr>
      <w:spacing w:after="240"/>
      <w:jc w:val="both"/>
    </w:pPr>
    <w:rPr>
      <w:szCs w:val="20"/>
      <w:lang w:eastAsia="en-US"/>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szCs w:val="20"/>
      <w:lang w:eastAsia="en-US"/>
    </w:rPr>
  </w:style>
  <w:style w:type="paragraph" w:customStyle="1" w:styleId="Subject">
    <w:name w:val="Subject"/>
    <w:basedOn w:val="Normal"/>
    <w:next w:val="Normal"/>
    <w:pPr>
      <w:spacing w:after="480"/>
      <w:ind w:left="1531" w:hanging="1531"/>
    </w:pPr>
    <w:rPr>
      <w:b/>
      <w:szCs w:val="20"/>
      <w:lang w:eastAsia="en-US"/>
    </w:rPr>
  </w:style>
  <w:style w:type="paragraph" w:customStyle="1" w:styleId="NoteList">
    <w:name w:val="NoteList"/>
    <w:basedOn w:val="Normal"/>
    <w:next w:val="Subject"/>
    <w:pPr>
      <w:tabs>
        <w:tab w:val="left" w:pos="5823"/>
      </w:tabs>
      <w:spacing w:before="720" w:after="720"/>
      <w:ind w:left="5104" w:hanging="3119"/>
    </w:pPr>
    <w:rPr>
      <w:b/>
      <w:smallCaps/>
      <w:szCs w:val="20"/>
      <w:lang w:eastAsia="en-U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szCs w:val="20"/>
      <w:lang w:eastAsia="en-US"/>
    </w:rPr>
  </w:style>
  <w:style w:type="paragraph" w:styleId="PlainText">
    <w:name w:val="Plain Text"/>
    <w:basedOn w:val="Normal"/>
    <w:link w:val="PlainTextChar"/>
    <w:pPr>
      <w:spacing w:after="240"/>
      <w:jc w:val="both"/>
    </w:pPr>
    <w:rPr>
      <w:rFonts w:ascii="Courier New" w:hAnsi="Courier New"/>
      <w:sz w:val="20"/>
      <w:szCs w:val="20"/>
      <w:lang w:eastAsia="en-US"/>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pPr>
      <w:spacing w:after="240"/>
      <w:jc w:val="both"/>
    </w:pPr>
    <w:rPr>
      <w:szCs w:val="20"/>
      <w:lang w:eastAsia="en-US"/>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ind w:left="5103"/>
      <w:jc w:val="center"/>
    </w:pPr>
    <w:rPr>
      <w:szCs w:val="20"/>
      <w:lang w:eastAsia="en-US"/>
    </w:r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szCs w:val="20"/>
      <w:lang w:eastAsia="en-US"/>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spacing w:after="240"/>
      <w:jc w:val="center"/>
    </w:pPr>
    <w:rPr>
      <w:b/>
      <w:sz w:val="40"/>
      <w:szCs w:val="20"/>
      <w:lang w:eastAsia="en-US"/>
    </w:rPr>
  </w:style>
  <w:style w:type="paragraph" w:customStyle="1" w:styleId="SubTitle2">
    <w:name w:val="SubTitle 2"/>
    <w:basedOn w:val="Normal"/>
    <w:pPr>
      <w:spacing w:after="240"/>
      <w:jc w:val="center"/>
    </w:pPr>
    <w:rPr>
      <w:b/>
      <w:sz w:val="32"/>
      <w:szCs w:val="20"/>
      <w:lang w:eastAsia="en-US"/>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spacing w:after="240"/>
      <w:ind w:left="480" w:hanging="480"/>
      <w:jc w:val="both"/>
    </w:pPr>
    <w:rPr>
      <w:szCs w:val="20"/>
      <w:lang w:eastAsia="en-US"/>
    </w:rPr>
  </w:style>
  <w:style w:type="paragraph" w:styleId="Title">
    <w:name w:val="Title"/>
    <w:basedOn w:val="Normal"/>
    <w:next w:val="SubTitle1"/>
    <w:link w:val="TitleChar"/>
    <w:qFormat/>
    <w:pPr>
      <w:spacing w:after="480"/>
      <w:jc w:val="center"/>
    </w:pPr>
    <w:rPr>
      <w:b/>
      <w:kern w:val="28"/>
      <w:sz w:val="48"/>
      <w:szCs w:val="20"/>
      <w:lang w:eastAsia="en-US"/>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jc w:val="both"/>
    </w:pPr>
    <w:rPr>
      <w:caps/>
      <w:szCs w:val="20"/>
      <w:lang w:eastAsia="en-US"/>
    </w:rPr>
  </w:style>
  <w:style w:type="paragraph" w:styleId="TOC2">
    <w:name w:val="toc 2"/>
    <w:basedOn w:val="Normal"/>
    <w:next w:val="Normal"/>
    <w:uiPriority w:val="39"/>
    <w:pPr>
      <w:tabs>
        <w:tab w:val="right" w:leader="dot" w:pos="8640"/>
      </w:tabs>
      <w:spacing w:before="60" w:after="60"/>
      <w:ind w:left="1077" w:right="720" w:hanging="595"/>
      <w:jc w:val="both"/>
    </w:pPr>
    <w:rPr>
      <w:szCs w:val="20"/>
      <w:lang w:eastAsia="en-US"/>
    </w:rPr>
  </w:style>
  <w:style w:type="paragraph" w:styleId="TOC3">
    <w:name w:val="toc 3"/>
    <w:basedOn w:val="Normal"/>
    <w:next w:val="Normal"/>
    <w:uiPriority w:val="39"/>
    <w:pPr>
      <w:tabs>
        <w:tab w:val="right" w:leader="dot" w:pos="8640"/>
      </w:tabs>
      <w:spacing w:before="60" w:after="60"/>
      <w:ind w:left="1916" w:right="720" w:hanging="839"/>
      <w:jc w:val="both"/>
    </w:pPr>
    <w:rPr>
      <w:szCs w:val="20"/>
      <w:lang w:eastAsia="en-US"/>
    </w:rPr>
  </w:style>
  <w:style w:type="paragraph" w:styleId="TOC4">
    <w:name w:val="toc 4"/>
    <w:basedOn w:val="Normal"/>
    <w:next w:val="Normal"/>
    <w:uiPriority w:val="39"/>
    <w:pPr>
      <w:tabs>
        <w:tab w:val="right" w:leader="dot" w:pos="8641"/>
      </w:tabs>
      <w:spacing w:before="60" w:after="60"/>
      <w:ind w:left="2880" w:right="720" w:hanging="964"/>
      <w:jc w:val="both"/>
    </w:pPr>
    <w:rPr>
      <w:szCs w:val="20"/>
      <w:lang w:eastAsia="en-US"/>
    </w:rPr>
  </w:style>
  <w:style w:type="paragraph" w:styleId="TOC5">
    <w:name w:val="toc 5"/>
    <w:basedOn w:val="Normal"/>
    <w:next w:val="Normal"/>
    <w:uiPriority w:val="39"/>
    <w:pPr>
      <w:tabs>
        <w:tab w:val="right" w:leader="dot" w:pos="8641"/>
      </w:tabs>
      <w:spacing w:before="240" w:after="120"/>
      <w:ind w:right="720"/>
      <w:jc w:val="both"/>
    </w:pPr>
    <w:rPr>
      <w:caps/>
      <w:szCs w:val="20"/>
      <w:lang w:eastAsia="en-US"/>
    </w:rPr>
  </w:style>
  <w:style w:type="paragraph" w:styleId="TOC6">
    <w:name w:val="toc 6"/>
    <w:basedOn w:val="Normal"/>
    <w:next w:val="Normal"/>
    <w:autoRedefine/>
    <w:uiPriority w:val="39"/>
    <w:pPr>
      <w:spacing w:after="240"/>
      <w:ind w:left="1200"/>
      <w:jc w:val="both"/>
    </w:pPr>
    <w:rPr>
      <w:szCs w:val="20"/>
      <w:lang w:eastAsia="en-US"/>
    </w:rPr>
  </w:style>
  <w:style w:type="paragraph" w:styleId="TOC7">
    <w:name w:val="toc 7"/>
    <w:basedOn w:val="Normal"/>
    <w:next w:val="Normal"/>
    <w:autoRedefine/>
    <w:uiPriority w:val="39"/>
    <w:pPr>
      <w:spacing w:after="240"/>
      <w:ind w:left="1440"/>
      <w:jc w:val="both"/>
    </w:pPr>
    <w:rPr>
      <w:szCs w:val="20"/>
      <w:lang w:eastAsia="en-US"/>
    </w:rPr>
  </w:style>
  <w:style w:type="paragraph" w:styleId="TOC8">
    <w:name w:val="toc 8"/>
    <w:basedOn w:val="Normal"/>
    <w:next w:val="Normal"/>
    <w:autoRedefine/>
    <w:uiPriority w:val="39"/>
    <w:pPr>
      <w:spacing w:after="240"/>
      <w:ind w:left="1680"/>
      <w:jc w:val="both"/>
    </w:pPr>
    <w:rPr>
      <w:szCs w:val="20"/>
      <w:lang w:eastAsia="en-US"/>
    </w:rPr>
  </w:style>
  <w:style w:type="paragraph" w:styleId="TOC9">
    <w:name w:val="toc 9"/>
    <w:basedOn w:val="Normal"/>
    <w:next w:val="Normal"/>
    <w:autoRedefine/>
    <w:uiPriority w:val="39"/>
    <w:pPr>
      <w:spacing w:after="240"/>
      <w:ind w:left="1920"/>
      <w:jc w:val="both"/>
    </w:pPr>
    <w:rPr>
      <w:szCs w:val="20"/>
      <w:lang w:eastAsia="en-US"/>
    </w:rPr>
  </w:style>
  <w:style w:type="paragraph" w:customStyle="1" w:styleId="YReferences">
    <w:name w:val="YReferences"/>
    <w:basedOn w:val="Normal"/>
    <w:next w:val="Normal"/>
    <w:uiPriority w:val="99"/>
    <w:pPr>
      <w:spacing w:after="480"/>
      <w:ind w:left="1531" w:hanging="1531"/>
      <w:jc w:val="both"/>
    </w:pPr>
    <w:rPr>
      <w:szCs w:val="20"/>
      <w:lang w:eastAsia="en-US"/>
    </w:rPr>
  </w:style>
  <w:style w:type="paragraph" w:customStyle="1" w:styleId="ListBullet1">
    <w:name w:val="List Bullet 1"/>
    <w:basedOn w:val="Text1"/>
    <w:pPr>
      <w:numPr>
        <w:numId w:val="5"/>
      </w:numPr>
    </w:pPr>
  </w:style>
  <w:style w:type="paragraph" w:customStyle="1" w:styleId="ListDash">
    <w:name w:val="List Dash"/>
    <w:basedOn w:val="Normal"/>
    <w:pPr>
      <w:numPr>
        <w:numId w:val="9"/>
      </w:numPr>
      <w:spacing w:after="240"/>
      <w:jc w:val="both"/>
    </w:pPr>
    <w:rPr>
      <w:szCs w:val="20"/>
      <w:lang w:eastAsia="en-US"/>
    </w:r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spacing w:after="240"/>
      <w:jc w:val="both"/>
    </w:pPr>
    <w:rPr>
      <w:szCs w:val="20"/>
      <w:lang w:eastAsia="en-US"/>
    </w:rPr>
  </w:style>
  <w:style w:type="paragraph" w:customStyle="1" w:styleId="ListNumberLevel3">
    <w:name w:val="List Number (Level 3)"/>
    <w:basedOn w:val="Normal"/>
    <w:pPr>
      <w:numPr>
        <w:ilvl w:val="2"/>
        <w:numId w:val="14"/>
      </w:numPr>
      <w:spacing w:after="240"/>
      <w:jc w:val="both"/>
    </w:pPr>
    <w:rPr>
      <w:szCs w:val="20"/>
      <w:lang w:eastAsia="en-US"/>
    </w:rPr>
  </w:style>
  <w:style w:type="paragraph" w:customStyle="1" w:styleId="ListNumberLevel4">
    <w:name w:val="List Number (Level 4)"/>
    <w:basedOn w:val="Normal"/>
    <w:pPr>
      <w:numPr>
        <w:ilvl w:val="3"/>
        <w:numId w:val="14"/>
      </w:numPr>
      <w:spacing w:after="240"/>
      <w:jc w:val="both"/>
    </w:pPr>
    <w:rPr>
      <w:szCs w:val="20"/>
      <w:lang w:eastAsia="en-US"/>
    </w:r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after="240"/>
      <w:jc w:val="center"/>
    </w:pPr>
    <w:rPr>
      <w:b/>
      <w:szCs w:val="20"/>
      <w:lang w:eastAsia="en-US"/>
    </w:rPr>
  </w:style>
  <w:style w:type="paragraph" w:customStyle="1" w:styleId="Contact">
    <w:name w:val="Contact"/>
    <w:basedOn w:val="Normal"/>
    <w:next w:val="Normal"/>
    <w:pPr>
      <w:spacing w:after="480"/>
      <w:ind w:left="567" w:hanging="567"/>
    </w:pPr>
    <w:rPr>
      <w:szCs w:val="20"/>
      <w:lang w:eastAsia="en-US"/>
    </w:rPr>
  </w:style>
  <w:style w:type="paragraph" w:customStyle="1" w:styleId="Designator">
    <w:name w:val="Designator"/>
    <w:basedOn w:val="Normal"/>
    <w:pPr>
      <w:jc w:val="center"/>
    </w:pPr>
    <w:rPr>
      <w:b/>
      <w:caps/>
      <w:sz w:val="32"/>
      <w:szCs w:val="20"/>
      <w:lang w:eastAsia="en-US"/>
    </w:rPr>
  </w:style>
  <w:style w:type="paragraph" w:customStyle="1" w:styleId="Releasable">
    <w:name w:val="Releasable"/>
    <w:basedOn w:val="Normal"/>
    <w:qFormat/>
    <w:pPr>
      <w:jc w:val="center"/>
    </w:pPr>
    <w:rPr>
      <w:b/>
      <w:caps/>
      <w:sz w:val="32"/>
      <w:szCs w:val="20"/>
      <w:lang w:val="de-DE" w:eastAsia="en-US"/>
    </w:rPr>
  </w:style>
  <w:style w:type="paragraph" w:customStyle="1" w:styleId="RUE">
    <w:name w:val="RUE"/>
    <w:basedOn w:val="Normal"/>
    <w:pPr>
      <w:jc w:val="center"/>
    </w:pPr>
    <w:rPr>
      <w:b/>
      <w:caps/>
      <w:sz w:val="32"/>
      <w:szCs w:val="20"/>
      <w:bdr w:val="single" w:sz="18" w:space="0" w:color="auto"/>
      <w:lang w:val="de-DE" w:eastAsia="en-US"/>
    </w:rPr>
  </w:style>
  <w:style w:type="paragraph" w:customStyle="1" w:styleId="ConfidentialUE">
    <w:name w:val="Confidential UE"/>
    <w:basedOn w:val="Normal"/>
    <w:pPr>
      <w:jc w:val="center"/>
    </w:pPr>
    <w:rPr>
      <w:b/>
      <w:caps/>
      <w:sz w:val="32"/>
      <w:szCs w:val="20"/>
      <w:bdr w:val="single" w:sz="18" w:space="0" w:color="auto"/>
      <w:lang w:eastAsia="en-US"/>
    </w:rPr>
  </w:style>
  <w:style w:type="paragraph" w:customStyle="1" w:styleId="SecretUE">
    <w:name w:val="Secret UE"/>
    <w:basedOn w:val="Normal"/>
    <w:pPr>
      <w:jc w:val="center"/>
    </w:pPr>
    <w:rPr>
      <w:b/>
      <w:caps/>
      <w:color w:val="FF0000"/>
      <w:sz w:val="32"/>
      <w:szCs w:val="20"/>
      <w:bdr w:val="single" w:sz="18" w:space="0" w:color="FF0000"/>
      <w:lang w:eastAsia="en-US"/>
    </w:rPr>
  </w:style>
  <w:style w:type="paragraph" w:customStyle="1" w:styleId="TrsSecretUE">
    <w:name w:val="Très Secret UE"/>
    <w:basedOn w:val="Normal"/>
    <w:pPr>
      <w:jc w:val="center"/>
    </w:pPr>
    <w:rPr>
      <w:b/>
      <w:caps/>
      <w:color w:val="FF0000"/>
      <w:sz w:val="32"/>
      <w:szCs w:val="20"/>
      <w:bdr w:val="single" w:sz="18" w:space="0" w:color="FF0000"/>
      <w:lang w:eastAsia="en-US"/>
    </w:rPr>
  </w:style>
  <w:style w:type="paragraph" w:customStyle="1" w:styleId="LegalNumPar">
    <w:name w:val="LegalNumPar"/>
    <w:basedOn w:val="Normal"/>
    <w:pPr>
      <w:numPr>
        <w:numId w:val="19"/>
      </w:numPr>
      <w:spacing w:after="240" w:line="360" w:lineRule="auto"/>
    </w:pPr>
    <w:rPr>
      <w:rFonts w:eastAsiaTheme="minorHAnsi"/>
      <w:szCs w:val="22"/>
      <w:lang w:eastAsia="en-US"/>
    </w:rPr>
  </w:style>
  <w:style w:type="paragraph" w:customStyle="1" w:styleId="LegalNumPar2">
    <w:name w:val="LegalNumPar2"/>
    <w:basedOn w:val="Normal"/>
    <w:pPr>
      <w:numPr>
        <w:ilvl w:val="1"/>
        <w:numId w:val="19"/>
      </w:numPr>
      <w:spacing w:after="240" w:line="360" w:lineRule="auto"/>
      <w:ind w:left="952" w:hanging="476"/>
    </w:pPr>
    <w:rPr>
      <w:rFonts w:eastAsiaTheme="minorHAnsi"/>
      <w:szCs w:val="22"/>
      <w:lang w:eastAsia="en-US"/>
    </w:rPr>
  </w:style>
  <w:style w:type="paragraph" w:customStyle="1" w:styleId="LegalNumPar3">
    <w:name w:val="LegalNumPar3"/>
    <w:basedOn w:val="Normal"/>
    <w:pPr>
      <w:numPr>
        <w:ilvl w:val="2"/>
        <w:numId w:val="19"/>
      </w:numPr>
      <w:spacing w:after="240" w:line="360" w:lineRule="auto"/>
    </w:pPr>
    <w:rPr>
      <w:rFonts w:eastAsiaTheme="minorHAnsi"/>
      <w:szCs w:val="22"/>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Typedudocument">
    <w:name w:val="Type du document"/>
    <w:basedOn w:val="Normal"/>
    <w:next w:val="Normal"/>
    <w:link w:val="TypedudocumentChar"/>
    <w:pPr>
      <w:spacing w:before="360"/>
      <w:jc w:val="center"/>
    </w:pPr>
    <w:rPr>
      <w:rFonts w:eastAsiaTheme="minorHAnsi"/>
      <w:b/>
      <w:szCs w:val="22"/>
      <w:lang w:eastAsia="en-US"/>
    </w:rPr>
  </w:style>
  <w:style w:type="paragraph" w:customStyle="1" w:styleId="Titreobjet">
    <w:name w:val="Titre objet"/>
    <w:basedOn w:val="Normal"/>
    <w:next w:val="Normal"/>
    <w:pPr>
      <w:spacing w:before="360" w:after="360"/>
      <w:jc w:val="center"/>
    </w:pPr>
    <w:rPr>
      <w:rFonts w:eastAsiaTheme="minorHAnsi"/>
      <w:b/>
      <w:szCs w:val="22"/>
      <w:lang w:eastAsia="en-US"/>
    </w:rPr>
  </w:style>
  <w:style w:type="paragraph" w:customStyle="1" w:styleId="Accompagnant">
    <w:name w:val="Accompagnant"/>
    <w:basedOn w:val="Normal"/>
    <w:next w:val="Normal"/>
    <w:pPr>
      <w:spacing w:after="240"/>
      <w:jc w:val="center"/>
    </w:pPr>
    <w:rPr>
      <w:rFonts w:eastAsiaTheme="minorHAnsi"/>
      <w:b/>
      <w:i/>
      <w:szCs w:val="22"/>
      <w:lang w:eastAsia="en-US"/>
    </w:rPr>
  </w:style>
  <w:style w:type="paragraph" w:customStyle="1" w:styleId="Typeacteprincipal">
    <w:name w:val="Type acte principal"/>
    <w:basedOn w:val="Normal"/>
    <w:next w:val="Normal"/>
    <w:pPr>
      <w:spacing w:after="240"/>
      <w:jc w:val="center"/>
    </w:pPr>
    <w:rPr>
      <w:rFonts w:eastAsiaTheme="minorHAnsi"/>
      <w:b/>
      <w:szCs w:val="22"/>
      <w:lang w:eastAsia="en-US"/>
    </w:rPr>
  </w:style>
  <w:style w:type="paragraph" w:customStyle="1" w:styleId="Objetacteprincipal">
    <w:name w:val="Objet acte principal"/>
    <w:basedOn w:val="Normal"/>
    <w:next w:val="Normal"/>
    <w:pPr>
      <w:spacing w:after="360"/>
      <w:jc w:val="center"/>
    </w:pPr>
    <w:rPr>
      <w:rFonts w:eastAsiaTheme="minorHAnsi"/>
      <w:b/>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TypedudocumentChar">
    <w:name w:val="Type du document Char"/>
    <w:basedOn w:val="DefaultParagraphFont"/>
    <w:link w:val="Typedudocument"/>
    <w:rPr>
      <w:rFonts w:ascii="Times New Roman" w:hAnsi="Times New Roman" w:cs="Times New Roman"/>
      <w:b/>
      <w:sz w:val="24"/>
    </w:rPr>
  </w:style>
  <w:style w:type="character" w:customStyle="1" w:styleId="FooterCoverPageChar">
    <w:name w:val="Footer Cover Page Char"/>
    <w:basedOn w:val="TypedudocumentChar"/>
    <w:link w:val="FooterCoverPage"/>
    <w:rPr>
      <w:rFonts w:ascii="Times New Roman" w:eastAsia="Times New Roman" w:hAnsi="Times New Roman" w:cs="Times New Roman"/>
      <w:b w:val="0"/>
      <w:sz w:val="24"/>
      <w:szCs w:val="24"/>
      <w:lang w:eastAsia="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TypedudocumentChar"/>
    <w:link w:val="HeaderCoverPage"/>
    <w:rPr>
      <w:rFonts w:ascii="Times New Roman" w:eastAsia="Times New Roman" w:hAnsi="Times New Roman" w:cs="Times New Roman"/>
      <w:b w:val="0"/>
      <w:sz w:val="24"/>
      <w:szCs w:val="24"/>
      <w:lang w:eastAsia="en-GB"/>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GB"/>
    </w:rPr>
  </w:style>
  <w:style w:type="paragraph" w:styleId="ListParagraph">
    <w:name w:val="List Paragraph"/>
    <w:aliases w:val="1st level - Bullet List Paragraph,Lettre d'introduction,Normal bullet 2,Bullet list,Listenabsatz1,OM numbered bullets,Table of contents numbered,F5 List Paragraph,Numbered List,Paragraph,Bullet EY,List Paragraph11,Normal bullet 21,Nad"/>
    <w:basedOn w:val="Normal"/>
    <w:link w:val="ListParagraphChar"/>
    <w:uiPriority w:val="34"/>
    <w:qFormat/>
    <w:pPr>
      <w:spacing w:after="240"/>
      <w:ind w:left="720"/>
      <w:contextualSpacing/>
      <w:jc w:val="both"/>
    </w:pPr>
    <w:rPr>
      <w:szCs w:val="20"/>
      <w:lang w:eastAsia="en-US"/>
    </w:rPr>
  </w:style>
  <w:style w:type="character" w:styleId="FootnoteReference">
    <w:name w:val="footnote reference"/>
    <w:aliases w:val="Footnote Reference Superscript,Footnote symbol,Voetnootverwijzing,Times 10 Point,Exposant 3 Point,Footnote Reference Number,Footnote reference number,Ref,de nota al pie,note TESI,SUPERS,EN Footnote Reference,FR,E...,nota de rodapé,fr"/>
    <w:basedOn w:val="DefaultParagraphFont"/>
    <w:link w:val="CharCharChar1"/>
    <w:uiPriority w:val="99"/>
    <w:unhideWhenUsed/>
    <w:qFormat/>
    <w:rPr>
      <w:vertAlign w:val="superscript"/>
    </w:rPr>
  </w:style>
  <w:style w:type="character" w:customStyle="1" w:styleId="ListParagraphChar">
    <w:name w:val="List Paragraph Char"/>
    <w:aliases w:val="1st level - Bullet List Paragraph Char,Lettre d'introduction Char,Normal bullet 2 Char,Bullet list Char,Listenabsatz1 Char,OM numbered bullets Char,Table of contents numbered Char,F5 List Paragraph Char,Numbered List Char,Nad Char"/>
    <w:basedOn w:val="DefaultParagraphFont"/>
    <w:link w:val="ListParagraph"/>
    <w:uiPriority w:val="34"/>
    <w:rPr>
      <w:rFonts w:ascii="Times New Roman" w:eastAsia="Times New Roman" w:hAnsi="Times New Roman" w:cs="Times New Roman"/>
      <w:sz w:val="24"/>
      <w:szCs w:val="20"/>
    </w:rPr>
  </w:style>
  <w:style w:type="paragraph" w:customStyle="1" w:styleId="CharCharChar1">
    <w:name w:val="Char Char Char1"/>
    <w:basedOn w:val="Normal"/>
    <w:link w:val="FootnoteReference"/>
    <w:uiPriority w:val="99"/>
    <w:pPr>
      <w:spacing w:after="160" w:line="240" w:lineRule="exact"/>
    </w:pPr>
    <w:rPr>
      <w:rFonts w:asciiTheme="minorHAnsi" w:eastAsiaTheme="minorHAnsi" w:hAnsiTheme="minorHAnsi" w:cstheme="minorBidi"/>
      <w:sz w:val="22"/>
      <w:szCs w:val="22"/>
      <w:vertAlign w:val="superscript"/>
      <w:lang w:eastAsia="en-US"/>
    </w:rPr>
  </w:style>
  <w:style w:type="character" w:styleId="Strong">
    <w:name w:val="Strong"/>
    <w:basedOn w:val="DefaultParagraphFont"/>
    <w:uiPriority w:val="22"/>
    <w:qFormat/>
    <w:rPr>
      <w:b/>
      <w:bC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60" w:line="240" w:lineRule="exact"/>
      <w:jc w:val="both"/>
    </w:pPr>
    <w:rPr>
      <w:sz w:val="20"/>
      <w:szCs w:val="20"/>
      <w:vertAlign w:val="superscript"/>
    </w:rPr>
  </w:style>
  <w:style w:type="table" w:styleId="TableGrid1">
    <w:name w:val="Table Grid 1"/>
    <w:basedOn w:val="TableNormal"/>
    <w:unhideWhenUsed/>
    <w:pPr>
      <w:spacing w:after="240" w:line="240" w:lineRule="auto"/>
      <w:jc w:val="both"/>
    </w:pPr>
    <w:rPr>
      <w:rFonts w:ascii="Times New Roman" w:eastAsia="Times New Roman" w:hAnsi="Times New Roman" w:cs="Times New Roman"/>
      <w:sz w:val="20"/>
      <w:szCs w:val="20"/>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val="nl-BE" w:eastAsia="nl-BE"/>
    </w:rPr>
    <w:tblPr/>
  </w:style>
  <w:style w:type="character" w:styleId="CommentReference">
    <w:name w:val="annotation reference"/>
    <w:basedOn w:val="DefaultParagraphFont"/>
    <w:uiPriority w:val="99"/>
    <w:unhideWhenUsed/>
    <w:rPr>
      <w:sz w:val="16"/>
      <w:szCs w:val="16"/>
    </w:rPr>
  </w:style>
  <w:style w:type="table" w:styleId="TableGrid">
    <w:name w:val="Table Grid"/>
    <w:aliases w:val="Document Table"/>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Caption1 Char Char Char Char Char Char Char Char Tegn Tegn Tegn Tegn Tegn Char,Caption1 Char Char Char Char Char Char Char Char Tegn Tegn Tegn Char,Caption1 Char Char Char Char Char Char Char Char Tegn Tegn Char, Char Char Char Char"/>
    <w:link w:val="Caption"/>
    <w:uiPriority w:val="35"/>
    <w:rPr>
      <w:rFonts w:ascii="Times New Roman" w:eastAsia="Times New Roman" w:hAnsi="Times New Roman" w:cs="Times New Roman"/>
      <w:b/>
      <w:sz w:val="24"/>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NormalWeb">
    <w:name w:val="Normal (Web)"/>
    <w:basedOn w:val="Normal"/>
    <w:uiPriority w:val="99"/>
    <w:unhideWhenUsed/>
    <w:pPr>
      <w:spacing w:before="100" w:beforeAutospacing="1" w:after="100" w:afterAutospacing="1"/>
    </w:pPr>
    <w:rPr>
      <w:rFonts w:eastAsiaTheme="minorEastAsia"/>
    </w:rPr>
  </w:style>
  <w:style w:type="table" w:styleId="LightList-Accent1">
    <w:name w:val="Light List Accent 1"/>
    <w:basedOn w:val="TableNormal"/>
    <w:uiPriority w:val="61"/>
    <w:pPr>
      <w:spacing w:after="0" w:line="240" w:lineRule="auto"/>
    </w:pPr>
    <w:rPr>
      <w:rFonts w:eastAsiaTheme="minorEastAsia"/>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Cuadrculaclara-nfasis1512">
    <w:name w:val="Cuadrícula clara - Énfasis 1512"/>
    <w:basedOn w:val="TableNormal"/>
    <w:uiPriority w:val="62"/>
    <w:pPr>
      <w:spacing w:after="0" w:line="240" w:lineRule="auto"/>
      <w:jc w:val="center"/>
    </w:pPr>
    <w:rPr>
      <w:rFonts w:ascii="Arial" w:hAnsi="Arial"/>
      <w:sz w:val="18"/>
      <w:lang w:val="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vAlign w:val="center"/>
    </w:tcPr>
    <w:tblStylePr w:type="firstRow">
      <w:pPr>
        <w:spacing w:before="0" w:after="0" w:line="240" w:lineRule="auto"/>
        <w:jc w:val="center"/>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jc w:val="center"/>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pPr>
        <w:jc w:val="center"/>
      </w:pPr>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pPr>
        <w:jc w:val="center"/>
      </w:p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ource">
    <w:name w:val="Source"/>
    <w:basedOn w:val="Normal"/>
    <w:next w:val="Normal"/>
    <w:link w:val="SourceChar"/>
    <w:qFormat/>
    <w:pPr>
      <w:spacing w:after="360"/>
      <w:jc w:val="both"/>
    </w:pPr>
    <w:rPr>
      <w:rFonts w:asciiTheme="minorHAnsi" w:eastAsiaTheme="minorHAnsi" w:hAnsiTheme="minorHAnsi" w:cstheme="minorBidi"/>
      <w:color w:val="1F497D" w:themeColor="text2"/>
      <w:sz w:val="18"/>
      <w:szCs w:val="22"/>
      <w:lang w:eastAsia="en-US"/>
    </w:rPr>
  </w:style>
  <w:style w:type="character" w:customStyle="1" w:styleId="SourceChar">
    <w:name w:val="Source Char"/>
    <w:basedOn w:val="DefaultParagraphFont"/>
    <w:link w:val="Source"/>
    <w:rPr>
      <w:color w:val="1F497D" w:themeColor="text2"/>
      <w:sz w:val="18"/>
    </w:rPr>
  </w:style>
  <w:style w:type="character" w:customStyle="1" w:styleId="A10">
    <w:name w:val="A10"/>
    <w:basedOn w:val="DefaultParagraphFont"/>
    <w:uiPriority w:val="99"/>
    <w:rPr>
      <w:rFonts w:ascii="EC Square Sans Pro" w:hAnsi="EC Square Sans Pro" w:hint="default"/>
      <w:color w:val="000000"/>
    </w:rPr>
  </w:style>
  <w:style w:type="paragraph" w:customStyle="1" w:styleId="normaltext">
    <w:name w:val="normal text"/>
    <w:basedOn w:val="Normal"/>
    <w:qFormat/>
    <w:pPr>
      <w:spacing w:before="120" w:after="120" w:line="264" w:lineRule="auto"/>
      <w:jc w:val="both"/>
    </w:pPr>
    <w:rPr>
      <w:rFonts w:ascii="Arial" w:eastAsiaTheme="minorEastAsia" w:hAnsi="Arial" w:cstheme="minorBidi"/>
      <w:sz w:val="20"/>
      <w:lang w:val="en-US" w:eastAsia="en-US"/>
    </w:rPr>
  </w:style>
  <w:style w:type="paragraph" w:customStyle="1" w:styleId="source0">
    <w:name w:val="source"/>
    <w:basedOn w:val="Normal"/>
    <w:link w:val="sourceChar0"/>
    <w:qFormat/>
    <w:pPr>
      <w:spacing w:after="200" w:line="276" w:lineRule="auto"/>
      <w:jc w:val="both"/>
    </w:pPr>
    <w:rPr>
      <w:rFonts w:eastAsiaTheme="minorHAnsi" w:cstheme="minorBidi"/>
      <w:sz w:val="20"/>
      <w:szCs w:val="22"/>
      <w:lang w:eastAsia="en-US"/>
    </w:rPr>
  </w:style>
  <w:style w:type="paragraph" w:customStyle="1" w:styleId="Caption1">
    <w:name w:val="Caption1"/>
    <w:basedOn w:val="Caption"/>
    <w:link w:val="captionChar0"/>
    <w:qFormat/>
    <w:pPr>
      <w:spacing w:before="0" w:after="200"/>
    </w:pPr>
    <w:rPr>
      <w:rFonts w:eastAsiaTheme="minorHAnsi" w:cstheme="minorBidi"/>
      <w:bCs/>
      <w:color w:val="4F81BD" w:themeColor="accent1"/>
      <w:sz w:val="18"/>
      <w:szCs w:val="18"/>
    </w:rPr>
  </w:style>
  <w:style w:type="character" w:customStyle="1" w:styleId="sourceChar0">
    <w:name w:val="source Char"/>
    <w:basedOn w:val="DefaultParagraphFont"/>
    <w:link w:val="source0"/>
    <w:rPr>
      <w:rFonts w:ascii="Times New Roman" w:hAnsi="Times New Roman"/>
      <w:sz w:val="20"/>
    </w:rPr>
  </w:style>
  <w:style w:type="character" w:customStyle="1" w:styleId="captionChar0">
    <w:name w:val="caption Char"/>
    <w:basedOn w:val="DefaultParagraphFont"/>
    <w:link w:val="Caption1"/>
    <w:rPr>
      <w:rFonts w:ascii="Times New Roman" w:hAnsi="Times New Roman"/>
      <w:b/>
      <w:bCs/>
      <w:color w:val="4F81BD" w:themeColor="accent1"/>
      <w:sz w:val="18"/>
      <w:szCs w:val="18"/>
    </w:rPr>
  </w:style>
  <w:style w:type="paragraph" w:customStyle="1" w:styleId="RTDBulletpoint1">
    <w:name w:val="RTD Bullet point1"/>
    <w:basedOn w:val="NormalIndent"/>
    <w:link w:val="RTDBulletpoint1Char"/>
    <w:qFormat/>
    <w:pPr>
      <w:numPr>
        <w:numId w:val="20"/>
      </w:numPr>
      <w:ind w:left="284" w:hanging="284"/>
    </w:pPr>
    <w:rPr>
      <w:rFonts w:ascii="Verdana" w:hAnsi="Verdana"/>
      <w:sz w:val="20"/>
      <w:lang w:val="en-US" w:eastAsia="nl-BE"/>
    </w:rPr>
  </w:style>
  <w:style w:type="character" w:customStyle="1" w:styleId="RTDBulletpoint1Char">
    <w:name w:val="RTD Bullet point1 Char"/>
    <w:basedOn w:val="DefaultParagraphFont"/>
    <w:link w:val="RTDBulletpoint1"/>
    <w:rPr>
      <w:rFonts w:ascii="Verdana" w:eastAsia="Times New Roman" w:hAnsi="Verdana" w:cs="Times New Roman"/>
      <w:sz w:val="20"/>
      <w:szCs w:val="20"/>
      <w:lang w:val="en-US" w:eastAsia="nl-BE"/>
    </w:rPr>
  </w:style>
  <w:style w:type="paragraph" w:customStyle="1" w:styleId="RTDBody">
    <w:name w:val="RTD Body"/>
    <w:basedOn w:val="Normal"/>
    <w:link w:val="RTDBodyChar"/>
    <w:qFormat/>
    <w:pPr>
      <w:spacing w:after="240"/>
    </w:pPr>
    <w:rPr>
      <w:rFonts w:ascii="Verdana" w:hAnsi="Verdana"/>
      <w:sz w:val="20"/>
      <w:szCs w:val="18"/>
      <w:lang w:val="nl-BE" w:eastAsia="nl-BE"/>
    </w:rPr>
  </w:style>
  <w:style w:type="character" w:customStyle="1" w:styleId="RTDBodyChar">
    <w:name w:val="RTD Body Char"/>
    <w:link w:val="RTDBody"/>
    <w:rPr>
      <w:rFonts w:ascii="Verdana" w:eastAsia="Times New Roman" w:hAnsi="Verdana" w:cs="Times New Roman"/>
      <w:sz w:val="20"/>
      <w:szCs w:val="18"/>
      <w:lang w:val="nl-BE" w:eastAsia="nl-BE"/>
    </w:rPr>
  </w:style>
  <w:style w:type="paragraph" w:customStyle="1" w:styleId="RTDHeading02">
    <w:name w:val="RTD_Heading_02"/>
    <w:basedOn w:val="Normal"/>
    <w:qFormat/>
    <w:pPr>
      <w:numPr>
        <w:ilvl w:val="1"/>
        <w:numId w:val="21"/>
      </w:numPr>
      <w:spacing w:after="240" w:line="276" w:lineRule="auto"/>
      <w:ind w:left="1080"/>
      <w:jc w:val="both"/>
    </w:pPr>
    <w:rPr>
      <w:rFonts w:ascii="Verdana" w:hAnsi="Verdana"/>
      <w:b/>
      <w:sz w:val="20"/>
      <w:szCs w:val="18"/>
      <w:lang w:val="it-IT" w:eastAsia="nl-BE"/>
    </w:rPr>
  </w:style>
  <w:style w:type="paragraph" w:customStyle="1" w:styleId="RTDHeading03">
    <w:name w:val="RTD_Heading_03"/>
    <w:basedOn w:val="RTDBody"/>
    <w:next w:val="ListParagraph"/>
    <w:link w:val="RTDHeading03Char"/>
    <w:qFormat/>
    <w:pPr>
      <w:numPr>
        <w:ilvl w:val="2"/>
        <w:numId w:val="21"/>
      </w:numPr>
      <w:ind w:left="1800"/>
      <w:jc w:val="both"/>
    </w:pPr>
    <w:rPr>
      <w:i/>
      <w:lang w:val="it-IT"/>
    </w:rPr>
  </w:style>
  <w:style w:type="numbering" w:customStyle="1" w:styleId="RTDList">
    <w:name w:val="RTD List"/>
    <w:uiPriority w:val="99"/>
    <w:pPr>
      <w:numPr>
        <w:numId w:val="23"/>
      </w:numPr>
    </w:pPr>
  </w:style>
  <w:style w:type="paragraph" w:customStyle="1" w:styleId="Titre4">
    <w:name w:val="Titre 4"/>
    <w:basedOn w:val="Normal"/>
    <w:pPr>
      <w:numPr>
        <w:ilvl w:val="3"/>
        <w:numId w:val="21"/>
      </w:numPr>
      <w:spacing w:after="240"/>
      <w:jc w:val="both"/>
    </w:pPr>
    <w:rPr>
      <w:rFonts w:ascii="Verdana" w:hAnsi="Verdana"/>
      <w:sz w:val="18"/>
      <w:szCs w:val="18"/>
      <w:lang w:val="nl-BE" w:eastAsia="nl-BE"/>
    </w:rPr>
  </w:style>
  <w:style w:type="character" w:customStyle="1" w:styleId="RTDHeading03Char">
    <w:name w:val="RTD_Heading_03 Char"/>
    <w:basedOn w:val="RTDBodyChar"/>
    <w:link w:val="RTDHeading03"/>
    <w:rPr>
      <w:rFonts w:ascii="Verdana" w:eastAsia="Times New Roman" w:hAnsi="Verdana" w:cs="Times New Roman"/>
      <w:i/>
      <w:sz w:val="20"/>
      <w:szCs w:val="18"/>
      <w:lang w:val="it-IT" w:eastAsia="nl-BE"/>
    </w:rPr>
  </w:style>
  <w:style w:type="table" w:styleId="LightShading-Accent1">
    <w:name w:val="Light Shading Accent 1"/>
    <w:basedOn w:val="TableNormal"/>
    <w:uiPriority w:val="60"/>
    <w:pPr>
      <w:spacing w:after="0" w:line="240" w:lineRule="auto"/>
    </w:pPr>
    <w:rPr>
      <w:rFonts w:ascii="Times New Roman" w:eastAsia="Times New Roman" w:hAnsi="Times New Roman" w:cs="Times New Roman"/>
      <w:color w:val="365F91" w:themeColor="accent1" w:themeShade="BF"/>
      <w:sz w:val="20"/>
      <w:szCs w:val="20"/>
      <w:lang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
    <w:name w:val="Table"/>
    <w:basedOn w:val="Normal"/>
    <w:next w:val="BodyText"/>
    <w:link w:val="TableChar"/>
    <w:uiPriority w:val="11"/>
    <w:qFormat/>
    <w:pPr>
      <w:keepNext/>
      <w:tabs>
        <w:tab w:val="num" w:pos="851"/>
      </w:tabs>
      <w:spacing w:before="120" w:after="120" w:line="240" w:lineRule="atLeast"/>
      <w:ind w:left="1928" w:hanging="1077"/>
    </w:pPr>
    <w:rPr>
      <w:rFonts w:ascii="Calibri" w:eastAsiaTheme="minorHAnsi" w:hAnsi="Calibri"/>
      <w:b/>
      <w:color w:val="0067AC"/>
      <w:sz w:val="20"/>
      <w:lang w:eastAsia="en-US"/>
    </w:rPr>
  </w:style>
  <w:style w:type="character" w:customStyle="1" w:styleId="TableChar">
    <w:name w:val="Table Char"/>
    <w:basedOn w:val="DefaultParagraphFont"/>
    <w:link w:val="Table"/>
    <w:uiPriority w:val="11"/>
    <w:rPr>
      <w:rFonts w:ascii="Calibri" w:hAnsi="Calibri" w:cs="Times New Roman"/>
      <w:b/>
      <w:color w:val="0067AC"/>
      <w:sz w:val="20"/>
      <w:szCs w:val="24"/>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TextChar">
    <w:name w:val="Text Char"/>
    <w:basedOn w:val="DefaultParagraphFont"/>
    <w:locked/>
    <w:rPr>
      <w:rFonts w:eastAsiaTheme="minorEastAsia"/>
      <w:noProof/>
      <w:sz w:val="24"/>
      <w:lang w:eastAsia="lt-LT"/>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character" w:styleId="SubtleEmphasis">
    <w:name w:val="Subtle Emphasis"/>
    <w:basedOn w:val="DefaultParagraphFont"/>
    <w:uiPriority w:val="19"/>
    <w:qFormat/>
    <w:rPr>
      <w:i/>
      <w:iCs/>
      <w:color w:val="404040" w:themeColor="text1" w:themeTint="BF"/>
    </w:rPr>
  </w:style>
  <w:style w:type="table" w:styleId="LightGrid-Accent1">
    <w:name w:val="Light Grid Accent 1"/>
    <w:basedOn w:val="TableNormal"/>
    <w:uiPriority w:val="62"/>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BodyTextNoSpace">
    <w:name w:val="Body TextNoSpace"/>
    <w:basedOn w:val="BodyText"/>
    <w:uiPriority w:val="1"/>
    <w:qFormat/>
    <w:pPr>
      <w:spacing w:after="0" w:line="240" w:lineRule="atLeast"/>
      <w:ind w:left="851"/>
      <w:jc w:val="left"/>
    </w:pPr>
    <w:rPr>
      <w:rFonts w:ascii="Arial" w:eastAsiaTheme="minorHAnsi" w:hAnsi="Arial"/>
      <w:sz w:val="20"/>
      <w:szCs w:val="24"/>
    </w:rPr>
  </w:style>
  <w:style w:type="numbering" w:customStyle="1" w:styleId="NoList1">
    <w:name w:val="No List1"/>
    <w:next w:val="NoList"/>
    <w:uiPriority w:val="99"/>
    <w:semiHidden/>
    <w:unhideWhenUsed/>
  </w:style>
  <w:style w:type="table" w:customStyle="1" w:styleId="DocumentTable1">
    <w:name w:val="Document Table1"/>
    <w:basedOn w:val="TableNormal"/>
    <w:next w:val="TableGrid"/>
    <w:uiPriority w:val="59"/>
    <w:pPr>
      <w:spacing w:after="0" w:line="240" w:lineRule="auto"/>
    </w:pPr>
    <w:rPr>
      <w:rFonts w:ascii="Calibri" w:eastAsia="Times New Roman"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pPr>
      <w:spacing w:line="181" w:lineRule="atLeast"/>
    </w:pPr>
    <w:rPr>
      <w:rFonts w:ascii="HANJD X+ Gotham" w:eastAsia="Times New Roman" w:hAnsi="HANJD X+ Gotham"/>
      <w:color w:val="auto"/>
      <w:lang w:eastAsia="en-GB"/>
    </w:rPr>
  </w:style>
  <w:style w:type="paragraph" w:customStyle="1" w:styleId="f13">
    <w:name w:val="f13"/>
    <w:basedOn w:val="Normal"/>
    <w:pPr>
      <w:spacing w:before="100" w:beforeAutospacing="1" w:after="100" w:afterAutospacing="1"/>
    </w:pPr>
  </w:style>
  <w:style w:type="paragraph" w:customStyle="1" w:styleId="Tableau">
    <w:name w:val="Tableau"/>
    <w:basedOn w:val="Normal"/>
    <w:next w:val="Normal"/>
    <w:pPr>
      <w:keepNext/>
      <w:keepLines/>
      <w:spacing w:after="40" w:line="290" w:lineRule="atLeast"/>
    </w:pPr>
    <w:rPr>
      <w:rFonts w:ascii="Verdana" w:hAnsi="Verdana"/>
      <w:sz w:val="17"/>
      <w:lang w:eastAsia="en-US"/>
    </w:rPr>
  </w:style>
  <w:style w:type="paragraph" w:customStyle="1" w:styleId="TitreTableau">
    <w:name w:val="Titre Tableau"/>
    <w:basedOn w:val="Caption"/>
    <w:next w:val="Tableau"/>
    <w:link w:val="TitreTableauChar"/>
    <w:pPr>
      <w:keepNext/>
      <w:keepLines/>
      <w:tabs>
        <w:tab w:val="left" w:pos="1276"/>
      </w:tabs>
      <w:spacing w:line="290" w:lineRule="atLeast"/>
      <w:ind w:left="1276" w:hanging="1276"/>
    </w:pPr>
    <w:rPr>
      <w:rFonts w:ascii="Verdana" w:hAnsi="Verdana"/>
      <w:bCs/>
      <w:sz w:val="20"/>
      <w:szCs w:val="22"/>
    </w:rPr>
  </w:style>
  <w:style w:type="character" w:customStyle="1" w:styleId="TitreTableauChar">
    <w:name w:val="Titre Tableau Char"/>
    <w:link w:val="TitreTableau"/>
    <w:locked/>
    <w:rPr>
      <w:rFonts w:ascii="Verdana" w:eastAsia="Times New Roman" w:hAnsi="Verdana" w:cs="Times New Roman"/>
      <w:b/>
      <w:bCs/>
      <w:sz w:val="20"/>
    </w:rPr>
  </w:style>
  <w:style w:type="table" w:customStyle="1" w:styleId="HelleListe-Akzent11">
    <w:name w:val="Helle Liste - Akzent 11"/>
    <w:basedOn w:val="TableNormal"/>
    <w:uiPriority w:val="61"/>
    <w:pPr>
      <w:spacing w:after="0" w:line="240" w:lineRule="auto"/>
    </w:pPr>
    <w:rPr>
      <w:rFonts w:ascii="Calibri" w:eastAsia="Times New Roman" w:hAnsi="Calibri" w:cs="Times New Roman"/>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odyA">
    <w:name w:val="Body A"/>
    <w:pPr>
      <w:spacing w:after="240" w:line="240" w:lineRule="auto"/>
      <w:jc w:val="both"/>
    </w:pPr>
    <w:rPr>
      <w:rFonts w:ascii="Times New Roman" w:eastAsia="Arial Unicode MS" w:hAnsi="Times New Roman" w:cs="Arial Unicode MS"/>
      <w:color w:val="000000"/>
      <w:sz w:val="24"/>
      <w:szCs w:val="24"/>
      <w:u w:color="000000"/>
      <w:lang w:val="en-US" w:eastAsia="en-GB"/>
    </w:rPr>
  </w:style>
  <w:style w:type="table" w:customStyle="1" w:styleId="DocumentTable2">
    <w:name w:val="Document Table2"/>
    <w:basedOn w:val="TableNormal"/>
    <w:next w:val="TableGrid"/>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DocumentTable3">
    <w:name w:val="Document Table3"/>
    <w:basedOn w:val="TableNormal"/>
    <w:next w:val="TableGrid"/>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customStyle="1" w:styleId="FactsheetBody">
    <w:name w:val="Factsheet Body"/>
    <w:basedOn w:val="Normal"/>
    <w:link w:val="FactsheetBodyChar"/>
    <w:qFormat/>
    <w:pPr>
      <w:spacing w:after="200" w:line="276" w:lineRule="auto"/>
      <w:ind w:left="-567"/>
      <w:jc w:val="both"/>
    </w:pPr>
    <w:rPr>
      <w:rFonts w:ascii="EC Square Sans Pro" w:eastAsia="Calibri" w:hAnsi="EC Square Sans Pro"/>
      <w:sz w:val="22"/>
      <w:szCs w:val="22"/>
      <w:lang w:eastAsia="en-US"/>
    </w:rPr>
  </w:style>
  <w:style w:type="character" w:customStyle="1" w:styleId="FactsheetBodyChar">
    <w:name w:val="Factsheet Body Char"/>
    <w:link w:val="FactsheetBody"/>
    <w:rPr>
      <w:rFonts w:ascii="EC Square Sans Pro" w:eastAsia="Calibri" w:hAnsi="EC Square Sans Pro" w:cs="Times New Roman"/>
    </w:rPr>
  </w:style>
  <w:style w:type="table" w:customStyle="1" w:styleId="DocumentTable4">
    <w:name w:val="Document Table4"/>
    <w:basedOn w:val="TableNormal"/>
    <w:next w:val="TableGrid"/>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customStyle="1" w:styleId="CM1">
    <w:name w:val="CM1"/>
    <w:basedOn w:val="Normal"/>
    <w:next w:val="Normal"/>
    <w:uiPriority w:val="99"/>
    <w:pPr>
      <w:autoSpaceDE w:val="0"/>
      <w:autoSpaceDN w:val="0"/>
      <w:adjustRightInd w:val="0"/>
    </w:pPr>
    <w:rPr>
      <w:rFonts w:ascii="EUAlbertina" w:eastAsia="Calibri" w:hAnsi="EUAlbertina"/>
    </w:rPr>
  </w:style>
  <w:style w:type="paragraph" w:customStyle="1" w:styleId="CM3">
    <w:name w:val="CM3"/>
    <w:basedOn w:val="Default"/>
    <w:next w:val="Default"/>
    <w:uiPriority w:val="99"/>
    <w:rPr>
      <w:rFonts w:ascii="EUAlbertina" w:eastAsia="Times New Roman" w:hAnsi="EUAlbertina"/>
      <w:color w:val="auto"/>
      <w:lang w:eastAsia="en-GB"/>
    </w:rPr>
  </w:style>
  <w:style w:type="table" w:customStyle="1" w:styleId="DocumentTable41">
    <w:name w:val="Document Table41"/>
    <w:basedOn w:val="TableNormal"/>
    <w:next w:val="TableGrid"/>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Cuadrculaclara-nfasis11">
    <w:name w:val="Cuadrícula clara - Énfasis 11"/>
    <w:basedOn w:val="TableNormal"/>
    <w:uiPriority w:val="62"/>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None">
    <w:name w:val="None"/>
  </w:style>
  <w:style w:type="paragraph" w:customStyle="1" w:styleId="Title1">
    <w:name w:val="Title 1"/>
    <w:basedOn w:val="Normal"/>
    <w:next w:val="Normal"/>
    <w:qFormat/>
    <w:pPr>
      <w:numPr>
        <w:numId w:val="22"/>
      </w:numPr>
      <w:tabs>
        <w:tab w:val="num" w:pos="360"/>
      </w:tabs>
      <w:spacing w:before="240" w:after="240"/>
      <w:outlineLvl w:val="0"/>
    </w:pPr>
    <w:rPr>
      <w:rFonts w:ascii="Verdana" w:eastAsiaTheme="minorHAnsi" w:hAnsi="Verdana" w:cstheme="minorBidi"/>
      <w:b/>
      <w:caps/>
      <w:sz w:val="22"/>
      <w:szCs w:val="22"/>
      <w:lang w:eastAsia="en-US"/>
    </w:rPr>
  </w:style>
  <w:style w:type="paragraph" w:customStyle="1" w:styleId="Title2">
    <w:name w:val="Title 2"/>
    <w:basedOn w:val="Title1"/>
    <w:next w:val="Normal"/>
    <w:qFormat/>
    <w:pPr>
      <w:numPr>
        <w:ilvl w:val="2"/>
      </w:numPr>
      <w:tabs>
        <w:tab w:val="num" w:pos="360"/>
      </w:tabs>
      <w:outlineLvl w:val="1"/>
    </w:pPr>
    <w:rPr>
      <w:i/>
      <w:caps w:val="0"/>
      <w:sz w:val="20"/>
    </w:rPr>
  </w:style>
  <w:style w:type="table" w:customStyle="1" w:styleId="DocumentTable5">
    <w:name w:val="Document Table5"/>
    <w:basedOn w:val="TableNormal"/>
    <w:next w:val="TableGrid"/>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styleId="Emphasis">
    <w:name w:val="Emphasis"/>
    <w:basedOn w:val="DefaultParagraphFont"/>
    <w:uiPriority w:val="20"/>
    <w:qFormat/>
    <w:rPr>
      <w:i/>
      <w:iCs/>
    </w:rPr>
  </w:style>
  <w:style w:type="character" w:customStyle="1" w:styleId="tgc">
    <w:name w:val="_tgc"/>
    <w:basedOn w:val="DefaultParagraphFont"/>
  </w:style>
  <w:style w:type="paragraph" w:customStyle="1" w:styleId="CM4">
    <w:name w:val="CM4"/>
    <w:basedOn w:val="Normal"/>
    <w:next w:val="Normal"/>
    <w:uiPriority w:val="99"/>
    <w:pPr>
      <w:autoSpaceDE w:val="0"/>
      <w:autoSpaceDN w:val="0"/>
      <w:adjustRightInd w:val="0"/>
    </w:pPr>
    <w:rPr>
      <w:rFonts w:ascii="EUAlbertina" w:hAnsi="EUAlbertina"/>
    </w:rPr>
  </w:style>
  <w:style w:type="character" w:customStyle="1" w:styleId="FootnoteTextChar1">
    <w:name w:val="Footnote Text Char1"/>
    <w:aliases w:val="fn Char1,FT Char1,ft Char1,SD Footnote Text Char1,Footnote Text AG Char1,Fußnotentextf Char1,Note de bas de page Car Car Char1,Note de bas de page Car Car Car Car Car Char1,Note de bas de page Car Car Car Car Char1,stile 1 Char1"/>
    <w:basedOn w:val="DefaultParagraphFont"/>
    <w:uiPriority w:val="99"/>
    <w:semiHidden/>
    <w:locked/>
    <w:rPr>
      <w:rFonts w:ascii="Arial" w:hAnsi="Arial" w:cs="Arial"/>
      <w:sz w:val="20"/>
      <w:szCs w:val="20"/>
      <w:lang w:val="en-US" w:eastAsia="en-US"/>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pPr>
      <w:spacing w:after="160" w:line="240" w:lineRule="exact"/>
      <w:jc w:val="both"/>
    </w:pPr>
    <w:rPr>
      <w:rFonts w:ascii="Arial" w:hAnsi="Arial" w:cs="Arial"/>
      <w:position w:val="6"/>
      <w:szCs w:val="20"/>
      <w:vertAlign w:val="superscript"/>
      <w:lang w:val="en-US" w:eastAsia="en-US"/>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Pr>
      <w:rFonts w:ascii="Arial" w:eastAsia="Times New Roman" w:hAnsi="Arial" w:cs="Arial"/>
      <w:vanish/>
      <w:sz w:val="16"/>
      <w:szCs w:val="16"/>
      <w:lang w:eastAsia="en-GB"/>
    </w:rPr>
  </w:style>
  <w:style w:type="paragraph" w:customStyle="1" w:styleId="Body">
    <w:name w:val="Body"/>
    <w:basedOn w:val="Normal"/>
    <w:link w:val="BodyChar"/>
    <w:qFormat/>
    <w:pPr>
      <w:spacing w:before="120" w:line="276" w:lineRule="auto"/>
      <w:jc w:val="both"/>
    </w:pPr>
    <w:rPr>
      <w:rFonts w:ascii="Verdana" w:hAnsi="Verdana"/>
      <w:sz w:val="20"/>
      <w:szCs w:val="20"/>
      <w:lang w:eastAsia="en-US"/>
    </w:rPr>
  </w:style>
  <w:style w:type="character" w:customStyle="1" w:styleId="BodyChar">
    <w:name w:val="Body Char"/>
    <w:link w:val="Body"/>
    <w:rPr>
      <w:rFonts w:ascii="Verdana" w:eastAsia="Times New Roman" w:hAnsi="Verdana" w:cs="Times New Roman"/>
      <w:sz w:val="20"/>
      <w:szCs w:val="20"/>
    </w:rPr>
  </w:style>
  <w:style w:type="paragraph" w:customStyle="1" w:styleId="PSParagraphTitle">
    <w:name w:val="PS_Paragraph_Title"/>
    <w:basedOn w:val="Normal"/>
    <w:link w:val="PSParagraphTitleChar"/>
    <w:qFormat/>
    <w:pPr>
      <w:spacing w:before="120" w:after="120"/>
      <w:jc w:val="both"/>
    </w:pPr>
    <w:rPr>
      <w:b/>
      <w:i/>
      <w:sz w:val="20"/>
      <w:szCs w:val="20"/>
    </w:rPr>
  </w:style>
  <w:style w:type="character" w:customStyle="1" w:styleId="PSParagraphTitleChar">
    <w:name w:val="PS_Paragraph_Title Char"/>
    <w:basedOn w:val="DefaultParagraphFont"/>
    <w:link w:val="PSParagraphTitle"/>
    <w:rPr>
      <w:rFonts w:ascii="Times New Roman" w:eastAsia="Times New Roman" w:hAnsi="Times New Roman" w:cs="Times New Roman"/>
      <w:b/>
      <w:i/>
      <w:sz w:val="20"/>
      <w:szCs w:val="20"/>
      <w:lang w:eastAsia="en-GB"/>
    </w:rPr>
  </w:style>
  <w:style w:type="paragraph" w:customStyle="1" w:styleId="PSNormal">
    <w:name w:val="PS_Normal"/>
    <w:basedOn w:val="Normal"/>
    <w:pPr>
      <w:jc w:val="both"/>
    </w:pPr>
    <w:rPr>
      <w:sz w:val="20"/>
      <w:szCs w:val="20"/>
    </w:rPr>
  </w:style>
  <w:style w:type="paragraph" w:customStyle="1" w:styleId="PStabletxtCenter">
    <w:name w:val="PS_table_txt_Center"/>
    <w:link w:val="PStabletxtCenterChar"/>
    <w:qFormat/>
    <w:pPr>
      <w:spacing w:after="0" w:line="240" w:lineRule="auto"/>
      <w:jc w:val="center"/>
    </w:pPr>
    <w:rPr>
      <w:rFonts w:ascii="Times New Roman" w:eastAsia="Times New Roman" w:hAnsi="Times New Roman" w:cs="Times New Roman"/>
      <w:sz w:val="18"/>
      <w:szCs w:val="20"/>
      <w:lang w:eastAsia="en-GB"/>
    </w:rPr>
  </w:style>
  <w:style w:type="character" w:customStyle="1" w:styleId="PStabletxtCenterChar">
    <w:name w:val="PS_table_txt_Center Char"/>
    <w:basedOn w:val="DefaultParagraphFont"/>
    <w:link w:val="PStabletxtCenter"/>
    <w:rPr>
      <w:rFonts w:ascii="Times New Roman" w:eastAsia="Times New Roman" w:hAnsi="Times New Roman" w:cs="Times New Roman"/>
      <w:sz w:val="18"/>
      <w:szCs w:val="20"/>
      <w:lang w:eastAsia="en-GB"/>
    </w:rPr>
  </w:style>
  <w:style w:type="character" w:customStyle="1" w:styleId="apple-converted-space">
    <w:name w:val="apple-converted-space"/>
    <w:basedOn w:val="DefaultParagraphFont"/>
  </w:style>
  <w:style w:type="paragraph" w:customStyle="1" w:styleId="xmsonormal">
    <w:name w:val="x_msonormal"/>
    <w:basedOn w:val="Normal"/>
    <w:pPr>
      <w:spacing w:before="100" w:beforeAutospacing="1" w:after="100" w:afterAutospacing="1"/>
    </w:pPr>
  </w:style>
  <w:style w:type="paragraph" w:customStyle="1" w:styleId="xmsoplaintext">
    <w:name w:val="x_msoplaintext"/>
    <w:basedOn w:val="Normal"/>
    <w:pPr>
      <w:spacing w:before="100" w:beforeAutospacing="1" w:after="100" w:afterAutospacing="1"/>
    </w:pPr>
  </w:style>
  <w:style w:type="character" w:styleId="BookTitle">
    <w:name w:val="Book Title"/>
    <w:aliases w:val="Recommendation"/>
    <w:autoRedefine/>
    <w:uiPriority w:val="33"/>
    <w:qFormat/>
    <w:rPr>
      <w:rFonts w:ascii="Verdana" w:hAnsi="Verdana" w:cs="Arial"/>
      <w:b/>
      <w:sz w:val="20"/>
    </w:rPr>
  </w:style>
  <w:style w:type="paragraph" w:customStyle="1" w:styleId="ListNumberTable">
    <w:name w:val="List Number Table"/>
    <w:basedOn w:val="Normal"/>
    <w:uiPriority w:val="99"/>
    <w:pPr>
      <w:numPr>
        <w:numId w:val="33"/>
      </w:numPr>
      <w:tabs>
        <w:tab w:val="clear" w:pos="567"/>
        <w:tab w:val="left" w:pos="284"/>
      </w:tabs>
      <w:overflowPunct w:val="0"/>
      <w:autoSpaceDE w:val="0"/>
      <w:autoSpaceDN w:val="0"/>
      <w:adjustRightInd w:val="0"/>
      <w:spacing w:before="120" w:after="120"/>
      <w:ind w:left="928" w:hanging="360"/>
      <w:jc w:val="both"/>
      <w:textAlignment w:val="baseline"/>
    </w:pPr>
    <w:rPr>
      <w:rFonts w:ascii="Arial" w:hAnsi="Arial" w:cs="Arial"/>
      <w:color w:val="FFFFFF"/>
      <w:sz w:val="20"/>
      <w:szCs w:val="20"/>
      <w:lang w:eastAsia="en-US"/>
    </w:rPr>
  </w:style>
  <w:style w:type="character" w:customStyle="1" w:styleId="CaptionChar1">
    <w:name w:val="Caption Char1"/>
    <w:aliases w:val="Tasks Char,Beschriftung Char1 Char1 Char,Beschriftung Char Char Char1 Char,Beschriftung Char1 Char Char Char,Beschriftung Char Char Char Char Char,Beschriftung Char Char1 Char Char,Beschriftung Char Char2 Char"/>
    <w:uiPriority w:val="35"/>
    <w:locked/>
    <w:rPr>
      <w:b/>
      <w:sz w:val="24"/>
    </w:rPr>
  </w:style>
  <w:style w:type="paragraph" w:customStyle="1" w:styleId="Declassification">
    <w:name w:val="Declassification"/>
    <w:basedOn w:val="Normal"/>
    <w:next w:val="Normal"/>
    <w:pPr>
      <w:jc w:val="both"/>
    </w:pPr>
    <w:rPr>
      <w:rFonts w:eastAsiaTheme="minorHAnsi"/>
      <w:szCs w:val="22"/>
      <w:lang w:eastAsia="en-US"/>
    </w:rPr>
  </w:style>
  <w:style w:type="paragraph" w:customStyle="1" w:styleId="HeaderLandscape">
    <w:name w:val="HeaderLandscape"/>
    <w:basedOn w:val="Normal"/>
    <w:pPr>
      <w:tabs>
        <w:tab w:val="center" w:pos="7285"/>
        <w:tab w:val="right" w:pos="14003"/>
      </w:tabs>
      <w:spacing w:after="120"/>
      <w:jc w:val="both"/>
    </w:pPr>
    <w:rPr>
      <w:rFonts w:eastAsiaTheme="minorHAnsi"/>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ind w:left="-567" w:right="-567"/>
    </w:pPr>
    <w:rPr>
      <w:rFonts w:eastAsiaTheme="minorHAnsi"/>
      <w:szCs w:val="22"/>
      <w:lang w:eastAsia="en-US"/>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01322">
      <w:bodyDiv w:val="1"/>
      <w:marLeft w:val="0"/>
      <w:marRight w:val="0"/>
      <w:marTop w:val="0"/>
      <w:marBottom w:val="0"/>
      <w:divBdr>
        <w:top w:val="none" w:sz="0" w:space="0" w:color="auto"/>
        <w:left w:val="none" w:sz="0" w:space="0" w:color="auto"/>
        <w:bottom w:val="none" w:sz="0" w:space="0" w:color="auto"/>
        <w:right w:val="none" w:sz="0" w:space="0" w:color="auto"/>
      </w:divBdr>
    </w:div>
    <w:div w:id="847018077">
      <w:bodyDiv w:val="1"/>
      <w:marLeft w:val="0"/>
      <w:marRight w:val="0"/>
      <w:marTop w:val="0"/>
      <w:marBottom w:val="0"/>
      <w:divBdr>
        <w:top w:val="none" w:sz="0" w:space="0" w:color="auto"/>
        <w:left w:val="none" w:sz="0" w:space="0" w:color="auto"/>
        <w:bottom w:val="none" w:sz="0" w:space="0" w:color="auto"/>
        <w:right w:val="none" w:sz="0" w:space="0" w:color="auto"/>
      </w:divBdr>
    </w:div>
    <w:div w:id="1027875433">
      <w:bodyDiv w:val="1"/>
      <w:marLeft w:val="0"/>
      <w:marRight w:val="0"/>
      <w:marTop w:val="0"/>
      <w:marBottom w:val="0"/>
      <w:divBdr>
        <w:top w:val="none" w:sz="0" w:space="0" w:color="auto"/>
        <w:left w:val="none" w:sz="0" w:space="0" w:color="auto"/>
        <w:bottom w:val="none" w:sz="0" w:space="0" w:color="auto"/>
        <w:right w:val="none" w:sz="0" w:space="0" w:color="auto"/>
      </w:divBdr>
    </w:div>
    <w:div w:id="1444493192">
      <w:bodyDiv w:val="1"/>
      <w:marLeft w:val="0"/>
      <w:marRight w:val="0"/>
      <w:marTop w:val="0"/>
      <w:marBottom w:val="0"/>
      <w:divBdr>
        <w:top w:val="none" w:sz="0" w:space="0" w:color="auto"/>
        <w:left w:val="none" w:sz="0" w:space="0" w:color="auto"/>
        <w:bottom w:val="none" w:sz="0" w:space="0" w:color="auto"/>
        <w:right w:val="none" w:sz="0" w:space="0" w:color="auto"/>
      </w:divBdr>
    </w:div>
    <w:div w:id="1453211802">
      <w:bodyDiv w:val="1"/>
      <w:marLeft w:val="0"/>
      <w:marRight w:val="0"/>
      <w:marTop w:val="0"/>
      <w:marBottom w:val="0"/>
      <w:divBdr>
        <w:top w:val="none" w:sz="0" w:space="0" w:color="auto"/>
        <w:left w:val="none" w:sz="0" w:space="0" w:color="auto"/>
        <w:bottom w:val="none" w:sz="0" w:space="0" w:color="auto"/>
        <w:right w:val="none" w:sz="0" w:space="0" w:color="auto"/>
      </w:divBdr>
    </w:div>
    <w:div w:id="1844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footer" Target="footer11.xml"/><Relationship Id="rId21" Type="http://schemas.openxmlformats.org/officeDocument/2006/relationships/header" Target="header6.xml"/><Relationship Id="rId34" Type="http://schemas.openxmlformats.org/officeDocument/2006/relationships/chart" Target="charts/chart2.xml"/><Relationship Id="rId42" Type="http://schemas.openxmlformats.org/officeDocument/2006/relationships/header" Target="header13.xml"/><Relationship Id="rId47" Type="http://schemas.openxmlformats.org/officeDocument/2006/relationships/footer" Target="footer15.xml"/><Relationship Id="rId50" Type="http://schemas.openxmlformats.org/officeDocument/2006/relationships/footer" Target="footer16.xml"/><Relationship Id="rId55" Type="http://schemas.openxmlformats.org/officeDocument/2006/relationships/header" Target="header20.xml"/><Relationship Id="rId63" Type="http://schemas.openxmlformats.org/officeDocument/2006/relationships/footer" Target="footer23.xml"/><Relationship Id="rId68" Type="http://schemas.openxmlformats.org/officeDocument/2006/relationships/footer" Target="footer25.xml"/><Relationship Id="rId76" Type="http://schemas.openxmlformats.org/officeDocument/2006/relationships/header" Target="header28.xml"/><Relationship Id="rId7" Type="http://schemas.openxmlformats.org/officeDocument/2006/relationships/footnotes" Target="footnotes.xml"/><Relationship Id="rId71" Type="http://schemas.openxmlformats.org/officeDocument/2006/relationships/footer" Target="footer27.xml"/><Relationship Id="rId2" Type="http://schemas.openxmlformats.org/officeDocument/2006/relationships/numbering" Target="numbering.xml"/><Relationship Id="rId16" Type="http://schemas.openxmlformats.org/officeDocument/2006/relationships/hyperlink" Target="http://www.er-alliance.org/" TargetMode="External"/><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image" Target="media/image20.emf"/><Relationship Id="rId32" Type="http://schemas.openxmlformats.org/officeDocument/2006/relationships/image" Target="media/image3.png"/><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footer" Target="footer14.xml"/><Relationship Id="rId53" Type="http://schemas.openxmlformats.org/officeDocument/2006/relationships/footer" Target="footer18.xml"/><Relationship Id="rId58" Type="http://schemas.openxmlformats.org/officeDocument/2006/relationships/header" Target="header21.xml"/><Relationship Id="rId66" Type="http://schemas.openxmlformats.org/officeDocument/2006/relationships/header" Target="header25.xml"/><Relationship Id="rId74" Type="http://schemas.openxmlformats.org/officeDocument/2006/relationships/image" Target="cid:image001.png@01D2EAC0.4BD89030" TargetMode="External"/><Relationship Id="rId79" Type="http://schemas.openxmlformats.org/officeDocument/2006/relationships/footer" Target="footer29.xml"/><Relationship Id="rId5" Type="http://schemas.openxmlformats.org/officeDocument/2006/relationships/settings" Target="settings.xml"/><Relationship Id="rId61" Type="http://schemas.openxmlformats.org/officeDocument/2006/relationships/header" Target="header23.xml"/><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chart" Target="charts/chart1.xml"/><Relationship Id="rId44" Type="http://schemas.openxmlformats.org/officeDocument/2006/relationships/footer" Target="footer13.xml"/><Relationship Id="rId52" Type="http://schemas.openxmlformats.org/officeDocument/2006/relationships/header" Target="header18.xml"/><Relationship Id="rId60" Type="http://schemas.openxmlformats.org/officeDocument/2006/relationships/header" Target="header22.xml"/><Relationship Id="rId65" Type="http://schemas.openxmlformats.org/officeDocument/2006/relationships/footer" Target="footer24.xml"/><Relationship Id="rId73" Type="http://schemas.openxmlformats.org/officeDocument/2006/relationships/image" Target="media/image6.png"/><Relationship Id="rId78" Type="http://schemas.openxmlformats.org/officeDocument/2006/relationships/footer" Target="footer28.xml"/><Relationship Id="rId81" Type="http://schemas.openxmlformats.org/officeDocument/2006/relationships/footer" Target="footer30.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5.gif"/><Relationship Id="rId43" Type="http://schemas.openxmlformats.org/officeDocument/2006/relationships/header" Target="header14.xml"/><Relationship Id="rId48" Type="http://schemas.openxmlformats.org/officeDocument/2006/relationships/header" Target="header16.xml"/><Relationship Id="rId56" Type="http://schemas.openxmlformats.org/officeDocument/2006/relationships/footer" Target="footer19.xml"/><Relationship Id="rId64" Type="http://schemas.openxmlformats.org/officeDocument/2006/relationships/header" Target="header24.xml"/><Relationship Id="rId69" Type="http://schemas.openxmlformats.org/officeDocument/2006/relationships/footer" Target="footer26.xml"/><Relationship Id="rId77" Type="http://schemas.openxmlformats.org/officeDocument/2006/relationships/header" Target="header29.xml"/><Relationship Id="rId8" Type="http://schemas.openxmlformats.org/officeDocument/2006/relationships/endnotes" Target="endnotes.xml"/><Relationship Id="rId51" Type="http://schemas.openxmlformats.org/officeDocument/2006/relationships/footer" Target="footer17.xml"/><Relationship Id="rId72" Type="http://schemas.openxmlformats.org/officeDocument/2006/relationships/chart" Target="charts/chart3.xml"/><Relationship Id="rId80" Type="http://schemas.openxmlformats.org/officeDocument/2006/relationships/header" Target="header3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image" Target="media/image4.png"/><Relationship Id="rId38" Type="http://schemas.openxmlformats.org/officeDocument/2006/relationships/footer" Target="footer10.xml"/><Relationship Id="rId46" Type="http://schemas.openxmlformats.org/officeDocument/2006/relationships/header" Target="header15.xml"/><Relationship Id="rId59" Type="http://schemas.openxmlformats.org/officeDocument/2006/relationships/footer" Target="footer21.xml"/><Relationship Id="rId67" Type="http://schemas.openxmlformats.org/officeDocument/2006/relationships/header" Target="header26.xml"/><Relationship Id="rId20" Type="http://schemas.openxmlformats.org/officeDocument/2006/relationships/footer" Target="footer5.xml"/><Relationship Id="rId41" Type="http://schemas.openxmlformats.org/officeDocument/2006/relationships/footer" Target="footer12.xml"/><Relationship Id="rId54" Type="http://schemas.openxmlformats.org/officeDocument/2006/relationships/header" Target="header19.xml"/><Relationship Id="rId62" Type="http://schemas.openxmlformats.org/officeDocument/2006/relationships/footer" Target="footer22.xml"/><Relationship Id="rId70" Type="http://schemas.openxmlformats.org/officeDocument/2006/relationships/header" Target="header27.xml"/><Relationship Id="rId75" Type="http://schemas.openxmlformats.org/officeDocument/2006/relationships/image" Target="media/image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2.emf"/><Relationship Id="rId28" Type="http://schemas.openxmlformats.org/officeDocument/2006/relationships/footer" Target="footer8.xml"/><Relationship Id="rId36" Type="http://schemas.openxmlformats.org/officeDocument/2006/relationships/header" Target="header10.xml"/><Relationship Id="rId49" Type="http://schemas.openxmlformats.org/officeDocument/2006/relationships/header" Target="header17.xml"/><Relationship Id="rId57" Type="http://schemas.openxmlformats.org/officeDocument/2006/relationships/footer" Target="footer20.xml"/></Relationships>
</file>

<file path=word/_rels/footnotes.xml.rels><?xml version="1.0" encoding="UTF-8" standalone="yes"?>
<Relationships xmlns="http://schemas.openxmlformats.org/package/2006/relationships"><Relationship Id="rId8" Type="http://schemas.openxmlformats.org/officeDocument/2006/relationships/hyperlink" Target="http://www.igdtp.eu/" TargetMode="External"/><Relationship Id="rId13" Type="http://schemas.openxmlformats.org/officeDocument/2006/relationships/hyperlink" Target="http://www.eurados.org/" TargetMode="External"/><Relationship Id="rId18" Type="http://schemas.openxmlformats.org/officeDocument/2006/relationships/hyperlink" Target="http://eur-lex.europa.eu/LexUriServ/site/en/oj/2007/l_054/l_05420070222en00210029.pdf" TargetMode="External"/><Relationship Id="rId3" Type="http://schemas.openxmlformats.org/officeDocument/2006/relationships/hyperlink" Target="http://cordis.europa.eu/projects/home_en.html" TargetMode="External"/><Relationship Id="rId21" Type="http://schemas.openxmlformats.org/officeDocument/2006/relationships/hyperlink" Target="http://ec.europa.eu/research/participants/data/ref/h2020/other/events/survey/h2020_simplification-survey_final-report_en.pdf" TargetMode="External"/><Relationship Id="rId7" Type="http://schemas.openxmlformats.org/officeDocument/2006/relationships/hyperlink" Target="http://www.snetp.eu/" TargetMode="External"/><Relationship Id="rId12" Type="http://schemas.openxmlformats.org/officeDocument/2006/relationships/hyperlink" Target="http://www.eu-neris.net/" TargetMode="External"/><Relationship Id="rId17" Type="http://schemas.openxmlformats.org/officeDocument/2006/relationships/hyperlink" Target="http://eur-lex.europa.eu/LexUriServ/site/en/oj/2007/l_054/l_05420070222en00210029.pdf" TargetMode="External"/><Relationship Id="rId2" Type="http://schemas.openxmlformats.org/officeDocument/2006/relationships/hyperlink" Target="https://ec.europa.eu/research/evaluations/index_en.cfm?pg=monitoring" TargetMode="External"/><Relationship Id="rId16" Type="http://schemas.openxmlformats.org/officeDocument/2006/relationships/hyperlink" Target="https://www.euro-fusion.org/eurofusion/the-road-to-fusion-electricity/" TargetMode="External"/><Relationship Id="rId20" Type="http://schemas.openxmlformats.org/officeDocument/2006/relationships/hyperlink" Target="http://www.eui.eu/Documents/MWP/Publications/20111012MWP-ACOSurveyResearchFunding-Full.pdf" TargetMode="External"/><Relationship Id="rId1" Type="http://schemas.openxmlformats.org/officeDocument/2006/relationships/hyperlink" Target="http://ec.europa.eu/smart-regulation/guidelines/toc_guide_en.htm" TargetMode="External"/><Relationship Id="rId6" Type="http://schemas.openxmlformats.org/officeDocument/2006/relationships/hyperlink" Target="https://www.euro-fusion.org/jet/" TargetMode="External"/><Relationship Id="rId11" Type="http://schemas.openxmlformats.org/officeDocument/2006/relationships/hyperlink" Target="http://www.er-alliance.eu/" TargetMode="External"/><Relationship Id="rId5" Type="http://schemas.openxmlformats.org/officeDocument/2006/relationships/hyperlink" Target="https://www.euro-fusion.org/eurofusion/the-road-to-fusion-electricity/" TargetMode="External"/><Relationship Id="rId15" Type="http://schemas.openxmlformats.org/officeDocument/2006/relationships/hyperlink" Target="https://setis.ec.europa.eu/implementing-integrated-set-plan/nuclear-safety-ongoing-work" TargetMode="External"/><Relationship Id="rId10" Type="http://schemas.openxmlformats.org/officeDocument/2006/relationships/hyperlink" Target="http://www.melodi-online.eu/" TargetMode="External"/><Relationship Id="rId19" Type="http://schemas.openxmlformats.org/officeDocument/2006/relationships/hyperlink" Target="https://ec.europa.eu/research/evaluations/index_en.cfm" TargetMode="External"/><Relationship Id="rId4" Type="http://schemas.openxmlformats.org/officeDocument/2006/relationships/hyperlink" Target="https://www.euro-fusion.org/" TargetMode="External"/><Relationship Id="rId9" Type="http://schemas.openxmlformats.org/officeDocument/2006/relationships/hyperlink" Target="http://www.nugenia.org/" TargetMode="External"/><Relationship Id="rId14" Type="http://schemas.openxmlformats.org/officeDocument/2006/relationships/hyperlink" Target="http://www.eibir.org/scientific-activities/joint-initiatives/european-alliance-for-medical-radiation-protection-research-eurame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rtd\G\G4\Common_files\G4%20FILES%20BY%20PERSON\LAMPITELLI%20Manuela\Documents%20&amp;%20Euratom%20Regulations\Interim%20evaluation%202017\H2020%20-%20at%20June%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rtd\G\G1\EURATOM\06%20Evaluation%20(main%20folder!)\03%20Interim%20Evaluation%20of%20Euratom%20Programme%202014-18\E&amp;Y%20report\FINAL%20REPORT\Data%20for%20figures%20-%20working%20version%20e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rtd\G\G4\Common_files\G4%20FILES%20BY%20PERSON\LAMPITELLI%20Manuela\Documents%20&amp;%20Euratom%20Regulations\Interim%20evaluation%202017\H2020%20projects%20data%20&amp;%20charts%20(June%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sz="1200"/>
              <a:t>Figure 2</a:t>
            </a:r>
            <a:r>
              <a:rPr lang="en-US" sz="1200" baseline="0"/>
              <a:t> - Euratom f</a:t>
            </a:r>
            <a:r>
              <a:rPr lang="en-US" sz="1200"/>
              <a:t>unding allocation for indirect actions during 2014-2017</a:t>
            </a:r>
          </a:p>
        </c:rich>
      </c:tx>
      <c:layout>
        <c:manualLayout>
          <c:xMode val="edge"/>
          <c:yMode val="edge"/>
          <c:x val="0.172528740360781"/>
          <c:y val="4.4305895210197697E-2"/>
        </c:manualLayout>
      </c:layout>
      <c:overlay val="0"/>
    </c:title>
    <c:autoTitleDeleted val="0"/>
    <c:plotArea>
      <c:layout/>
      <c:pieChart>
        <c:varyColors val="1"/>
        <c:ser>
          <c:idx val="0"/>
          <c:order val="0"/>
          <c:dLbls>
            <c:dLbl>
              <c:idx val="0"/>
              <c:layout>
                <c:manualLayout>
                  <c:x val="9.4488029905352697E-2"/>
                  <c:y val="-6.9006977142932496E-2"/>
                </c:manualLayout>
              </c:layout>
              <c:showLegendKey val="1"/>
              <c:showVal val="1"/>
              <c:showCatName val="1"/>
              <c:showSerName val="0"/>
              <c:showPercent val="0"/>
              <c:showBubbleSize val="0"/>
              <c:extLst>
                <c:ext xmlns:c15="http://schemas.microsoft.com/office/drawing/2012/chart" uri="{CE6537A1-D6FC-4f65-9D91-7224C49458BB}"/>
              </c:extLst>
            </c:dLbl>
            <c:dLbl>
              <c:idx val="1"/>
              <c:layout>
                <c:manualLayout>
                  <c:x val="-2.6460351546965698E-2"/>
                  <c:y val="0.124932009127"/>
                </c:manualLayout>
              </c:layout>
              <c:showLegendKey val="1"/>
              <c:showVal val="1"/>
              <c:showCatName val="1"/>
              <c:showSerName val="0"/>
              <c:showPercent val="0"/>
              <c:showBubbleSize val="0"/>
              <c:extLst>
                <c:ext xmlns:c15="http://schemas.microsoft.com/office/drawing/2012/chart" uri="{CE6537A1-D6FC-4f65-9D91-7224C49458BB}"/>
              </c:extLst>
            </c:dLbl>
            <c:dLbl>
              <c:idx val="2"/>
              <c:layout>
                <c:manualLayout>
                  <c:x val="0.21737596436809001"/>
                  <c:y val="2.4593307746079499E-2"/>
                </c:manualLayout>
              </c:layout>
              <c:showLegendKey val="1"/>
              <c:showVal val="1"/>
              <c:showCatName val="1"/>
              <c:showSerName val="0"/>
              <c:showPercent val="0"/>
              <c:showBubbleSize val="0"/>
              <c:extLst>
                <c:ext xmlns:c15="http://schemas.microsoft.com/office/drawing/2012/chart" uri="{CE6537A1-D6FC-4f65-9D91-7224C49458BB}"/>
              </c:extLst>
            </c:dLbl>
            <c:spPr>
              <a:noFill/>
              <a:ln>
                <a:noFill/>
              </a:ln>
              <a:effectLst/>
            </c:spPr>
            <c:showLegendKey val="1"/>
            <c:showVal val="1"/>
            <c:showCatName val="1"/>
            <c:showSerName val="0"/>
            <c:showPercent val="0"/>
            <c:showBubbleSize val="0"/>
            <c:showLeaderLines val="1"/>
            <c:extLst>
              <c:ext xmlns:c15="http://schemas.microsoft.com/office/drawing/2012/chart" uri="{CE6537A1-D6FC-4f65-9D91-7224C49458BB}"/>
            </c:extLst>
          </c:dLbls>
          <c:cat>
            <c:strRef>
              <c:f>'Table &amp; Pie'!$D$19:$D$21</c:f>
              <c:strCache>
                <c:ptCount val="3"/>
                <c:pt idx="0">
                  <c:v>Fusion research</c:v>
                </c:pt>
                <c:pt idx="1">
                  <c:v>Fission calls for projects</c:v>
                </c:pt>
                <c:pt idx="2">
                  <c:v>Other Actions</c:v>
                </c:pt>
              </c:strCache>
            </c:strRef>
          </c:cat>
          <c:val>
            <c:numRef>
              <c:f>'Table &amp; Pie'!$E$19:$E$21</c:f>
              <c:numCache>
                <c:formatCode>"€"#,##0.00</c:formatCode>
                <c:ptCount val="3"/>
                <c:pt idx="0">
                  <c:v>516142849</c:v>
                </c:pt>
                <c:pt idx="1">
                  <c:v>198997276.63999999</c:v>
                </c:pt>
                <c:pt idx="2" formatCode="_(&quot;€&quot;* #,##0.00_);_(&quot;€&quot;* \(#,##0.00\);_(&quot;€&quot;* &quot;-&quot;??_);_(@_)">
                  <c:v>35000000</c:v>
                </c:pt>
              </c:numCache>
            </c:numRef>
          </c:val>
        </c:ser>
        <c:dLbls>
          <c:showLegendKey val="0"/>
          <c:showVal val="0"/>
          <c:showCatName val="1"/>
          <c:showSerName val="0"/>
          <c:showPercent val="0"/>
          <c:showBubbleSize val="0"/>
          <c:showLeaderLines val="1"/>
        </c:dLbls>
        <c:firstSliceAng val="36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16'!$B$5</c:f>
              <c:strCache>
                <c:ptCount val="1"/>
                <c:pt idx="0">
                  <c:v>End-users</c:v>
                </c:pt>
              </c:strCache>
            </c:strRef>
          </c:tx>
          <c:marker>
            <c:symbol val="none"/>
          </c:marker>
          <c:trendline>
            <c:trendlineType val="linear"/>
            <c:dispRSqr val="0"/>
            <c:dispEq val="0"/>
          </c:trendline>
          <c:cat>
            <c:strRef>
              <c:f>'Figure 16'!$C$4:$I$4</c:f>
              <c:strCache>
                <c:ptCount val="7"/>
                <c:pt idx="0">
                  <c:v>2008</c:v>
                </c:pt>
                <c:pt idx="1">
                  <c:v>2009</c:v>
                </c:pt>
                <c:pt idx="2">
                  <c:v>2010</c:v>
                </c:pt>
                <c:pt idx="3">
                  <c:v>2011</c:v>
                </c:pt>
                <c:pt idx="4">
                  <c:v>2012</c:v>
                </c:pt>
                <c:pt idx="5">
                  <c:v>2013</c:v>
                </c:pt>
                <c:pt idx="6">
                  <c:v>2014-2015</c:v>
                </c:pt>
              </c:strCache>
            </c:strRef>
          </c:cat>
          <c:val>
            <c:numRef>
              <c:f>'Figure 16'!$C$5:$I$5</c:f>
              <c:numCache>
                <c:formatCode>General</c:formatCode>
                <c:ptCount val="7"/>
                <c:pt idx="0">
                  <c:v>82</c:v>
                </c:pt>
                <c:pt idx="1">
                  <c:v>168</c:v>
                </c:pt>
                <c:pt idx="2">
                  <c:v>115</c:v>
                </c:pt>
                <c:pt idx="3">
                  <c:v>137</c:v>
                </c:pt>
                <c:pt idx="4">
                  <c:v>79</c:v>
                </c:pt>
                <c:pt idx="5">
                  <c:v>253</c:v>
                </c:pt>
                <c:pt idx="6">
                  <c:v>211</c:v>
                </c:pt>
              </c:numCache>
            </c:numRef>
          </c:val>
          <c:smooth val="0"/>
        </c:ser>
        <c:dLbls>
          <c:showLegendKey val="0"/>
          <c:showVal val="0"/>
          <c:showCatName val="0"/>
          <c:showSerName val="0"/>
          <c:showPercent val="0"/>
          <c:showBubbleSize val="0"/>
        </c:dLbls>
        <c:marker val="1"/>
        <c:smooth val="0"/>
        <c:axId val="164262656"/>
        <c:axId val="164264192"/>
      </c:lineChart>
      <c:catAx>
        <c:axId val="164262656"/>
        <c:scaling>
          <c:orientation val="minMax"/>
        </c:scaling>
        <c:delete val="0"/>
        <c:axPos val="b"/>
        <c:numFmt formatCode="General" sourceLinked="0"/>
        <c:majorTickMark val="out"/>
        <c:minorTickMark val="none"/>
        <c:tickLblPos val="nextTo"/>
        <c:crossAx val="164264192"/>
        <c:crosses val="autoZero"/>
        <c:auto val="1"/>
        <c:lblAlgn val="ctr"/>
        <c:lblOffset val="100"/>
        <c:noMultiLvlLbl val="0"/>
      </c:catAx>
      <c:valAx>
        <c:axId val="164264192"/>
        <c:scaling>
          <c:orientation val="minMax"/>
        </c:scaling>
        <c:delete val="0"/>
        <c:axPos val="l"/>
        <c:majorGridlines/>
        <c:numFmt formatCode="General" sourceLinked="1"/>
        <c:majorTickMark val="out"/>
        <c:minorTickMark val="none"/>
        <c:tickLblPos val="nextTo"/>
        <c:crossAx val="1642626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0" i="0" baseline="0">
                <a:effectLst/>
              </a:rPr>
              <a:t>Euratom contributions per Member States (2014-2017)</a:t>
            </a:r>
            <a:endParaRPr lang="en-GB">
              <a:effectLst/>
            </a:endParaRPr>
          </a:p>
        </c:rich>
      </c:tx>
      <c:overlay val="0"/>
    </c:title>
    <c:autoTitleDeleted val="0"/>
    <c:plotArea>
      <c:layout/>
      <c:barChart>
        <c:barDir val="col"/>
        <c:grouping val="clustered"/>
        <c:varyColors val="0"/>
        <c:ser>
          <c:idx val="0"/>
          <c:order val="0"/>
          <c:invertIfNegative val="0"/>
          <c:cat>
            <c:strRef>
              <c:f>'Pivot country'!$D$46:$D$71</c:f>
              <c:strCache>
                <c:ptCount val="26"/>
                <c:pt idx="0">
                  <c:v>FR</c:v>
                </c:pt>
                <c:pt idx="1">
                  <c:v>DE</c:v>
                </c:pt>
                <c:pt idx="2">
                  <c:v>BE</c:v>
                </c:pt>
                <c:pt idx="3">
                  <c:v>UK</c:v>
                </c:pt>
                <c:pt idx="4">
                  <c:v>ES</c:v>
                </c:pt>
                <c:pt idx="5">
                  <c:v>SE</c:v>
                </c:pt>
                <c:pt idx="6">
                  <c:v>FI</c:v>
                </c:pt>
                <c:pt idx="7">
                  <c:v>IT</c:v>
                </c:pt>
                <c:pt idx="8">
                  <c:v>CZ</c:v>
                </c:pt>
                <c:pt idx="9">
                  <c:v>NL</c:v>
                </c:pt>
                <c:pt idx="10">
                  <c:v>PL</c:v>
                </c:pt>
                <c:pt idx="11">
                  <c:v>HU</c:v>
                </c:pt>
                <c:pt idx="12">
                  <c:v>SI</c:v>
                </c:pt>
                <c:pt idx="13">
                  <c:v>LT</c:v>
                </c:pt>
                <c:pt idx="14">
                  <c:v>SK</c:v>
                </c:pt>
                <c:pt idx="15">
                  <c:v>PT</c:v>
                </c:pt>
                <c:pt idx="16">
                  <c:v>AT</c:v>
                </c:pt>
                <c:pt idx="17">
                  <c:v>EL</c:v>
                </c:pt>
                <c:pt idx="18">
                  <c:v>BG</c:v>
                </c:pt>
                <c:pt idx="19">
                  <c:v>RO</c:v>
                </c:pt>
                <c:pt idx="20">
                  <c:v>DK</c:v>
                </c:pt>
                <c:pt idx="21">
                  <c:v>EE</c:v>
                </c:pt>
                <c:pt idx="22">
                  <c:v>HR</c:v>
                </c:pt>
                <c:pt idx="23">
                  <c:v>LV</c:v>
                </c:pt>
                <c:pt idx="24">
                  <c:v>IE</c:v>
                </c:pt>
                <c:pt idx="25">
                  <c:v>CY</c:v>
                </c:pt>
              </c:strCache>
            </c:strRef>
          </c:cat>
          <c:val>
            <c:numRef>
              <c:f>'Pivot country'!$E$46:$E$71</c:f>
              <c:numCache>
                <c:formatCode>#,##0.00</c:formatCode>
                <c:ptCount val="26"/>
                <c:pt idx="0">
                  <c:v>50997878.899999999</c:v>
                </c:pt>
                <c:pt idx="1">
                  <c:v>39524475.549999997</c:v>
                </c:pt>
                <c:pt idx="2">
                  <c:v>24141238.07</c:v>
                </c:pt>
                <c:pt idx="3">
                  <c:v>16601323.949999999</c:v>
                </c:pt>
                <c:pt idx="4">
                  <c:v>10135213.74</c:v>
                </c:pt>
                <c:pt idx="5">
                  <c:v>9546047.75</c:v>
                </c:pt>
                <c:pt idx="6">
                  <c:v>8462811.9900000002</c:v>
                </c:pt>
                <c:pt idx="7">
                  <c:v>7920249.96</c:v>
                </c:pt>
                <c:pt idx="8">
                  <c:v>6769261.5</c:v>
                </c:pt>
                <c:pt idx="9">
                  <c:v>6629135.7999999998</c:v>
                </c:pt>
                <c:pt idx="10">
                  <c:v>2332175.5299999998</c:v>
                </c:pt>
                <c:pt idx="11">
                  <c:v>2114603.5</c:v>
                </c:pt>
                <c:pt idx="12">
                  <c:v>1609693.67</c:v>
                </c:pt>
                <c:pt idx="13">
                  <c:v>1148582.33</c:v>
                </c:pt>
                <c:pt idx="14">
                  <c:v>1141973</c:v>
                </c:pt>
                <c:pt idx="15">
                  <c:v>968102.87</c:v>
                </c:pt>
                <c:pt idx="16">
                  <c:v>860215.5</c:v>
                </c:pt>
                <c:pt idx="17">
                  <c:v>708887.5</c:v>
                </c:pt>
                <c:pt idx="18">
                  <c:v>513019.99</c:v>
                </c:pt>
                <c:pt idx="19">
                  <c:v>506264.33</c:v>
                </c:pt>
                <c:pt idx="20">
                  <c:v>311459.2900000001</c:v>
                </c:pt>
                <c:pt idx="21">
                  <c:v>285706.25</c:v>
                </c:pt>
                <c:pt idx="22">
                  <c:v>250913.5</c:v>
                </c:pt>
                <c:pt idx="23">
                  <c:v>200737.5</c:v>
                </c:pt>
                <c:pt idx="24">
                  <c:v>46848.75</c:v>
                </c:pt>
                <c:pt idx="25">
                  <c:v>23625</c:v>
                </c:pt>
              </c:numCache>
            </c:numRef>
          </c:val>
        </c:ser>
        <c:dLbls>
          <c:showLegendKey val="0"/>
          <c:showVal val="0"/>
          <c:showCatName val="0"/>
          <c:showSerName val="0"/>
          <c:showPercent val="0"/>
          <c:showBubbleSize val="0"/>
        </c:dLbls>
        <c:gapWidth val="150"/>
        <c:axId val="164186752"/>
        <c:axId val="164213120"/>
      </c:barChart>
      <c:catAx>
        <c:axId val="164186752"/>
        <c:scaling>
          <c:orientation val="minMax"/>
        </c:scaling>
        <c:delete val="0"/>
        <c:axPos val="b"/>
        <c:numFmt formatCode="General" sourceLinked="0"/>
        <c:majorTickMark val="none"/>
        <c:minorTickMark val="none"/>
        <c:tickLblPos val="nextTo"/>
        <c:txPr>
          <a:bodyPr/>
          <a:lstStyle/>
          <a:p>
            <a:pPr>
              <a:defRPr b="1"/>
            </a:pPr>
            <a:endParaRPr lang="en-US"/>
          </a:p>
        </c:txPr>
        <c:crossAx val="164213120"/>
        <c:crosses val="autoZero"/>
        <c:auto val="1"/>
        <c:lblAlgn val="ctr"/>
        <c:lblOffset val="100"/>
        <c:noMultiLvlLbl val="0"/>
      </c:catAx>
      <c:valAx>
        <c:axId val="164213120"/>
        <c:scaling>
          <c:orientation val="minMax"/>
        </c:scaling>
        <c:delete val="0"/>
        <c:axPos val="l"/>
        <c:majorGridlines/>
        <c:title>
          <c:tx>
            <c:rich>
              <a:bodyPr/>
              <a:lstStyle/>
              <a:p>
                <a:pPr>
                  <a:defRPr/>
                </a:pPr>
                <a:r>
                  <a:rPr lang="en-GB"/>
                  <a:t>EU Contribution</a:t>
                </a:r>
              </a:p>
            </c:rich>
          </c:tx>
          <c:overlay val="0"/>
        </c:title>
        <c:numFmt formatCode="&quot;€&quot;#,##0.00" sourceLinked="0"/>
        <c:majorTickMark val="none"/>
        <c:minorTickMark val="none"/>
        <c:tickLblPos val="nextTo"/>
        <c:crossAx val="1641867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C05CC-CBF0-4361-A458-1EF7285B8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23396</Words>
  <Characters>133361</Characters>
  <Application>Microsoft Office Word</Application>
  <DocSecurity>4</DocSecurity>
  <Lines>1111</Lines>
  <Paragraphs>312</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156445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 Susanita (RTD)</dc:creator>
  <cp:lastModifiedBy>NERI Susanita (RTD)</cp:lastModifiedBy>
  <cp:revision>2</cp:revision>
  <cp:lastPrinted>2017-11-08T07:54:00Z</cp:lastPrinted>
  <dcterms:created xsi:type="dcterms:W3CDTF">2017-12-01T16:26:00Z</dcterms:created>
  <dcterms:modified xsi:type="dcterms:W3CDTF">2017-12-01T16:26:00Z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Red</vt:lpwstr>
  </property>
  <property fmtid="{D5CDD505-2E9C-101B-9397-08002B2CF9AE}" pid="5" name="Level of sensitivity">
    <vt:lpwstr>Standard treatment</vt:lpwstr>
  </property>
</Properties>
</file>