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94A7C78-DC92-4645-8C2B-B9594CBD8706" style="width:450.75pt;height:395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 xml:space="preserve">Европейският банков орган (ЕБО) бе създаден с Регламент (ЕС) № 1093/2010. В съответствие с член 7 от посочения регламент ЕБО е със седалище в Лондон, Обединеното кралство. </w:t>
      </w:r>
    </w:p>
    <w:p>
      <w:pPr>
        <w:rPr>
          <w:noProof/>
        </w:rPr>
      </w:pPr>
      <w:r>
        <w:rPr>
          <w:noProof/>
        </w:rPr>
        <w:t xml:space="preserve">На 29 март 2017 г. Обединеното кралство уведоми Европейския съвет за намерението си да напусне Съюза по силата на член 50 от Договора за Европейския съюз. </w:t>
      </w:r>
    </w:p>
    <w:p>
      <w:pPr>
        <w:rPr>
          <w:noProof/>
        </w:rPr>
      </w:pPr>
      <w:r>
        <w:rPr>
          <w:noProof/>
        </w:rPr>
        <w:t xml:space="preserve">На 20 ноември 2017 г. останалите 27 държави членки, в рамките на заседанието на Съвета по общи въпроси (по член 50), избраха Париж, Франция, за ново седалище за Европейския банков орган. 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Поради това че измененият акт се основава на член 114 от Договора за функционирането на Европейския съюз („ДФЕС“), актът за изменение следва също да се опира на тази основа.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Целта на настоящото предложение е изменение на Регламент (ЕС) № 1093/2010. Поради това се предлага съответното изменение да бъде под формата на регламент за изменение.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Субсидиарност и пропорционалност</w:t>
      </w:r>
    </w:p>
    <w:p>
      <w:pPr>
        <w:pStyle w:val="Body"/>
        <w:tabs>
          <w:tab w:val="left" w:pos="850"/>
        </w:tabs>
        <w:spacing w:before="0" w:after="240"/>
        <w:rPr>
          <w:noProof/>
        </w:rPr>
      </w:pPr>
      <w:r>
        <w:rPr>
          <w:noProof/>
        </w:rPr>
        <w:t>Въпросът за седалището на агенцията попада в обхвата на изключителната компетентност на Съюза. Мярката е пропорционална на целта на предложението за регламент, а именно да се потвърди новото седалище на агенцията в рамките на Регламент (ЕС) № 1093/2010.</w:t>
      </w:r>
    </w:p>
    <w:p>
      <w:pPr>
        <w:pStyle w:val="ManualHeading1"/>
        <w:rPr>
          <w:noProof/>
        </w:rPr>
      </w:pPr>
      <w:r>
        <w:rPr>
          <w:noProof/>
        </w:rPr>
        <w:t xml:space="preserve">3. </w:t>
      </w:r>
      <w:r>
        <w:rPr>
          <w:noProof/>
        </w:rPr>
        <w:tab/>
        <w:t>ОТРАЖЕНИЕ ВЪРХУ БЮДЖЕТА</w:t>
      </w:r>
    </w:p>
    <w:p>
      <w:pPr>
        <w:pStyle w:val="Body"/>
        <w:spacing w:before="0" w:after="240"/>
        <w:rPr>
          <w:noProof/>
        </w:rPr>
      </w:pPr>
      <w:r>
        <w:rPr>
          <w:noProof/>
        </w:rPr>
        <w:t>Смяната на седалището на Европейския банков орган ще има отражение върху бюджета, по-специално предвид разходите, свързани с предсрочното прекратяване на текущия договор на органа за наем в Лондон вследствие на оттеглянето, разходите, свързани със самото преместване, и разходите, свързани с настаняването в новите помещения в Париж. Както е посочено в указанията на Съвета от 22 май 2017 г. за водене на преговори по споразумение с Обединеното кралство, с което да се определят редът и условията за оттеглянето му от Европейския съюз, Обединеното кралство следва изцяло да покрие специфичните разходи, свързани с процеса на оттегляне, като например преместването на установените в Обединеното кралство агенции.</w:t>
      </w:r>
    </w:p>
    <w:p>
      <w:pPr>
        <w:pStyle w:val="Body"/>
        <w:spacing w:before="0" w:after="240"/>
        <w:rPr>
          <w:noProof/>
        </w:rPr>
      </w:pPr>
      <w:r>
        <w:rPr>
          <w:noProof/>
        </w:rPr>
        <w:t xml:space="preserve">Възможно е да се наложи някои от разходите по преместването да бъдат предварително финансирани от бюджета на ЕС преди влизането в сила на финансовото споразумение. В това отношение Комисията в сътрудничество с Европейския банков орган ще извърши оценка на възможността евентуални допълнителни нужди от финансиране да бъдат посрещнати чрез бюджета на ЕС. При необходимост Комисията ще представи </w:t>
      </w:r>
      <w:r>
        <w:rPr>
          <w:noProof/>
        </w:rPr>
        <w:lastRenderedPageBreak/>
        <w:t>съответни предложения на Европейския парламент и на Съвета в рамките на годишната бюджетна процедура за 2019 г. и евентуално за 2018 г. Това се отнася например за разходите, свързани със самото преместване. Освен това разходите, свързани с настаняването в новите помещения, ще бъдат представени и в рамките на процедурата относно недвижимите имоти, изложена в член 203 от Финансовия регламент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съгласно която се изисква предварително одобрение от Европейския парламент и Съвета, преди да бъдат сключени договори, свързани с проекти за недвижими имоти. Очаква се тази процедура да бъде стартирана във възможно най-кратък срок (най-късно в началото на 2018 г.). </w:t>
      </w:r>
    </w:p>
    <w:p>
      <w:pPr>
        <w:pStyle w:val="Body"/>
        <w:tabs>
          <w:tab w:val="left" w:pos="850"/>
        </w:tabs>
        <w:spacing w:before="0" w:after="240"/>
        <w:rPr>
          <w:noProof/>
        </w:rPr>
      </w:pPr>
    </w:p>
    <w:p>
      <w:pPr>
        <w:pStyle w:val="Body"/>
        <w:tabs>
          <w:tab w:val="left" w:pos="850"/>
        </w:tabs>
        <w:spacing w:before="0" w:after="240"/>
        <w:rPr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2017/0326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№ 1093/2010 по отношение на седалището на Европейския банков орган</w:t>
      </w:r>
    </w:p>
    <w:p>
      <w:pPr>
        <w:pStyle w:val="IntrtEEE"/>
        <w:rPr>
          <w:noProof/>
        </w:rPr>
      </w:pPr>
      <w:r>
        <w:rPr>
          <w:noProof/>
        </w:rPr>
        <w:t>(текст от значение за ЕИП)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 114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Европейската централна банка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Европейския икономически и социален комитет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  <w:szCs w:val="24"/>
        </w:rPr>
      </w:pPr>
      <w:r>
        <w:t>(1)</w:t>
      </w:r>
      <w:r>
        <w:tab/>
      </w:r>
      <w:r>
        <w:rPr>
          <w:noProof/>
        </w:rPr>
        <w:t>Във връзка с нотификацията на Обединеното кралство от 29 март 2017 г. за намерението му да напусне Съюза по силата на член 50 от Договора за Европейския съюз, останалите 27 държави членки, заседаващи в рамките на Съвета по общи въпроси (по член 50), избраха Париж, Франция, за ново седалище на Европейския банков орган.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Предвид член 50, параграф 3 от Договора за Европейския съюз Европейският банков орган следва да е с ново седалище от датата, на която Договорите престанат да се прилагат спрямо Обединеното кралство, или от 30 март 2019 г., в зависимост от това коя от двете дати настъпи по-рано.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 цел да се гарантира нормалната работа на Европейския банков орган на новото му седалище, следва да бъде сключено споразумение с държавата на седалището, преди Европейският банков орган да се премести на това ново седалище.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 цел да се даде достатъчно време на Европейския банков орган да извърши преместването, настоящият регламент следва да влезе в сила спешно.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 Регламент (ЕС) № 1093/2010 на Европейския парламент и на Съвета следва да бъде съответно изменен</w:t>
      </w:r>
      <w:r>
        <w:rPr>
          <w:rStyle w:val="FootnoteReference"/>
          <w:noProof/>
        </w:rPr>
        <w:footnoteReference w:id="4"/>
      </w:r>
      <w:r>
        <w:rPr>
          <w:noProof/>
        </w:rPr>
        <w:t>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>ПРИЕХА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Член 7 от Регламент (ЕС) № 1093/2010 се заменя със следното:</w:t>
      </w:r>
    </w:p>
    <w:p>
      <w:pPr>
        <w:ind w:left="567" w:right="568"/>
        <w:jc w:val="center"/>
        <w:rPr>
          <w:noProof/>
        </w:rPr>
      </w:pPr>
      <w:r>
        <w:rPr>
          <w:noProof/>
        </w:rPr>
        <w:t>„</w:t>
      </w:r>
      <w:r>
        <w:rPr>
          <w:i/>
          <w:noProof/>
        </w:rPr>
        <w:t>Член 7</w:t>
      </w:r>
    </w:p>
    <w:p>
      <w:pPr>
        <w:ind w:left="567" w:right="568"/>
        <w:jc w:val="center"/>
        <w:rPr>
          <w:b/>
          <w:noProof/>
        </w:rPr>
      </w:pPr>
      <w:r>
        <w:rPr>
          <w:b/>
          <w:noProof/>
        </w:rPr>
        <w:t>Седалище</w:t>
      </w:r>
    </w:p>
    <w:p>
      <w:pPr>
        <w:ind w:left="567" w:right="568"/>
        <w:rPr>
          <w:noProof/>
        </w:rPr>
      </w:pPr>
      <w:r>
        <w:rPr>
          <w:noProof/>
        </w:rPr>
        <w:t>Органът е със седалище в Париж, Франция.“.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Body"/>
        <w:rPr>
          <w:rFonts w:eastAsia="Arial Unicode MS" w:cs="Arial Unicode MS"/>
          <w:noProof/>
        </w:rPr>
      </w:pPr>
      <w:r>
        <w:rPr>
          <w:noProof/>
        </w:rPr>
        <w:t xml:space="preserve">Настоящият регламент се прилага от датата, на която Договорите престанат да се прилагат спрямо Обединеното кралство, или от 30 март 2019 г., в зависимост от това коя от двете дати настъпи по-рано. 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Регламент (ЕС, Евратом) № 966/2012 на Европейския парламент и на Съвета от 25 октомври 2012 г. относно финансовите правила, приложими за общия бюджет на Съюза и за отмяна на Регламент (ЕО, Евратом) № 1605/2002 на Съвета (ОВ L 298, 26.10.2012 г., стp. 1).</w:t>
      </w:r>
    </w:p>
  </w:footnote>
  <w:footnote w:id="2">
    <w:p>
      <w:pPr>
        <w:pStyle w:val="FootnoteText"/>
        <w:ind w:left="567" w:hanging="567"/>
      </w:pPr>
      <w:r>
        <w:rPr>
          <w:rStyle w:val="FootnoteReference"/>
        </w:rPr>
        <w:footnoteRef/>
      </w:r>
      <w:r>
        <w:tab/>
        <w:t>[…]</w:t>
      </w:r>
    </w:p>
  </w:footnote>
  <w:footnote w:id="3">
    <w:p>
      <w:pPr>
        <w:pStyle w:val="FootnoteText"/>
        <w:ind w:left="567" w:hanging="567"/>
      </w:pPr>
      <w:r>
        <w:rPr>
          <w:rStyle w:val="FootnoteReference"/>
        </w:rPr>
        <w:footnoteRef/>
      </w:r>
      <w:r>
        <w:tab/>
        <w:t>[…]</w:t>
      </w:r>
    </w:p>
  </w:footnote>
  <w:footnote w:id="4">
    <w:p>
      <w:pPr>
        <w:pStyle w:val="FootnoteText"/>
        <w:ind w:left="567" w:hanging="567"/>
      </w:pPr>
      <w:r>
        <w:rPr>
          <w:rStyle w:val="FootnoteReference"/>
        </w:rPr>
        <w:footnoteRef/>
      </w:r>
      <w:r>
        <w:tab/>
        <w:t>Регламент (ЕС) № 1093/2010 на Европейския парламент и на Съвета от 24 ноември 2010 г. за създаване на Европейски надзорен орган (Европейски банков орган), за изменение на Решение № 716/2009/ЕО и за отмяна на Решение 2009/78/ЕО на Комисията (ОВ L 331, 15.12.2010 г., стр. 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40A93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C7A84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9D864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B34EE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5E06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A5AE1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3D214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8CA87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2-04 08:39:4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6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94A7C78-DC92-4645-8C2B-B9594CBD8706"/>
    <w:docVar w:name="LW_COVERPAGE_TYPE" w:val="1"/>
    <w:docVar w:name="LW_CROSSREFERENCE" w:val="&lt;UNUSED&gt;"/>
    <w:docVar w:name="LW_DocType" w:val="COM"/>
    <w:docVar w:name="LW_EMISSION" w:val="29.11.2017"/>
    <w:docVar w:name="LW_EMISSION_ISODATE" w:val="2017-11-29"/>
    <w:docVar w:name="LW_EMISSION_LOCATION" w:val="BRX"/>
    <w:docVar w:name="LW_EMISSION_PREFIX" w:val="Брюксел, "/>
    <w:docVar w:name="LW_EMISSION_SUFFIX" w:val="&lt;EMPTY&gt;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(\u1090?\u1077?\u1082?\u1089?\u1090? \u1086?\u1090? \u1079?\u1085?\u1072?\u1095?\u1077?\u1085?\u1080?\u1077? \u1079?\u1072? \u1045?\u1048?\u1055?)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326"/>
    <w:docVar w:name="LW_REF.II.NEW.CP_YEAR" w:val="2017"/>
    <w:docVar w:name="LW_REF.INST.NEW" w:val="COM"/>
    <w:docVar w:name="LW_REF.INST.NEW_ADOPTED" w:val="final"/>
    <w:docVar w:name="LW_REF.INST.NEW_TEXT" w:val="(2017) 7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\u8470? 1093/2010 \u1087?\u1086? \u1086?\u1090?\u1085?\u1086?\u1096?\u1077?\u1085?\u1080?\u1077? \u1085?\u1072? \u1089?\u1077?\u1076?\u1072?\u1083?\u1080?\u1097?\u1077?\u1090?\u1086? \u1085?\u1072? \u1045?\u1074?\u1088?\u1086?\u1087?\u1077?\u1081?\u1089?\u1082?\u1080?\u1103? \u1073?\u1072?\u1085?\u1082?\u1086?\u1074? \u1086?\u1088?\u1075?\u1072?\u1085?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eastAsiaTheme="minorEastAs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eastAsiaTheme="minorEastAs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B5C4-7F0A-4211-B471-239C1444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851</Words>
  <Characters>4751</Characters>
  <Application>Microsoft Office Word</Application>
  <DocSecurity>0</DocSecurity>
  <Lines>103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2017-11-24T09:06:00Z</cp:lastPrinted>
  <dcterms:created xsi:type="dcterms:W3CDTF">2017-12-01T09:04:00Z</dcterms:created>
  <dcterms:modified xsi:type="dcterms:W3CDTF">2017-12-04T07:39:00Z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SJ-023</vt:lpwstr>
  </property>
  <property fmtid="{D5CDD505-2E9C-101B-9397-08002B2CF9AE}" pid="10" name="DQCStatus">
    <vt:lpwstr>Green (DQC version 03)</vt:lpwstr>
  </property>
</Properties>
</file>