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A8E393-2E42-4B46-9BE4-16B8450CEFCF" style="width:450.75pt;height:366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NumPar1"/>
        <w:rPr>
          <w:noProof/>
        </w:rPr>
      </w:pPr>
      <w:r>
        <w:t>1.</w:t>
      </w:r>
      <w:r>
        <w:tab/>
      </w:r>
      <w:r>
        <w:rPr>
          <w:noProof/>
        </w:rPr>
        <w:t>КОНТЕКСТ НА ПРЕДЛОЖЕНИЕТО</w:t>
      </w:r>
    </w:p>
    <w:p>
      <w:pPr>
        <w:pStyle w:val="ListBullet"/>
        <w:rPr>
          <w:rFonts w:eastAsia="Arial Unicode MS"/>
          <w:noProof/>
        </w:rPr>
      </w:pPr>
      <w:r>
        <w:rPr>
          <w:noProof/>
        </w:rPr>
        <w:t>Основания и цели на предложението</w:t>
      </w:r>
    </w:p>
    <w:p>
      <w:pPr>
        <w:rPr>
          <w:noProof/>
        </w:rPr>
      </w:pPr>
      <w:r>
        <w:rPr>
          <w:noProof/>
        </w:rPr>
        <w:t>Проектът на решение на Съвместния комитет на ЕИП (приложен към предложеното решение на Съвета) има за цел да измени приложение XX (Околна среда) към Споразумението за ЕИП, за да се включи Директива (ЕС) 2016/802 на Европейския парламент и на Съвета от 11 май 2016 г. относно намаляването на съдържанието на сяра в определени течни горива</w:t>
      </w:r>
      <w:r>
        <w:rPr>
          <w:rStyle w:val="FootnoteReference"/>
          <w:noProof/>
        </w:rPr>
        <w:footnoteReference w:id="1"/>
      </w:r>
      <w:r>
        <w:rPr>
          <w:noProof/>
        </w:rPr>
        <w:t>.</w:t>
      </w:r>
    </w:p>
    <w:p>
      <w:pPr>
        <w:pStyle w:val="ListBullet"/>
        <w:rPr>
          <w:rFonts w:eastAsia="Arial Unicode MS"/>
          <w:noProof/>
          <w:color w:val="000000"/>
          <w:u w:color="000000"/>
          <w:bdr w:val="nil"/>
        </w:rPr>
      </w:pPr>
      <w:r>
        <w:rPr>
          <w:noProof/>
        </w:rPr>
        <w:t>Съгласуваност с действащите разпоредби в тази област на политиката</w:t>
      </w:r>
    </w:p>
    <w:p>
      <w:pPr>
        <w:rPr>
          <w:noProof/>
        </w:rPr>
      </w:pPr>
      <w:r>
        <w:rPr>
          <w:noProof/>
        </w:rPr>
        <w:t xml:space="preserve">Приложеният проект на решение на Съвместния комитет разширява вече съществуващата политика на ЕС, за да включи в нея членуващите в ЕИП държави от ЕАСТ (Норвегия, Исландия и Лихтенщайн). </w:t>
      </w:r>
    </w:p>
    <w:p>
      <w:pPr>
        <w:pStyle w:val="ListBullet"/>
        <w:rPr>
          <w:rFonts w:eastAsia="Arial Unicode MS"/>
          <w:noProof/>
        </w:rPr>
      </w:pPr>
      <w:r>
        <w:rPr>
          <w:noProof/>
        </w:rPr>
        <w:t>Съгласуваност с другите политики на Съюза</w:t>
      </w:r>
    </w:p>
    <w:p>
      <w:pPr>
        <w:rPr>
          <w:noProof/>
        </w:rPr>
      </w:pPr>
      <w:r>
        <w:rPr>
          <w:noProof/>
        </w:rPr>
        <w:t xml:space="preserve">Разширяването на обхвата на достиженията на правото на ЕС с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чиято цел е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NumPar1"/>
        <w:rPr>
          <w:noProof/>
        </w:rPr>
      </w:pPr>
      <w:r>
        <w:t>2.</w:t>
      </w:r>
      <w:r>
        <w:tab/>
      </w:r>
      <w:r>
        <w:rPr>
          <w:noProof/>
        </w:rPr>
        <w:t>ПРАВНО ОСНОВАНИЕ, СУБСИДИАРНОСТ И ПРОПОРЦИОНАЛНОСТ</w:t>
      </w:r>
    </w:p>
    <w:p>
      <w:pPr>
        <w:pStyle w:val="ListBullet"/>
        <w:rPr>
          <w:rFonts w:eastAsia="Arial Unicode MS"/>
          <w:noProof/>
          <w:u w:color="000000"/>
          <w:bdr w:val="nil"/>
        </w:rPr>
      </w:pPr>
      <w:r>
        <w:rPr>
          <w:noProof/>
        </w:rPr>
        <w:t>Правно основание</w:t>
      </w:r>
    </w:p>
    <w:p>
      <w:pPr>
        <w:rPr>
          <w:noProof/>
          <w:spacing w:val="-2"/>
        </w:rPr>
      </w:pPr>
      <w:r>
        <w:rPr>
          <w:noProof/>
          <w:spacing w:val="-2"/>
        </w:rPr>
        <w:t>Законодателството, което трябва да бъде включено в Споразумението за ЕИП, се основава на член 192, параграф 1 от Договора за функционирането на Европейския съюз.</w:t>
      </w:r>
    </w:p>
    <w:p>
      <w:pPr>
        <w:rPr>
          <w:noProof/>
        </w:rPr>
      </w:pPr>
      <w:r>
        <w:rPr>
          <w:noProof/>
        </w:rPr>
        <w:t>Съгласно член 1, параграф 3 от Регламент (ЕО) № 2894/94 на Съвета</w:t>
      </w:r>
      <w:r>
        <w:rPr>
          <w:rStyle w:val="FootnoteReference"/>
          <w:noProof/>
        </w:rPr>
        <w:footnoteReference w:id="2"/>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да бъде заета от името на Съюза по отношение на подобни решения. </w:t>
      </w:r>
    </w:p>
    <w:p>
      <w:pPr>
        <w:rPr>
          <w:noProof/>
        </w:rPr>
      </w:pPr>
      <w:r>
        <w:rPr>
          <w:noProof/>
        </w:rPr>
        <w:t>В сътрудничество с Комисията ЕСВД представя проекта на решение на Съвместния комитет на ЕИП пред Съвета, който следва да го приеме като позиция на Съюза. ЕСВД се надява да има възможност да представи позицията на Съюза пред Съвместния комитет на ЕИП възможно най-скоро.</w:t>
      </w:r>
    </w:p>
    <w:p>
      <w:pPr>
        <w:pStyle w:val="ListBullet"/>
        <w:rPr>
          <w:rFonts w:eastAsia="Arial Unicode MS"/>
          <w:noProof/>
          <w:u w:color="000000"/>
          <w:bdr w:val="nil"/>
        </w:rPr>
      </w:pPr>
      <w:r>
        <w:rPr>
          <w:noProof/>
        </w:rPr>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следната причина. </w:t>
      </w:r>
    </w:p>
    <w:p>
      <w:pPr>
        <w:rPr>
          <w:rFonts w:cs="EUAlbertina"/>
          <w:noProof/>
          <w:color w:val="000000"/>
          <w:szCs w:val="24"/>
        </w:rPr>
      </w:pPr>
      <w:r>
        <w:rPr>
          <w:noProof/>
          <w:color w:val="000000"/>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вследствие на което може, поради последиците, да бъде постигната по-добре на равнището на Съюза. </w:t>
      </w:r>
    </w:p>
    <w:p>
      <w:pPr>
        <w:pBdr>
          <w:top w:val="nil"/>
          <w:left w:val="nil"/>
          <w:bottom w:val="nil"/>
          <w:right w:val="nil"/>
          <w:between w:val="nil"/>
          <w:bar w:val="nil"/>
        </w:pBdr>
        <w:spacing w:before="0" w:after="240"/>
        <w:rPr>
          <w:bCs/>
          <w:noProof/>
          <w:szCs w:val="24"/>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Style w:val="ListBullet"/>
        <w:rPr>
          <w:rFonts w:eastAsia="Arial Unicode MS"/>
          <w:noProof/>
          <w:u w:color="000000"/>
          <w:bdr w:val="nil"/>
        </w:rPr>
      </w:pPr>
      <w:r>
        <w:rPr>
          <w:noProof/>
        </w:rPr>
        <w:lastRenderedPageBreak/>
        <w:t>Пропорционалност</w:t>
      </w:r>
    </w:p>
    <w:p>
      <w:pPr>
        <w:rPr>
          <w:rFonts w:cs="EUAlbertina"/>
          <w:noProof/>
          <w:color w:val="000000"/>
          <w:szCs w:val="24"/>
        </w:rPr>
      </w:pPr>
      <w:r>
        <w:rPr>
          <w:noProof/>
          <w:color w:val="000000"/>
        </w:rPr>
        <w:t>В съответствие с принципа на пропорционалност настоящото предложение не надхвърля необходимото за постигането на своята цел.</w:t>
      </w:r>
    </w:p>
    <w:p>
      <w:pPr>
        <w:pStyle w:val="ListBullet"/>
        <w:rPr>
          <w:rFonts w:eastAsia="Arial Unicode MS"/>
          <w:noProof/>
          <w:u w:color="000000"/>
          <w:bdr w:val="nil"/>
        </w:rPr>
      </w:pPr>
      <w:r>
        <w:rPr>
          <w:noProof/>
        </w:rPr>
        <w:t>Избор на инструмент</w:t>
      </w:r>
    </w:p>
    <w:p>
      <w:pPr>
        <w:pBdr>
          <w:top w:val="nil"/>
          <w:left w:val="nil"/>
          <w:bottom w:val="nil"/>
          <w:right w:val="nil"/>
          <w:between w:val="nil"/>
          <w:bar w:val="nil"/>
        </w:pBd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NumPar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ListBullet"/>
        <w:rPr>
          <w:rFonts w:eastAsia="Arial Unicode MS"/>
          <w:noProof/>
          <w:u w:color="000000"/>
          <w:bdr w:val="nil"/>
        </w:rPr>
      </w:pPr>
      <w:r>
        <w:rPr>
          <w:noProof/>
        </w:rPr>
        <w:t>Събиране и използване на експертни становища</w:t>
      </w:r>
    </w:p>
    <w:p>
      <w:pPr>
        <w:rPr>
          <w:noProof/>
        </w:rPr>
      </w:pPr>
      <w:r>
        <w:rPr>
          <w:noProof/>
        </w:rPr>
        <w:t xml:space="preserve">Не е приложимо. </w:t>
      </w:r>
    </w:p>
    <w:p>
      <w:pPr>
        <w:pStyle w:val="ListBullet"/>
        <w:rPr>
          <w:rFonts w:eastAsia="Arial Unicode MS"/>
          <w:noProof/>
          <w:u w:color="000000"/>
          <w:bdr w:val="nil"/>
        </w:rPr>
      </w:pPr>
      <w:r>
        <w:rPr>
          <w:noProof/>
        </w:rPr>
        <w:t>•</w:t>
      </w:r>
      <w:r>
        <w:rPr>
          <w:noProof/>
        </w:rPr>
        <w:tab/>
        <w:t>Оценка на въздействието</w:t>
      </w:r>
    </w:p>
    <w:p>
      <w:pPr>
        <w:rPr>
          <w:noProof/>
        </w:rPr>
      </w:pPr>
      <w:r>
        <w:rPr>
          <w:noProof/>
        </w:rPr>
        <w:t xml:space="preserve">Не е приложимо. </w:t>
      </w:r>
    </w:p>
    <w:p>
      <w:pPr>
        <w:pStyle w:val="ManualNumPar1"/>
        <w:rPr>
          <w:noProof/>
        </w:rPr>
      </w:pPr>
      <w:r>
        <w:t>4.</w:t>
      </w:r>
      <w:r>
        <w:tab/>
      </w:r>
      <w:r>
        <w:rPr>
          <w:noProof/>
        </w:rPr>
        <w:t>ОТРАЖЕНИЕ ВЪРХУ БЮДЖЕТА</w:t>
      </w:r>
    </w:p>
    <w:p>
      <w:pPr>
        <w:autoSpaceDE w:val="0"/>
        <w:autoSpaceDN w:val="0"/>
        <w:adjustRightInd w:val="0"/>
        <w:spacing w:before="0" w:after="0"/>
        <w:rPr>
          <w:noProof/>
          <w:szCs w:val="24"/>
        </w:rPr>
      </w:pPr>
      <w:r>
        <w:rPr>
          <w:noProof/>
        </w:rPr>
        <w:t>Не се очаква отражение върху бюджета в резултат на включването в Споразумението за ЕИП на Директива (ЕС) 2016/802.</w:t>
      </w:r>
    </w:p>
    <w:p>
      <w:pPr>
        <w:pStyle w:val="ManualNumPar1"/>
        <w:rPr>
          <w:noProof/>
        </w:rPr>
      </w:pPr>
      <w:r>
        <w:t>5.</w:t>
      </w:r>
      <w:r>
        <w:tab/>
      </w:r>
      <w:r>
        <w:rPr>
          <w:noProof/>
        </w:rPr>
        <w:t>ДРУГИ ЕЛЕМЕНТИ</w:t>
      </w:r>
    </w:p>
    <w:p>
      <w:pPr>
        <w:rPr>
          <w:rFonts w:eastAsia="Arial Unicode MS"/>
          <w:noProof/>
          <w:u w:color="000000"/>
          <w:bdr w:val="nil"/>
        </w:rPr>
      </w:pPr>
      <w:r>
        <w:rPr>
          <w:noProof/>
        </w:rPr>
        <w:t xml:space="preserve">Основните адаптации, поискани от страна на ЕАСТ </w:t>
      </w:r>
    </w:p>
    <w:p>
      <w:pPr>
        <w:rPr>
          <w:b/>
          <w:noProof/>
        </w:rPr>
      </w:pPr>
      <w:r>
        <w:rPr>
          <w:b/>
          <w:noProof/>
        </w:rPr>
        <w:t>Приложима разпоредба</w:t>
      </w:r>
    </w:p>
    <w:p>
      <w:pPr>
        <w:rPr>
          <w:noProof/>
        </w:rPr>
      </w:pPr>
      <w:r>
        <w:rPr>
          <w:noProof/>
        </w:rPr>
        <w:t>Член 2, буква н)</w:t>
      </w:r>
    </w:p>
    <w:p>
      <w:pPr>
        <w:rPr>
          <w:b/>
          <w:noProof/>
        </w:rPr>
      </w:pPr>
      <w:r>
        <w:rPr>
          <w:b/>
          <w:noProof/>
        </w:rPr>
        <w:t>Обосновка</w:t>
      </w:r>
    </w:p>
    <w:p>
      <w:pPr>
        <w:autoSpaceDE w:val="0"/>
        <w:autoSpaceDN w:val="0"/>
        <w:adjustRightInd w:val="0"/>
        <w:rPr>
          <w:noProof/>
        </w:rPr>
      </w:pPr>
      <w:r>
        <w:rPr>
          <w:noProof/>
        </w:rPr>
        <w:t>При включването на Директива 1999/32/ЕО на Съвета</w:t>
      </w:r>
      <w:r>
        <w:rPr>
          <w:rStyle w:val="FootnoteReference"/>
          <w:noProof/>
        </w:rPr>
        <w:footnoteReference w:id="3"/>
      </w:r>
      <w:r>
        <w:rPr>
          <w:noProof/>
        </w:rPr>
        <w:t xml:space="preserve"> в Споразумението за ЕИП (вж. решения на Съвместния комитет на ЕИП № 90/2001</w:t>
      </w:r>
      <w:r>
        <w:rPr>
          <w:rStyle w:val="FootnoteReference"/>
          <w:noProof/>
        </w:rPr>
        <w:footnoteReference w:id="4"/>
      </w:r>
      <w:r>
        <w:rPr>
          <w:noProof/>
        </w:rPr>
        <w:t xml:space="preserve"> и № 49/2006</w:t>
      </w:r>
      <w:r>
        <w:rPr>
          <w:rStyle w:val="FootnoteReference"/>
          <w:noProof/>
        </w:rPr>
        <w:footnoteReference w:id="5"/>
      </w:r>
      <w:r>
        <w:rPr>
          <w:noProof/>
        </w:rPr>
        <w:t>) Исландия беше класифицирана за целите на посочената директива като най-отдалечен регион. Като се има предвид, че Директива (ЕС) 2016/802 заменя Директива 1999/32/ЕО, но запазва изключенията за най-отдалечените региони на ЕС, адаптацията относно статута на Исландия също следва да бъде пренесена в рамките на новата директива. Поради това адаптацията предвижда, че Исландия е включена в определението за „най-отдалечена територия“ за целите на Директива (ЕС) 2016/802.</w:t>
      </w:r>
    </w:p>
    <w:p>
      <w:pPr>
        <w:pStyle w:val="Text1"/>
        <w:rPr>
          <w:rFonts w:eastAsia="Arial Unicode MS"/>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2017/0321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w:t>
      </w:r>
      <w:r>
        <w:rPr>
          <w:noProof/>
        </w:rPr>
        <w:br/>
        <w:t>в рамките на Съвместния комитет на ЕИП във връзка с изменение на приложение ХХ (Околна среда) към Споразумението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6"/>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7"/>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noProof/>
        </w:rPr>
        <w:t>inter alia</w:t>
      </w:r>
      <w:r>
        <w:rPr>
          <w:noProof/>
        </w:rPr>
        <w:t>, приложение XX (Околна среда) към Споразумението за ЕИП.</w:t>
      </w:r>
    </w:p>
    <w:p>
      <w:pPr>
        <w:pStyle w:val="ManualConsidrant"/>
        <w:rPr>
          <w:noProof/>
        </w:rPr>
      </w:pPr>
      <w:r>
        <w:t>(3)</w:t>
      </w:r>
      <w:r>
        <w:tab/>
      </w:r>
      <w:r>
        <w:rPr>
          <w:noProof/>
        </w:rPr>
        <w:t>Директива (ЕС) 2016/802 на Европейския парламент и на Съвета</w:t>
      </w:r>
      <w:r>
        <w:rPr>
          <w:rStyle w:val="FootnoteReference"/>
          <w:noProof/>
        </w:rPr>
        <w:footnoteReference w:id="8"/>
      </w:r>
      <w:r>
        <w:rPr>
          <w:noProof/>
        </w:rPr>
        <w:t xml:space="preserve"> следва да бъде включена в Споразумението за ЕИП.</w:t>
      </w:r>
    </w:p>
    <w:p>
      <w:pPr>
        <w:pStyle w:val="ManualConsidrant"/>
        <w:rPr>
          <w:noProof/>
        </w:rPr>
      </w:pPr>
      <w:r>
        <w:t>(4)</w:t>
      </w:r>
      <w:r>
        <w:tab/>
      </w:r>
      <w:r>
        <w:rPr>
          <w:noProof/>
        </w:rPr>
        <w:t xml:space="preserve">Поради това приложение XX (Околна среда) към Споразумението за ЕИП следва да бъде съответно изменено. </w:t>
      </w:r>
    </w:p>
    <w:p>
      <w:pPr>
        <w:pStyle w:val="ManualConsidrant"/>
        <w:rPr>
          <w:noProof/>
        </w:rPr>
      </w:pPr>
      <w:r>
        <w:t>(5)</w:t>
      </w:r>
      <w:r>
        <w:tab/>
      </w:r>
      <w:r>
        <w:rPr>
          <w:noProof/>
        </w:rPr>
        <w:t>Поради това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приложение XX (Околна среда)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132, 21.5.2016 г., стр. 58.</w:t>
      </w:r>
    </w:p>
  </w:footnote>
  <w:footnote w:id="2">
    <w:p>
      <w:pPr>
        <w:pStyle w:val="FootnoteText"/>
        <w:rPr>
          <w:iCs/>
          <w:lang w:val="pl-PL"/>
        </w:rPr>
      </w:pPr>
      <w:r>
        <w:rPr>
          <w:rStyle w:val="FootnoteReference"/>
        </w:rPr>
        <w:footnoteRef/>
      </w:r>
      <w:r>
        <w:tab/>
        <w:t>ОВ L 305, 30.11.1994 г., стр. 6.</w:t>
      </w:r>
    </w:p>
  </w:footnote>
  <w:footnote w:id="3">
    <w:p>
      <w:pPr>
        <w:pStyle w:val="FootnoteText"/>
        <w:rPr>
          <w:lang w:val="pl-PL"/>
        </w:rPr>
      </w:pPr>
      <w:r>
        <w:rPr>
          <w:rStyle w:val="FootnoteReference"/>
        </w:rPr>
        <w:footnoteRef/>
      </w:r>
      <w:r>
        <w:tab/>
        <w:t>ОВ L 121, 11.5.1999 г., стр. 13.</w:t>
      </w:r>
    </w:p>
  </w:footnote>
  <w:footnote w:id="4">
    <w:p>
      <w:pPr>
        <w:pStyle w:val="FootnoteText"/>
        <w:rPr>
          <w:lang w:val="pl-PL"/>
        </w:rPr>
      </w:pPr>
      <w:r>
        <w:rPr>
          <w:rStyle w:val="FootnoteReference"/>
        </w:rPr>
        <w:footnoteRef/>
      </w:r>
      <w:r>
        <w:tab/>
        <w:t>ОВ L 251, 20.9.2001 г., стр. 15.</w:t>
      </w:r>
    </w:p>
  </w:footnote>
  <w:footnote w:id="5">
    <w:p>
      <w:pPr>
        <w:pStyle w:val="FootnoteText"/>
        <w:rPr>
          <w:lang w:val="pl-PL"/>
        </w:rPr>
      </w:pPr>
      <w:r>
        <w:rPr>
          <w:rStyle w:val="FootnoteReference"/>
        </w:rPr>
        <w:footnoteRef/>
      </w:r>
      <w:r>
        <w:tab/>
        <w:t>ОВ L 175, 29.6.2006 г., стр. 99.</w:t>
      </w:r>
    </w:p>
  </w:footnote>
  <w:footnote w:id="6">
    <w:p>
      <w:pPr>
        <w:pStyle w:val="FootnoteText"/>
        <w:rPr>
          <w:lang w:val="pl-PL"/>
        </w:rPr>
      </w:pPr>
      <w:r>
        <w:rPr>
          <w:rStyle w:val="FootnoteReference"/>
        </w:rPr>
        <w:footnoteRef/>
      </w:r>
      <w:r>
        <w:tab/>
        <w:t>ОВ L 305, 30.11.1994 г., стр. 6.</w:t>
      </w:r>
    </w:p>
  </w:footnote>
  <w:footnote w:id="7">
    <w:p>
      <w:pPr>
        <w:pStyle w:val="FootnoteText"/>
      </w:pPr>
      <w:r>
        <w:rPr>
          <w:rStyle w:val="FootnoteReference"/>
        </w:rPr>
        <w:footnoteRef/>
      </w:r>
      <w:r>
        <w:tab/>
        <w:t xml:space="preserve">ОВ L 1, 3.1.1994 г., стр. 3. </w:t>
      </w:r>
    </w:p>
  </w:footnote>
  <w:footnote w:id="8">
    <w:p>
      <w:pPr>
        <w:pStyle w:val="FootnoteText"/>
        <w:rPr>
          <w:spacing w:val="-4"/>
          <w:lang w:val="pl-PL"/>
        </w:rPr>
      </w:pPr>
      <w:r>
        <w:rPr>
          <w:rStyle w:val="FootnoteReference"/>
        </w:rPr>
        <w:footnoteRef/>
      </w:r>
      <w:r>
        <w:rPr>
          <w:spacing w:val="-4"/>
        </w:rPr>
        <w:tab/>
        <w:t>Директива (ЕС) 2016/802 на Европейския парламент и на Съвета от 11 май 2016 г. относно намаляването на съдържанието на сяра в определени течни горива (ОВ L 132, 21.5.2016 г., стр.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name w:val="0.2565991"/>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28 16:07: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3A8E393-2E42-4B46-9BE4-16B8450CEFCF"/>
    <w:docVar w:name="LW_COVERPAGE_TYPE" w:val="1"/>
    <w:docVar w:name="LW_CROSSREFERENCE" w:val="&lt;UNUSED&gt;"/>
    <w:docVar w:name="LW_DocType" w:val="COM"/>
    <w:docVar w:name="LW_EMISSION" w:val="4.12.2017"/>
    <w:docVar w:name="LW_EMISSION_ISODATE" w:val="2017-12-0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1"/>
    <w:docVar w:name="LW_REF.II.NEW.CP_YEAR" w:val="2017"/>
    <w:docVar w:name="LW_REF.INST.NEW" w:val="COM"/>
    <w:docVar w:name="LW_REF.INST.NEW_ADOPTED" w:val="final"/>
    <w:docVar w:name="LW_REF.INST.NEW_TEXT" w:val="(2017) 7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u1061?\u1061? (\u1054?\u1082?\u1086?\u1083?\u1085?\u1072? \u1089?\u1088?\u1077?\u1076?\u1072?) \u1082?\u1098?\u1084? \u1057?\u1087?\u1086?\u1088?\u1072?\u1079?\u1091?\u1084?\u1077?\u1085?\u1080?\u1077?\u1090?\u1086? \u1079?\u1072? \u1045?\u1048?\u105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4AD3-BE8E-4787-9236-C4EB7337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883</Words>
  <Characters>5010</Characters>
  <Application>Microsoft Office Word</Application>
  <DocSecurity>0</DocSecurity>
  <Lines>111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2014-03-28T09:12:00Z</cp:lastPrinted>
  <dcterms:created xsi:type="dcterms:W3CDTF">2017-11-14T10:14:00Z</dcterms:created>
  <dcterms:modified xsi:type="dcterms:W3CDTF">2017-11-28T15:07:00Z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