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4EDB6B-BE07-436F-934F-D4FE050927E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t>1.</w:t>
      </w:r>
      <w:r>
        <w:tab/>
      </w:r>
      <w:r>
        <w:rPr>
          <w:noProof/>
        </w:rPr>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Автономните тарифни квоти са необходими за някои продукти, когато производството в Съюза не е достатъчно, за да удовлетвори потребностите на промишлеността на Съюза, използваща тези продукти. Следва да бъдат открити тарифни квоти на ЕС с намалени или нулеви ставки на митата и с подходящи обеми, без това да причинява смущения на пазара на съответните продукти.</w:t>
      </w:r>
    </w:p>
    <w:p>
      <w:pPr>
        <w:pBdr>
          <w:top w:val="nil"/>
          <w:left w:val="nil"/>
          <w:bottom w:val="nil"/>
          <w:right w:val="nil"/>
          <w:between w:val="nil"/>
          <w:bar w:val="nil"/>
        </w:pBdr>
        <w:spacing w:before="0" w:after="240"/>
        <w:rPr>
          <w:noProof/>
        </w:rPr>
      </w:pPr>
      <w:r>
        <w:rPr>
          <w:noProof/>
        </w:rPr>
        <w:t>На 17 декември 2013 г. Съветът на Европейския съюз прие Регламент (ЕС) № 1388/2013 за откриване и управление на автономни тарифни квоти на Съюза за някои селскостопански и промишлени продукти, така че търсенето на въпросните продукти в ЕС да бъде задоволено при най-благоприятни условия.</w:t>
      </w:r>
    </w:p>
    <w:p>
      <w:pPr>
        <w:pBdr>
          <w:top w:val="nil"/>
          <w:left w:val="nil"/>
          <w:bottom w:val="nil"/>
          <w:right w:val="nil"/>
          <w:between w:val="nil"/>
          <w:bar w:val="nil"/>
        </w:pBdr>
        <w:spacing w:before="0" w:after="240"/>
        <w:rPr>
          <w:noProof/>
        </w:rPr>
      </w:pPr>
      <w:r>
        <w:rPr>
          <w:noProof/>
        </w:rPr>
        <w:t>Регламентът се актуализира на всеки шест месеца, за да отговаря на нуждите на промишлеността на ЕС. Комисията, подпомагана от Групата по икономически и тарифни въпроси (ГИТВ), разгледа всички искания на държавите членки за митата по автономни тарифни квоти.</w:t>
      </w:r>
    </w:p>
    <w:p>
      <w:pPr>
        <w:pBdr>
          <w:top w:val="nil"/>
          <w:left w:val="nil"/>
          <w:bottom w:val="nil"/>
          <w:right w:val="nil"/>
          <w:between w:val="nil"/>
          <w:bar w:val="nil"/>
        </w:pBdr>
        <w:spacing w:before="0" w:after="240"/>
        <w:rPr>
          <w:noProof/>
        </w:rPr>
      </w:pPr>
      <w:r>
        <w:rPr>
          <w:noProof/>
        </w:rPr>
        <w:t>Вследствие на разглеждането Комисията смята, че откриването на автономни тарифни квоти е обосновано за някои нови продукти, които сега не са посочени в приложението към Регламент (ЕС) № 1388/2013 на Съвета. По отношение на някои други продукти трябва да се добави крайна дата или да се адаптира първоначалният обем на квотата.</w:t>
      </w:r>
    </w:p>
    <w:p>
      <w:pPr>
        <w:pStyle w:val="ManualHeading2"/>
        <w:rPr>
          <w:rFonts w:eastAsia="Arial Unicode MS"/>
          <w:noProof/>
          <w:u w:color="000000"/>
          <w:bdr w:val="nil"/>
        </w:rPr>
      </w:pPr>
      <w:r>
        <w:rPr>
          <w:noProof/>
        </w:rPr>
        <w:t>•</w:t>
      </w:r>
      <w:r>
        <w:rPr>
          <w:noProof/>
        </w:rPr>
        <w:tab/>
        <w:t>Съгласуваност със действащите разпоредби в областта на политиката:</w:t>
      </w:r>
    </w:p>
    <w:p>
      <w:pPr>
        <w:rPr>
          <w:noProof/>
        </w:rPr>
      </w:pPr>
      <w:r>
        <w:rPr>
          <w:noProof/>
        </w:rPr>
        <w:t>Това предложение не засяга държавите, които имат преференциално търговско споразумение с ЕС, държавите – кандидатки или потенциални кандидатки за преференциални споразумения с ЕС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политиките на ЕС в областта на селското стопанство, търговията, предприемачеството, развитието и външните отношения.</w:t>
      </w:r>
    </w:p>
    <w:p>
      <w:pPr>
        <w:pStyle w:val="ManualHeading1"/>
        <w:rPr>
          <w:rFonts w:eastAsia="Calibri"/>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lastRenderedPageBreak/>
        <w:t>•</w:t>
      </w:r>
      <w:r>
        <w:rPr>
          <w:noProof/>
        </w:rPr>
        <w:tab/>
        <w:t>Субсидиарност (извън областите на изключителна компетентност)</w:t>
      </w:r>
    </w:p>
    <w:p>
      <w:pPr>
        <w:rPr>
          <w:noProof/>
        </w:rPr>
      </w:pPr>
      <w:r>
        <w:rPr>
          <w:noProof/>
        </w:rPr>
        <w:t>Предложението е от изключителната компетентност на ЕС. Следователно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пропорционалността.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1"/>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rPr>
        <w:t>•</w:t>
      </w:r>
      <w:r>
        <w:rPr>
          <w:noProof/>
        </w:rPr>
        <w:tab/>
        <w:t>Избор на нормативен акт</w:t>
      </w:r>
    </w:p>
    <w:p>
      <w:pPr>
        <w:rPr>
          <w:noProof/>
        </w:rPr>
      </w:pPr>
      <w:r>
        <w:rPr>
          <w:noProof/>
        </w:rPr>
        <w:t xml:space="preserve">По силата на член 31 от ДФЕС „митата от Общата митническа тарифа се определят от Съвета, по предложение на Комисията“. По тази причина подходящият нормативен акт е регламент. </w:t>
      </w:r>
    </w:p>
    <w:p>
      <w:pPr>
        <w:pStyle w:val="ManualHeading1"/>
        <w:rPr>
          <w:rFonts w:eastAsia="Calibri"/>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През 2013 г. беше проведено проучване за оценяване на схемата на автономните тарифни квоти по отношение на суспендирането на автономните мита. Това се дължи на факта, че двете мерки са сходни, с тази разлика, че с квотите се ограничава обемът на вноса. Въз основа на оценката бе направено заключение, че главният мотив за съществуването на схемата е все още в сила. Предприятията от ЕС, внасящи стоки по схемата, могат да икономисат значителни разходи. На свой ред тези икономии на разходи могат да създадат – в зависимост от продукта, дружеството или отрасъла – по-широки ползи, например повишение на конкурентоспособността, увеличение на ефективността на производствените методи, създаване или запазване на работни места в ЕС. Подробности за икономиите от настоящия регламент могат да бъдат намерени в приложената законодателна финансова обосновка.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ГИТВ, която се състои от делегации от всички държави членки и от Турция, оказа съдействие на Комисията за оценяването на предложението. Групата се събра три пъти, преди да одобри промените в това предложение.</w:t>
      </w:r>
    </w:p>
    <w:p>
      <w:pPr>
        <w:rPr>
          <w:noProof/>
        </w:rPr>
      </w:pPr>
      <w:r>
        <w:rPr>
          <w:noProof/>
        </w:rPr>
        <w:t xml:space="preserve">Тя внимателно оцени всички искания (нови или за изменения). По-конкретно, тя проучи всеки един случай, за да се увери, че за производителите от ЕС не се създават вреди и че конкурентоспособността на производството на ЕС се повишава. Членовете </w:t>
      </w:r>
      <w:r>
        <w:rPr>
          <w:noProof/>
        </w:rPr>
        <w:lastRenderedPageBreak/>
        <w:t>на ГИТВ извършиха оценката чрез обсъждания, а държавите членки се консултираха със засегнатите промишлени предприятия, сдружения, търговски камари и други заинтересовани страни.</w:t>
      </w:r>
    </w:p>
    <w:p>
      <w:pPr>
        <w:rPr>
          <w:noProof/>
        </w:rPr>
      </w:pPr>
      <w:r>
        <w:rPr>
          <w:noProof/>
        </w:rPr>
        <w:t>По всички посочени квоти беше постигнато съгласие или компромиси по време на обсъжданията в ГИТВ. Не бяха посочени потенциално значими рискове с необратими последици.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изменение е от техническо естество и се отнася единствено до обхвата на квотите, изброени в приложението. Регламентът не се различава от действащия регламент на Съвета по нищо друго. Поради това не беше извършена оценка на въздействието за настоящото предложение.</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rFonts w:eastAsia="Calibri"/>
          <w:noProof/>
        </w:rPr>
      </w:pPr>
      <w:r>
        <w:t>4.</w:t>
      </w:r>
      <w:r>
        <w:tab/>
      </w:r>
      <w:r>
        <w:rPr>
          <w:noProof/>
        </w:rPr>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което се изразява в несъбрани мита с общ размер приблизително 0,2 милиона евро годишно. Отрицателното отражение върху традиционните собствени ресурси в бюджета възлиза на 0,16 милиона евро годишно (80 % от 0,2 милиона евро годишно).</w:t>
      </w:r>
    </w:p>
    <w:p>
      <w:pPr>
        <w:rPr>
          <w:noProof/>
          <w:szCs w:val="24"/>
        </w:rPr>
      </w:pPr>
      <w:r>
        <w:rPr>
          <w:noProof/>
        </w:rPr>
        <w:t>Загубата на приходи от традиционните собствени ресурси се компенсира от вноските на държавите членки въз основа на брутния национален доход (БНД).</w:t>
      </w:r>
    </w:p>
    <w:p>
      <w:pPr>
        <w:pStyle w:val="ManualHeading1"/>
        <w:rPr>
          <w:rFonts w:eastAsia="Calibri"/>
          <w:noProof/>
        </w:rPr>
      </w:pPr>
      <w:r>
        <w:t>5.</w:t>
      </w:r>
      <w:r>
        <w:tab/>
      </w:r>
      <w:r>
        <w:rPr>
          <w:noProof/>
        </w:rPr>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Предложените мерки се управляват в рамките на ТАРИК (Интегрираната тарифа на Европейския съюз) и се прилагат от митническите администрации на държавите членки.</w:t>
      </w:r>
    </w:p>
    <w:p>
      <w:pPr>
        <w:pBdr>
          <w:top w:val="nil"/>
          <w:left w:val="nil"/>
          <w:bottom w:val="nil"/>
          <w:right w:val="nil"/>
          <w:between w:val="nil"/>
          <w:bar w:val="nil"/>
        </w:pBdr>
        <w:spacing w:before="0" w:after="240"/>
        <w:rPr>
          <w:noProof/>
        </w:rPr>
      </w:pPr>
      <w:r>
        <w:rPr>
          <w:noProof/>
        </w:rPr>
        <w:t>Освен това в началото на декември 2013 г. завърши проучване за оценяване на цялата схема на автономни суспендирания и квоти  (</w:t>
      </w:r>
      <w:hyperlink r:id="rId16">
        <w:r>
          <w:rPr>
            <w:rStyle w:val="Hyperlink"/>
            <w:noProof/>
          </w:rPr>
          <w:t>http://ec.europa.eu/taxation_customs/common/publications/studies/index_en.htm</w:t>
        </w:r>
      </w:hyperlink>
      <w:r>
        <w:rPr>
          <w:noProof/>
        </w:rPr>
        <w:t>). Въз основа на оценката бе направено заключение, че главният мотив за съществуването на схемата е все още в сила и тя следва да продължи да съществува.</w:t>
      </w:r>
    </w:p>
    <w:p>
      <w:pPr>
        <w:rPr>
          <w:noProof/>
        </w:rPr>
        <w:sectPr>
          <w:footerReference w:type="default" r:id="rId17"/>
          <w:footerReference w:type="first" r:id="rId18"/>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2017/0325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цел да се осигури достатъчно и непрекъснато снабдяване с някои стоки, чието производство в Съюза е недостатъчно, и да се избегнат смущенията на пазара на някои селскостопански и промишлени продукти, с Регламент (ЕС) № 1388/2013 на Съвета</w:t>
      </w:r>
      <w:bookmarkStart w:id="1" w:name="_Ref384194496"/>
      <w:r>
        <w:rPr>
          <w:rStyle w:val="FootnoteReference"/>
          <w:noProof/>
        </w:rPr>
        <w:footnoteReference w:id="2"/>
      </w:r>
      <w:bookmarkEnd w:id="1"/>
      <w:r>
        <w:rPr>
          <w:noProof/>
        </w:rPr>
        <w:t xml:space="preserve"> бяха открити автономни тарифни квоти. Продуктите, обхванати от тези тарифни квоти, може да се внасят в Съюза с намалени или нулеви ставки на митата.</w:t>
      </w:r>
    </w:p>
    <w:p>
      <w:pPr>
        <w:pStyle w:val="ManualConsidrant"/>
        <w:rPr>
          <w:noProof/>
        </w:rPr>
      </w:pPr>
      <w:r>
        <w:t>(2)</w:t>
      </w:r>
      <w:r>
        <w:tab/>
      </w:r>
      <w:r>
        <w:rPr>
          <w:noProof/>
        </w:rPr>
        <w:t>Поради това е необходимо да се открият тарифни квоти с нулева ставка на митата и с подходящ обем за дванадесет нови продукта, считано от 1 януари 2018 г. За други пет продукта обемите на квотата следва да бъдат увеличени, за да се отговори на интересите на икономическите оператори от Съюза.</w:t>
      </w:r>
    </w:p>
    <w:p>
      <w:pPr>
        <w:pStyle w:val="ManualConsidrant"/>
        <w:rPr>
          <w:noProof/>
        </w:rPr>
      </w:pPr>
      <w:r>
        <w:t>(3)</w:t>
      </w:r>
      <w:r>
        <w:tab/>
      </w:r>
      <w:r>
        <w:rPr>
          <w:noProof/>
        </w:rPr>
        <w:t>За друг продукт обемът на квотата следва да бъде намален, тъй като производственият капацитет на производителите от ЕС се е увеличил.</w:t>
      </w:r>
    </w:p>
    <w:p>
      <w:pPr>
        <w:pStyle w:val="ManualConsidrant"/>
        <w:rPr>
          <w:noProof/>
        </w:rPr>
      </w:pPr>
      <w:r>
        <w:t>(4)</w:t>
      </w:r>
      <w:r>
        <w:tab/>
      </w:r>
      <w:r>
        <w:rPr>
          <w:noProof/>
        </w:rPr>
        <w:t>За пет продукта периодът за квотата и обемът на квотата следва да бъдат адаптирани, тъй като те бяха отворени за период само от шест месеца.</w:t>
      </w:r>
    </w:p>
    <w:p>
      <w:pPr>
        <w:pStyle w:val="ManualConsidrant"/>
        <w:rPr>
          <w:noProof/>
        </w:rPr>
      </w:pPr>
      <w:r>
        <w:t>(5)</w:t>
      </w:r>
      <w:r>
        <w:tab/>
      </w:r>
      <w:r>
        <w:rPr>
          <w:noProof/>
        </w:rPr>
        <w:t>За един продукт описанието следва да бъде изменено.</w:t>
      </w:r>
    </w:p>
    <w:p>
      <w:pPr>
        <w:pStyle w:val="ManualConsidrant"/>
        <w:rPr>
          <w:noProof/>
        </w:rPr>
      </w:pPr>
      <w:r>
        <w:t>(6)</w:t>
      </w:r>
      <w:r>
        <w:tab/>
      </w:r>
      <w:r>
        <w:rPr>
          <w:noProof/>
        </w:rPr>
        <w:t>За други дванадесет продукта автономните тарифни квоти на Съюза следва да бъдат закрити, считано от 1 януари 2018 г., тъй като не е в интерес на Съюза да продължи да ги предоставя, считано от тази дата.</w:t>
      </w:r>
    </w:p>
    <w:p>
      <w:pPr>
        <w:pStyle w:val="ManualConsidrant"/>
        <w:rPr>
          <w:noProof/>
        </w:rPr>
      </w:pPr>
      <w:r>
        <w:t>(7)</w:t>
      </w:r>
      <w:r>
        <w:tab/>
      </w:r>
      <w:r>
        <w:rPr>
          <w:noProof/>
        </w:rPr>
        <w:t>Поради това Регламент (ЕС) № 1388/2013 следва да бъде съответно изменен.</w:t>
      </w:r>
    </w:p>
    <w:p>
      <w:pPr>
        <w:pStyle w:val="ManualConsidrant"/>
        <w:rPr>
          <w:noProof/>
        </w:rPr>
      </w:pPr>
      <w:r>
        <w:lastRenderedPageBreak/>
        <w:t>(8)</w:t>
      </w:r>
      <w:r>
        <w:tab/>
      </w:r>
      <w:r>
        <w:rPr>
          <w:noProof/>
        </w:rPr>
        <w:t>С цел да се избегне евентуално прекъсване на прилагането на режима на квотите и да бъдат изпълнени насоките, определени в Съобщението на Комисията относно суспендирането на автономни мита и относно автономните тарифни квоти (2011/C 363/2011)</w:t>
      </w:r>
      <w:r>
        <w:rPr>
          <w:rStyle w:val="FootnoteReference"/>
          <w:noProof/>
        </w:rPr>
        <w:footnoteReference w:id="3"/>
      </w:r>
      <w:r>
        <w:rPr>
          <w:noProof/>
        </w:rPr>
        <w:t>, промените по отношение на квотите за съответните продукти, предвидени в настоящия регламент, следва да влязат в сила в неотложен порядък и да се прилагат от 1 януари 2018 г.,</w:t>
      </w:r>
    </w:p>
    <w:p>
      <w:pPr>
        <w:pStyle w:val="Formuledadoption"/>
        <w:rPr>
          <w:noProof/>
        </w:rPr>
      </w:pPr>
      <w:r>
        <w:rPr>
          <w:noProof/>
        </w:rPr>
        <w:t>ПРИЕ НАСТОЯЩИЯ РЕГЛАМЕНТ:</w:t>
      </w:r>
    </w:p>
    <w:p>
      <w:pPr>
        <w:pStyle w:val="Titrearticle"/>
        <w:rPr>
          <w:noProof/>
        </w:rPr>
      </w:pPr>
      <w:r>
        <w:rPr>
          <w:noProof/>
        </w:rPr>
        <w:t>Член 1</w:t>
      </w:r>
    </w:p>
    <w:p>
      <w:pPr>
        <w:rPr>
          <w:rFonts w:cs="EUAlbertina"/>
          <w:noProof/>
        </w:rPr>
      </w:pPr>
      <w:r>
        <w:rPr>
          <w:noProof/>
        </w:rPr>
        <w:t>Приложението към Регламент (ЕС) № 1388/2013 се изменя, както следва:</w:t>
      </w:r>
    </w:p>
    <w:p>
      <w:pPr>
        <w:pStyle w:val="ManualNumPar1"/>
        <w:ind w:left="1440" w:hanging="720"/>
        <w:rPr>
          <w:noProof/>
        </w:rPr>
      </w:pPr>
      <w:r>
        <w:rPr>
          <w:noProof/>
        </w:rPr>
        <w:t>(1)</w:t>
      </w:r>
      <w:r>
        <w:rPr>
          <w:noProof/>
        </w:rPr>
        <w:tab/>
        <w:t>редовете за тарифните квоти с поредни номера 09.2872, 09.2874, 09.2878, 09.2880, 09.2886, 09.2876, 09.2888, 09.2866, 09.2906,  09.2909, 09.2910 и 09.2932, съдържащи се в приложение I към настоящия регламент, се добавят по реда на кодовете по Комбинираната номенклатура (КН), посочени във втората колона на таблицата в приложението към Регламент (ЕС) № 1388/2013;</w:t>
      </w:r>
    </w:p>
    <w:p>
      <w:pPr>
        <w:pStyle w:val="Text1"/>
        <w:ind w:left="1440" w:hanging="720"/>
        <w:rPr>
          <w:noProof/>
        </w:rPr>
      </w:pPr>
      <w:r>
        <w:rPr>
          <w:noProof/>
        </w:rPr>
        <w:t>(2)</w:t>
      </w:r>
      <w:r>
        <w:rPr>
          <w:noProof/>
        </w:rPr>
        <w:tab/>
        <w:t>редовете за тарифните квоти с поредни номера 09.2929, 09.2704, 09.2842, 09.2844, 09.2671, 09.2846, 09.2723, 09.2848, 09.2870, 09.2662, 09.2850 и 09.2868 се заменят с редовете, посочени в приложение II към настоящия регламент;</w:t>
      </w:r>
    </w:p>
    <w:p>
      <w:pPr>
        <w:pStyle w:val="Text1"/>
        <w:ind w:left="1440" w:hanging="720"/>
        <w:rPr>
          <w:noProof/>
        </w:rPr>
      </w:pPr>
      <w:r>
        <w:rPr>
          <w:noProof/>
        </w:rPr>
        <w:t>(3)</w:t>
      </w:r>
      <w:r>
        <w:rPr>
          <w:noProof/>
        </w:rPr>
        <w:tab/>
        <w:t>редовете за тарифни квоти с поредни номера 09.2703, 09.2691, 09.2692, 09.2680, 09.2977, 09.2693, 09.2712, 09.2714, 09.2666, 09.2687, 09.2689 и 09.2669 се заличават;</w:t>
      </w:r>
    </w:p>
    <w:p>
      <w:pPr>
        <w:pStyle w:val="Text1"/>
        <w:ind w:left="1440" w:hanging="720"/>
        <w:rPr>
          <w:noProof/>
        </w:rPr>
      </w:pPr>
      <w:r>
        <w:rPr>
          <w:noProof/>
        </w:rPr>
        <w:t>(4)</w:t>
      </w:r>
      <w:r>
        <w:rPr>
          <w:noProof/>
        </w:rPr>
        <w:tab/>
        <w:t>в бележките ред „* Нововъведена мярка или мярка с изменени условия.“ се заличава.</w:t>
      </w:r>
    </w:p>
    <w:p>
      <w:pPr>
        <w:pStyle w:val="Titrearticle"/>
        <w:rPr>
          <w:noProof/>
        </w:rPr>
      </w:pPr>
      <w:r>
        <w:rPr>
          <w:noProof/>
        </w:rPr>
        <w:t>Член 2</w:t>
      </w:r>
    </w:p>
    <w:p>
      <w:pPr>
        <w:rPr>
          <w:i/>
          <w:iCs/>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Регламентът се прилага от 1 януари 2018 г.</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spacing w:before="360"/>
        <w:outlineLvl w:val="0"/>
        <w:rPr>
          <w:b/>
          <w:smallCaps/>
          <w:noProof/>
        </w:rPr>
      </w:pPr>
      <w:r>
        <w:rPr>
          <w:b/>
          <w:smallCaps/>
          <w:noProof/>
        </w:rPr>
        <w:t>1.</w:t>
      </w:r>
      <w:r>
        <w:rPr>
          <w:noProof/>
        </w:rPr>
        <w:tab/>
      </w:r>
      <w:r>
        <w:rPr>
          <w:b/>
          <w:smallCaps/>
          <w:noProof/>
        </w:rPr>
        <w:t>НАИМЕНОВАНИЕ НА ПРЕДЛОЖЕНИЕТО</w:t>
      </w:r>
    </w:p>
    <w:p>
      <w:pPr>
        <w:rPr>
          <w:noProof/>
        </w:rPr>
      </w:pPr>
      <w:r>
        <w:rPr>
          <w:noProof/>
        </w:rPr>
        <w:t>Регламент на Съвета 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keepNext/>
        <w:spacing w:before="360"/>
        <w:outlineLvl w:val="0"/>
        <w:rPr>
          <w:b/>
          <w:smallCaps/>
          <w:noProof/>
        </w:rPr>
      </w:pPr>
      <w:r>
        <w:rPr>
          <w:b/>
          <w:smallCaps/>
          <w:noProof/>
        </w:rPr>
        <w:t>2.</w:t>
      </w:r>
      <w:r>
        <w:rPr>
          <w:noProof/>
        </w:rPr>
        <w:tab/>
      </w:r>
      <w:r>
        <w:rPr>
          <w:b/>
          <w:smallCaps/>
          <w:noProof/>
        </w:rPr>
        <w:t>БЮДЖЕТНИ РЕДОВЕ</w:t>
      </w:r>
    </w:p>
    <w:p>
      <w:pPr>
        <w:spacing w:after="0"/>
        <w:rPr>
          <w:noProof/>
        </w:rPr>
      </w:pPr>
      <w:r>
        <w:rPr>
          <w:noProof/>
        </w:rPr>
        <w:t>Глава и статия: Глава 12 и статия 120 — Мита и други задължения, посочени в член 2, параграф 1, буква а) от Решение № 2014/335/ЕС, Евратом.</w:t>
      </w:r>
    </w:p>
    <w:p>
      <w:pPr>
        <w:keepNext/>
        <w:spacing w:before="360" w:after="0"/>
        <w:outlineLvl w:val="0"/>
        <w:rPr>
          <w:noProof/>
        </w:rPr>
      </w:pPr>
      <w:r>
        <w:rPr>
          <w:noProof/>
        </w:rPr>
        <w:t>Сума, предвидена в бюджета за 2018 г.: 22 844 000 000 EUR (Бюджет 2018)</w:t>
      </w:r>
    </w:p>
    <w:p>
      <w:pPr>
        <w:keepNext/>
        <w:spacing w:before="360"/>
        <w:outlineLvl w:val="0"/>
        <w:rPr>
          <w:b/>
          <w:smallCaps/>
          <w:noProof/>
        </w:rPr>
      </w:pPr>
      <w:r>
        <w:rPr>
          <w:b/>
          <w:smallCaps/>
          <w:noProof/>
        </w:rPr>
        <w:t>3.</w:t>
      </w:r>
      <w:r>
        <w:rPr>
          <w:noProof/>
        </w:rPr>
        <w:tab/>
      </w:r>
      <w:r>
        <w:rPr>
          <w:b/>
          <w:smallCaps/>
          <w:noProof/>
        </w:rPr>
        <w:t>ФИНАНСОВО ОТРАЖЕНИЕ</w:t>
      </w:r>
    </w:p>
    <w:p>
      <w:pPr>
        <w:rPr>
          <w:noProof/>
        </w:rPr>
      </w:pPr>
      <w:r>
        <w:rPr>
          <w:noProof/>
        </w:rPr>
        <w:sym w:font="Wingdings" w:char="F0A8"/>
      </w:r>
      <w:r>
        <w:rPr>
          <w:noProof/>
        </w:rPr>
        <w:t xml:space="preserve"> Предложението няма финансово отражение</w:t>
      </w:r>
    </w:p>
    <w:p>
      <w:pPr>
        <w:rPr>
          <w:noProof/>
        </w:rPr>
      </w:pPr>
      <w:r>
        <w:rPr>
          <w:noProof/>
        </w:rPr>
        <w:t>X</w:t>
      </w:r>
      <w:r>
        <w:rPr>
          <w:noProof/>
        </w:rPr>
        <w:tab/>
        <w:t>Предложението няма финансово въздействие върху разходите, но има такова върху приходите; Отражението е следното:</w:t>
      </w:r>
    </w:p>
    <w:p>
      <w:pPr>
        <w:jc w:val="right"/>
        <w:rPr>
          <w:noProof/>
          <w:sz w:val="18"/>
        </w:rPr>
      </w:pPr>
      <w:r>
        <w:rPr>
          <w:noProof/>
        </w:rPr>
        <w:t>(в милиони евро до един знак след десетичната запетая)</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Бюджетен ред</w:t>
            </w:r>
          </w:p>
        </w:tc>
        <w:tc>
          <w:tcPr>
            <w:tcW w:w="2879" w:type="dxa"/>
          </w:tcPr>
          <w:p>
            <w:pPr>
              <w:jc w:val="center"/>
              <w:rPr>
                <w:noProof/>
              </w:rPr>
            </w:pPr>
            <w:r>
              <w:rPr>
                <w:noProof/>
              </w:rPr>
              <w:t>Приходи</w:t>
            </w:r>
            <w:r>
              <w:rPr>
                <w:rStyle w:val="FootnoteReference"/>
                <w:noProof/>
              </w:rPr>
              <w:footnoteReference w:id="4"/>
            </w:r>
          </w:p>
        </w:tc>
        <w:tc>
          <w:tcPr>
            <w:tcW w:w="2040" w:type="dxa"/>
          </w:tcPr>
          <w:p>
            <w:pPr>
              <w:jc w:val="center"/>
              <w:rPr>
                <w:noProof/>
              </w:rPr>
            </w:pPr>
            <w:r>
              <w:rPr>
                <w:noProof/>
              </w:rPr>
              <w:t>6-месечен период, считано от дд/мм/гггг</w:t>
            </w:r>
          </w:p>
        </w:tc>
        <w:tc>
          <w:tcPr>
            <w:tcW w:w="2160" w:type="dxa"/>
          </w:tcPr>
          <w:p>
            <w:pPr>
              <w:jc w:val="center"/>
              <w:rPr>
                <w:noProof/>
              </w:rPr>
            </w:pPr>
            <w:r>
              <w:rPr>
                <w:noProof/>
              </w:rPr>
              <w:t>[Година: втората половина на 2017 г.]</w:t>
            </w:r>
          </w:p>
        </w:tc>
      </w:tr>
      <w:tr>
        <w:tc>
          <w:tcPr>
            <w:tcW w:w="1321" w:type="dxa"/>
          </w:tcPr>
          <w:p>
            <w:pPr>
              <w:rPr>
                <w:noProof/>
              </w:rPr>
            </w:pPr>
            <w:r>
              <w:rPr>
                <w:noProof/>
              </w:rPr>
              <w:t>Статия 120</w:t>
            </w:r>
          </w:p>
        </w:tc>
        <w:tc>
          <w:tcPr>
            <w:tcW w:w="2879" w:type="dxa"/>
          </w:tcPr>
          <w:p>
            <w:pPr>
              <w:jc w:val="center"/>
              <w:rPr>
                <w:i/>
                <w:noProof/>
              </w:rPr>
            </w:pPr>
            <w:r>
              <w:rPr>
                <w:i/>
                <w:noProof/>
              </w:rPr>
              <w:t>Отражение върху собствените ресурси</w:t>
            </w:r>
          </w:p>
        </w:tc>
        <w:tc>
          <w:tcPr>
            <w:tcW w:w="2040" w:type="dxa"/>
          </w:tcPr>
          <w:p>
            <w:pPr>
              <w:jc w:val="center"/>
              <w:rPr>
                <w:noProof/>
              </w:rPr>
            </w:pPr>
            <w:r>
              <w:rPr>
                <w:noProof/>
              </w:rPr>
              <w:t>1/1/2018</w:t>
            </w:r>
          </w:p>
        </w:tc>
        <w:tc>
          <w:tcPr>
            <w:tcW w:w="2160" w:type="dxa"/>
          </w:tcPr>
          <w:p>
            <w:pPr>
              <w:jc w:val="center"/>
              <w:rPr>
                <w:noProof/>
              </w:rPr>
            </w:pPr>
            <w:r>
              <w:rPr>
                <w:noProof/>
              </w:rPr>
              <w:t>- 0,2</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rPr>
        <w:t xml:space="preserve">Приложение І включва 12 нови продукта. Несъбраните мита, съответстващи на тези квоти, изчислени на база на прогнозите за периода 2018—2021 г. на подалите искания държави членки, възлизат на 7,9 милиона евро годишно. </w:t>
      </w:r>
    </w:p>
    <w:p>
      <w:pPr>
        <w:spacing w:before="100" w:beforeAutospacing="1" w:after="100" w:afterAutospacing="1"/>
        <w:rPr>
          <w:noProof/>
          <w:szCs w:val="24"/>
        </w:rPr>
      </w:pPr>
      <w:r>
        <w:rPr>
          <w:noProof/>
        </w:rPr>
        <w:t>От приложението към настоящия регламент са заличени 12 продукта, тъй като върху тях отново са наложени мита. Това представлява увеличение на митата в размер на 7,7 милиона евро годишно.</w:t>
      </w:r>
    </w:p>
    <w:p>
      <w:pPr>
        <w:spacing w:before="100" w:beforeAutospacing="1" w:after="100" w:afterAutospacing="1"/>
        <w:rPr>
          <w:noProof/>
          <w:szCs w:val="24"/>
        </w:rPr>
      </w:pPr>
      <w:r>
        <w:rPr>
          <w:noProof/>
        </w:rPr>
        <w:t>Въз основа на изложеното по-горе се очаква настоящият регламент да доведе до загуба на приходи за бюджета на ЕС, която се оценява на 7,9—7,7 = 0,2 млн. евро (брутна сума, включително разходите по събирането) x 0,8 = 0,16 млн. евро годишно (нетна сума).</w:t>
      </w:r>
    </w:p>
    <w:p>
      <w:pPr>
        <w:rPr>
          <w:noProof/>
        </w:rPr>
      </w:pPr>
      <w:r>
        <w:rPr>
          <w:noProof/>
        </w:rPr>
        <w:t>4.</w:t>
      </w:r>
      <w:r>
        <w:rPr>
          <w:noProof/>
        </w:rPr>
        <w:tab/>
      </w:r>
      <w:r>
        <w:rPr>
          <w:b/>
          <w:noProof/>
        </w:rPr>
        <w:t>МЕРКИ ЗА БОРБА С ИЗМАМИТЕ</w:t>
      </w:r>
    </w:p>
    <w:p>
      <w:pPr>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C 363, 13.12.2011 г., стр. 6.</w:t>
      </w:r>
    </w:p>
  </w:footnote>
  <w:footnote w:id="2">
    <w:p>
      <w:pPr>
        <w:pStyle w:val="FootnoteText"/>
      </w:pPr>
      <w:r>
        <w:rPr>
          <w:rStyle w:val="FootnoteReference"/>
        </w:rPr>
        <w:footnoteRef/>
      </w:r>
      <w:r>
        <w:tab/>
        <w:t xml:space="preserve">Регламент (ЕС) № 1388/2013 на Съвета от 17 декември 2013 г. за откриване и управление на автономни тарифни квоти на Съюза за някои селскостопански и промишлени продукти и за отмяна на Регламент (ЕС) № 7/2010 (ОВ L 354, 28.12.2013 г., стр. 319). </w:t>
      </w:r>
    </w:p>
  </w:footnote>
  <w:footnote w:id="3">
    <w:p>
      <w:pPr>
        <w:pStyle w:val="FootnoteText"/>
      </w:pPr>
      <w:r>
        <w:rPr>
          <w:rStyle w:val="FootnoteReference"/>
        </w:rPr>
        <w:footnoteRef/>
      </w:r>
      <w:r>
        <w:tab/>
        <w:t>ОВ C 363, 13.12.2011 г., стр. 6.</w:t>
      </w:r>
    </w:p>
  </w:footnote>
  <w:footnote w:id="4">
    <w:p>
      <w:pPr>
        <w:pStyle w:val="FootnoteText"/>
      </w:pPr>
      <w:r>
        <w:rPr>
          <w:rStyle w:val="FootnoteReference"/>
        </w:rPr>
        <w:footnoteRef/>
      </w:r>
      <w:r>
        <w:tab/>
        <w:t>По отношение на традиционните собствени ресурси (селскостопански мита, налози върху захарта, мита) посочените суми трябва да бъдат в нетен размер, т.е. след приспадане от брутните суми на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1"/>
  </w:num>
  <w:num w:numId="16">
    <w:abstractNumId w:val="10"/>
  </w:num>
  <w:num w:numId="17">
    <w:abstractNumId w:val="12"/>
  </w:num>
  <w:num w:numId="18">
    <w:abstractNumId w:val="8"/>
  </w:num>
  <w:num w:numId="19">
    <w:abstractNumId w:val="20"/>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3"/>
  </w:num>
  <w:num w:numId="27">
    <w:abstractNumId w:val="19"/>
  </w:num>
  <w:num w:numId="28">
    <w:abstractNumId w:val="11"/>
  </w:num>
  <w:num w:numId="29">
    <w:abstractNumId w:val="21"/>
  </w:num>
  <w:num w:numId="30">
    <w:abstractNumId w:val="10"/>
  </w:num>
  <w:num w:numId="31">
    <w:abstractNumId w:val="12"/>
  </w:num>
  <w:num w:numId="32">
    <w:abstractNumId w:val="8"/>
  </w:num>
  <w:num w:numId="33">
    <w:abstractNumId w:val="20"/>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9 12:28: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34EDB6B-BE07-436F-934F-D4FE050927E5"/>
    <w:docVar w:name="LW_COVERPAGE_TYPE" w:val="1"/>
    <w:docVar w:name="LW_CROSSREFERENCE" w:val="&lt;UNUSED&gt;"/>
    <w:docVar w:name="LW_DocType" w:val="COM"/>
    <w:docVar w:name="LW_EMISSION" w:val="4.12.2017"/>
    <w:docVar w:name="LW_EMISSION_ISODATE" w:val="2017-12-04"/>
    <w:docVar w:name="LW_EMISSION_LOCATION" w:val="BRX"/>
    <w:docVar w:name="LW_EMISSION_PREFIX" w:val="Брюксел, "/>
    <w:docVar w:name="LW_EMISSION_SUFFIX" w:val=" \u1075?."/>
    <w:docVar w:name="LW_ID_DOCMODEL" w:val="b01"/>
    <w:docVar w:name="LW_ID_DOCSIGNATURE" w:val="SJ-016"/>
    <w:docVar w:name="LW_ID_DOCSTRUCTURE" w:val="COM/PL/ORG"/>
    <w:docVar w:name="LW_ID_DOCTYPE" w:val="SJ-016"/>
    <w:docVar w:name="LW_ID_STATUT" w:val="PROPOSA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5"/>
    <w:docVar w:name="LW_REF.II.NEW.CP_YEAR" w:val="2017"/>
    <w:docVar w:name="LW_REF.INST.NEW" w:val="COM"/>
    <w:docVar w:name="LW_REF.INST.NEW_ADOPTED" w:val="final"/>
    <w:docVar w:name="LW_REF.INST.NEW_TEXT" w:val="(2017)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8/2013 \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5?\u1103?\u1082?\u1086?\u1080? \u1089?\u1077?\u1083?\u1089?\u1082?\u1086?\u1089?\u1090?\u1086?\u1087?\u1072?\u1085?\u1089?\u1082?\u1080? \u1080? \u1087?\u1088?\u1086?\u1084?\u1080?\u1096?\u1083?\u1077?\u1085?\u1080? \u1087?\u1088?\u1086?\u1076?\u1091?\u1082?\u1090?\u1080?"/>
    <w:docVar w:name="LW_TITRE.OBJ.CP_PREVIOUS" w:val="&lt;UNUSED&gt;"/>
    <w:docVar w:name="LW_TYPE.DOC.CP" w:val="\u1056?\u1045?\u1043?\u1051?\u1040?\u1052?\u1045?\u1053?\u1058? \u1053?\u1040? \u1057?\u1066?\u1042?\u1045?\u1058?\u1040?"/>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bg-BG"/>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axation_customs/common/publications/studies/index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CF44-885F-4FCF-BE56-27CB9139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1726</Words>
  <Characters>9980</Characters>
  <Application>Microsoft Office Word</Application>
  <DocSecurity>0</DocSecurity>
  <Lines>216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11599</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2017-11-08T10:43:00Z</cp:lastPrinted>
  <dcterms:created xsi:type="dcterms:W3CDTF">2017-11-27T08:37:00Z</dcterms:created>
  <dcterms:modified xsi:type="dcterms:W3CDTF">2017-11-29T11:28:00Z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 Build 20171009</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