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6578FE3-9F47-444C-BCB5-B0F685AA9AB8"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0" w:after="240"/>
        <w:rPr>
          <w:noProof/>
        </w:rPr>
      </w:pPr>
      <w:r>
        <w:rPr>
          <w:noProof/>
        </w:rPr>
        <w:t>В Регламент (ЕО) № 1147/2002 на Съвета се предвижда временно суспендиране на автономните мита по Общата митническа тарифа за някои стоки, внасяни с „удостоверения за летателна годност“. Удостоверенията за летателна годност (наричани днес „удостоверения за допускане до експлоатация“) бяха издавани от националните въздухоплавателни органи в държавата на регистрация на въздухоплавателното средство и удостоверяваха, че продуктите, монтирани във въздухоплавателното средство, са произведени в съответствие с одобрен проект съгласно приложимото към съответния момент законодателство в областта на въздухоплаването. Регламент (ЕО) № 1147/2002 на Съвета улесни митническите процедури за безмитен внос на части, компоненти и други стоки, използвани за производството, ремонта, поддръжката, реконструкцията, модификацията и конверсията на въздухоплавателни средства и внасяни преди под различни митнически режими с отложено плащане (напр. „активно усъвършенстване“, „специфична употреба“ и „митническо складиране“).</w:t>
      </w:r>
    </w:p>
    <w:p>
      <w:pPr>
        <w:spacing w:before="0" w:after="240"/>
        <w:rPr>
          <w:noProof/>
        </w:rPr>
      </w:pPr>
      <w:r>
        <w:rPr>
          <w:noProof/>
        </w:rPr>
        <w:t>Някои от разпоредбите на регламента се нуждаят от актуализиране, за да се отчетат законодателните и технологичните промени. По-специално с цел да се гарантира спазването на законодателните промени в областта на въздухоплаването, в разпоредбите следва да се прави позоваване на „удостоверения за допускане до експлоатация“ (напр. формуляр 1 на Европейската агенция за авиационна безопасност (ЕААБ) или равностоен на него формуляр) вместо на „удостоверения за летателна годност“. Също така терминът „оригинали на удостоверенията“ е остарял, тъй като сега удостоверенията се издават в електронна форма.</w:t>
      </w:r>
    </w:p>
    <w:p>
      <w:pPr>
        <w:spacing w:before="0" w:after="240"/>
        <w:rPr>
          <w:noProof/>
        </w:rPr>
      </w:pPr>
      <w:r>
        <w:rPr>
          <w:noProof/>
        </w:rPr>
        <w:t>Националните органи имат различни становища по въпроса дали стоките, внесени с „удостоверение за летателна годност“ и ползващи се с отложено плащане на митата съгласно Регламент (ЕО) № 1147/2002, могат да бъдат използвани единствено за граждански въздухоплавателни средства, или могат да бъдат използвани както в граждански, така и във военни въздухоплавателни средства. С цел да се грантира последователно тълкуване и еднакво прилагане, е необходимо тези разпоредби да се пояснят. В резултат на това се предвижда частите, предназначени за военни въздухоплавателни средства, също да могат се ползват с отложено плащане на митата, при условие че са придружени от удостоверение за допускане до експлоатация или равностоен на него документ. Настоящото предложение е в съответствие с тенденцията в митническото законодателство опростеното приключване на режим активно усъвършенстване да се прилага и за военните въздухоплавателни средства, тъй като в член 324, параграф 1, буква в) от Регламент за изпълнение (ЕС) 2015/2447 на Комисията не се прави разграничение между граждански и въздухоплавателни средства, що се отнася до опростеното приключване на режим активно усъвършенстване.</w:t>
      </w:r>
    </w:p>
    <w:p>
      <w:pPr>
        <w:spacing w:before="0" w:after="240"/>
        <w:rPr>
          <w:noProof/>
        </w:rPr>
      </w:pPr>
      <w:r>
        <w:rPr>
          <w:noProof/>
        </w:rPr>
        <w:t xml:space="preserve">За целите на правната сигурност и за да се гарантира еднаквото прилагане на регламента, с предложението Комисията ще бъде оправомощена да установи списък с кодове по Комбинираната номенклатура, съдържаща се в Регламент (ЕИО) № 2658/87 на Съвета, в които да могат да бъдат класирани въпросните стоки, както и списък с удостоверенията, които се считат за равностойни на удостоверенията по формуляр 1 на </w:t>
      </w:r>
      <w:r>
        <w:rPr>
          <w:noProof/>
        </w:rPr>
        <w:lastRenderedPageBreak/>
        <w:t xml:space="preserve">ЕААБ. Така ще могат да се предприемат и бързи действия, в случай че тези списъци с кодове или с удостоверения трябва да се променят. </w:t>
      </w:r>
    </w:p>
    <w:p>
      <w:pPr>
        <w:spacing w:before="0" w:after="240"/>
        <w:rPr>
          <w:noProof/>
        </w:rPr>
      </w:pPr>
      <w:r>
        <w:rPr>
          <w:noProof/>
        </w:rPr>
        <w:t>С оглед на правната сигурност и яснота действащият регламент следва да бъде отменен, а не изменен. Предложеният нов регламент пояснява, опростява, намалява административната тежест за икономическите оператори и митническите администрации и насърчава конкурентоспособността в сектора на въздухоплаването в ЕС.</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областта на политиката</w:t>
      </w:r>
    </w:p>
    <w:p>
      <w:pPr>
        <w:spacing w:before="0" w:after="240"/>
        <w:rPr>
          <w:noProof/>
        </w:rPr>
      </w:pPr>
      <w:r>
        <w:rPr>
          <w:noProof/>
        </w:rPr>
        <w:t>Мярката намалява административната тежест за митническите администрации на държавите членки и за икономическите оператори в сектора на въздухоплаването, тъй като намалява необходимостта от използване на митнически режими с отложено плащане като благоприятното тарифно третиране, предоставяно на стоките поради тяхната специфична употреба, освобождаване по режим активно усъвършенстване или митническо складиране.</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 xml:space="preserve">Предложението е в съответствие с политиката на Съюза в областта на въздухоплаването и е част от процеса по взаимно признаване на удостоверенията за допускане до експлоатация между държави от ЕС и трети държави. По-конкретно предложението е в съответствие с политиката на Съюза за общи правила в областта на гражданското въздухоплаване и за създаване на Европейска агенция за авиационна безопасност (Регламент (ЕО) № 216/2008). Освен това предложението е в съгласие с политиката на Съюза за поддържането на летателната годност на въздухоплавателните средства и авиационните продукти, части и устройства (Регламент (ЕО) № 1321/2014) и за правилата за прилагане на сертифицирането за летателна годност и екологичното сертифициране на въздухоплавателните средства и на свързаните с тях продукти, части и оборудване, както и за сертифицирането на проектантски и производствени организации (Регламент (ЕО) № 748/2012).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настоящото предложение е член 31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Предметът на предложението попада в изключителната компетентност на ЕС.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принципа на пропорционалността. С настоящия регламент не се надхвърля необходимото за постигането на поставените цели в съответствие с член 5, параграф 4 от Договора за Европейския съюз (ДЕС).</w:t>
      </w:r>
    </w:p>
    <w:p>
      <w:pPr>
        <w:pStyle w:val="ManualHeading2"/>
        <w:rPr>
          <w:rFonts w:eastAsia="Arial Unicode MS"/>
          <w:noProof/>
          <w:u w:color="000000"/>
          <w:bdr w:val="nil"/>
        </w:rPr>
      </w:pPr>
      <w:r>
        <w:rPr>
          <w:noProof/>
        </w:rPr>
        <w:t>•</w:t>
      </w:r>
      <w:r>
        <w:rPr>
          <w:noProof/>
        </w:rPr>
        <w:tab/>
        <w:t>Избор на инструмент</w:t>
      </w:r>
    </w:p>
    <w:p>
      <w:pPr>
        <w:spacing w:before="0" w:after="240"/>
        <w:rPr>
          <w:noProof/>
        </w:rPr>
      </w:pPr>
      <w:r>
        <w:rPr>
          <w:noProof/>
        </w:rPr>
        <w:t>Съгласно член 31 от ДФЕС „митата от Общата митническа тарифа се определят от Съвета, по предложение на Комисията“. Следователно регламент на Съвета е подходящ инструмент.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Успоредно с предложението и в съответствие с член 4 от Регламент (ЕО) № 1147/2002 на Съвета Комисията изпраща на Съвета доклад относно прилагането на регламента. В доклада, който се основава на информацията, получена от държавите членки за периода 2014 — 2016 г., се стига до заключението, че главният мотив за опростяването и за отложеното плащане на мита остава в сила. Административната тежест за икономическите оператори и митническите администрации се намалява значително.</w:t>
      </w:r>
    </w:p>
    <w:p>
      <w:pPr>
        <w:pBdr>
          <w:top w:val="nil"/>
          <w:left w:val="nil"/>
          <w:bottom w:val="nil"/>
          <w:right w:val="nil"/>
          <w:between w:val="nil"/>
          <w:bar w:val="nil"/>
        </w:pBdr>
        <w:spacing w:before="0" w:after="240"/>
        <w:rPr>
          <w:rFonts w:eastAsia="Arial Unicode MS"/>
          <w:noProof/>
        </w:rPr>
      </w:pPr>
      <w:r>
        <w:rPr>
          <w:noProof/>
        </w:rPr>
        <w:t>Според изводите от доклада действащият регламент продължава да е актуален и ефективен, тъй като намалява административната тежест за митническите служители, позволявайки да бъде използвана алтернативна процедура на специалните митнически режими, сред които специфичната употреба и свързаният с нея митнически надзор. Някои от разпоредбите на регламента обаче се нуждаят от допълнително изясняване във връзка с удостоверенията за допускане до експлоатация и процедурите за ремонтирани стоки. Що се отнася до ефикасността, в доклада е демонстрирано ясно, че въздействието на действащия регламент е значително както за икономическите оператори, така и за митническите администрации. По-специално, ако се съпостави използването на удостоверението за летателна годност с предвидения срок за режим специфична употреба, е видно, че спестеното време е равно на времето, необходимо за предоставяне на разрешение за режим специфична употреба.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Комисията организира няколко консултации, по време на които осведоми деловите среди за планирания ход на действия. По-специално Комисията организира няколко срещи с Асоциацията на европейските авиокомпании и Асоциацията в областта на въздухоплаването, космическите изследвания и отбраната.  Като цяло икономическите оператори изразиха своето съгласие с предложението. Освен това Комисията се консултира с Европейската агенция за авиационна безопасност (ЕААБ). Държавите членки бяха осведомени посредством Групата по икономически и тарифни въпроси (ГИТВ) и отдела по тарифна и статистическа номенклатура към Комитета по Митническия кодекс (сектор КН). Държавите членки изразиха своята подкрепа за предложението на Комисията.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По отношение на настоящото предложение не е извършена оценка на въздействието, тъй като няма значими икономически, екологични или социални въздействия, нито трябва да се вземат политически решения.</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spacing w:before="0" w:after="240"/>
        <w:rPr>
          <w:noProof/>
        </w:rPr>
      </w:pPr>
      <w:r>
        <w:rPr>
          <w:noProof/>
        </w:rPr>
        <w:t>Действащият регламент е доказал своите ползи за сектора на въздухоплаването в ЕС (безмитно третиране на стоките при представяне на удостоверение) и за администрациите на държавите членки (приемане на определен вид удостоверение, което е по-малко обременително от използваните преди митнически режими с отложено плащане). Положителното въздействие върху сектора е отразено в постепенното увеличение за периода 2014 — 2016 г. на стойността на вноса с удостоверения за летателна годност (приблизително 11,3 милиарда евро през 2014 г., 14,9 милиарда евро през 2015 г. и 18,5 милиарда евро през 2016 г.). Комисията изпраща на Съвета доклад относно прилагането на регламента (вж. по-горе).</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основните права.</w:t>
      </w:r>
    </w:p>
    <w:p>
      <w:pPr>
        <w:pStyle w:val="ManualHeading1"/>
        <w:rPr>
          <w:noProof/>
        </w:rPr>
      </w:pPr>
      <w:r>
        <w:rPr>
          <w:noProof/>
        </w:rPr>
        <w:t>4.</w:t>
      </w:r>
      <w:r>
        <w:rPr>
          <w:noProof/>
        </w:rPr>
        <w:tab/>
        <w:t>ОТРАЖЕНИЕ ВЪРХУ БЮДЖЕТА</w:t>
      </w:r>
    </w:p>
    <w:p>
      <w:pPr>
        <w:spacing w:before="0" w:after="240"/>
        <w:rPr>
          <w:rFonts w:eastAsia="Times New Roman"/>
          <w:noProof/>
          <w:szCs w:val="24"/>
        </w:rPr>
      </w:pPr>
      <w:r>
        <w:rPr>
          <w:noProof/>
        </w:rPr>
        <w:t>Предложението няма финансово отражение. Икономическите оператори в сектора можеха да използват митнически режими с отложено плащане дори и преди влизането в сила на Регламент (ЕО) № 1147/2002 на Съвета и предложението не внася големи промени.</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spacing w:before="0" w:after="240"/>
        <w:rPr>
          <w:noProof/>
        </w:rPr>
      </w:pPr>
      <w:r>
        <w:rPr>
          <w:noProof/>
        </w:rPr>
        <w:t>Предложените мерки трябва да се управляват в рамките на Интегрираната тарифа на Европейския съюз (ТАРИК) и да се прилагат от митническите администрации на държавите членки.</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2017/0324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временно суспендиране на автономните мита по Общата митническа тарифа за някои стоки, предназначени за монтиране или използване във въздухоплавателни средства, и за отмяна на Регламент (ЕО) № 1147/2002</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Регламент (ЕО) № 1147/2002 на Съвета</w:t>
      </w:r>
      <w:r>
        <w:rPr>
          <w:rStyle w:val="FootnoteReference"/>
          <w:noProof/>
        </w:rPr>
        <w:footnoteReference w:id="2"/>
      </w:r>
      <w:r>
        <w:rPr>
          <w:noProof/>
        </w:rPr>
        <w:t xml:space="preserve"> автономните мита по Общата митническа тарифа бяха временно суспендирани за някои части, компоненти и други стоки, предназначени за монтиране или използване във въздухоплавателни средства, при внасянето им с удостоверения за летателна годност. Посоченият регламент опрости митническите процедури за безмитен внос на части, компоненти и други стоки, използвани за производството, ремонта, поддръжката, реконструкцията, модификацията и конверсията на въздухоплавателни средства. Поради настъпилите обаче съществени технически и законодателни промени в периода след 2002 г. Регламент (ЕО) № 1147/2002 трябва да бъде адаптиран и, с оглед постигането на яснота, отменен. </w:t>
      </w:r>
    </w:p>
    <w:p>
      <w:pPr>
        <w:pStyle w:val="ManualConsidrant"/>
        <w:rPr>
          <w:noProof/>
        </w:rPr>
      </w:pPr>
      <w:r>
        <w:t>(2)</w:t>
      </w:r>
      <w:r>
        <w:tab/>
      </w:r>
      <w:r>
        <w:rPr>
          <w:noProof/>
        </w:rPr>
        <w:t>По информация от държавите членки временното суспендиране, въведено с Регламент (ЕО) № 1147/2002, продължава да бъде необходимо за постигане на целта за намаляване на административната тежест както за икономическите оператори в сектора на въздухоплаването, така и за митническите органи на държавите членки, тъй като вносът под специални режими с митнически надзор като специфична употреба, активно усъвършенстване или митническо складиране би бил обременителен. Поради това временното суспендиране следва да бъде продължено.</w:t>
      </w:r>
    </w:p>
    <w:p>
      <w:pPr>
        <w:pStyle w:val="ManualConsidrant"/>
        <w:rPr>
          <w:noProof/>
        </w:rPr>
      </w:pPr>
      <w:r>
        <w:t>(3)</w:t>
      </w:r>
      <w:r>
        <w:tab/>
      </w:r>
      <w:r>
        <w:rPr>
          <w:noProof/>
        </w:rPr>
        <w:t xml:space="preserve">С оглед на факта, че цените на използваните в сектора на въздухоплаването части и компоненти обикновено са много по-високи от цените на подобни стоки, използвани за други цели, рискът тези внесени без мито стоки да се използват в други промишлени области, и съответно рискът от злоупотреба с временното суспендиране, е много малък. </w:t>
      </w:r>
    </w:p>
    <w:p>
      <w:pPr>
        <w:pStyle w:val="ManualConsidrant"/>
        <w:rPr>
          <w:noProof/>
        </w:rPr>
      </w:pPr>
      <w:r>
        <w:t>(4)</w:t>
      </w:r>
      <w:r>
        <w:tab/>
      </w:r>
      <w:r>
        <w:rPr>
          <w:noProof/>
        </w:rPr>
        <w:t>В Регламент (ЕС) № 748/2012 на Комисията</w:t>
      </w:r>
      <w:r>
        <w:rPr>
          <w:rStyle w:val="FootnoteReference"/>
          <w:noProof/>
        </w:rPr>
        <w:footnoteReference w:id="3"/>
      </w:r>
      <w:r>
        <w:rPr>
          <w:noProof/>
        </w:rPr>
        <w:t xml:space="preserve"> се предвижда, че за да се допусне дадена част за монтаж в продукт с типов сертификат, тя трябва да се придружава от удостоверение за допускане до експлоатация (формуляр 1 на ЕААБ), издадено от страна, одобрена от въздухоплавателните органи в Съюза. Поради това към суспендирането на митата следва да се пристъпва само след представяне на удостоверение за допускане до експлоатация.</w:t>
      </w:r>
    </w:p>
    <w:p>
      <w:pPr>
        <w:pStyle w:val="ManualConsidrant"/>
        <w:rPr>
          <w:noProof/>
        </w:rPr>
      </w:pPr>
      <w:r>
        <w:t>(5)</w:t>
      </w:r>
      <w:r>
        <w:tab/>
      </w:r>
      <w:r>
        <w:rPr>
          <w:noProof/>
        </w:rPr>
        <w:t>Като алтернатива на удостоверенията за допускане до експлоатация (формуляр 1 на ЕААБ) следва да се приемат равностойни удостоверения, издадени от трети държави, и удостоверения, издадени в рамките на двустранни споразумения със Съюза за безопасност във въздухоплаването, сключени преди създаването на Европейската агенция за авиационна безопасност (ЕААБ).</w:t>
      </w:r>
    </w:p>
    <w:p>
      <w:pPr>
        <w:pStyle w:val="ManualConsidrant"/>
        <w:rPr>
          <w:noProof/>
        </w:rPr>
      </w:pPr>
      <w:r>
        <w:t>(6)</w:t>
      </w:r>
      <w:r>
        <w:tab/>
      </w:r>
      <w:r>
        <w:rPr>
          <w:noProof/>
        </w:rPr>
        <w:t>Като се има предвид, че някои удостоверения се издават само в електронна форма, с цел да се ползва суспендирането удостоверенията следва да може да се подават чрез електронни техники за обработка на данните или по друг начин.</w:t>
      </w:r>
    </w:p>
    <w:p>
      <w:pPr>
        <w:pStyle w:val="ManualConsidrant"/>
        <w:rPr>
          <w:noProof/>
        </w:rPr>
      </w:pPr>
      <w:r>
        <w:t>(7)</w:t>
      </w:r>
      <w:r>
        <w:tab/>
      </w:r>
      <w:r>
        <w:rPr>
          <w:noProof/>
        </w:rPr>
        <w:t xml:space="preserve">Когато към момента на деклариране на стоките за допускане за свободно обращение не може да бъде представено удостоверение, продавачът на стоките следва да представи декларация, съдържаща референтния номер на удостоверението, за да могат митническите органи на държавите членки да проверят продуктите, които се допускат за свободно обращение.  </w:t>
      </w:r>
    </w:p>
    <w:p>
      <w:pPr>
        <w:pStyle w:val="ManualConsidrant"/>
        <w:rPr>
          <w:noProof/>
        </w:rPr>
      </w:pPr>
      <w:r>
        <w:t>(8)</w:t>
      </w:r>
      <w:r>
        <w:tab/>
      </w:r>
      <w:r>
        <w:rPr>
          <w:noProof/>
        </w:rPr>
        <w:t>Когато митническите органи имат основателна причина да смятат, че удостоверенията са били фалшифицирани, те следва да могат да поискат експертно становище на представител на националните въздухоплавателни органи, изготвено за сметка на вносителя. Преди обаче да предприемат подобно действие и с цел да не създават излишна тежест за икономическите оператори, митническите органи следва да вземат предвид обема на стоките за внос, размера на митата, които биха били платими, ако не се приложи суспендирането по настоящия регламент, както и риска разходите по експертното становище да са по-големи от ползата за вносителя от суспендиране на митата, в случай че според експертното становище правилата за издаване на тези удостоверения не са били нарушени.</w:t>
      </w:r>
    </w:p>
    <w:p>
      <w:pPr>
        <w:pStyle w:val="ManualConsidrant"/>
        <w:rPr>
          <w:noProof/>
        </w:rPr>
      </w:pPr>
      <w:r>
        <w:t>(9)</w:t>
      </w:r>
      <w:r>
        <w:tab/>
      </w:r>
      <w:r>
        <w:rPr>
          <w:noProof/>
        </w:rPr>
        <w:t>С цел да се осигурят еднакви условия за прилагането на настоящия регламент, на Комисията следва да се предоставят изпълнителни правомощия за установяване на списък на позициите, подпозициите и кодовете по Комбинираната номенклатура, съдържаща се в Регламент (ЕИО) № 2658/87 на Съвета</w:t>
      </w:r>
      <w:r>
        <w:rPr>
          <w:rStyle w:val="FootnoteReference"/>
          <w:noProof/>
        </w:rPr>
        <w:footnoteReference w:id="4"/>
      </w:r>
      <w:r>
        <w:rPr>
          <w:noProof/>
        </w:rPr>
        <w:t>, в които се класират стоките, отговарящи на условията за суспендиране по настоящия регламент, за установяване на списък на удостоверенията, които са равностойни на удостоверенията за допускане до експлоатация, формуляр 1 на ЕААБ, и за съставяне на образец на декларациите, които може да бъдат подавани пред митническите органи, когато към момента на деклариране на стоките за допускане за свободно обращение не може да бъде представено удостоверение. Тези правомощия следва да бъдат упражнявани в съответствие с Регламент (ЕС) №182/2011 на Европейския парламент и на Съвета</w:t>
      </w:r>
      <w:r>
        <w:rPr>
          <w:rStyle w:val="FootnoteReference"/>
          <w:noProof/>
        </w:rPr>
        <w:footnoteReference w:id="5"/>
      </w:r>
      <w:r>
        <w:rPr>
          <w:noProof/>
        </w:rPr>
        <w:t>.</w:t>
      </w:r>
    </w:p>
    <w:p>
      <w:pPr>
        <w:pStyle w:val="ManualConsidrant"/>
        <w:rPr>
          <w:noProof/>
        </w:rPr>
      </w:pPr>
      <w:r>
        <w:t>(10)</w:t>
      </w:r>
      <w:r>
        <w:tab/>
      </w:r>
      <w:r>
        <w:rPr>
          <w:noProof/>
        </w:rPr>
        <w:t xml:space="preserve">Предвид съществените промени, внесени с настоящия регламент по отношение на стоките, отговарящи на условията за суспендиране на автономните мита, приемливите удостоверения за допускане до експлоатация и процедурите, както и с оглед постигането на яснота, Регламент (ЕО) № 1147/2002 следва да бъде отменен,  </w:t>
      </w:r>
    </w:p>
    <w:p>
      <w:pPr>
        <w:pStyle w:val="Formuledadoption"/>
        <w:rPr>
          <w:noProof/>
        </w:rPr>
      </w:pPr>
      <w:r>
        <w:rPr>
          <w:noProof/>
        </w:rPr>
        <w:t>ПРИЕ НАСТОЯЩИЯ РЕГЛАМЕНТ:</w:t>
      </w:r>
    </w:p>
    <w:p>
      <w:pPr>
        <w:pStyle w:val="Titrearticle"/>
        <w:rPr>
          <w:noProof/>
        </w:rPr>
      </w:pPr>
      <w:r>
        <w:rPr>
          <w:noProof/>
        </w:rPr>
        <w:t>Член 1</w:t>
      </w:r>
    </w:p>
    <w:p>
      <w:pPr>
        <w:autoSpaceDE w:val="0"/>
        <w:autoSpaceDN w:val="0"/>
        <w:adjustRightInd w:val="0"/>
        <w:rPr>
          <w:noProof/>
        </w:rPr>
      </w:pPr>
      <w:r>
        <w:rPr>
          <w:noProof/>
        </w:rPr>
        <w:t xml:space="preserve">Суспендират се автономните мита по Общата митническа тарифа, съдържаща се в Регламент (ЕИО) № 2658/87, за части, компоненти и други стоки, предназначени за монтиране или използване във въздухоплавателни средства за целите на тяхното производство, ремонт, поддръжка, реконструкция, модификация или конверсия. </w:t>
      </w:r>
    </w:p>
    <w:p>
      <w:pPr>
        <w:autoSpaceDE w:val="0"/>
        <w:autoSpaceDN w:val="0"/>
        <w:adjustRightInd w:val="0"/>
        <w:rPr>
          <w:noProof/>
        </w:rPr>
      </w:pPr>
      <w:r>
        <w:rPr>
          <w:noProof/>
        </w:rPr>
        <w:t>Чрез актове за изпълнение Комисията установява списък на позициите, подпозициите и кодовете по Комбинираната номенклатура, съдържаща се в Регламент (ЕИО) № 2658/87, в които се класират стоките, отговарящи на условията за суспендиране. Тези актове за изпълнение се приемат в съответствие с процедурата по разглеждане, посочена в член 4.</w:t>
      </w:r>
    </w:p>
    <w:p>
      <w:pPr>
        <w:pStyle w:val="Titrearticle"/>
        <w:rPr>
          <w:noProof/>
        </w:rPr>
      </w:pPr>
      <w:r>
        <w:rPr>
          <w:noProof/>
        </w:rPr>
        <w:t>Член 2</w:t>
      </w:r>
    </w:p>
    <w:p>
      <w:pPr>
        <w:pStyle w:val="ManualNumPar1"/>
        <w:rPr>
          <w:noProof/>
        </w:rPr>
      </w:pPr>
      <w:r>
        <w:rPr>
          <w:noProof/>
        </w:rPr>
        <w:t>1.</w:t>
      </w:r>
      <w:r>
        <w:rPr>
          <w:noProof/>
        </w:rPr>
        <w:tab/>
        <w:t xml:space="preserve">С цел стоките да се възползват от суспендирането по член 1, при подаване на митническата декларация за допускане за свободно обращение деклараторът представя на митническите органи удостоверение за допускане до експлоатация, формуляр 1 на ЕААБ, съгласно допълнение I към приложение I към Регламент (ЕС) № 748/2012 или равностойно на него удостоверение. В митническата декларация за допускане за свободно обращение се съдържа препратка към референтния номер на удостоверението. </w:t>
      </w:r>
    </w:p>
    <w:p>
      <w:pPr>
        <w:pStyle w:val="ManualNumPar1"/>
        <w:ind w:hanging="10"/>
        <w:rPr>
          <w:noProof/>
        </w:rPr>
      </w:pPr>
      <w:r>
        <w:rPr>
          <w:noProof/>
        </w:rPr>
        <w:t xml:space="preserve">Удостоверението се подава чрез електронни техники за обработка на данните или по друг начин. </w:t>
      </w:r>
    </w:p>
    <w:p>
      <w:pPr>
        <w:pStyle w:val="ManualNumPar1"/>
        <w:ind w:hanging="10"/>
        <w:rPr>
          <w:noProof/>
        </w:rPr>
      </w:pPr>
      <w:r>
        <w:rPr>
          <w:noProof/>
        </w:rPr>
        <w:t xml:space="preserve">Чрез актове за изпълнение Комисията установява списък на удостоверенията, които се считат за равностойни на удостоверението за допускане до експлоатация, формуляр 1 на ЕААБ. Тези актове за изпълнение се приемат в съответствие с процедурата по разглеждане, посочена в член 4. </w:t>
      </w:r>
    </w:p>
    <w:p>
      <w:pPr>
        <w:pStyle w:val="ManualNumPar1"/>
        <w:rPr>
          <w:noProof/>
        </w:rPr>
      </w:pPr>
      <w:r>
        <w:rPr>
          <w:noProof/>
        </w:rPr>
        <w:t>2.</w:t>
      </w:r>
      <w:r>
        <w:rPr>
          <w:noProof/>
        </w:rPr>
        <w:tab/>
        <w:t>Чрез дерогация от разпоредбите на параграф 1, когато към момента на деклариране на стоките за допускане за свободно обращение не може да бъде представено удостоверение, вместо него деклараторът може да представи декларация върху търговската фактура или приложен към нея документ. В декларацията се съдържа референтен номер на удостоверението. В случая на стоки, внесени с цел ремонт или поддръжка, които вече не отговарят на условията за летателна годност, в декларацията се съдържа препратка към номера на оригинала на удостоверението.</w:t>
      </w:r>
    </w:p>
    <w:p>
      <w:pPr>
        <w:pStyle w:val="ManualNumPar1"/>
        <w:ind w:hanging="10"/>
        <w:rPr>
          <w:noProof/>
        </w:rPr>
      </w:pPr>
      <w:r>
        <w:rPr>
          <w:noProof/>
        </w:rPr>
        <w:t xml:space="preserve">Декларацията се подписва от продавача на стоките. </w:t>
      </w:r>
    </w:p>
    <w:p>
      <w:pPr>
        <w:pStyle w:val="ManualNumPar1"/>
        <w:ind w:hanging="10"/>
        <w:rPr>
          <w:noProof/>
        </w:rPr>
      </w:pPr>
      <w:r>
        <w:rPr>
          <w:noProof/>
        </w:rPr>
        <w:t xml:space="preserve">Декларацията се изготвя в съответствие с образец, установен от Комисията чрез актове за изпълнение. Тези актове за изпълнение се приемат в съответствие с процедурата по разглеждане, посочена в член 4. </w:t>
      </w:r>
    </w:p>
    <w:p>
      <w:pPr>
        <w:pStyle w:val="Titrearticle"/>
        <w:rPr>
          <w:noProof/>
        </w:rPr>
      </w:pPr>
      <w:r>
        <w:rPr>
          <w:noProof/>
        </w:rPr>
        <w:t>Член 3</w:t>
      </w:r>
    </w:p>
    <w:p>
      <w:pPr>
        <w:autoSpaceDE w:val="0"/>
        <w:autoSpaceDN w:val="0"/>
        <w:adjustRightInd w:val="0"/>
        <w:rPr>
          <w:noProof/>
        </w:rPr>
      </w:pPr>
      <w:r>
        <w:rPr>
          <w:noProof/>
        </w:rPr>
        <w:t xml:space="preserve">Когато митническите органи имат основателна причина да подозират, че удостоверение, представено съгласно член 2, параграф 1, е било фалшифицирано, те могат да поискат експертно становище на представител на националните въздухоплавателни органи. Разходите по експертното становище са за сметка на вносителя. </w:t>
      </w:r>
    </w:p>
    <w:p>
      <w:pPr>
        <w:autoSpaceDE w:val="0"/>
        <w:autoSpaceDN w:val="0"/>
        <w:adjustRightInd w:val="0"/>
        <w:rPr>
          <w:noProof/>
        </w:rPr>
      </w:pPr>
      <w:r>
        <w:rPr>
          <w:noProof/>
        </w:rPr>
        <w:t>Когато решават дали да поискат експертно становище, митническите органи вземат предвид обема на стоките за внос, размера на митата, които биха били платими, ако не се приложи суспендирането по настоящия регламент, както и риска разходите по експертното становище да са по-големи от ползата за вносителя от суспендиране на митата, в случай че според експертното становище правилата за издаване на тези удостоверения не са били нарушени.</w:t>
      </w:r>
    </w:p>
    <w:p>
      <w:pPr>
        <w:pStyle w:val="Titrearticle"/>
        <w:rPr>
          <w:noProof/>
        </w:rPr>
      </w:pPr>
      <w:r>
        <w:rPr>
          <w:noProof/>
        </w:rPr>
        <w:t>Член 4</w:t>
      </w:r>
    </w:p>
    <w:p>
      <w:pPr>
        <w:autoSpaceDE w:val="0"/>
        <w:autoSpaceDN w:val="0"/>
        <w:adjustRightInd w:val="0"/>
        <w:rPr>
          <w:noProof/>
        </w:rPr>
      </w:pPr>
      <w:r>
        <w:rPr>
          <w:noProof/>
        </w:rPr>
        <w:t>Комисията се подпомага от Комитета по Митническия кодекс, създаден по силата на член 285 от Регламент (ЕС) № 952/2013 на Европейския парламент и на Съвета</w:t>
      </w:r>
      <w:r>
        <w:rPr>
          <w:rStyle w:val="FootnoteReference"/>
          <w:noProof/>
        </w:rPr>
        <w:footnoteReference w:id="6"/>
      </w:r>
      <w:r>
        <w:rPr>
          <w:noProof/>
        </w:rPr>
        <w:t>. Този комитет е комитет по смисъла на Регламент (ЕС) № 182/2011.</w:t>
      </w:r>
    </w:p>
    <w:p>
      <w:pPr>
        <w:autoSpaceDE w:val="0"/>
        <w:autoSpaceDN w:val="0"/>
        <w:adjustRightInd w:val="0"/>
        <w:rPr>
          <w:noProof/>
        </w:rPr>
      </w:pPr>
      <w:r>
        <w:rPr>
          <w:noProof/>
        </w:rPr>
        <w:t xml:space="preserve">При позоваване на настоящия параграф се прилага член 5 от Регламент (ЕС) № 182/2011. </w:t>
      </w:r>
    </w:p>
    <w:p>
      <w:pPr>
        <w:pStyle w:val="Titrearticle"/>
        <w:rPr>
          <w:noProof/>
        </w:rPr>
      </w:pPr>
      <w:r>
        <w:rPr>
          <w:noProof/>
        </w:rPr>
        <w:t>Член 5</w:t>
      </w:r>
    </w:p>
    <w:p>
      <w:pPr>
        <w:pStyle w:val="Normal1"/>
        <w:rPr>
          <w:noProof/>
        </w:rPr>
      </w:pPr>
      <w:r>
        <w:rPr>
          <w:noProof/>
        </w:rPr>
        <w:t>Регламент (ЕО) № 1147/2002 се отменя. Позоваванията на отменения регламент се считат за позовавания на настоящия регламент.</w:t>
      </w:r>
    </w:p>
    <w:p>
      <w:pPr>
        <w:pStyle w:val="Titrearticle"/>
        <w:rPr>
          <w:noProof/>
        </w:rPr>
      </w:pPr>
      <w:r>
        <w:rPr>
          <w:noProof/>
        </w:rPr>
        <w:t>Член 6</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p>
    <w:p>
      <w:pPr>
        <w:rPr>
          <w:i/>
          <w:noProof/>
        </w:rPr>
      </w:pPr>
      <w:r>
        <w:rPr>
          <w:noProof/>
        </w:rPr>
        <w:t>Той се прилага от [1 март 2018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Normal1"/>
        <w:jc w:val="both"/>
        <w:rPr>
          <w:noProof/>
        </w:rPr>
      </w:pPr>
      <w:r>
        <w:rPr>
          <w:rFonts w:eastAsiaTheme="minorHAnsi"/>
          <w:b/>
          <w:noProof/>
        </w:rPr>
        <w:t>Регламент на Съвета за временно суспендиране на автономните мита по Общата митническа тарифа за някои стоки, предназначени за монтиране или използване във въздухоплавателни средства, и за отмяна на Регламент (ЕО) № 1147/2002</w:t>
      </w:r>
    </w:p>
    <w:p>
      <w:pPr>
        <w:pStyle w:val="ManualHeading1"/>
        <w:rPr>
          <w:rFonts w:eastAsiaTheme="majorEastAsia"/>
          <w:bCs/>
          <w:noProof/>
          <w:szCs w:val="24"/>
        </w:rPr>
      </w:pPr>
      <w:r>
        <w:rPr>
          <w:noProof/>
        </w:rPr>
        <w:t>2.</w:t>
      </w:r>
      <w:r>
        <w:rPr>
          <w:noProof/>
        </w:rPr>
        <w:tab/>
        <w:t>БЮДЖЕТНИ РЕДОВЕ</w:t>
      </w:r>
    </w:p>
    <w:p>
      <w:pPr>
        <w:ind w:left="850"/>
        <w:rPr>
          <w:noProof/>
        </w:rPr>
      </w:pPr>
      <w:r>
        <w:rPr>
          <w:noProof/>
        </w:rPr>
        <w:t>X</w:t>
      </w:r>
      <w:r>
        <w:rPr>
          <w:noProof/>
        </w:rPr>
        <w:tab/>
        <w:t>Предложението няма финансово отражение</w:t>
      </w:r>
    </w:p>
    <w:p>
      <w:pPr>
        <w:ind w:left="850"/>
        <w:rPr>
          <w:noProof/>
        </w:rPr>
      </w:pPr>
      <w:r>
        <w:rPr>
          <w:noProof/>
        </w:rPr>
        <w:sym w:font="Wingdings" w:char="F0A8"/>
      </w:r>
      <w:r>
        <w:rPr>
          <w:noProof/>
        </w:rPr>
        <w:t xml:space="preserve"> Предложението няма финансово отражение върху разходите, но има финансово отражение върху приходите — ефектът е, както следва:</w:t>
      </w:r>
    </w:p>
    <w:p>
      <w:pPr>
        <w:jc w:val="right"/>
        <w:rPr>
          <w:noProof/>
        </w:rPr>
      </w:pPr>
      <w:r>
        <w:rPr>
          <w:noProof/>
        </w:rPr>
        <w:t>(в млн. евро до един знак след десетичната запетая)</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Бюджетен ред</w:t>
            </w:r>
          </w:p>
        </w:tc>
        <w:tc>
          <w:tcPr>
            <w:tcW w:w="2880" w:type="dxa"/>
          </w:tcPr>
          <w:p>
            <w:pPr>
              <w:spacing w:before="0" w:after="0"/>
              <w:jc w:val="center"/>
              <w:rPr>
                <w:noProof/>
                <w:snapToGrid w:val="0"/>
              </w:rPr>
            </w:pPr>
            <w:r>
              <w:rPr>
                <w:noProof/>
                <w:sz w:val="22"/>
              </w:rPr>
              <w:t>Приходи</w:t>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12-месечен период, считано от дд/мм/гггг</w:t>
            </w:r>
          </w:p>
        </w:tc>
        <w:tc>
          <w:tcPr>
            <w:tcW w:w="2070" w:type="dxa"/>
            <w:shd w:val="clear" w:color="auto" w:fill="auto"/>
          </w:tcPr>
          <w:p>
            <w:pPr>
              <w:spacing w:before="0" w:after="0"/>
              <w:jc w:val="center"/>
              <w:rPr>
                <w:noProof/>
                <w:snapToGrid w:val="0"/>
              </w:rPr>
            </w:pPr>
            <w:r>
              <w:rPr>
                <w:noProof/>
                <w:sz w:val="22"/>
              </w:rPr>
              <w:t>[Година: 2017]</w:t>
            </w:r>
          </w:p>
        </w:tc>
      </w:tr>
      <w:tr>
        <w:trPr>
          <w:cantSplit/>
        </w:trPr>
        <w:tc>
          <w:tcPr>
            <w:tcW w:w="1322" w:type="dxa"/>
            <w:shd w:val="clear" w:color="auto" w:fill="auto"/>
          </w:tcPr>
          <w:p>
            <w:pPr>
              <w:spacing w:before="0" w:after="0"/>
              <w:jc w:val="left"/>
              <w:rPr>
                <w:noProof/>
                <w:snapToGrid w:val="0"/>
              </w:rPr>
            </w:pPr>
          </w:p>
        </w:tc>
        <w:tc>
          <w:tcPr>
            <w:tcW w:w="2880" w:type="dxa"/>
          </w:tcPr>
          <w:p>
            <w:pPr>
              <w:spacing w:before="0" w:after="0"/>
              <w:jc w:val="left"/>
              <w:rPr>
                <w:i/>
                <w:noProof/>
                <w:snapToGrid w:val="0"/>
              </w:rPr>
            </w:pPr>
          </w:p>
        </w:tc>
        <w:tc>
          <w:tcPr>
            <w:tcW w:w="2070" w:type="dxa"/>
            <w:shd w:val="clear" w:color="auto" w:fill="auto"/>
          </w:tcPr>
          <w:p>
            <w:pPr>
              <w:spacing w:before="0" w:after="0"/>
              <w:jc w:val="left"/>
              <w:rPr>
                <w:noProof/>
                <w:snapToGrid w:val="0"/>
              </w:rPr>
            </w:pPr>
          </w:p>
        </w:tc>
        <w:tc>
          <w:tcPr>
            <w:tcW w:w="2070" w:type="dxa"/>
            <w:shd w:val="clear" w:color="auto" w:fill="auto"/>
          </w:tcPr>
          <w:p>
            <w:pPr>
              <w:spacing w:before="0" w:after="0"/>
              <w:jc w:val="left"/>
              <w:rPr>
                <w:noProof/>
                <w:snapToGrid w:val="0"/>
              </w:rPr>
            </w:pP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Положение след действието</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Бюджетен ред</w:t>
            </w: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ind w:left="850"/>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ind w:left="850"/>
              <w:rPr>
                <w:noProof/>
              </w:rPr>
            </w:pPr>
          </w:p>
        </w:tc>
      </w:tr>
    </w:tbl>
    <w:p>
      <w:pPr>
        <w:rPr>
          <w:rFonts w:eastAsia="Times New Roman"/>
          <w:noProof/>
          <w:szCs w:val="24"/>
        </w:rPr>
      </w:pPr>
      <w:r>
        <w:rPr>
          <w:noProof/>
        </w:rPr>
        <w:t xml:space="preserve">Предложението няма финансово отражение. Икономическите оператори в този сектор можеха да използват митнически режими с отложено плащане (напр. „активно усъвършенстване“, „специфична употреба“, „митническо складиране“) и преди влизането в сила на Регламент (ЕО) 1147/2002 на Съвета и настоящото предложение не внася съществени промени в действащото законодателство. </w:t>
      </w:r>
    </w:p>
    <w:p>
      <w:pPr>
        <w:rPr>
          <w:noProof/>
          <w:szCs w:val="24"/>
        </w:rPr>
      </w:pPr>
      <w:r>
        <w:rPr>
          <w:noProof/>
        </w:rPr>
        <w:t xml:space="preserve">За информация: размерът на митата за обема на вноса в ЕС с „удостоверения за летателна годност“ за 2016 година се изчислява на 560 млн. евро.  </w:t>
      </w:r>
    </w:p>
    <w:p>
      <w:pPr>
        <w:rPr>
          <w:noProof/>
        </w:rPr>
      </w:pPr>
    </w:p>
    <w:p>
      <w:pPr>
        <w:pStyle w:val="ManualHeading1"/>
        <w:rPr>
          <w:noProof/>
        </w:rPr>
      </w:pPr>
      <w:r>
        <w:rPr>
          <w:noProof/>
        </w:rPr>
        <w:t>3.</w:t>
      </w:r>
      <w:r>
        <w:rPr>
          <w:noProof/>
        </w:rPr>
        <w:tab/>
        <w:t>МЕРКИ ЗА БОРБА С ИЗМАМИТЕ</w:t>
      </w:r>
    </w:p>
    <w:p>
      <w:pPr>
        <w:rPr>
          <w:rFonts w:eastAsia="Times New Roman"/>
          <w:noProof/>
          <w:szCs w:val="20"/>
        </w:rPr>
      </w:pPr>
      <w:r>
        <w:rPr>
          <w:noProof/>
        </w:rPr>
        <w:t>В член 3 от регламента се предвижда митническите органи да могат да поискат експертно становище от представител на националните въздухоплавателни органи за сметка на вносителя, когато имат основание да подозират фалшифициране на удостоверенията.</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 w:val="16"/>
          <w:szCs w:val="16"/>
        </w:rPr>
      </w:pPr>
      <w:r>
        <w:rPr>
          <w:rStyle w:val="FootnoteReference"/>
        </w:rPr>
        <w:footnoteRef/>
      </w:r>
      <w:r>
        <w:tab/>
      </w:r>
      <w:r>
        <w:rPr>
          <w:sz w:val="16"/>
        </w:rPr>
        <w:t>Регламент (ЕО) № 1147/2002 на Съвета от 25 юни 2002 г. за суспендиране на автономните мита по Общата митническа тарифа за някои стоки, внасяни с разрешителни за въздухоплаване (OB L 170, 29.6.2002 г., стр. 8).</w:t>
      </w:r>
    </w:p>
  </w:footnote>
  <w:footnote w:id="3">
    <w:p>
      <w:pPr>
        <w:pStyle w:val="FootnoteText"/>
        <w:rPr>
          <w:sz w:val="16"/>
          <w:szCs w:val="16"/>
        </w:rPr>
      </w:pPr>
      <w:r>
        <w:rPr>
          <w:rStyle w:val="FootnoteReference"/>
        </w:rPr>
        <w:footnoteRef/>
      </w:r>
      <w:r>
        <w:tab/>
      </w:r>
      <w:r>
        <w:rPr>
          <w:sz w:val="16"/>
        </w:rPr>
        <w:t>Регламент (ЕС) № 748/2012 на Комисията от 3 август 2012 г. 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w:t>
      </w:r>
      <w:r>
        <w:t xml:space="preserve"> (</w:t>
      </w:r>
      <w:hyperlink r:id="rId1">
        <w:r>
          <w:rPr>
            <w:sz w:val="16"/>
          </w:rPr>
          <w:t>ОВ L 224, 21.8.2012 г., стр. 1</w:t>
        </w:r>
      </w:hyperlink>
      <w:r>
        <w:t>).</w:t>
      </w:r>
      <w:r>
        <w:rPr>
          <w:sz w:val="16"/>
        </w:rPr>
        <w:t xml:space="preserve"> </w:t>
      </w:r>
    </w:p>
  </w:footnote>
  <w:footnote w:id="4">
    <w:p>
      <w:pPr>
        <w:spacing w:after="0"/>
        <w:ind w:left="720" w:hanging="720"/>
        <w:rPr>
          <w:sz w:val="16"/>
          <w:szCs w:val="16"/>
        </w:rPr>
      </w:pPr>
      <w:r>
        <w:rPr>
          <w:rStyle w:val="FootnoteReference"/>
        </w:rPr>
        <w:footnoteRef/>
      </w:r>
      <w:r>
        <w:tab/>
      </w:r>
      <w:r>
        <w:rPr>
          <w:sz w:val="16"/>
        </w:rPr>
        <w:t>Регламент (ЕИО) № 2658/87 на Съвета от 23 юли 1987 г. относно тарифната и статистическа номенклатура и Общата митническа тарифа (OВ L 256, 7.9.1987 г., стр. 1).</w:t>
      </w:r>
    </w:p>
  </w:footnote>
  <w:footnote w:id="5">
    <w:p>
      <w:pPr>
        <w:pStyle w:val="FootnoteText"/>
      </w:pPr>
      <w:r>
        <w:rPr>
          <w:rStyle w:val="FootnoteReference"/>
        </w:rPr>
        <w:footnoteRef/>
      </w:r>
      <w:r>
        <w:tab/>
      </w:r>
      <w:r>
        <w:rPr>
          <w:sz w:val="16"/>
        </w:rPr>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6">
    <w:p>
      <w:pPr>
        <w:pStyle w:val="FootnoteText"/>
      </w:pPr>
      <w:r>
        <w:rPr>
          <w:rStyle w:val="FootnoteReference"/>
        </w:rPr>
        <w:footnoteRef/>
      </w:r>
      <w:r>
        <w:tab/>
      </w:r>
      <w:r>
        <w:rPr>
          <w:sz w:val="16"/>
        </w:rPr>
        <w:t xml:space="preserve">Регламент (ЕС) № 952/2013 на Европейския парламент и на Съвета от 9 октомври 2013 г. за създаване на Митнически кодекс на Съюза (ОВ L 269, 10.10.2013 г., стр. 1).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7EDC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101E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E6420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C6A8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1DAC6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144A4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2688DDC"/>
    <w:lvl w:ilvl="0">
      <w:start w:val="1"/>
      <w:numFmt w:val="decimal"/>
      <w:pStyle w:val="ListNumber"/>
      <w:lvlText w:val="%1."/>
      <w:lvlJc w:val="left"/>
      <w:pPr>
        <w:tabs>
          <w:tab w:val="num" w:pos="360"/>
        </w:tabs>
        <w:ind w:left="360" w:hanging="360"/>
      </w:pPr>
    </w:lvl>
  </w:abstractNum>
  <w:abstractNum w:abstractNumId="7">
    <w:nsid w:val="FFFFFF89"/>
    <w:multiLevelType w:val="singleLevel"/>
    <w:tmpl w:val="96B4EC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4532F2"/>
    <w:multiLevelType w:val="hybridMultilevel"/>
    <w:tmpl w:val="259E9FFC"/>
    <w:lvl w:ilvl="0" w:tplc="04F69476">
      <w:start w:val="1"/>
      <w:numFmt w:val="decimal"/>
      <w:pStyle w:val="Numpar"/>
      <w:lvlText w:val="%1."/>
      <w:lvlJc w:val="left"/>
      <w:pPr>
        <w:ind w:left="774"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1 16:40:1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1"/>
    <w:docVar w:name="DQCResult_StructureCheck" w:val="0;0"/>
    <w:docVar w:name="DQCResult_SuperfluousWhitespace" w:val="0;10"/>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76578FE3-9F47-444C-BCB5-B0F685AA9AB8"/>
    <w:docVar w:name="LW_COVERPAGE_TYPE" w:val="1"/>
    <w:docVar w:name="LW_CROSSREFERENCE" w:val="&lt;UNUSED&gt;"/>
    <w:docVar w:name="LW_DocType" w:val="COM"/>
    <w:docVar w:name="LW_EMISSION" w:val="4.12.2017"/>
    <w:docVar w:name="LW_EMISSION_ISODATE" w:val="2017-12-04"/>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24"/>
    <w:docVar w:name="LW_REF.II.NEW.CP_YEAR" w:val="2017"/>
    <w:docVar w:name="LW_REF.INST.NEW" w:val="COM"/>
    <w:docVar w:name="LW_REF.INST.NEW_ADOPTED" w:val="final"/>
    <w:docVar w:name="LW_REF.INST.NEW_TEXT" w:val="(2017) 7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74?\u1088?\u1077?\u1084?\u1077?\u1085?\u1085?\u1086? \u1089?\u1091?\u1089?\u1087?\u1077?\u1085?\u1076?\u1080?\u1088?\u1072?\u1085?\u1077? \u1085?\u1072? \u1072?\u1074?\u1090?\u1086?\u1085?\u1086?\u1084?\u1085?\u1080?\u1090?\u1077? \u1084?\u1080?\u1090?\u1072? \u1087?\u1086? \u1054?\u1073?\u1097?\u1072?\u1090?\u1072? \u1084?\u1080?\u1090?\u1085?\u1080?\u1095?\u1077?\u1089?\u1082?\u1072? \u1090?\u1072?\u1088?\u1080?\u1092?\u1072? \u1079?\u1072? \u1085?\u1103?\u1082?\u1086?\u1080? \u1089?\u1090?\u1086?\u1082?\u1080?, \u1087?\u1088?\u1077?\u1076?\u1085?\u1072?\u1079?\u1085?\u1072?\u1095?\u1077?\u1085?\u1080? \u1079?\u1072? \u1084?\u1086?\u1085?\u1090?\u1080?\u1088?\u1072?\u1085?\u1077? \u1080?\u1083?\u1080? \u1080?\u1079?\u1087?\u1086?\u1083?\u1079?\u1074?\u1072?\u1085?\u1077? \u1074?\u1098?\u1074? \u1074?\u1098?\u1079?\u1076?\u1091?\u1093?\u1086?\u1087?\u1083?\u1072?\u1074?\u1072?\u1090?\u1077?\u1083?\u1085?\u1080? \u1089?\u1088?\u1077?\u1076?\u1089?\u1090?\u1074?\u1072?, \u1080? \u1079?\u1072? \u1086?\u1090?\u1084?\u1103?\u1085?\u1072? \u1085?\u1072? \u1056?\u1077?\u1075?\u1083?\u1072?\u1084?\u1077?\u1085?\u1090? (\u1045?\u1054?) \u8470? 1147/2002"/>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Numpar">
    <w:name w:val="Numpar"/>
    <w:basedOn w:val="NormalWeb"/>
    <w:pPr>
      <w:numPr>
        <w:numId w:val="1"/>
      </w:numPr>
      <w:tabs>
        <w:tab w:val="num" w:pos="1984"/>
      </w:tabs>
      <w:spacing w:before="100" w:beforeAutospacing="1" w:after="100" w:afterAutospacing="1"/>
      <w:ind w:left="720" w:hanging="567"/>
    </w:pPr>
    <w:rPr>
      <w:rFonts w:eastAsia="Times New Roman"/>
    </w:rPr>
  </w:style>
  <w:style w:type="paragraph" w:styleId="NormalWeb">
    <w:name w:val="Normal (Web)"/>
    <w:basedOn w:val="Normal"/>
    <w:uiPriority w:val="99"/>
    <w:semiHidden/>
    <w:unhideWhenUsed/>
    <w:rPr>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Numpar">
    <w:name w:val="Numpar"/>
    <w:basedOn w:val="NormalWeb"/>
    <w:pPr>
      <w:numPr>
        <w:numId w:val="1"/>
      </w:numPr>
      <w:tabs>
        <w:tab w:val="num" w:pos="1984"/>
      </w:tabs>
      <w:spacing w:before="100" w:beforeAutospacing="1" w:after="100" w:afterAutospacing="1"/>
      <w:ind w:left="720" w:hanging="567"/>
    </w:pPr>
    <w:rPr>
      <w:rFonts w:eastAsia="Times New Roman"/>
    </w:rPr>
  </w:style>
  <w:style w:type="paragraph" w:styleId="NormalWeb">
    <w:name w:val="Normal (Web)"/>
    <w:basedOn w:val="Normal"/>
    <w:uiPriority w:val="99"/>
    <w:semiHidden/>
    <w:unhideWhenUsed/>
    <w:rPr>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72883">
      <w:bodyDiv w:val="1"/>
      <w:marLeft w:val="0"/>
      <w:marRight w:val="0"/>
      <w:marTop w:val="0"/>
      <w:marBottom w:val="0"/>
      <w:divBdr>
        <w:top w:val="none" w:sz="0" w:space="0" w:color="auto"/>
        <w:left w:val="none" w:sz="0" w:space="0" w:color="auto"/>
        <w:bottom w:val="none" w:sz="0" w:space="0" w:color="auto"/>
        <w:right w:val="none" w:sz="0" w:space="0" w:color="auto"/>
      </w:divBdr>
    </w:div>
    <w:div w:id="9131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BG/AUTO/?uri=OJ:L:2012:224: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68C95-4CB0-4BDF-952F-794B38EE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2872</Words>
  <Characters>17669</Characters>
  <Application>Microsoft Office Word</Application>
  <DocSecurity>0</DocSecurity>
  <Lines>353</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2017-10-17T12:54:00Z</cp:lastPrinted>
  <dcterms:created xsi:type="dcterms:W3CDTF">2017-11-21T14:43:00Z</dcterms:created>
  <dcterms:modified xsi:type="dcterms:W3CDTF">2017-12-01T15:40:00Z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