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D04DA69E-EB6C-4BEE-B395-976BCB55E1B8" style="width:450.75pt;height:333.75pt">
            <v:imagedata r:id="rId9" o:title=""/>
          </v:shape>
        </w:pict>
      </w:r>
    </w:p>
    <w:bookmarkEnd w:id="0"/>
    <w:p>
      <w:pPr>
        <w:rPr>
          <w:rFonts w:ascii="Times New Roman" w:hAnsi="Times New Roman" w:cs="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after="100" w:afterAutospacing="1" w:line="240" w:lineRule="auto"/>
        <w:jc w:val="both"/>
        <w:rPr>
          <w:rFonts w:ascii="Times New Roman" w:hAnsi="Times New Roman" w:cs="Times New Roman"/>
          <w:b/>
          <w:noProof/>
          <w:sz w:val="24"/>
          <w:szCs w:val="24"/>
          <w:u w:val="single"/>
        </w:rPr>
      </w:pPr>
      <w:bookmarkStart w:id="1" w:name="_GoBack"/>
      <w:bookmarkEnd w:id="1"/>
      <w:r>
        <w:rPr>
          <w:rFonts w:ascii="Times New Roman" w:hAnsi="Times New Roman"/>
          <w:b/>
          <w:noProof/>
          <w:sz w:val="24"/>
          <w:u w:val="single"/>
        </w:rPr>
        <w:lastRenderedPageBreak/>
        <w:t>I. Въведение</w:t>
      </w:r>
    </w:p>
    <w:p>
      <w:pPr>
        <w:spacing w:after="100" w:afterAutospacing="1" w:line="240" w:lineRule="auto"/>
        <w:jc w:val="both"/>
        <w:rPr>
          <w:rFonts w:ascii="Times New Roman" w:hAnsi="Times New Roman" w:cs="Times New Roman"/>
          <w:noProof/>
          <w:sz w:val="24"/>
          <w:szCs w:val="24"/>
        </w:rPr>
      </w:pPr>
      <w:r>
        <w:rPr>
          <w:rFonts w:ascii="Times New Roman" w:hAnsi="Times New Roman"/>
          <w:noProof/>
          <w:sz w:val="24"/>
        </w:rPr>
        <w:t>Трафикът на хора продължава да бъде изключително доходоносна форма на тежка и организирана престъпност, изрично забранена в Хартата на основните права на Европейския съюз</w:t>
      </w:r>
      <w:r>
        <w:rPr>
          <w:rStyle w:val="FootnoteReference"/>
          <w:rFonts w:ascii="Times New Roman" w:hAnsi="Times New Roman"/>
          <w:noProof/>
          <w:sz w:val="24"/>
        </w:rPr>
        <w:footnoteReference w:id="2"/>
      </w:r>
      <w:r>
        <w:rPr>
          <w:noProof/>
        </w:rPr>
        <w:t>.</w:t>
      </w:r>
      <w:r>
        <w:rPr>
          <w:rFonts w:ascii="Times New Roman" w:hAnsi="Times New Roman"/>
          <w:noProof/>
          <w:sz w:val="24"/>
        </w:rPr>
        <w:t xml:space="preserve"> Страданието на всяка жертва, както и ужасните преживявания, през които е преминала, заслужават да получат съответното внимание и най-вече — да се вземат мерки за тяхното предотвратяване в бъдеще. Предвид вредата, която се нанася на жертвите, превенцията трябва да продължи да бъде основният елемент в действията на ЕС за борба с трафика на хора. С това съобщение се определят ключовите действия, които Комисията и държавите членки трябва да засилят, в това число сътрудничеството с агенциите на ЕС, гражданското общество, страните извън ЕС и всички други съответни организации и органи.</w:t>
      </w:r>
    </w:p>
    <w:p>
      <w:pPr>
        <w:spacing w:after="100" w:afterAutospacing="1" w:line="240" w:lineRule="auto"/>
        <w:jc w:val="both"/>
        <w:rPr>
          <w:rFonts w:ascii="Times New Roman" w:hAnsi="Times New Roman" w:cs="Times New Roman"/>
          <w:noProof/>
          <w:sz w:val="24"/>
          <w:szCs w:val="24"/>
        </w:rPr>
      </w:pPr>
      <w:r>
        <w:rPr>
          <w:rFonts w:ascii="Times New Roman" w:hAnsi="Times New Roman"/>
          <w:noProof/>
          <w:sz w:val="24"/>
        </w:rPr>
        <w:t>Ясно е, че броят на жертвите значително надхвърля посочения в официалните данни. Свързаното с пола измерение на престъплението е очевидно. Като преобладаваща форма на трафика редовно се посочва трафикът с цел сексуална експлоатация, в който жертвите са основно жени и момичета</w:t>
      </w:r>
      <w:r>
        <w:rPr>
          <w:rStyle w:val="FootnoteReference"/>
          <w:rFonts w:ascii="Times New Roman" w:hAnsi="Times New Roman"/>
          <w:noProof/>
          <w:sz w:val="24"/>
        </w:rPr>
        <w:footnoteReference w:id="3"/>
      </w:r>
      <w:r>
        <w:rPr>
          <w:noProof/>
        </w:rPr>
        <w:t>.</w:t>
      </w:r>
    </w:p>
    <w:p>
      <w:pPr>
        <w:spacing w:after="100" w:afterAutospacing="1" w:line="240" w:lineRule="auto"/>
        <w:jc w:val="both"/>
        <w:rPr>
          <w:rFonts w:ascii="Times New Roman" w:hAnsi="Times New Roman" w:cs="Times New Roman"/>
          <w:noProof/>
          <w:sz w:val="24"/>
          <w:szCs w:val="24"/>
        </w:rPr>
      </w:pPr>
      <w:r>
        <w:rPr>
          <w:rFonts w:ascii="Times New Roman" w:hAnsi="Times New Roman"/>
          <w:noProof/>
          <w:sz w:val="24"/>
        </w:rPr>
        <w:t>Мотивиран от значителните печалби</w:t>
      </w:r>
      <w:r>
        <w:rPr>
          <w:rStyle w:val="FootnoteReference"/>
          <w:rFonts w:ascii="Times New Roman" w:hAnsi="Times New Roman"/>
          <w:noProof/>
          <w:sz w:val="24"/>
        </w:rPr>
        <w:footnoteReference w:id="4"/>
      </w:r>
      <w:r>
        <w:rPr>
          <w:rFonts w:ascii="Times New Roman" w:hAnsi="Times New Roman"/>
          <w:noProof/>
          <w:sz w:val="24"/>
        </w:rPr>
        <w:t xml:space="preserve"> и комплексното взаимодействие между търсене и предлагане, трафикът включва сложна верига от участници, които съзнателно или несъзнателно са част от него. За да се премахне престъплението, връзките в тази верига трябва да бъдат прекъснати. С цел сексуална или трудова експлоатация, просия, престъпни дейности и др., трафикантите експлоатират уязвимостта на хората, изострена от фактори като бедност, дискриминация, неравенство между половете, насилие на мъже срещу жени, липса на достъп до образование, конфликти, война, изменението на климата, влошаването на състоянието на околната среда и природни бедствия.</w:t>
      </w:r>
    </w:p>
    <w:p>
      <w:pPr>
        <w:spacing w:after="100" w:afterAutospacing="1" w:line="240" w:lineRule="auto"/>
        <w:jc w:val="both"/>
        <w:rPr>
          <w:rFonts w:ascii="Times New Roman" w:hAnsi="Times New Roman" w:cs="Times New Roman"/>
          <w:noProof/>
          <w:sz w:val="24"/>
          <w:szCs w:val="24"/>
        </w:rPr>
      </w:pPr>
      <w:r>
        <w:rPr>
          <w:rFonts w:ascii="Times New Roman" w:hAnsi="Times New Roman"/>
          <w:noProof/>
          <w:sz w:val="24"/>
        </w:rPr>
        <w:t>Тъй като начинът на действие на трафикантите непрекъснато се променя, ЕС трябва да атакува връзките между трафика на хора и други престъпления, включително контрабандата на мигранти, тероризма, корупцията, трафика на наркотици, киберпрестъпността и сексуалната експлоатация онлайн, създаването на материали, свързани със сексуално насилие над деца, финансовите престъпления, измамите с документи, кредитни карти и социални помощи</w:t>
      </w:r>
      <w:r>
        <w:rPr>
          <w:rStyle w:val="FootnoteReference"/>
          <w:rFonts w:ascii="Times New Roman" w:hAnsi="Times New Roman"/>
          <w:noProof/>
          <w:sz w:val="24"/>
        </w:rPr>
        <w:footnoteReference w:id="5"/>
      </w:r>
      <w:r>
        <w:rPr>
          <w:noProof/>
        </w:rPr>
        <w:t>.</w:t>
      </w:r>
      <w:r>
        <w:rPr>
          <w:rFonts w:ascii="Times New Roman" w:hAnsi="Times New Roman"/>
          <w:noProof/>
          <w:sz w:val="24"/>
        </w:rPr>
        <w:t xml:space="preserve"> </w:t>
      </w:r>
    </w:p>
    <w:p>
      <w:pPr>
        <w:spacing w:after="100" w:afterAutospacing="1" w:line="240" w:lineRule="auto"/>
        <w:jc w:val="both"/>
        <w:rPr>
          <w:rFonts w:ascii="Times New Roman" w:hAnsi="Times New Roman" w:cs="Times New Roman"/>
          <w:noProof/>
          <w:sz w:val="24"/>
          <w:szCs w:val="24"/>
        </w:rPr>
      </w:pPr>
      <w:r>
        <w:rPr>
          <w:rFonts w:ascii="Times New Roman" w:hAnsi="Times New Roman"/>
          <w:noProof/>
          <w:sz w:val="24"/>
        </w:rPr>
        <w:t>Както беше подчертано в Европейската програма за миграцията, Европейската програма за сигурност</w:t>
      </w:r>
      <w:r>
        <w:rPr>
          <w:rStyle w:val="FootnoteReference"/>
          <w:rFonts w:ascii="Times New Roman" w:hAnsi="Times New Roman"/>
          <w:noProof/>
          <w:sz w:val="24"/>
        </w:rPr>
        <w:footnoteReference w:id="6"/>
      </w:r>
      <w:r>
        <w:rPr>
          <w:rFonts w:ascii="Times New Roman" w:hAnsi="Times New Roman"/>
          <w:noProof/>
          <w:sz w:val="24"/>
        </w:rPr>
        <w:t xml:space="preserve"> и други инструменти на политиката на ЕС</w:t>
      </w:r>
      <w:r>
        <w:rPr>
          <w:rStyle w:val="FootnoteReference"/>
          <w:rFonts w:ascii="Times New Roman" w:hAnsi="Times New Roman"/>
          <w:noProof/>
          <w:sz w:val="24"/>
        </w:rPr>
        <w:footnoteReference w:id="7"/>
      </w:r>
      <w:r>
        <w:rPr>
          <w:rFonts w:ascii="Times New Roman" w:hAnsi="Times New Roman"/>
          <w:noProof/>
          <w:sz w:val="24"/>
        </w:rPr>
        <w:t>, ЕС продължава да бъде ангажиран с предотвратяването и борбата с трафика на хора и със защитата на правата на жертвите, като държи сметка по-специално за уязвимостта на жените и децата жертви. Освен това трафикът на хора е приоритетна област на борба с престъпната заплаха в цикъла на политиката на ЕС за борба с организираната и тежката международна престъпност за периода 2018—2021 г.</w:t>
      </w:r>
      <w:r>
        <w:rPr>
          <w:rStyle w:val="FootnoteReference"/>
          <w:rFonts w:ascii="Times New Roman" w:hAnsi="Times New Roman"/>
          <w:noProof/>
          <w:sz w:val="24"/>
        </w:rPr>
        <w:footnoteReference w:id="8"/>
      </w:r>
      <w:r>
        <w:rPr>
          <w:rFonts w:ascii="Times New Roman" w:hAnsi="Times New Roman"/>
          <w:noProof/>
          <w:sz w:val="24"/>
        </w:rPr>
        <w:t xml:space="preserve"> Освен това политическият ангажимент за засилване на действията на ЕС срещу трафика на хора в рамките на ЕС и по света се подкрепя от глобалната стратегия за външната политика и политиката на сигурност на Европейския съюз (EUGS) и от съответните стратегии и планове за действие на ЕС</w:t>
      </w:r>
      <w:r>
        <w:rPr>
          <w:rStyle w:val="FootnoteReference"/>
          <w:rFonts w:ascii="Times New Roman" w:hAnsi="Times New Roman"/>
          <w:noProof/>
          <w:sz w:val="24"/>
        </w:rPr>
        <w:footnoteReference w:id="9"/>
      </w:r>
      <w:r>
        <w:rPr>
          <w:rFonts w:ascii="Times New Roman" w:hAnsi="Times New Roman"/>
          <w:noProof/>
          <w:sz w:val="24"/>
        </w:rPr>
        <w:t xml:space="preserve"> и резолюциите на Европейския парламент</w:t>
      </w:r>
      <w:r>
        <w:rPr>
          <w:rStyle w:val="FootnoteReference"/>
          <w:rFonts w:ascii="Times New Roman" w:hAnsi="Times New Roman"/>
          <w:noProof/>
          <w:sz w:val="24"/>
        </w:rPr>
        <w:footnoteReference w:id="10"/>
      </w:r>
      <w:r>
        <w:rPr>
          <w:noProof/>
        </w:rPr>
        <w:t>.</w:t>
      </w:r>
      <w:r>
        <w:rPr>
          <w:rFonts w:ascii="Times New Roman" w:hAnsi="Times New Roman"/>
          <w:noProof/>
          <w:sz w:val="24"/>
        </w:rPr>
        <w:t xml:space="preserve"> Съществува и силна подкрепа от страна на гражданското общество</w:t>
      </w:r>
      <w:r>
        <w:rPr>
          <w:rStyle w:val="FootnoteReference"/>
          <w:rFonts w:ascii="Times New Roman" w:hAnsi="Times New Roman"/>
          <w:noProof/>
          <w:sz w:val="24"/>
        </w:rPr>
        <w:footnoteReference w:id="11"/>
      </w:r>
      <w:r>
        <w:rPr>
          <w:noProof/>
        </w:rPr>
        <w:t>.</w:t>
      </w:r>
      <w:r>
        <w:rPr>
          <w:rFonts w:ascii="Times New Roman" w:hAnsi="Times New Roman"/>
          <w:noProof/>
          <w:sz w:val="24"/>
        </w:rPr>
        <w:t xml:space="preserve"> </w:t>
      </w:r>
    </w:p>
    <w:p>
      <w:pPr>
        <w:spacing w:after="100" w:afterAutospacing="1" w:line="240" w:lineRule="auto"/>
        <w:jc w:val="both"/>
        <w:rPr>
          <w:rFonts w:ascii="Times New Roman" w:hAnsi="Times New Roman" w:cs="Times New Roman"/>
          <w:bCs/>
          <w:noProof/>
          <w:sz w:val="24"/>
          <w:szCs w:val="24"/>
        </w:rPr>
      </w:pPr>
      <w:r>
        <w:rPr>
          <w:rFonts w:ascii="Times New Roman" w:hAnsi="Times New Roman"/>
          <w:noProof/>
          <w:sz w:val="24"/>
        </w:rPr>
        <w:t>През последните години Европейският съюз създаде всеобхватна и съгласувана правна и политическа рамка за борба с трафика на хора. Тя обхваща всички области на политиката на ЕС, свързани с трафика на хора, включително финансирането и научните изследвания. Правната рамка се определя с Директива 2011/36/ЕС</w:t>
      </w:r>
      <w:r>
        <w:rPr>
          <w:rStyle w:val="FootnoteReference"/>
          <w:rFonts w:ascii="Times New Roman" w:hAnsi="Times New Roman"/>
          <w:noProof/>
          <w:sz w:val="24"/>
        </w:rPr>
        <w:footnoteReference w:id="12"/>
      </w:r>
      <w:r>
        <w:rPr>
          <w:rFonts w:ascii="Times New Roman" w:hAnsi="Times New Roman"/>
          <w:noProof/>
          <w:sz w:val="24"/>
        </w:rPr>
        <w:t xml:space="preserve"> относно предотвратяването и борбата с трафика на хора и защитата на жертвите от него („Директивата“). Комисията продължава да следи в каква степен държавите членки прилагат Директивата</w:t>
      </w:r>
      <w:r>
        <w:rPr>
          <w:rStyle w:val="FootnoteReference"/>
          <w:rFonts w:ascii="Times New Roman" w:hAnsi="Times New Roman"/>
          <w:noProof/>
          <w:sz w:val="24"/>
        </w:rPr>
        <w:footnoteReference w:id="13"/>
      </w:r>
      <w:r>
        <w:rPr>
          <w:rFonts w:ascii="Times New Roman" w:hAnsi="Times New Roman"/>
          <w:noProof/>
          <w:sz w:val="24"/>
        </w:rPr>
        <w:t xml:space="preserve"> и да докладва за постигнатия напредък.</w:t>
      </w:r>
    </w:p>
    <w:p>
      <w:pPr>
        <w:spacing w:after="100" w:afterAutospacing="1" w:line="240" w:lineRule="auto"/>
        <w:jc w:val="both"/>
        <w:rPr>
          <w:rFonts w:ascii="Times New Roman" w:hAnsi="Times New Roman" w:cs="Times New Roman"/>
          <w:noProof/>
          <w:sz w:val="24"/>
          <w:szCs w:val="24"/>
        </w:rPr>
      </w:pPr>
      <w:r>
        <w:rPr>
          <w:rFonts w:ascii="Times New Roman" w:hAnsi="Times New Roman"/>
          <w:noProof/>
          <w:sz w:val="24"/>
        </w:rPr>
        <w:t>Стратегията на ЕС за премахване на трафика на хора</w:t>
      </w:r>
      <w:r>
        <w:rPr>
          <w:rStyle w:val="FootnoteReference"/>
          <w:rFonts w:ascii="Times New Roman" w:hAnsi="Times New Roman"/>
          <w:noProof/>
          <w:sz w:val="24"/>
        </w:rPr>
        <w:footnoteReference w:id="14"/>
      </w:r>
      <w:r>
        <w:rPr>
          <w:rFonts w:ascii="Times New Roman" w:hAnsi="Times New Roman"/>
          <w:noProof/>
          <w:sz w:val="24"/>
        </w:rPr>
        <w:t xml:space="preserve"> („Стратегията“) е основният инструмент за развитието, координацията и изпълнението на действията на ЕС в тази област. В рамките на пет ключови приоритета в Стратегията, отнасящи се до </w:t>
      </w:r>
      <w:r>
        <w:rPr>
          <w:rFonts w:ascii="Times New Roman" w:hAnsi="Times New Roman"/>
          <w:i/>
          <w:noProof/>
          <w:sz w:val="24"/>
        </w:rPr>
        <w:t>превенция, преследване на трафикантите, защита</w:t>
      </w:r>
      <w:r>
        <w:rPr>
          <w:rFonts w:ascii="Times New Roman" w:hAnsi="Times New Roman"/>
          <w:noProof/>
          <w:sz w:val="24"/>
        </w:rPr>
        <w:t xml:space="preserve"> на жертвите, </w:t>
      </w:r>
      <w:r>
        <w:rPr>
          <w:rFonts w:ascii="Times New Roman" w:hAnsi="Times New Roman"/>
          <w:i/>
          <w:noProof/>
          <w:sz w:val="24"/>
        </w:rPr>
        <w:t>сътрудничество</w:t>
      </w:r>
      <w:r>
        <w:rPr>
          <w:rFonts w:ascii="Times New Roman" w:hAnsi="Times New Roman"/>
          <w:noProof/>
          <w:sz w:val="24"/>
        </w:rPr>
        <w:t xml:space="preserve"> и по-добро </w:t>
      </w:r>
      <w:r>
        <w:rPr>
          <w:rFonts w:ascii="Times New Roman" w:hAnsi="Times New Roman"/>
          <w:i/>
          <w:noProof/>
          <w:sz w:val="24"/>
        </w:rPr>
        <w:t>познаване</w:t>
      </w:r>
      <w:r>
        <w:rPr>
          <w:rFonts w:ascii="Times New Roman" w:hAnsi="Times New Roman"/>
          <w:noProof/>
          <w:sz w:val="24"/>
        </w:rPr>
        <w:t xml:space="preserve"> на зараждащите се опасения, свързани с всички форми на трафик на хора, са посочени действия, които бяха изпълнени</w:t>
      </w:r>
      <w:r>
        <w:rPr>
          <w:rStyle w:val="FootnoteReference"/>
          <w:rFonts w:ascii="Times New Roman" w:hAnsi="Times New Roman"/>
          <w:noProof/>
          <w:sz w:val="24"/>
        </w:rPr>
        <w:footnoteReference w:id="15"/>
      </w:r>
      <w:r>
        <w:rPr>
          <w:rFonts w:ascii="Times New Roman" w:hAnsi="Times New Roman"/>
          <w:noProof/>
          <w:sz w:val="24"/>
        </w:rPr>
        <w:t>.</w:t>
      </w:r>
    </w:p>
    <w:p>
      <w:pPr>
        <w:spacing w:after="100" w:afterAutospacing="1" w:line="240" w:lineRule="auto"/>
        <w:jc w:val="both"/>
        <w:rPr>
          <w:rFonts w:ascii="Times New Roman" w:hAnsi="Times New Roman" w:cs="Times New Roman"/>
          <w:noProof/>
          <w:sz w:val="24"/>
          <w:szCs w:val="24"/>
        </w:rPr>
      </w:pPr>
      <w:r>
        <w:rPr>
          <w:rFonts w:ascii="Times New Roman" w:hAnsi="Times New Roman"/>
          <w:noProof/>
          <w:color w:val="000000"/>
          <w:sz w:val="24"/>
        </w:rPr>
        <w:t xml:space="preserve">От приемането на Директивата и Стратегията насам обаче има значителни промени в социално-политическия контекст в световен мащаб. Икономическото и социалното въздействие на световната финансова криза, миграционната криза и заплахите за сигурността от страна на организирани престъпни групи допълнително изострят уязвимостта, следователно е необходимо засилване на мерките както на национално равнище, така и на равнище ЕС. Тези мерки трябва </w:t>
      </w:r>
      <w:r>
        <w:rPr>
          <w:rFonts w:ascii="Times New Roman" w:hAnsi="Times New Roman"/>
          <w:noProof/>
          <w:sz w:val="24"/>
        </w:rPr>
        <w:t xml:space="preserve">да продължат да се опират на подход, </w:t>
      </w:r>
      <w:r>
        <w:rPr>
          <w:rFonts w:ascii="Times New Roman" w:hAnsi="Times New Roman"/>
          <w:noProof/>
          <w:color w:val="000000"/>
          <w:sz w:val="24"/>
        </w:rPr>
        <w:t>който се основава на правата на човека, съобразен е с пола и отчита потребностите на децата, като тяхното прилагане трябва да се координира в рамките на ЕС и извън него, както и в различни области на политиката.</w:t>
      </w:r>
    </w:p>
    <w:p>
      <w:pPr>
        <w:spacing w:after="100" w:afterAutospacing="1" w:line="240" w:lineRule="auto"/>
        <w:jc w:val="both"/>
        <w:rPr>
          <w:rFonts w:ascii="Times New Roman" w:hAnsi="Times New Roman" w:cs="Times New Roman"/>
          <w:b/>
          <w:noProof/>
          <w:sz w:val="24"/>
          <w:szCs w:val="24"/>
          <w:u w:val="single"/>
        </w:rPr>
      </w:pPr>
      <w:r>
        <w:rPr>
          <w:rFonts w:ascii="Times New Roman" w:hAnsi="Times New Roman"/>
          <w:noProof/>
          <w:sz w:val="24"/>
        </w:rPr>
        <w:t>Въз основа на Стратегията и на текущите усилия за цялостното прилагане на Директивата, с настоящото съобщение се предлага пакет от целенасочени приоритети за засилване на усилията на ЕС за предотвратяване на трафика на хора. Акцентът в него се поставя върху разбиване на бизнес модела, от който зависи трафикът на хора, подобряване на достъпа на жертвите до съществуващите права и гарантиране, че вътрешните и външните действия на ЕС осигуряват координирана и съгласувана ответна реакция.</w:t>
      </w:r>
    </w:p>
    <w:p>
      <w:pPr>
        <w:spacing w:after="100" w:afterAutospacing="1" w:line="240" w:lineRule="auto"/>
        <w:jc w:val="both"/>
        <w:rPr>
          <w:rFonts w:ascii="Times New Roman" w:hAnsi="Times New Roman" w:cs="Times New Roman"/>
          <w:b/>
          <w:noProof/>
          <w:sz w:val="24"/>
          <w:szCs w:val="24"/>
          <w:u w:val="single"/>
        </w:rPr>
      </w:pPr>
      <w:r>
        <w:rPr>
          <w:rFonts w:ascii="Times New Roman" w:hAnsi="Times New Roman"/>
          <w:b/>
          <w:noProof/>
          <w:sz w:val="24"/>
          <w:u w:val="single"/>
        </w:rPr>
        <w:t>II. Целеви приоритети за засилване на действията на ЕС за предотвратяване на трафика на хора</w:t>
      </w:r>
    </w:p>
    <w:p>
      <w:pPr>
        <w:spacing w:after="100" w:afterAutospacing="1" w:line="240" w:lineRule="auto"/>
        <w:jc w:val="both"/>
        <w:rPr>
          <w:rFonts w:ascii="Times New Roman" w:hAnsi="Times New Roman" w:cs="Times New Roman"/>
          <w:noProof/>
          <w:sz w:val="24"/>
          <w:szCs w:val="24"/>
        </w:rPr>
      </w:pPr>
      <w:r>
        <w:rPr>
          <w:rFonts w:ascii="Times New Roman" w:hAnsi="Times New Roman"/>
          <w:noProof/>
          <w:sz w:val="24"/>
        </w:rPr>
        <w:t>Въз основа на текущото изпълнение на Стратегията, резултатите от двата доклада по член 23 от Директивата</w:t>
      </w:r>
      <w:r>
        <w:rPr>
          <w:rStyle w:val="FootnoteReference"/>
          <w:rFonts w:ascii="Times New Roman" w:hAnsi="Times New Roman"/>
          <w:noProof/>
          <w:sz w:val="24"/>
        </w:rPr>
        <w:footnoteReference w:id="16"/>
      </w:r>
      <w:r>
        <w:rPr>
          <w:rFonts w:ascii="Times New Roman" w:hAnsi="Times New Roman"/>
          <w:noProof/>
          <w:sz w:val="24"/>
        </w:rPr>
        <w:t xml:space="preserve"> и задълбочената координационна работа и обмен с редица заинтересовани страни</w:t>
      </w:r>
      <w:r>
        <w:rPr>
          <w:rStyle w:val="FootnoteReference"/>
          <w:rFonts w:ascii="Times New Roman" w:hAnsi="Times New Roman"/>
          <w:noProof/>
          <w:sz w:val="24"/>
        </w:rPr>
        <w:footnoteReference w:id="17"/>
      </w:r>
      <w:r>
        <w:rPr>
          <w:rFonts w:ascii="Times New Roman" w:hAnsi="Times New Roman"/>
          <w:noProof/>
          <w:sz w:val="24"/>
        </w:rPr>
        <w:t xml:space="preserve"> и с цел да се засилят действията на ЕС, бяха установени три целеви приоритета:</w:t>
      </w:r>
    </w:p>
    <w:p>
      <w:pPr>
        <w:numPr>
          <w:ilvl w:val="0"/>
          <w:numId w:val="1"/>
        </w:numPr>
        <w:spacing w:after="100" w:afterAutospacing="1" w:line="240" w:lineRule="auto"/>
        <w:contextualSpacing/>
        <w:jc w:val="both"/>
        <w:rPr>
          <w:rFonts w:ascii="Times New Roman" w:hAnsi="Times New Roman" w:cs="Times New Roman"/>
          <w:noProof/>
          <w:sz w:val="24"/>
          <w:szCs w:val="24"/>
        </w:rPr>
      </w:pPr>
      <w:r>
        <w:rPr>
          <w:rFonts w:ascii="Times New Roman" w:hAnsi="Times New Roman"/>
          <w:noProof/>
          <w:sz w:val="24"/>
        </w:rPr>
        <w:t>Засилване на борбата с организираните престъпни мрежи чрез различни средства, в това число чрез разбиване на бизнес модела и прекъсване на веригата на трафика;</w:t>
      </w:r>
    </w:p>
    <w:p>
      <w:pPr>
        <w:numPr>
          <w:ilvl w:val="0"/>
          <w:numId w:val="1"/>
        </w:numPr>
        <w:spacing w:after="100" w:afterAutospacing="1" w:line="240" w:lineRule="auto"/>
        <w:contextualSpacing/>
        <w:jc w:val="both"/>
        <w:rPr>
          <w:rFonts w:ascii="Times New Roman" w:hAnsi="Times New Roman" w:cs="Times New Roman"/>
          <w:noProof/>
          <w:sz w:val="24"/>
          <w:szCs w:val="24"/>
        </w:rPr>
      </w:pPr>
      <w:r>
        <w:rPr>
          <w:rFonts w:ascii="Times New Roman" w:hAnsi="Times New Roman"/>
          <w:noProof/>
          <w:sz w:val="24"/>
        </w:rPr>
        <w:t xml:space="preserve">Осигуряване на по-добър достъп на жертвите на трафика на хора до правата и упражняване на тези права; </w:t>
      </w:r>
    </w:p>
    <w:p>
      <w:pPr>
        <w:numPr>
          <w:ilvl w:val="0"/>
          <w:numId w:val="1"/>
        </w:numPr>
        <w:spacing w:after="100" w:afterAutospacing="1" w:line="240" w:lineRule="auto"/>
        <w:contextualSpacing/>
        <w:jc w:val="both"/>
        <w:rPr>
          <w:rFonts w:ascii="Times New Roman" w:hAnsi="Times New Roman" w:cs="Times New Roman"/>
          <w:noProof/>
          <w:sz w:val="24"/>
          <w:szCs w:val="24"/>
        </w:rPr>
      </w:pPr>
      <w:r>
        <w:rPr>
          <w:rFonts w:ascii="Times New Roman" w:hAnsi="Times New Roman"/>
          <w:noProof/>
          <w:sz w:val="24"/>
        </w:rPr>
        <w:t>Засилване на координираната и консолидирана ответна реакция, както в рамките на ЕС, така и извън него.</w:t>
      </w:r>
    </w:p>
    <w:p>
      <w:pPr>
        <w:spacing w:before="480" w:after="240" w:line="240" w:lineRule="auto"/>
        <w:jc w:val="both"/>
        <w:rPr>
          <w:rFonts w:ascii="Times New Roman" w:hAnsi="Times New Roman" w:cs="Times New Roman"/>
          <w:b/>
          <w:i/>
          <w:noProof/>
          <w:sz w:val="24"/>
          <w:szCs w:val="24"/>
          <w:u w:val="single"/>
        </w:rPr>
      </w:pPr>
      <w:r>
        <w:rPr>
          <w:rFonts w:ascii="Times New Roman" w:hAnsi="Times New Roman"/>
          <w:b/>
          <w:i/>
          <w:noProof/>
          <w:sz w:val="24"/>
          <w:u w:val="single"/>
        </w:rPr>
        <w:t>А. Разбиване на бизнес модела и прекъсване на веригата на трафика</w:t>
      </w:r>
    </w:p>
    <w:p>
      <w:pPr>
        <w:autoSpaceDE w:val="0"/>
        <w:autoSpaceDN w:val="0"/>
        <w:adjustRightInd w:val="0"/>
        <w:spacing w:after="0" w:line="240" w:lineRule="auto"/>
        <w:jc w:val="both"/>
        <w:rPr>
          <w:rFonts w:ascii="Times New Roman" w:hAnsi="Times New Roman" w:cs="Times New Roman"/>
          <w:bCs/>
          <w:noProof/>
          <w:color w:val="000000"/>
          <w:sz w:val="24"/>
          <w:szCs w:val="24"/>
        </w:rPr>
      </w:pPr>
      <w:r>
        <w:rPr>
          <w:rFonts w:ascii="Times New Roman" w:hAnsi="Times New Roman"/>
          <w:noProof/>
          <w:color w:val="000000"/>
          <w:sz w:val="24"/>
        </w:rPr>
        <w:t>Печалбите на законните и незаконните пазари и търсенето на услуги и стоки, предоставяни от жертвите на трафика на хора, остават високи навсякъде, където се шири безнаказаност както за извършителите, така и за потребителите на тези услуги и стоки. Анализът в доклада на Комисията относно използването на услуги, които са предмет на експлоатация, оценяващ въздействието на съществуващото национално законодателство в тази област, разкрива разнообразие от правни ситуации в рамките на ЕС. Националното законодателство не допринася ефективно за възпиране на търсенето на услуги, които са предмет на експлоатация, свързана с трафика на хора.</w:t>
      </w:r>
    </w:p>
    <w:p>
      <w:pPr>
        <w:spacing w:before="240" w:after="100" w:afterAutospacing="1" w:line="240" w:lineRule="auto"/>
        <w:jc w:val="both"/>
        <w:rPr>
          <w:rFonts w:ascii="Times New Roman" w:hAnsi="Times New Roman" w:cs="Times New Roman"/>
          <w:i/>
          <w:noProof/>
          <w:sz w:val="24"/>
          <w:szCs w:val="24"/>
        </w:rPr>
      </w:pPr>
      <w:r>
        <w:rPr>
          <w:rFonts w:ascii="Times New Roman" w:hAnsi="Times New Roman"/>
          <w:i/>
          <w:noProof/>
          <w:sz w:val="24"/>
        </w:rPr>
        <w:t>Ключови действия</w:t>
      </w:r>
    </w:p>
    <w:p>
      <w:pPr>
        <w:pBdr>
          <w:top w:val="single" w:sz="4" w:space="1" w:color="auto"/>
          <w:left w:val="single" w:sz="4" w:space="4" w:color="auto"/>
          <w:bottom w:val="single" w:sz="4" w:space="1" w:color="auto"/>
          <w:right w:val="single" w:sz="4" w:space="4" w:color="auto"/>
        </w:pBdr>
        <w:spacing w:after="100" w:afterAutospacing="1" w:line="240" w:lineRule="auto"/>
        <w:ind w:left="360"/>
        <w:jc w:val="both"/>
        <w:rPr>
          <w:rFonts w:ascii="Times New Roman" w:hAnsi="Times New Roman" w:cs="Times New Roman"/>
          <w:noProof/>
          <w:sz w:val="24"/>
          <w:szCs w:val="24"/>
        </w:rPr>
      </w:pPr>
      <w:r>
        <w:rPr>
          <w:rFonts w:ascii="Times New Roman" w:hAnsi="Times New Roman"/>
          <w:noProof/>
          <w:sz w:val="24"/>
        </w:rPr>
        <w:t>Като започне през 2018 г., Комисията:</w:t>
      </w:r>
    </w:p>
    <w:p>
      <w:pPr>
        <w:numPr>
          <w:ilvl w:val="0"/>
          <w:numId w:val="5"/>
        </w:num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cs="Times New Roman"/>
          <w:noProof/>
          <w:sz w:val="24"/>
          <w:szCs w:val="24"/>
        </w:rPr>
      </w:pPr>
      <w:r>
        <w:rPr>
          <w:rFonts w:ascii="Times New Roman" w:hAnsi="Times New Roman"/>
          <w:b/>
          <w:noProof/>
          <w:sz w:val="24"/>
        </w:rPr>
        <w:t xml:space="preserve">ще продължи да насърчава онези </w:t>
      </w:r>
      <w:r>
        <w:rPr>
          <w:rFonts w:ascii="Times New Roman" w:hAnsi="Times New Roman"/>
          <w:noProof/>
          <w:sz w:val="24"/>
        </w:rPr>
        <w:t xml:space="preserve">държави — членки на ЕС, които още не са го сторили в необходимата степен, </w:t>
      </w:r>
      <w:r>
        <w:rPr>
          <w:rFonts w:ascii="Times New Roman" w:hAnsi="Times New Roman"/>
          <w:b/>
          <w:noProof/>
          <w:sz w:val="24"/>
        </w:rPr>
        <w:t>да криминализират поведението на лица, които съзнателно използват услуги</w:t>
      </w:r>
      <w:r>
        <w:rPr>
          <w:rFonts w:ascii="Times New Roman" w:hAnsi="Times New Roman"/>
          <w:noProof/>
          <w:sz w:val="24"/>
        </w:rPr>
        <w:t>, измъкнати от жертвите на трафика на хора.</w:t>
      </w:r>
      <w:r>
        <w:rPr>
          <w:rFonts w:ascii="Times New Roman" w:hAnsi="Times New Roman"/>
          <w:b/>
          <w:noProof/>
          <w:sz w:val="24"/>
        </w:rPr>
        <w:t xml:space="preserve"> </w:t>
      </w:r>
    </w:p>
    <w:p>
      <w:pPr>
        <w:spacing w:before="480" w:after="100" w:afterAutospacing="1" w:line="240" w:lineRule="auto"/>
        <w:jc w:val="both"/>
        <w:rPr>
          <w:rFonts w:ascii="Times New Roman" w:hAnsi="Times New Roman" w:cs="Times New Roman"/>
          <w:noProof/>
          <w:sz w:val="24"/>
          <w:szCs w:val="24"/>
        </w:rPr>
      </w:pPr>
      <w:r>
        <w:rPr>
          <w:rFonts w:ascii="Times New Roman" w:hAnsi="Times New Roman"/>
          <w:noProof/>
          <w:sz w:val="24"/>
        </w:rPr>
        <w:t xml:space="preserve">Проследяването на парите по цялата верига на трафика е от решаващо значение за превръщането на трафика на хора в престъпление с висока степен на риск и ниска възвращаемост. Това може да бъде направено чрез засилване на разследванията и на действията по повдигане и </w:t>
      </w:r>
      <w:r>
        <w:rPr>
          <w:rFonts w:ascii="Times New Roman" w:hAnsi="Times New Roman" w:cs="Times New Roman"/>
          <w:noProof/>
          <w:sz w:val="24"/>
          <w:szCs w:val="24"/>
        </w:rPr>
        <w:t>поддържане на обвинения, чрез улесняване на самоинициираните финансови разследвания, които се основават на разузнавателна информация, и чрез улесняване на изземването на имущество и на замразяването и конфискуването на печалбите. За тази цел ще се насърчава по-тясното сътрудничество. То ще включва изграждането на капацитет между националните органи, в това число и в държави извън ЕС, и ще се извършва чрез подходящи мрежи, като например Специалната група за финансови действия</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 и с подкрепата на агенциите на ЕС.</w:t>
      </w:r>
    </w:p>
    <w:p>
      <w:pPr>
        <w:spacing w:after="100" w:afterAutospacing="1" w:line="240" w:lineRule="auto"/>
        <w:jc w:val="both"/>
        <w:rPr>
          <w:rFonts w:ascii="Times New Roman" w:hAnsi="Times New Roman" w:cs="Times New Roman"/>
          <w:noProof/>
          <w:sz w:val="24"/>
          <w:szCs w:val="24"/>
        </w:rPr>
      </w:pPr>
      <w:r>
        <w:rPr>
          <w:rFonts w:ascii="Times New Roman" w:hAnsi="Times New Roman"/>
          <w:noProof/>
          <w:sz w:val="24"/>
        </w:rPr>
        <w:t>Изключително важно в това отношение е да се възпре търсенето на всички форми на експлоатация, включително чрез отговорното управление на световните вериги за създаване на стойност. Както е отразено в търговската стратегия на ЕС</w:t>
      </w:r>
      <w:r>
        <w:rPr>
          <w:rStyle w:val="FootnoteReference"/>
          <w:rFonts w:ascii="Times New Roman" w:hAnsi="Times New Roman"/>
          <w:noProof/>
          <w:sz w:val="24"/>
        </w:rPr>
        <w:footnoteReference w:id="19"/>
      </w:r>
      <w:r>
        <w:rPr>
          <w:rFonts w:ascii="Times New Roman" w:hAnsi="Times New Roman"/>
          <w:noProof/>
          <w:sz w:val="24"/>
        </w:rPr>
        <w:t xml:space="preserve"> и в заключенията на Съвета от 12 май 2016 г. относно отговорните световни вериги за създаване на стойност, ЕС е предприел действия в няколко области на политиката</w:t>
      </w:r>
      <w:r>
        <w:rPr>
          <w:rStyle w:val="FootnoteReference"/>
          <w:rFonts w:ascii="Times New Roman" w:hAnsi="Times New Roman"/>
          <w:noProof/>
          <w:sz w:val="24"/>
        </w:rPr>
        <w:footnoteReference w:id="20"/>
      </w:r>
      <w:r>
        <w:rPr>
          <w:rFonts w:ascii="Times New Roman" w:hAnsi="Times New Roman"/>
          <w:noProof/>
          <w:sz w:val="24"/>
        </w:rPr>
        <w:t>, както във вътрешен, така и във външен план, за да осигури вериги за доставка и създаване на стойност без трафик на хора, включително в сектора за производство на облекло</w:t>
      </w:r>
      <w:r>
        <w:rPr>
          <w:rStyle w:val="FootnoteReference"/>
          <w:rFonts w:ascii="Times New Roman" w:hAnsi="Times New Roman"/>
          <w:noProof/>
          <w:sz w:val="24"/>
        </w:rPr>
        <w:footnoteReference w:id="21"/>
      </w:r>
      <w:r>
        <w:rPr>
          <w:noProof/>
        </w:rPr>
        <w:t>.</w:t>
      </w:r>
      <w:r>
        <w:rPr>
          <w:rFonts w:ascii="Times New Roman" w:hAnsi="Times New Roman"/>
          <w:noProof/>
          <w:sz w:val="24"/>
        </w:rPr>
        <w:t xml:space="preserve"> С тези действия се цели прилагането на законодателството в областта на докладването на нефинансова информация и обществените поръчки</w:t>
      </w:r>
      <w:r>
        <w:rPr>
          <w:rFonts w:ascii="Times New Roman" w:hAnsi="Times New Roman"/>
          <w:noProof/>
          <w:sz w:val="24"/>
          <w:vertAlign w:val="superscript"/>
        </w:rPr>
        <w:footnoteReference w:id="22"/>
      </w:r>
      <w:r>
        <w:rPr>
          <w:rFonts w:ascii="Times New Roman" w:hAnsi="Times New Roman"/>
          <w:noProof/>
          <w:sz w:val="24"/>
        </w:rPr>
        <w:t>, търговските инструменти и специфичните за отделните сектори мерки. В нея се включват и мерки за насърчаване на дружествата да гарантират, че техните вериги за доставка и създаване на стойност не са свързани с трафик на хора</w:t>
      </w:r>
      <w:r>
        <w:rPr>
          <w:rStyle w:val="FootnoteReference"/>
          <w:rFonts w:ascii="Times New Roman" w:hAnsi="Times New Roman"/>
          <w:noProof/>
          <w:sz w:val="24"/>
        </w:rPr>
        <w:footnoteReference w:id="23"/>
      </w:r>
      <w:r>
        <w:rPr>
          <w:rFonts w:ascii="Times New Roman" w:hAnsi="Times New Roman"/>
          <w:noProof/>
          <w:sz w:val="24"/>
        </w:rPr>
        <w:t>, като приемат и прилагат кодекси за поведение и механизми за докладване/прозрачност</w:t>
      </w:r>
      <w:r>
        <w:rPr>
          <w:noProof/>
        </w:rPr>
        <w:t>.</w:t>
      </w:r>
    </w:p>
    <w:p>
      <w:pPr>
        <w:spacing w:after="100" w:afterAutospacing="1" w:line="240" w:lineRule="auto"/>
        <w:jc w:val="both"/>
        <w:rPr>
          <w:rFonts w:ascii="Times New Roman" w:hAnsi="Times New Roman" w:cs="Times New Roman"/>
          <w:i/>
          <w:noProof/>
          <w:sz w:val="24"/>
          <w:szCs w:val="24"/>
        </w:rPr>
      </w:pPr>
      <w:r>
        <w:rPr>
          <w:rFonts w:ascii="Times New Roman" w:hAnsi="Times New Roman"/>
          <w:i/>
          <w:noProof/>
          <w:sz w:val="24"/>
        </w:rPr>
        <w:t>Ключови действия</w:t>
      </w:r>
    </w:p>
    <w:p>
      <w:pPr>
        <w:pBdr>
          <w:top w:val="single" w:sz="4" w:space="1" w:color="auto"/>
          <w:left w:val="single" w:sz="4" w:space="4" w:color="auto"/>
          <w:bottom w:val="single" w:sz="4" w:space="1" w:color="auto"/>
          <w:right w:val="single" w:sz="4" w:space="4" w:color="auto"/>
        </w:pBdr>
        <w:spacing w:after="100" w:afterAutospacing="1" w:line="240" w:lineRule="auto"/>
        <w:ind w:left="360"/>
        <w:jc w:val="both"/>
        <w:rPr>
          <w:rFonts w:ascii="Times New Roman" w:hAnsi="Times New Roman" w:cs="Times New Roman"/>
          <w:noProof/>
          <w:sz w:val="24"/>
          <w:szCs w:val="24"/>
        </w:rPr>
      </w:pPr>
      <w:r>
        <w:rPr>
          <w:rFonts w:ascii="Times New Roman" w:hAnsi="Times New Roman"/>
          <w:noProof/>
          <w:sz w:val="24"/>
        </w:rPr>
        <w:t>Като започне от 2018 г., Комисията:</w:t>
      </w:r>
    </w:p>
    <w:p>
      <w:pPr>
        <w:numPr>
          <w:ilvl w:val="0"/>
          <w:numId w:val="3"/>
        </w:num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cs="Times New Roman"/>
          <w:noProof/>
          <w:sz w:val="24"/>
          <w:szCs w:val="24"/>
        </w:rPr>
      </w:pPr>
      <w:r>
        <w:rPr>
          <w:rFonts w:ascii="Times New Roman" w:hAnsi="Times New Roman"/>
          <w:noProof/>
          <w:sz w:val="24"/>
        </w:rPr>
        <w:t xml:space="preserve">ще насърчава и помага на националните органи в ЕС в техните </w:t>
      </w:r>
      <w:r>
        <w:rPr>
          <w:rFonts w:ascii="Times New Roman" w:hAnsi="Times New Roman"/>
          <w:b/>
          <w:noProof/>
          <w:sz w:val="24"/>
        </w:rPr>
        <w:t>конкретни инициативи за разбиване на финансовия бизнес модел чрез разработване на оперативни дейности и методологии</w:t>
      </w:r>
      <w:r>
        <w:rPr>
          <w:rFonts w:ascii="Times New Roman" w:hAnsi="Times New Roman"/>
          <w:noProof/>
          <w:sz w:val="24"/>
        </w:rPr>
        <w:t>, следване на добри практики, повишаване на осведомеността, изграждане на капацитет и осигуряване на обучение по целесъобразност;</w:t>
      </w:r>
    </w:p>
    <w:p>
      <w:pPr>
        <w:numPr>
          <w:ilvl w:val="0"/>
          <w:numId w:val="3"/>
        </w:num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cs="Times New Roman"/>
          <w:noProof/>
          <w:sz w:val="24"/>
          <w:szCs w:val="24"/>
        </w:rPr>
      </w:pPr>
      <w:r>
        <w:rPr>
          <w:rFonts w:ascii="Times New Roman" w:hAnsi="Times New Roman"/>
          <w:noProof/>
          <w:sz w:val="24"/>
        </w:rPr>
        <w:t xml:space="preserve">ще насърчава и помага на държавите членки да направят </w:t>
      </w:r>
      <w:r>
        <w:rPr>
          <w:rFonts w:ascii="Times New Roman" w:hAnsi="Times New Roman"/>
          <w:b/>
          <w:noProof/>
          <w:sz w:val="24"/>
        </w:rPr>
        <w:t>разследванията и действията по повдигане и поддържане на обвинения по-ефективни</w:t>
      </w:r>
      <w:r>
        <w:rPr>
          <w:rFonts w:ascii="Times New Roman" w:hAnsi="Times New Roman"/>
          <w:noProof/>
          <w:sz w:val="24"/>
        </w:rPr>
        <w:t xml:space="preserve"> чрез изграждане на капацитет, разработване на инструменти, обмен на информация, споделяне на най-добри практики, сътрудничество в областта на правоприлагането и в съдебната област, включително чрез насърчаване на създаването на съвместни екипи за разследване в рамките на ЕС и с държави извън него. Това може да бъде извършено с подкрепата на съответните агенции на ЕС, Европейската мрежа за съдебно обучение и Европейската мрежа за превенция на престъпността, както и в международен план, включително чрез програмите на ЕС за развитие и чрез действията в контекста на общата външна политика и политиката на сигурност;</w:t>
      </w:r>
    </w:p>
    <w:p>
      <w:pPr>
        <w:numPr>
          <w:ilvl w:val="0"/>
          <w:numId w:val="3"/>
        </w:num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cs="Times New Roman"/>
          <w:noProof/>
          <w:sz w:val="24"/>
          <w:szCs w:val="24"/>
        </w:rPr>
      </w:pPr>
      <w:r>
        <w:rPr>
          <w:rFonts w:ascii="Times New Roman" w:hAnsi="Times New Roman"/>
          <w:noProof/>
          <w:sz w:val="24"/>
        </w:rPr>
        <w:t xml:space="preserve">ще насърчава </w:t>
      </w:r>
      <w:r>
        <w:rPr>
          <w:rFonts w:ascii="Times New Roman" w:hAnsi="Times New Roman"/>
          <w:b/>
          <w:noProof/>
          <w:sz w:val="24"/>
        </w:rPr>
        <w:t xml:space="preserve">устойчиви бизнес практики и условия на труд в държавите производителки. </w:t>
      </w:r>
      <w:r>
        <w:rPr>
          <w:rFonts w:ascii="Times New Roman" w:hAnsi="Times New Roman"/>
          <w:noProof/>
          <w:sz w:val="24"/>
        </w:rPr>
        <w:t xml:space="preserve">Това може да бъде извършено чрез съсредоточаване върху сътрудничеството за развитие и финансовата подкрепа с цел да се осигурят вериги за доставка и създаване на стойност без трафик на хора в съответствие със </w:t>
      </w:r>
      <w:r>
        <w:rPr>
          <w:rFonts w:ascii="Times New Roman" w:hAnsi="Times New Roman"/>
          <w:b/>
          <w:noProof/>
          <w:sz w:val="24"/>
        </w:rPr>
        <w:t>задължителните международни трудови и социални стандарти и стандартите в областта на околната среда, както и с политиките и инициативите на ЕС;</w:t>
      </w:r>
    </w:p>
    <w:p>
      <w:pPr>
        <w:numPr>
          <w:ilvl w:val="0"/>
          <w:numId w:val="3"/>
        </w:num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cs="Times New Roman"/>
          <w:noProof/>
          <w:sz w:val="24"/>
          <w:szCs w:val="24"/>
        </w:rPr>
      </w:pPr>
      <w:r>
        <w:rPr>
          <w:rFonts w:ascii="Times New Roman" w:hAnsi="Times New Roman"/>
          <w:noProof/>
          <w:sz w:val="24"/>
        </w:rPr>
        <w:t xml:space="preserve">ще насърчава провеждането на </w:t>
      </w:r>
      <w:r>
        <w:rPr>
          <w:rFonts w:ascii="Times New Roman" w:hAnsi="Times New Roman"/>
          <w:b/>
          <w:noProof/>
          <w:sz w:val="24"/>
        </w:rPr>
        <w:t>обучителни сесии и сесии за споделяне на най-добри практики</w:t>
      </w:r>
      <w:r>
        <w:rPr>
          <w:rFonts w:ascii="Times New Roman" w:hAnsi="Times New Roman"/>
          <w:noProof/>
          <w:sz w:val="24"/>
        </w:rPr>
        <w:t xml:space="preserve"> със съответните национални органи, предприятия и гражданското общество, особено по отношение на прилагането на насоките относно методологията за </w:t>
      </w:r>
      <w:r>
        <w:rPr>
          <w:rFonts w:ascii="Times New Roman" w:hAnsi="Times New Roman"/>
          <w:b/>
          <w:noProof/>
          <w:sz w:val="24"/>
        </w:rPr>
        <w:t>докладване на нефинансова информация</w:t>
      </w:r>
      <w:r>
        <w:rPr>
          <w:rFonts w:ascii="Times New Roman" w:hAnsi="Times New Roman"/>
          <w:noProof/>
          <w:sz w:val="24"/>
        </w:rPr>
        <w:t>, която включва трафика на хора.</w:t>
      </w:r>
    </w:p>
    <w:p>
      <w:pPr>
        <w:spacing w:before="480" w:after="100" w:afterAutospacing="1" w:line="240" w:lineRule="auto"/>
        <w:jc w:val="both"/>
        <w:rPr>
          <w:rFonts w:ascii="Times New Roman" w:hAnsi="Times New Roman" w:cs="Times New Roman"/>
          <w:b/>
          <w:i/>
          <w:noProof/>
          <w:sz w:val="24"/>
          <w:szCs w:val="24"/>
          <w:u w:val="single"/>
        </w:rPr>
      </w:pPr>
      <w:r>
        <w:rPr>
          <w:rFonts w:ascii="Times New Roman" w:hAnsi="Times New Roman"/>
          <w:b/>
          <w:i/>
          <w:noProof/>
          <w:sz w:val="24"/>
          <w:u w:val="single"/>
        </w:rPr>
        <w:t xml:space="preserve">Б. Осигуряване на по-добър достъп на жертвите до правата и упражняване на тези права </w:t>
      </w:r>
    </w:p>
    <w:p>
      <w:pPr>
        <w:spacing w:before="100" w:beforeAutospacing="1" w:after="100" w:afterAutospacing="1" w:line="240" w:lineRule="auto"/>
        <w:jc w:val="both"/>
        <w:rPr>
          <w:rFonts w:ascii="Times New Roman" w:hAnsi="Times New Roman" w:cs="Times New Roman"/>
          <w:noProof/>
          <w:sz w:val="24"/>
          <w:szCs w:val="24"/>
        </w:rPr>
      </w:pPr>
      <w:r>
        <w:rPr>
          <w:rFonts w:ascii="Times New Roman" w:hAnsi="Times New Roman"/>
          <w:noProof/>
          <w:sz w:val="24"/>
        </w:rPr>
        <w:t>ЕС има законодателна и оперативна рамка за оказване на помощ, подкрепа и защита на жертвите на трафика на хора. Комисията публикува „Правата на жертвите на трафик на хора в Европейския съюз“</w:t>
      </w:r>
      <w:r>
        <w:rPr>
          <w:rStyle w:val="FootnoteReference"/>
          <w:rFonts w:ascii="Times New Roman" w:hAnsi="Times New Roman"/>
          <w:noProof/>
          <w:sz w:val="24"/>
        </w:rPr>
        <w:footnoteReference w:id="24"/>
      </w:r>
      <w:r>
        <w:rPr>
          <w:rFonts w:ascii="Times New Roman" w:hAnsi="Times New Roman"/>
          <w:noProof/>
          <w:sz w:val="24"/>
        </w:rPr>
        <w:t xml:space="preserve"> на всички официални езици на ЕС. В този документ се прави цялостен практически преглед на правата на жертвите, които се основават на Хартата на основните права на Европейския съюз, законодателство на ЕС и съдебната практика на Европейския съд по правата на човека.</w:t>
      </w:r>
    </w:p>
    <w:p>
      <w:pPr>
        <w:spacing w:before="100" w:beforeAutospacing="1" w:after="100" w:afterAutospacing="1" w:line="240" w:lineRule="auto"/>
        <w:jc w:val="both"/>
        <w:rPr>
          <w:rFonts w:ascii="Times New Roman" w:hAnsi="Times New Roman" w:cs="Times New Roman"/>
          <w:noProof/>
          <w:sz w:val="24"/>
          <w:szCs w:val="24"/>
        </w:rPr>
      </w:pPr>
      <w:r>
        <w:rPr>
          <w:rFonts w:ascii="Times New Roman" w:hAnsi="Times New Roman"/>
          <w:noProof/>
          <w:color w:val="000000"/>
          <w:sz w:val="24"/>
        </w:rPr>
        <w:t xml:space="preserve">Идентифицирането на жертвите по ефикасен начин на ранен етап е първата стъпка към това да се гарантира, че те се третират като „носители на права“, че имат достъп до правата си и могат да ги упражняват по ефективен начин, което включва получаване на </w:t>
      </w:r>
      <w:r>
        <w:rPr>
          <w:rFonts w:ascii="Times New Roman" w:hAnsi="Times New Roman"/>
          <w:noProof/>
          <w:sz w:val="24"/>
        </w:rPr>
        <w:t>подходяща помощ и закрила</w:t>
      </w:r>
      <w:r>
        <w:rPr>
          <w:rFonts w:ascii="Times New Roman" w:hAnsi="Times New Roman"/>
          <w:noProof/>
          <w:color w:val="000000"/>
          <w:sz w:val="24"/>
        </w:rPr>
        <w:t>. Според заключението на „Доклада за транспонирането“ националните власти са положили</w:t>
      </w:r>
      <w:r>
        <w:rPr>
          <w:rFonts w:ascii="Times New Roman" w:hAnsi="Times New Roman"/>
          <w:noProof/>
          <w:sz w:val="24"/>
        </w:rPr>
        <w:t xml:space="preserve"> значителни усилия да транспонират директивата в националното право, но все още остават значителни области за подобрения, особено по отношение на мерките за защита и подкрепа</w:t>
      </w:r>
      <w:r>
        <w:rPr>
          <w:rStyle w:val="FootnoteReference"/>
          <w:rFonts w:ascii="Times New Roman" w:hAnsi="Times New Roman"/>
          <w:noProof/>
          <w:sz w:val="24"/>
        </w:rPr>
        <w:footnoteReference w:id="25"/>
      </w:r>
      <w:r>
        <w:rPr>
          <w:noProof/>
        </w:rPr>
        <w:t>.</w:t>
      </w:r>
      <w:r>
        <w:rPr>
          <w:rFonts w:ascii="Times New Roman" w:hAnsi="Times New Roman"/>
          <w:noProof/>
          <w:sz w:val="24"/>
        </w:rPr>
        <w:t xml:space="preserve"> Неадекватният достъп до информация за правата на жертвите и неефективните механизми за насочване на национално и транснационално равнище, към които може да се добави неспособността да се идентифицират всички лица, станали жертва на трафик на хора (в това число тези в смесените миграционни потоци), продължават да възпрепятстват жертвите на трафика на хора реално да се възползват от полагащите им се права</w:t>
      </w:r>
      <w:r>
        <w:rPr>
          <w:rStyle w:val="FootnoteReference"/>
          <w:rFonts w:ascii="Times New Roman" w:hAnsi="Times New Roman"/>
          <w:noProof/>
          <w:sz w:val="24"/>
        </w:rPr>
        <w:footnoteReference w:id="26"/>
      </w:r>
      <w:r>
        <w:rPr>
          <w:noProof/>
        </w:rPr>
        <w:t>.</w:t>
      </w:r>
      <w:r>
        <w:rPr>
          <w:rFonts w:ascii="Times New Roman" w:hAnsi="Times New Roman"/>
          <w:noProof/>
          <w:sz w:val="24"/>
        </w:rPr>
        <w:t xml:space="preserve"> </w:t>
      </w:r>
    </w:p>
    <w:p>
      <w:pPr>
        <w:autoSpaceDE w:val="0"/>
        <w:autoSpaceDN w:val="0"/>
        <w:adjustRightInd w:val="0"/>
        <w:spacing w:line="240" w:lineRule="auto"/>
        <w:jc w:val="both"/>
        <w:rPr>
          <w:rFonts w:ascii="Times New Roman" w:hAnsi="Times New Roman" w:cs="Times New Roman"/>
          <w:noProof/>
          <w:sz w:val="24"/>
          <w:szCs w:val="24"/>
        </w:rPr>
      </w:pPr>
      <w:r>
        <w:rPr>
          <w:rFonts w:ascii="Times New Roman" w:hAnsi="Times New Roman"/>
          <w:noProof/>
          <w:color w:val="000000"/>
          <w:sz w:val="24"/>
        </w:rPr>
        <w:t>За тази цел Комисията ще продължи да оказва подкрепа</w:t>
      </w:r>
      <w:r>
        <w:rPr>
          <w:rFonts w:ascii="Times New Roman" w:hAnsi="Times New Roman"/>
          <w:noProof/>
          <w:sz w:val="24"/>
        </w:rPr>
        <w:t xml:space="preserve"> на специалистите и органите в държавите — членки на ЕС. Изграждането на капацитет и разпространението на най-добри практики за откриване на жертвите, както и поставянето на акцента върху осигуряването на достъп и предоставянето на подходяща помощ, която е съобразена с пола и отчита потребностите на децата, и ефективните правни средства за защита са важни аспекти на всички усилия на равнище ЕС. Тези усилия включват развитие на експертни познания в рамките на агенциите на ЕС и тяхното използване, както и популяризиране на обучителни курсове по разпознаване на жертвите, предназначени за граничната охрана, правоприлагащите органи, служителите в областта на убежището, имиграционните служители, служителите в приемните центрове, консулските служители, служителите на ЕС, настойниците на непридружени деца, както и органите с отговорности в тази област, за които има вероятност да влязат в контакт с жертви на трафика на хора</w:t>
      </w:r>
      <w:r>
        <w:rPr>
          <w:rStyle w:val="FootnoteReference"/>
          <w:rFonts w:ascii="Times New Roman" w:hAnsi="Times New Roman"/>
          <w:noProof/>
          <w:sz w:val="24"/>
        </w:rPr>
        <w:footnoteReference w:id="27"/>
      </w:r>
      <w:r>
        <w:rPr>
          <w:rFonts w:ascii="Times New Roman" w:hAnsi="Times New Roman"/>
          <w:noProof/>
          <w:sz w:val="24"/>
        </w:rPr>
        <w:t>. Поради тази причина Комисията ще подкрепи мерки, насочени към подобряване на идентифицирането на жертвите и към подходящото им национално и транснационално насочване. Тя също така ще насърчава сътрудничеството между държавите на произход, транзитно преминаване и местоназначение, както и с организациите на гражданското общество и международните организации, за да гарантира, че жертвите се идентифицират на ранен етап.</w:t>
      </w:r>
    </w:p>
    <w:p>
      <w:pPr>
        <w:autoSpaceDE w:val="0"/>
        <w:autoSpaceDN w:val="0"/>
        <w:adjustRightInd w:val="0"/>
        <w:spacing w:line="240" w:lineRule="auto"/>
        <w:jc w:val="both"/>
        <w:rPr>
          <w:rFonts w:ascii="Times New Roman" w:hAnsi="Times New Roman" w:cs="Times New Roman"/>
          <w:noProof/>
          <w:sz w:val="24"/>
          <w:szCs w:val="24"/>
        </w:rPr>
      </w:pPr>
      <w:r>
        <w:rPr>
          <w:rFonts w:ascii="Times New Roman" w:hAnsi="Times New Roman"/>
          <w:noProof/>
          <w:sz w:val="24"/>
        </w:rPr>
        <w:t>Освен това Комисията ще оказва подкрепа на държавите членки в осигуряването на цялостна и достъпна закрила и ще подпомага интеграцията на жертвите на трафик, като се отчитат специфичните нужди на всеки пол. Тя също ще следи и съветва относно въвеждането на национално равнище на услуги, отчитащи потребностите на децата, включително грижи, здравеопазване и образование за жертвите на трафик, като при тези услуги се вземат предвид полът, възрастта и конкретните нужди на отделните деца. Накрая, Комисията ще насърчава прилагането на „Десетте принципа на ЕС за интегрирани системи за закрила на детето“</w:t>
      </w:r>
      <w:r>
        <w:rPr>
          <w:rStyle w:val="FootnoteReference"/>
          <w:rFonts w:ascii="Times New Roman" w:hAnsi="Times New Roman"/>
          <w:noProof/>
          <w:sz w:val="24"/>
        </w:rPr>
        <w:footnoteReference w:id="28"/>
      </w:r>
      <w:r>
        <w:rPr>
          <w:noProof/>
        </w:rPr>
        <w:t>.</w:t>
      </w:r>
    </w:p>
    <w:p>
      <w:pPr>
        <w:keepNext/>
        <w:autoSpaceDE w:val="0"/>
        <w:autoSpaceDN w:val="0"/>
        <w:adjustRightInd w:val="0"/>
        <w:spacing w:after="100" w:afterAutospacing="1" w:line="240" w:lineRule="auto"/>
        <w:jc w:val="both"/>
        <w:rPr>
          <w:rFonts w:ascii="Times New Roman" w:hAnsi="Times New Roman" w:cs="Times New Roman"/>
          <w:i/>
          <w:noProof/>
          <w:sz w:val="24"/>
          <w:szCs w:val="24"/>
        </w:rPr>
      </w:pPr>
      <w:r>
        <w:rPr>
          <w:rFonts w:ascii="Times New Roman" w:hAnsi="Times New Roman"/>
          <w:i/>
          <w:noProof/>
          <w:sz w:val="24"/>
        </w:rPr>
        <w:t>Ключови действия</w:t>
      </w:r>
    </w:p>
    <w:p>
      <w:pPr>
        <w:pBdr>
          <w:top w:val="single" w:sz="4" w:space="1" w:color="auto"/>
          <w:left w:val="single" w:sz="4" w:space="4" w:color="auto"/>
          <w:bottom w:val="single" w:sz="4" w:space="1" w:color="auto"/>
          <w:right w:val="single" w:sz="4" w:space="4" w:color="auto"/>
        </w:pBdr>
        <w:autoSpaceDE w:val="0"/>
        <w:autoSpaceDN w:val="0"/>
        <w:adjustRightInd w:val="0"/>
        <w:spacing w:after="100" w:afterAutospacing="1" w:line="240" w:lineRule="auto"/>
        <w:ind w:left="720"/>
        <w:jc w:val="both"/>
        <w:rPr>
          <w:rFonts w:ascii="Times New Roman" w:hAnsi="Times New Roman" w:cs="Times New Roman"/>
          <w:noProof/>
          <w:sz w:val="24"/>
          <w:szCs w:val="24"/>
        </w:rPr>
      </w:pPr>
      <w:r>
        <w:rPr>
          <w:rFonts w:ascii="Times New Roman" w:hAnsi="Times New Roman"/>
          <w:noProof/>
          <w:sz w:val="24"/>
        </w:rPr>
        <w:t>От края на 2017 г. Комисията:</w:t>
      </w:r>
    </w:p>
    <w:p>
      <w:pPr>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100" w:afterAutospacing="1" w:line="240" w:lineRule="auto"/>
        <w:contextualSpacing/>
        <w:jc w:val="both"/>
        <w:rPr>
          <w:rFonts w:ascii="Times New Roman" w:hAnsi="Times New Roman" w:cs="Times New Roman"/>
          <w:noProof/>
          <w:sz w:val="24"/>
          <w:szCs w:val="24"/>
        </w:rPr>
      </w:pPr>
      <w:r>
        <w:rPr>
          <w:rFonts w:ascii="Times New Roman" w:hAnsi="Times New Roman"/>
          <w:noProof/>
          <w:sz w:val="24"/>
        </w:rPr>
        <w:t>ще публикува съвместно с Европейския институт за равенство между половете</w:t>
      </w:r>
      <w:r>
        <w:rPr>
          <w:rFonts w:ascii="Times New Roman" w:hAnsi="Times New Roman"/>
          <w:b/>
          <w:noProof/>
          <w:sz w:val="24"/>
        </w:rPr>
        <w:t xml:space="preserve"> насоки</w:t>
      </w:r>
      <w:r>
        <w:rPr>
          <w:rFonts w:ascii="Times New Roman" w:hAnsi="Times New Roman"/>
          <w:noProof/>
          <w:sz w:val="24"/>
        </w:rPr>
        <w:t xml:space="preserve"> за държавите членки относно </w:t>
      </w:r>
      <w:r>
        <w:rPr>
          <w:rFonts w:ascii="Times New Roman" w:hAnsi="Times New Roman"/>
          <w:b/>
          <w:noProof/>
          <w:sz w:val="24"/>
        </w:rPr>
        <w:t>мерки, съобразени с пола, за помощ и подкрепа на жертвите</w:t>
      </w:r>
      <w:r>
        <w:rPr>
          <w:rFonts w:ascii="Times New Roman" w:hAnsi="Times New Roman"/>
          <w:noProof/>
          <w:sz w:val="24"/>
        </w:rPr>
        <w:t>;</w:t>
      </w:r>
    </w:p>
    <w:p>
      <w:pPr>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100" w:afterAutospacing="1" w:line="240" w:lineRule="auto"/>
        <w:contextualSpacing/>
        <w:jc w:val="both"/>
        <w:rPr>
          <w:rFonts w:ascii="Times New Roman" w:hAnsi="Times New Roman" w:cs="Times New Roman"/>
          <w:noProof/>
          <w:sz w:val="24"/>
          <w:szCs w:val="24"/>
        </w:rPr>
      </w:pPr>
      <w:r>
        <w:rPr>
          <w:rFonts w:ascii="Times New Roman" w:hAnsi="Times New Roman"/>
          <w:noProof/>
          <w:sz w:val="24"/>
        </w:rPr>
        <w:t xml:space="preserve">ще разработи съвместно с Агенцията на Европейския съюз за основните права </w:t>
      </w:r>
      <w:r>
        <w:rPr>
          <w:rFonts w:ascii="Times New Roman" w:hAnsi="Times New Roman"/>
          <w:b/>
          <w:noProof/>
          <w:sz w:val="24"/>
        </w:rPr>
        <w:t>практически насоки</w:t>
      </w:r>
      <w:r>
        <w:rPr>
          <w:rFonts w:ascii="Times New Roman" w:hAnsi="Times New Roman"/>
          <w:noProof/>
          <w:sz w:val="24"/>
        </w:rPr>
        <w:t xml:space="preserve"> за засилване на междуведомственото и трансграничното сътрудничество с цел да се </w:t>
      </w:r>
      <w:r>
        <w:rPr>
          <w:rFonts w:ascii="Times New Roman" w:hAnsi="Times New Roman"/>
          <w:b/>
          <w:noProof/>
          <w:sz w:val="24"/>
        </w:rPr>
        <w:t>предотврати трафика на деца от ЕС</w:t>
      </w:r>
      <w:r>
        <w:rPr>
          <w:rFonts w:ascii="Times New Roman" w:hAnsi="Times New Roman"/>
          <w:noProof/>
          <w:sz w:val="24"/>
        </w:rPr>
        <w:t>, да се осигури закрила за децата жертви, да се намерят трайни решения и да се защитят техните права съгласно правото на ЕС и международното право;</w:t>
      </w:r>
    </w:p>
    <w:p>
      <w:pPr>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100" w:afterAutospacing="1" w:line="240" w:lineRule="auto"/>
        <w:contextualSpacing/>
        <w:jc w:val="both"/>
        <w:rPr>
          <w:rFonts w:ascii="Times New Roman" w:hAnsi="Times New Roman" w:cs="Times New Roman"/>
          <w:noProof/>
          <w:sz w:val="24"/>
          <w:szCs w:val="24"/>
        </w:rPr>
      </w:pPr>
      <w:r>
        <w:rPr>
          <w:rFonts w:ascii="Times New Roman" w:hAnsi="Times New Roman"/>
          <w:noProof/>
          <w:sz w:val="24"/>
        </w:rPr>
        <w:t xml:space="preserve">ще изготви преглед на функционирането на </w:t>
      </w:r>
      <w:r>
        <w:rPr>
          <w:rFonts w:ascii="Times New Roman" w:hAnsi="Times New Roman"/>
          <w:b/>
          <w:noProof/>
          <w:sz w:val="24"/>
        </w:rPr>
        <w:t>националните и транснационалните механизми за насочване на държавите членки</w:t>
      </w:r>
      <w:r>
        <w:rPr>
          <w:rFonts w:ascii="Times New Roman" w:hAnsi="Times New Roman"/>
          <w:noProof/>
          <w:sz w:val="24"/>
        </w:rPr>
        <w:t>;</w:t>
      </w:r>
    </w:p>
    <w:p>
      <w:pPr>
        <w:numPr>
          <w:ilvl w:val="0"/>
          <w:numId w:val="6"/>
        </w:num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cs="Times New Roman"/>
          <w:noProof/>
          <w:sz w:val="24"/>
          <w:szCs w:val="24"/>
        </w:rPr>
      </w:pPr>
      <w:r>
        <w:rPr>
          <w:rFonts w:ascii="Times New Roman" w:hAnsi="Times New Roman"/>
          <w:noProof/>
          <w:sz w:val="24"/>
        </w:rPr>
        <w:t>ще се съсредоточи върху изграждането на капацитет за</w:t>
      </w:r>
      <w:r>
        <w:rPr>
          <w:rFonts w:ascii="Times New Roman" w:hAnsi="Times New Roman"/>
          <w:b/>
          <w:noProof/>
          <w:sz w:val="24"/>
        </w:rPr>
        <w:t xml:space="preserve"> подобряване на сътрудничеството чрез инструментите на ЕС за управление на границите и на миграцията</w:t>
      </w:r>
      <w:r>
        <w:rPr>
          <w:rFonts w:ascii="Times New Roman" w:hAnsi="Times New Roman"/>
          <w:noProof/>
          <w:sz w:val="24"/>
        </w:rPr>
        <w:t xml:space="preserve"> с цел откриване, идентифициране и споделяне на информация и данни за жертвите на трафик и трафикантите;</w:t>
      </w:r>
    </w:p>
    <w:p>
      <w:pPr>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100" w:afterAutospacing="1" w:line="240" w:lineRule="auto"/>
        <w:contextualSpacing/>
        <w:jc w:val="both"/>
        <w:rPr>
          <w:rFonts w:ascii="Times New Roman" w:hAnsi="Times New Roman" w:cs="Times New Roman"/>
          <w:noProof/>
          <w:sz w:val="24"/>
          <w:szCs w:val="24"/>
        </w:rPr>
      </w:pPr>
      <w:r>
        <w:rPr>
          <w:rFonts w:ascii="Times New Roman" w:hAnsi="Times New Roman"/>
          <w:noProof/>
          <w:sz w:val="24"/>
        </w:rPr>
        <w:t>ще съветва</w:t>
      </w:r>
      <w:r>
        <w:rPr>
          <w:rFonts w:ascii="Times New Roman" w:hAnsi="Times New Roman"/>
          <w:b/>
          <w:noProof/>
          <w:sz w:val="24"/>
        </w:rPr>
        <w:t xml:space="preserve"> националните власти по ключови понятия, свързани с трафика на хора</w:t>
      </w:r>
      <w:r>
        <w:rPr>
          <w:rFonts w:ascii="Times New Roman" w:hAnsi="Times New Roman"/>
          <w:noProof/>
          <w:sz w:val="24"/>
        </w:rPr>
        <w:t>, за да спомогне за подобряване на оперативната работа, разработването на политики, съпоставимостта на данните и докладването.</w:t>
      </w:r>
    </w:p>
    <w:p>
      <w:pPr>
        <w:spacing w:before="480" w:after="100" w:afterAutospacing="1" w:line="240" w:lineRule="auto"/>
        <w:jc w:val="both"/>
        <w:rPr>
          <w:rFonts w:ascii="Times New Roman" w:hAnsi="Times New Roman" w:cs="Times New Roman"/>
          <w:b/>
          <w:i/>
          <w:noProof/>
          <w:sz w:val="24"/>
          <w:szCs w:val="24"/>
          <w:u w:val="single"/>
        </w:rPr>
      </w:pPr>
      <w:r>
        <w:rPr>
          <w:rFonts w:ascii="Times New Roman" w:hAnsi="Times New Roman"/>
          <w:b/>
          <w:i/>
          <w:noProof/>
          <w:sz w:val="24"/>
          <w:u w:val="single"/>
        </w:rPr>
        <w:t>В. Засилване на координираната и консолидирана ответна реакция, както в рамките на ЕС, така и извън него</w:t>
      </w:r>
    </w:p>
    <w:p>
      <w:pPr>
        <w:spacing w:after="100" w:afterAutospacing="1" w:line="240" w:lineRule="auto"/>
        <w:jc w:val="both"/>
        <w:rPr>
          <w:rFonts w:ascii="Times New Roman" w:hAnsi="Times New Roman" w:cs="Times New Roman"/>
          <w:noProof/>
          <w:sz w:val="24"/>
          <w:szCs w:val="24"/>
        </w:rPr>
      </w:pPr>
      <w:r>
        <w:rPr>
          <w:rFonts w:ascii="Times New Roman" w:hAnsi="Times New Roman"/>
          <w:noProof/>
          <w:sz w:val="24"/>
        </w:rPr>
        <w:t>ЕС ще предприеме по-нататъшни стъпки за подобряване на вътрешните и външните аспекти на действията си за борба с трафика на хора. Трафикът на хора често е свързан с други видове престъпления, в това число и транснационални престъпления. Комисията ще продължи да насърчава националните органи и агенциите на ЕС да подхождат към трафика като към форма на организирана престъпност, която не спира на националните граници или на границите на ЕС, и да си сътрудничат с държави извън ЕС.</w:t>
      </w:r>
    </w:p>
    <w:p>
      <w:pPr>
        <w:spacing w:after="100" w:afterAutospacing="1" w:line="240" w:lineRule="auto"/>
        <w:jc w:val="both"/>
        <w:rPr>
          <w:rFonts w:ascii="Times New Roman" w:hAnsi="Times New Roman" w:cs="Times New Roman"/>
          <w:iCs/>
          <w:noProof/>
          <w:sz w:val="24"/>
          <w:szCs w:val="24"/>
        </w:rPr>
      </w:pPr>
      <w:r>
        <w:rPr>
          <w:rFonts w:ascii="Times New Roman" w:hAnsi="Times New Roman"/>
          <w:noProof/>
          <w:sz w:val="24"/>
        </w:rPr>
        <w:t>Координаторът на ЕС за борбата с трафика на хора допринася за наличието на координирана и консолидирана ответна реакция на трафика на хора. В този контекст координаторът осигурява по-тясно сътрудничество на равнище ЕС между всички организации и органи — участници в мрежи, и по-специално мрежата на ЕС от национални органи за докладване или равностойни механизми по въпросите на трафика на хора; Платформата на гражданското общество в ЕС за борба с трафика на хора; и точките за контакт в агенциите на ЕС в областта на правосъдието и вътрешните работи</w:t>
      </w:r>
      <w:r>
        <w:rPr>
          <w:rStyle w:val="FootnoteReference"/>
          <w:rFonts w:ascii="Times New Roman" w:hAnsi="Times New Roman"/>
          <w:noProof/>
          <w:sz w:val="24"/>
        </w:rPr>
        <w:footnoteReference w:id="29"/>
      </w:r>
      <w:r>
        <w:rPr>
          <w:rFonts w:ascii="Times New Roman" w:hAnsi="Times New Roman"/>
          <w:noProof/>
          <w:sz w:val="24"/>
        </w:rPr>
        <w:t xml:space="preserve"> с групата за координация по въпросите на трафика на хора. Включени са и други агенции, които се борят с трафика на хора, както и други релевантни платформи и мрежи на равнище ЕС. </w:t>
      </w:r>
    </w:p>
    <w:p>
      <w:pPr>
        <w:autoSpaceDE w:val="0"/>
        <w:autoSpaceDN w:val="0"/>
        <w:adjustRightInd w:val="0"/>
        <w:spacing w:after="100" w:afterAutospacing="1" w:line="240" w:lineRule="auto"/>
        <w:jc w:val="both"/>
        <w:rPr>
          <w:rFonts w:ascii="Times New Roman" w:hAnsi="Times New Roman" w:cs="Times New Roman"/>
          <w:iCs/>
          <w:noProof/>
          <w:sz w:val="24"/>
          <w:szCs w:val="24"/>
        </w:rPr>
      </w:pPr>
      <w:r>
        <w:rPr>
          <w:rFonts w:ascii="Times New Roman" w:hAnsi="Times New Roman"/>
          <w:noProof/>
          <w:sz w:val="24"/>
        </w:rPr>
        <w:t>Съвместно с Европейската служба за външна дейност, Комисията ще продължи да следи за това, че аспектът на борбата с трафика на хора се включва систематично във всички измерения на отношенията ѝ с държави извън ЕС и във всички релевантни области на политиката, в това число правата на човека, сигурността и организираната престъпност, както и равенството между половете. Тя също така ще гарантира, че ангажиментите относно борбата с трафика на хора, установени в Декларацията от Ню Йорк</w:t>
      </w:r>
      <w:r>
        <w:rPr>
          <w:rStyle w:val="FootnoteReference"/>
          <w:rFonts w:ascii="Times New Roman" w:hAnsi="Times New Roman"/>
          <w:noProof/>
          <w:sz w:val="24"/>
        </w:rPr>
        <w:footnoteReference w:id="30"/>
      </w:r>
      <w:r>
        <w:rPr>
          <w:rFonts w:ascii="Times New Roman" w:hAnsi="Times New Roman"/>
          <w:noProof/>
          <w:sz w:val="24"/>
        </w:rPr>
        <w:t xml:space="preserve">, се изпълняват и спомагат за оформянето на Глобалния пакт за миграцията чрез политическо и оперативно сътрудничество. Това ще бъде постигнато чрез насърчаване на засилено двустранно и регионално сътрудничество със съответните партньори и с други организации чрез различни средства, в това число чрез целево финансиране по един от приложимите инструменти. </w:t>
      </w:r>
    </w:p>
    <w:p>
      <w:pPr>
        <w:spacing w:after="100" w:afterAutospacing="1" w:line="240" w:lineRule="auto"/>
        <w:jc w:val="both"/>
        <w:rPr>
          <w:rFonts w:ascii="Times New Roman" w:hAnsi="Times New Roman" w:cs="Times New Roman"/>
          <w:noProof/>
          <w:sz w:val="24"/>
          <w:szCs w:val="24"/>
        </w:rPr>
      </w:pPr>
      <w:r>
        <w:rPr>
          <w:rFonts w:ascii="Times New Roman" w:hAnsi="Times New Roman"/>
          <w:noProof/>
          <w:sz w:val="24"/>
        </w:rPr>
        <w:t>Заинтересованите участници в държавите от ЕС и извън него ще бъдат насърчавани да разрешат въпроси, свързани със закрилата на жертвите и реинтеграцията им в обществото, в своите инициативи в областта на превенцията, образованието и убежищата, както и да подобрят положението на уязвимите жени, деца и други групи, в това число ромите. Комисията ще ги подкрепя в тези начинания.</w:t>
      </w:r>
    </w:p>
    <w:p>
      <w:pPr>
        <w:spacing w:after="100" w:afterAutospacing="1" w:line="240" w:lineRule="auto"/>
        <w:jc w:val="both"/>
        <w:rPr>
          <w:rFonts w:ascii="Times New Roman" w:hAnsi="Times New Roman" w:cs="Times New Roman"/>
          <w:noProof/>
          <w:sz w:val="24"/>
          <w:szCs w:val="24"/>
        </w:rPr>
      </w:pPr>
      <w:r>
        <w:rPr>
          <w:rFonts w:ascii="Times New Roman" w:hAnsi="Times New Roman"/>
          <w:noProof/>
          <w:sz w:val="24"/>
        </w:rPr>
        <w:t>Държавите извън ЕС, които си сътрудничат с ЕС, ще продължат да получават подкрепа за осъществяване на реформи в сектора на сигурността и за установяване върховенството на закона на своите територии с цел предотвратяване и справяне с трафика на хора, изграждане на силно правоприлагане и наказателното преследване.</w:t>
      </w:r>
    </w:p>
    <w:p>
      <w:pPr>
        <w:spacing w:after="100" w:afterAutospacing="1" w:line="240" w:lineRule="auto"/>
        <w:jc w:val="both"/>
        <w:rPr>
          <w:rFonts w:ascii="Times New Roman" w:hAnsi="Times New Roman" w:cs="Times New Roman"/>
          <w:noProof/>
          <w:sz w:val="24"/>
          <w:szCs w:val="24"/>
        </w:rPr>
      </w:pPr>
      <w:r>
        <w:rPr>
          <w:rFonts w:ascii="Times New Roman" w:hAnsi="Times New Roman"/>
          <w:noProof/>
          <w:sz w:val="24"/>
        </w:rPr>
        <w:t>Освен това ЕС ще засили своята външна дейност, насочена срещу престъпните организации, участващи в трафика на хора. Това включва действия, предприети в контекста на мисиите и операциите по линия на общата политика за сигурност и отбрана, в които участват също така приоритетни страни, включително във връзка с антитерористична дейност в Близкия изток, Северна Африка и Западните Балкани.</w:t>
      </w:r>
    </w:p>
    <w:p>
      <w:pPr>
        <w:spacing w:after="100" w:afterAutospacing="1" w:line="240" w:lineRule="auto"/>
        <w:jc w:val="both"/>
        <w:rPr>
          <w:rFonts w:ascii="Times New Roman" w:hAnsi="Times New Roman" w:cs="Times New Roman"/>
          <w:i/>
          <w:noProof/>
          <w:sz w:val="24"/>
          <w:szCs w:val="24"/>
          <w:u w:val="single"/>
        </w:rPr>
      </w:pPr>
      <w:r>
        <w:rPr>
          <w:rFonts w:ascii="Times New Roman" w:hAnsi="Times New Roman"/>
          <w:i/>
          <w:noProof/>
          <w:sz w:val="24"/>
          <w:u w:val="single"/>
        </w:rPr>
        <w:t>Ключови действия</w:t>
      </w:r>
    </w:p>
    <w:p>
      <w:pPr>
        <w:pBdr>
          <w:top w:val="single" w:sz="4" w:space="1" w:color="auto"/>
          <w:left w:val="single" w:sz="4" w:space="4" w:color="auto"/>
          <w:bottom w:val="single" w:sz="4" w:space="1" w:color="auto"/>
          <w:right w:val="single" w:sz="4" w:space="4" w:color="auto"/>
        </w:pBdr>
        <w:spacing w:after="100" w:afterAutospacing="1" w:line="240" w:lineRule="auto"/>
        <w:ind w:left="360"/>
        <w:jc w:val="both"/>
        <w:rPr>
          <w:rFonts w:ascii="Times New Roman" w:hAnsi="Times New Roman" w:cs="Times New Roman"/>
          <w:noProof/>
          <w:sz w:val="24"/>
          <w:szCs w:val="24"/>
        </w:rPr>
      </w:pPr>
      <w:r>
        <w:rPr>
          <w:rFonts w:ascii="Times New Roman" w:hAnsi="Times New Roman"/>
          <w:noProof/>
          <w:sz w:val="24"/>
        </w:rPr>
        <w:t>От края на 2017 г. Комисията:</w:t>
      </w:r>
    </w:p>
    <w:p>
      <w:pPr>
        <w:numPr>
          <w:ilvl w:val="0"/>
          <w:numId w:val="4"/>
        </w:num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cs="Times New Roman"/>
          <w:noProof/>
          <w:sz w:val="24"/>
          <w:szCs w:val="24"/>
        </w:rPr>
      </w:pPr>
      <w:r>
        <w:rPr>
          <w:rFonts w:ascii="Times New Roman" w:hAnsi="Times New Roman"/>
          <w:noProof/>
          <w:sz w:val="24"/>
        </w:rPr>
        <w:t xml:space="preserve">съвместно с държавите членки и Европейската служба за външна дейност, </w:t>
      </w:r>
      <w:r>
        <w:rPr>
          <w:rFonts w:ascii="Times New Roman" w:hAnsi="Times New Roman"/>
          <w:b/>
          <w:noProof/>
          <w:sz w:val="24"/>
        </w:rPr>
        <w:t>ще преразгледа и идентифицира приоритетни държави и региони за борба с трафика на хора</w:t>
      </w:r>
      <w:r>
        <w:rPr>
          <w:rFonts w:ascii="Times New Roman" w:hAnsi="Times New Roman"/>
          <w:noProof/>
          <w:sz w:val="24"/>
        </w:rPr>
        <w:t>, като осигурява съгласуваност и взаимно допълване с приоритетите и планирането, установени във всички сфери на международния ангажимент, и най-вече в областта на миграцията, сигурността и правата на човека;</w:t>
      </w:r>
    </w:p>
    <w:p>
      <w:pPr>
        <w:numPr>
          <w:ilvl w:val="0"/>
          <w:numId w:val="4"/>
        </w:num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cs="Times New Roman"/>
          <w:noProof/>
          <w:sz w:val="24"/>
          <w:szCs w:val="24"/>
        </w:rPr>
      </w:pPr>
      <w:r>
        <w:rPr>
          <w:rFonts w:ascii="Times New Roman" w:hAnsi="Times New Roman"/>
          <w:noProof/>
          <w:sz w:val="24"/>
        </w:rPr>
        <w:t xml:space="preserve">ще работи за постигане на </w:t>
      </w:r>
      <w:r>
        <w:rPr>
          <w:rFonts w:ascii="Times New Roman" w:hAnsi="Times New Roman"/>
          <w:b/>
          <w:noProof/>
          <w:sz w:val="24"/>
        </w:rPr>
        <w:t>целите за устойчиво развитие</w:t>
      </w:r>
      <w:r>
        <w:rPr>
          <w:rFonts w:ascii="Times New Roman" w:hAnsi="Times New Roman"/>
          <w:noProof/>
          <w:sz w:val="24"/>
        </w:rPr>
        <w:t xml:space="preserve"> на Програмата на ООН до 2030 г., като отделя специално внимание на цели 5.2, 8.7 и 16.2, свързани с борбата с трафика на хора, в съответствие с Европейския консенсус за развитие</w:t>
      </w:r>
      <w:r>
        <w:rPr>
          <w:rFonts w:ascii="Times New Roman" w:hAnsi="Times New Roman"/>
          <w:noProof/>
          <w:sz w:val="24"/>
          <w:vertAlign w:val="superscript"/>
        </w:rPr>
        <w:footnoteReference w:id="31"/>
      </w:r>
      <w:r>
        <w:rPr>
          <w:rFonts w:ascii="Times New Roman" w:hAnsi="Times New Roman"/>
          <w:noProof/>
          <w:sz w:val="24"/>
        </w:rPr>
        <w:t>;</w:t>
      </w:r>
    </w:p>
    <w:p>
      <w:pPr>
        <w:numPr>
          <w:ilvl w:val="0"/>
          <w:numId w:val="4"/>
        </w:num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noProof/>
          <w:sz w:val="24"/>
          <w:szCs w:val="24"/>
        </w:rPr>
      </w:pPr>
      <w:r>
        <w:rPr>
          <w:rFonts w:ascii="Times New Roman" w:hAnsi="Times New Roman"/>
          <w:noProof/>
          <w:sz w:val="24"/>
        </w:rPr>
        <w:t xml:space="preserve">ще насърчи </w:t>
      </w:r>
      <w:r>
        <w:rPr>
          <w:rFonts w:ascii="Times New Roman" w:hAnsi="Times New Roman"/>
          <w:b/>
          <w:noProof/>
          <w:sz w:val="24"/>
        </w:rPr>
        <w:t>подновяването на ангажимента от страна на агенциите на ЕС в областта на правосъдието и вътрешните работи за съвместна борба с трафика</w:t>
      </w:r>
      <w:r>
        <w:rPr>
          <w:rFonts w:ascii="Times New Roman" w:hAnsi="Times New Roman"/>
          <w:noProof/>
          <w:sz w:val="24"/>
        </w:rPr>
        <w:t>, включвайки и други агенции със сходна дейност;</w:t>
      </w:r>
    </w:p>
    <w:p>
      <w:pPr>
        <w:numPr>
          <w:ilvl w:val="0"/>
          <w:numId w:val="4"/>
        </w:num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cs="Times New Roman"/>
          <w:noProof/>
          <w:sz w:val="24"/>
          <w:szCs w:val="24"/>
        </w:rPr>
      </w:pPr>
      <w:r>
        <w:rPr>
          <w:rFonts w:ascii="Times New Roman" w:hAnsi="Times New Roman"/>
          <w:noProof/>
          <w:sz w:val="24"/>
        </w:rPr>
        <w:t xml:space="preserve">ще гарантира изпълнението на свързаните с трафика на хора компоненти на </w:t>
      </w:r>
      <w:r>
        <w:rPr>
          <w:rFonts w:ascii="Times New Roman" w:hAnsi="Times New Roman"/>
          <w:b/>
          <w:noProof/>
          <w:sz w:val="24"/>
        </w:rPr>
        <w:t>водещата инициатива на Европейския съюз и Организацията на обединените нации</w:t>
      </w:r>
      <w:r>
        <w:rPr>
          <w:rFonts w:ascii="Times New Roman" w:hAnsi="Times New Roman"/>
          <w:noProof/>
          <w:sz w:val="24"/>
        </w:rPr>
        <w:t xml:space="preserve"> за премахване на насилието срещу жени и момичета</w:t>
      </w:r>
      <w:r>
        <w:rPr>
          <w:rStyle w:val="FootnoteReference"/>
          <w:rFonts w:ascii="Times New Roman" w:hAnsi="Times New Roman"/>
          <w:noProof/>
          <w:sz w:val="24"/>
        </w:rPr>
        <w:footnoteReference w:id="32"/>
      </w:r>
      <w:r>
        <w:rPr>
          <w:rFonts w:ascii="Times New Roman" w:hAnsi="Times New Roman"/>
          <w:noProof/>
          <w:sz w:val="24"/>
        </w:rPr>
        <w:t xml:space="preserve">; </w:t>
      </w:r>
    </w:p>
    <w:p>
      <w:pPr>
        <w:numPr>
          <w:ilvl w:val="0"/>
          <w:numId w:val="4"/>
        </w:num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cs="Times New Roman"/>
          <w:noProof/>
          <w:sz w:val="24"/>
          <w:szCs w:val="24"/>
        </w:rPr>
      </w:pPr>
      <w:r>
        <w:rPr>
          <w:rFonts w:ascii="Times New Roman" w:hAnsi="Times New Roman"/>
          <w:noProof/>
          <w:sz w:val="24"/>
        </w:rPr>
        <w:t>ще осигури изпълнението на свързаните с трафика на хора мерки, включени в съвместния документ на службите на Комисията „</w:t>
      </w:r>
      <w:r>
        <w:rPr>
          <w:rFonts w:ascii="Times New Roman" w:hAnsi="Times New Roman"/>
          <w:b/>
          <w:noProof/>
          <w:sz w:val="24"/>
        </w:rPr>
        <w:t>Дейностите на ЕС относно равенството между половете и овластяването на жените в областта на външните отношения на ЕС</w:t>
      </w:r>
      <w:r>
        <w:rPr>
          <w:rFonts w:ascii="Times New Roman" w:hAnsi="Times New Roman"/>
          <w:noProof/>
          <w:sz w:val="24"/>
        </w:rPr>
        <w:t>“;</w:t>
      </w:r>
    </w:p>
    <w:p>
      <w:pPr>
        <w:numPr>
          <w:ilvl w:val="0"/>
          <w:numId w:val="4"/>
        </w:num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cs="Times New Roman"/>
          <w:noProof/>
          <w:sz w:val="24"/>
          <w:szCs w:val="24"/>
        </w:rPr>
      </w:pPr>
      <w:r>
        <w:rPr>
          <w:rFonts w:ascii="Times New Roman" w:hAnsi="Times New Roman"/>
          <w:noProof/>
          <w:sz w:val="24"/>
        </w:rPr>
        <w:t xml:space="preserve">ще гарантира, че ангажиментите, поети в рамките на </w:t>
      </w:r>
      <w:r>
        <w:rPr>
          <w:rFonts w:ascii="Times New Roman" w:hAnsi="Times New Roman"/>
          <w:b/>
          <w:noProof/>
          <w:sz w:val="24"/>
        </w:rPr>
        <w:t>призива за действие относно защитата от основано на пола насилие при извънредни ситуации</w:t>
      </w:r>
      <w:r>
        <w:rPr>
          <w:rFonts w:ascii="Times New Roman" w:hAnsi="Times New Roman"/>
          <w:noProof/>
          <w:sz w:val="24"/>
        </w:rPr>
        <w:t>, се спазват, включително като заделя хуманитарна помощ конкретно в подкрепа на превенцията и ответната реакция на основаното на пола насилие.</w:t>
      </w:r>
    </w:p>
    <w:p>
      <w:pPr>
        <w:spacing w:before="480" w:after="100" w:afterAutospacing="1" w:line="240" w:lineRule="auto"/>
        <w:jc w:val="both"/>
        <w:rPr>
          <w:rFonts w:ascii="Times New Roman" w:hAnsi="Times New Roman" w:cs="Times New Roman"/>
          <w:b/>
          <w:noProof/>
          <w:sz w:val="24"/>
          <w:szCs w:val="24"/>
          <w:u w:val="single"/>
        </w:rPr>
      </w:pPr>
      <w:r>
        <w:rPr>
          <w:rFonts w:ascii="Times New Roman" w:hAnsi="Times New Roman"/>
          <w:b/>
          <w:noProof/>
          <w:sz w:val="24"/>
          <w:u w:val="single"/>
        </w:rPr>
        <w:t>III. Междусекторни приоритети за засилване на действията на ЕС за предотвратяване на трафика на хора</w:t>
      </w:r>
    </w:p>
    <w:p>
      <w:pPr>
        <w:spacing w:after="100" w:afterAutospacing="1" w:line="240" w:lineRule="auto"/>
        <w:jc w:val="both"/>
        <w:rPr>
          <w:rFonts w:ascii="Times New Roman" w:hAnsi="Times New Roman" w:cs="Times New Roman"/>
          <w:noProof/>
          <w:sz w:val="24"/>
          <w:szCs w:val="24"/>
        </w:rPr>
      </w:pPr>
      <w:r>
        <w:rPr>
          <w:rFonts w:ascii="Times New Roman" w:hAnsi="Times New Roman"/>
          <w:noProof/>
          <w:sz w:val="24"/>
        </w:rPr>
        <w:t>Освен трите специфични приоритета бяха определени два междусекторни приоритета, за да продължи обогатяването на базата знания и подобряването на разбирането за това сложно явление, както и за да се предостави подходящо финансиране в подкрепа на инициативите и проектите за борба с трафика на хора.</w:t>
      </w:r>
    </w:p>
    <w:p>
      <w:pPr>
        <w:spacing w:after="100" w:afterAutospacing="1" w:line="240" w:lineRule="auto"/>
        <w:jc w:val="both"/>
        <w:rPr>
          <w:rFonts w:ascii="Times New Roman" w:hAnsi="Times New Roman" w:cs="Times New Roman"/>
          <w:noProof/>
          <w:sz w:val="24"/>
          <w:szCs w:val="24"/>
        </w:rPr>
      </w:pPr>
      <w:r>
        <w:rPr>
          <w:rFonts w:ascii="Times New Roman" w:hAnsi="Times New Roman"/>
          <w:noProof/>
          <w:sz w:val="24"/>
        </w:rPr>
        <w:t>Разбирането на същността, размерите и цената на това престъпление е от първостепенна важност, за да се гарантира, че действията на ниво ЕС с цел предотвратяване на явлението са подходящи. Изследванията и надеждните и изчерпателни статистически данни са от първостепенна важност за установяването и справянето с тенденциите, разработването на основана на факти политика и измерването на въздействието на отделните инициативи. С изпълнението на Стратегията, на равнище ЕС бяха събрани надеждни основни данни относно трафика на хора, които обаче трябва да бъдат допълнени. Комисията ще продължи да разработва методологии за събиране на данни с цел изготвяне на съпоставими статистически данни относно трафика на хора в рамките на ЕС. Тя също така ще предприеме последващи действия по проучването в целия ЕС за наличието на данни относно трафика на хора в държавите от ЕС, което беше проведено през 2017 г. Стартирането на кампания за борба с трафика в целия ЕС ще спомогне за повишаване на осведомеността и за по-добро разбиране на същността, последиците и сложността на</w:t>
      </w:r>
      <w:r>
        <w:rPr>
          <w:noProof/>
        </w:rPr>
        <w:t xml:space="preserve"> това престъпление.</w:t>
      </w:r>
    </w:p>
    <w:p>
      <w:pPr>
        <w:spacing w:after="100" w:afterAutospacing="1" w:line="240" w:lineRule="auto"/>
        <w:jc w:val="both"/>
        <w:rPr>
          <w:rFonts w:ascii="Times New Roman" w:hAnsi="Times New Roman" w:cs="Times New Roman"/>
          <w:noProof/>
          <w:sz w:val="24"/>
          <w:szCs w:val="24"/>
        </w:rPr>
      </w:pPr>
      <w:r>
        <w:rPr>
          <w:rFonts w:ascii="Times New Roman" w:hAnsi="Times New Roman"/>
          <w:noProof/>
          <w:sz w:val="24"/>
        </w:rPr>
        <w:t>ЕС също така ще продължи да подкрепя действията за борба с трафика чрез многобройни потоци на финансиране</w:t>
      </w:r>
      <w:r>
        <w:rPr>
          <w:rStyle w:val="FootnoteReference"/>
          <w:rFonts w:ascii="Times New Roman" w:hAnsi="Times New Roman"/>
          <w:noProof/>
          <w:sz w:val="24"/>
        </w:rPr>
        <w:footnoteReference w:id="33"/>
      </w:r>
      <w:r>
        <w:rPr>
          <w:rFonts w:ascii="Times New Roman" w:hAnsi="Times New Roman"/>
          <w:noProof/>
          <w:sz w:val="24"/>
        </w:rPr>
        <w:t xml:space="preserve"> във и извън своите граници. В контекста на борбата срещу всички форми на насилие срещу жените и децата, включително в извънредни ситуации, както и с цел децата да продължат да получават образование, чрез своята финансова подкрепа Комисията ще даде приоритет на действия за посрещане на специфичните нужди на лицата в уязвимо положение, в това число жертвите на трафик с цел сексуална експлоатация.</w:t>
      </w:r>
    </w:p>
    <w:p>
      <w:pPr>
        <w:spacing w:after="100" w:afterAutospacing="1" w:line="240" w:lineRule="auto"/>
        <w:jc w:val="both"/>
        <w:rPr>
          <w:rFonts w:ascii="Times New Roman" w:hAnsi="Times New Roman" w:cs="Times New Roman"/>
          <w:b/>
          <w:noProof/>
          <w:sz w:val="24"/>
          <w:szCs w:val="24"/>
        </w:rPr>
      </w:pPr>
      <w:r>
        <w:rPr>
          <w:rFonts w:ascii="Times New Roman" w:hAnsi="Times New Roman"/>
          <w:i/>
          <w:noProof/>
          <w:sz w:val="24"/>
          <w:u w:val="single"/>
        </w:rPr>
        <w:t>Междусекторни действия за надеждни знания</w:t>
      </w:r>
    </w:p>
    <w:p>
      <w:pPr>
        <w:pBdr>
          <w:top w:val="single" w:sz="4" w:space="1" w:color="auto"/>
          <w:left w:val="single" w:sz="4" w:space="4" w:color="auto"/>
          <w:bottom w:val="single" w:sz="4" w:space="1" w:color="auto"/>
          <w:right w:val="single" w:sz="4" w:space="4" w:color="auto"/>
        </w:pBdr>
        <w:spacing w:after="100" w:afterAutospacing="1" w:line="240" w:lineRule="auto"/>
        <w:ind w:left="360"/>
        <w:contextualSpacing/>
        <w:jc w:val="both"/>
        <w:rPr>
          <w:rFonts w:ascii="Times New Roman" w:hAnsi="Times New Roman" w:cs="Times New Roman"/>
          <w:noProof/>
          <w:sz w:val="24"/>
          <w:szCs w:val="24"/>
        </w:rPr>
      </w:pPr>
      <w:r>
        <w:rPr>
          <w:rFonts w:ascii="Times New Roman" w:hAnsi="Times New Roman"/>
          <w:noProof/>
          <w:sz w:val="24"/>
        </w:rPr>
        <w:t>От 2018 г. Комисията:</w:t>
      </w:r>
    </w:p>
    <w:p>
      <w:pPr>
        <w:pBdr>
          <w:top w:val="single" w:sz="4" w:space="1" w:color="auto"/>
          <w:left w:val="single" w:sz="4" w:space="4" w:color="auto"/>
          <w:bottom w:val="single" w:sz="4" w:space="1" w:color="auto"/>
          <w:right w:val="single" w:sz="4" w:space="4" w:color="auto"/>
        </w:pBdr>
        <w:spacing w:after="100" w:afterAutospacing="1" w:line="240" w:lineRule="auto"/>
        <w:ind w:left="360"/>
        <w:contextualSpacing/>
        <w:jc w:val="both"/>
        <w:rPr>
          <w:rFonts w:ascii="Times New Roman" w:hAnsi="Times New Roman" w:cs="Times New Roman"/>
          <w:noProof/>
          <w:sz w:val="24"/>
          <w:szCs w:val="24"/>
        </w:rPr>
      </w:pPr>
    </w:p>
    <w:p>
      <w:pPr>
        <w:numPr>
          <w:ilvl w:val="0"/>
          <w:numId w:val="8"/>
        </w:num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cs="Times New Roman"/>
          <w:b/>
          <w:noProof/>
          <w:sz w:val="24"/>
          <w:szCs w:val="24"/>
        </w:rPr>
      </w:pPr>
      <w:r>
        <w:rPr>
          <w:rFonts w:ascii="Times New Roman" w:hAnsi="Times New Roman"/>
          <w:noProof/>
          <w:sz w:val="24"/>
        </w:rPr>
        <w:t xml:space="preserve">ще публикува проучване относно </w:t>
      </w:r>
      <w:r>
        <w:rPr>
          <w:rFonts w:ascii="Times New Roman" w:hAnsi="Times New Roman"/>
          <w:b/>
          <w:noProof/>
          <w:sz w:val="24"/>
        </w:rPr>
        <w:t>икономическата, социалната и човешката цена на трафика;</w:t>
      </w:r>
    </w:p>
    <w:p>
      <w:pPr>
        <w:numPr>
          <w:ilvl w:val="0"/>
          <w:numId w:val="8"/>
        </w:num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cs="Times New Roman"/>
          <w:noProof/>
          <w:sz w:val="24"/>
          <w:szCs w:val="24"/>
        </w:rPr>
      </w:pPr>
      <w:r>
        <w:rPr>
          <w:rFonts w:ascii="Times New Roman" w:hAnsi="Times New Roman"/>
          <w:noProof/>
          <w:sz w:val="24"/>
        </w:rPr>
        <w:t>ще публикува проучване относно въздействието на подхода на ЕС за борба с трафика на хора с цел сексуална експлоатация и ще насърчи споделянето на най-добри практики между държавите от ЕС;</w:t>
      </w:r>
    </w:p>
    <w:p>
      <w:pPr>
        <w:numPr>
          <w:ilvl w:val="0"/>
          <w:numId w:val="8"/>
        </w:num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cs="Times New Roman"/>
          <w:noProof/>
          <w:sz w:val="24"/>
          <w:szCs w:val="24"/>
        </w:rPr>
      </w:pPr>
      <w:r>
        <w:rPr>
          <w:rFonts w:ascii="Times New Roman" w:hAnsi="Times New Roman"/>
          <w:noProof/>
          <w:sz w:val="24"/>
        </w:rPr>
        <w:t>ще публикува в следващия доклад за напредъка най-новите</w:t>
      </w:r>
      <w:r>
        <w:rPr>
          <w:rFonts w:ascii="Times New Roman" w:hAnsi="Times New Roman"/>
          <w:b/>
          <w:noProof/>
          <w:sz w:val="24"/>
        </w:rPr>
        <w:t xml:space="preserve"> статистически данни за наказателното правосъдие относно положението в ЕС във връзка с трафика на хора</w:t>
      </w:r>
      <w:r>
        <w:rPr>
          <w:rFonts w:ascii="Times New Roman" w:hAnsi="Times New Roman"/>
          <w:noProof/>
          <w:sz w:val="24"/>
        </w:rPr>
        <w:t xml:space="preserve"> с подкрепа от Евростат, националните статистически органи и мрежата на ЕС от национални органи за докладване или равностойни механизми по въпросите на трафика на хора;</w:t>
      </w:r>
    </w:p>
    <w:p>
      <w:pPr>
        <w:numPr>
          <w:ilvl w:val="0"/>
          <w:numId w:val="8"/>
        </w:num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cs="Times New Roman"/>
          <w:noProof/>
          <w:sz w:val="24"/>
          <w:szCs w:val="24"/>
        </w:rPr>
      </w:pPr>
      <w:r>
        <w:rPr>
          <w:rFonts w:ascii="Times New Roman" w:hAnsi="Times New Roman"/>
          <w:noProof/>
          <w:sz w:val="24"/>
        </w:rPr>
        <w:t xml:space="preserve">ще стартира </w:t>
      </w:r>
      <w:r>
        <w:rPr>
          <w:rFonts w:ascii="Times New Roman" w:hAnsi="Times New Roman"/>
          <w:b/>
          <w:noProof/>
          <w:sz w:val="24"/>
        </w:rPr>
        <w:t>кампания в целия ЕС за повишаване на осведомеността</w:t>
      </w:r>
      <w:r>
        <w:rPr>
          <w:rFonts w:ascii="Times New Roman" w:hAnsi="Times New Roman"/>
          <w:noProof/>
          <w:sz w:val="24"/>
        </w:rPr>
        <w:t xml:space="preserve"> относно трафика на хора, насочена към потребителите и клиентите на услуги, които са предмет на експлоатация, както и към уязвимите групи и секторите с висок риск.</w:t>
      </w:r>
    </w:p>
    <w:p>
      <w:pPr>
        <w:spacing w:before="480" w:after="100" w:afterAutospacing="1" w:line="240" w:lineRule="auto"/>
        <w:jc w:val="both"/>
        <w:rPr>
          <w:rFonts w:ascii="Times New Roman" w:hAnsi="Times New Roman" w:cs="Times New Roman"/>
          <w:i/>
          <w:noProof/>
          <w:sz w:val="24"/>
          <w:szCs w:val="24"/>
          <w:u w:val="single"/>
        </w:rPr>
      </w:pPr>
      <w:r>
        <w:rPr>
          <w:rFonts w:ascii="Times New Roman" w:hAnsi="Times New Roman"/>
          <w:i/>
          <w:noProof/>
          <w:sz w:val="24"/>
          <w:u w:val="single"/>
        </w:rPr>
        <w:t>Междусекторни действия в подкрепа на приоритетите за борба с трафика в държавите — членки на ЕС, и в държави извън ЕС</w:t>
      </w:r>
    </w:p>
    <w:p>
      <w:pPr>
        <w:numPr>
          <w:ilvl w:val="0"/>
          <w:numId w:val="7"/>
        </w:numPr>
        <w:pBdr>
          <w:top w:val="single" w:sz="4" w:space="0" w:color="auto"/>
          <w:left w:val="single" w:sz="4" w:space="4" w:color="auto"/>
          <w:bottom w:val="single" w:sz="4" w:space="1" w:color="auto"/>
          <w:right w:val="single" w:sz="4" w:space="4" w:color="auto"/>
        </w:pBdr>
        <w:spacing w:after="100" w:afterAutospacing="1" w:line="240" w:lineRule="auto"/>
        <w:contextualSpacing/>
        <w:jc w:val="both"/>
        <w:rPr>
          <w:rFonts w:ascii="Times New Roman" w:hAnsi="Times New Roman" w:cs="Times New Roman"/>
          <w:noProof/>
          <w:sz w:val="24"/>
          <w:szCs w:val="24"/>
        </w:rPr>
      </w:pPr>
      <w:r>
        <w:rPr>
          <w:rFonts w:ascii="Times New Roman" w:hAnsi="Times New Roman"/>
          <w:noProof/>
          <w:sz w:val="24"/>
        </w:rPr>
        <w:t xml:space="preserve">Подкрепа за целите и приоритетите на борбата с трафика на хора, включително проекти, които специално вземат под внимание </w:t>
      </w:r>
      <w:r>
        <w:rPr>
          <w:rFonts w:ascii="Times New Roman" w:hAnsi="Times New Roman"/>
          <w:b/>
          <w:noProof/>
          <w:sz w:val="24"/>
        </w:rPr>
        <w:t>свързаното с пола измерение на явлението, високорисковите групи и високорисковите сектори чрез различни програми на ЕС за финансиране</w:t>
      </w:r>
      <w:r>
        <w:rPr>
          <w:rFonts w:ascii="Times New Roman" w:hAnsi="Times New Roman"/>
          <w:noProof/>
          <w:sz w:val="24"/>
        </w:rPr>
        <w:t xml:space="preserve">, като фонд „Убежище, миграция и интеграция“ (ФУМИ), фонд „Вътрешна сигурност“ (ФВС) — „Полиция“ и „Граници“, „Хоризонт 2020“ — рамковата програма на ЕС за научни изследвания и иновации, програма „Правосъдие“ и програма „Права, равенство и гражданство“, Европейския инструмент за съседство (ЕИС) и Инструмента за предприсъединителна помощ (ИПП), Механизма за партньорство за мобилност, Европейския фонд за развитие, Инструмента за сътрудничество за развитие, Инструмента, допринасящ за стабилността и мира, и </w:t>
      </w:r>
      <w:r>
        <w:rPr>
          <w:noProof/>
        </w:rPr>
        <w:t>Извънредния доверителен фонд на ЕС за Африка.</w:t>
      </w:r>
    </w:p>
    <w:p>
      <w:pPr>
        <w:spacing w:before="480" w:after="100" w:afterAutospacing="1" w:line="240" w:lineRule="auto"/>
        <w:jc w:val="both"/>
        <w:rPr>
          <w:rFonts w:ascii="Times New Roman" w:hAnsi="Times New Roman" w:cs="Times New Roman"/>
          <w:b/>
          <w:noProof/>
          <w:sz w:val="24"/>
          <w:szCs w:val="24"/>
        </w:rPr>
      </w:pPr>
      <w:r>
        <w:rPr>
          <w:rFonts w:ascii="Times New Roman" w:hAnsi="Times New Roman"/>
          <w:b/>
          <w:noProof/>
          <w:sz w:val="24"/>
        </w:rPr>
        <w:t>IV. Заключение</w:t>
      </w:r>
    </w:p>
    <w:p>
      <w:pPr>
        <w:spacing w:after="100" w:afterAutospacing="1" w:line="240" w:lineRule="auto"/>
        <w:jc w:val="both"/>
        <w:rPr>
          <w:rFonts w:ascii="Times New Roman" w:hAnsi="Times New Roman" w:cs="Times New Roman"/>
          <w:b/>
          <w:noProof/>
          <w:sz w:val="24"/>
          <w:szCs w:val="24"/>
          <w:highlight w:val="yellow"/>
        </w:rPr>
      </w:pPr>
      <w:r>
        <w:rPr>
          <w:rFonts w:ascii="Times New Roman" w:hAnsi="Times New Roman"/>
          <w:noProof/>
          <w:sz w:val="24"/>
        </w:rPr>
        <w:t>В консолидирането на работата на ЕС в борбата с трафика на хора беше постигнат напредък. Тъй като обаче явлението продължава да се променя, е необходимо да се засилят действията на ЕС за борба с трафика на хора, както в границите на ЕС, така и извън тях. Поради тази причина в настоящото съобщение се излага набор от целеви междусекторни приоритети за по-решителна ответна реакция, във връзка с които от края на 2017 г. всички релевантни органи и организации трябва да предприемат последващи действия по по-координиран и консолидиран начин. Държавите членки следва да използват всички налични амбициозни инструменти, за да приложат своевременно мерките, приети на ниво ЕС. Комисията ще следи напредъка на действията, изложени в настоящото съобщение, и ще докладва за него на Европейския парламент и на Съвета до края на 2018 г.</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50A657" w15:done="0"/>
  <w15:commentEx w15:paraId="090A2C94" w15:done="0"/>
  <w15:commentEx w15:paraId="665CDC7D" w15:done="0"/>
  <w15:commentEx w15:paraId="3C96E5A6" w15:done="0"/>
  <w15:commentEx w15:paraId="03F4DBCA" w15:done="0"/>
  <w15:commentEx w15:paraId="63A076A0" w15:done="0"/>
  <w15:commentEx w15:paraId="1DF3B257" w15:done="0"/>
  <w15:commentEx w15:paraId="290D81C2" w15:done="0"/>
  <w15:commentEx w15:paraId="0637B444" w15:done="0"/>
  <w15:commentEx w15:paraId="220B3E71" w15:done="0"/>
  <w15:commentEx w15:paraId="24672F32" w15:done="0"/>
  <w15:commentEx w15:paraId="258A6935" w15:done="0"/>
  <w15:commentEx w15:paraId="49F2DA23" w15:done="0"/>
  <w15:commentEx w15:paraId="04A76049" w15:done="0"/>
  <w15:commentEx w15:paraId="242595C1" w15:done="0"/>
  <w15:commentEx w15:paraId="50EEE0A8" w15:done="0"/>
  <w15:commentEx w15:paraId="772D7B2C" w15:done="0"/>
  <w15:commentEx w15:paraId="26DB47A3" w15:done="0"/>
  <w15:commentEx w15:paraId="45580D69" w15:done="0"/>
  <w15:commentEx w15:paraId="5E073CC6" w15:done="0"/>
  <w15:commentEx w15:paraId="56B36AA5" w15:done="0"/>
  <w15:commentEx w15:paraId="3C0F194D" w15:done="0"/>
  <w15:commentEx w15:paraId="2A4A8540" w15:done="0"/>
  <w15:commentEx w15:paraId="3A57A209" w15:done="0"/>
  <w15:commentEx w15:paraId="4EF01952" w15:done="0"/>
  <w15:commentEx w15:paraId="6C0847C3" w15:done="0"/>
  <w15:commentEx w15:paraId="14B5F00A" w15:done="0"/>
  <w15:commentEx w15:paraId="22C66E33" w15:done="0"/>
  <w15:commentEx w15:paraId="66A28894" w15:done="0"/>
  <w15:commentEx w15:paraId="317E67B4" w15:done="0"/>
  <w15:commentEx w15:paraId="595D41AD" w15:done="0"/>
  <w15:commentEx w15:paraId="69AD6927" w15:done="0"/>
  <w15:commentEx w15:paraId="3CA7FF2B" w15:done="0"/>
  <w15:commentEx w15:paraId="13F4F415" w15:done="0"/>
  <w15:commentEx w15:paraId="37448CD7" w15:done="0"/>
  <w15:commentEx w15:paraId="1EDF931D" w15:done="0"/>
  <w15:commentEx w15:paraId="021B8FB6" w15:done="0"/>
  <w15:commentEx w15:paraId="7664FA3A" w15:done="0"/>
  <w15:commentEx w15:paraId="1AE07D5C" w15:done="0"/>
  <w15:commentEx w15:paraId="3135E766" w15:done="0"/>
  <w15:commentEx w15:paraId="6D19C7B4" w15:done="0"/>
  <w15:commentEx w15:paraId="7BFAF7A3" w15:done="0"/>
  <w15:commentEx w15:paraId="65FB2245" w15:done="0"/>
  <w15:commentEx w15:paraId="6E5EAD38" w15:done="0"/>
  <w15:commentEx w15:paraId="41283CB9" w15:done="0"/>
  <w15:commentEx w15:paraId="3FAE56F4" w15:done="0"/>
  <w15:commentEx w15:paraId="1E4AAF00" w15:done="0"/>
  <w15:commentEx w15:paraId="32285D1B" w15:done="0"/>
  <w15:commentEx w15:paraId="5188A0EF" w15:done="0"/>
  <w15:commentEx w15:paraId="0192DFA6" w15:done="0"/>
  <w15:commentEx w15:paraId="7A9A8937" w15:done="0"/>
  <w15:commentEx w15:paraId="158EFFBD" w15:done="0"/>
  <w15:commentEx w15:paraId="29F5C550" w15:done="0"/>
  <w15:commentEx w15:paraId="549F44C2" w15:done="0"/>
  <w15:commentEx w15:paraId="7D1DB73E" w15:done="0"/>
  <w15:commentEx w15:paraId="3376B7CB" w15:done="0"/>
  <w15:commentEx w15:paraId="780BAD85" w15:done="0"/>
  <w15:commentEx w15:paraId="730CCC03" w15:done="0"/>
  <w15:commentEx w15:paraId="4CFB834E" w15:done="0"/>
  <w15:commentEx w15:paraId="67E916AF" w15:done="0"/>
  <w15:commentEx w15:paraId="74181F1F" w15:done="0"/>
  <w15:commentEx w15:paraId="5C6EE983" w15:done="0"/>
  <w15:commentEx w15:paraId="26012D2B" w15:done="0"/>
  <w15:commentEx w15:paraId="162E97A6" w15:done="0"/>
  <w15:commentEx w15:paraId="147C8AA8" w15:done="0"/>
  <w15:commentEx w15:paraId="08E01039" w15:done="0"/>
  <w15:commentEx w15:paraId="16DB0F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50A657" w16cid:durableId="1DBD859E"/>
  <w16cid:commentId w16cid:paraId="090A2C94" w16cid:durableId="1DBD859F"/>
  <w16cid:commentId w16cid:paraId="665CDC7D" w16cid:durableId="1DBD85A0"/>
  <w16cid:commentId w16cid:paraId="3C96E5A6" w16cid:durableId="1DBD85A1"/>
  <w16cid:commentId w16cid:paraId="03F4DBCA" w16cid:durableId="1DBD85A2"/>
  <w16cid:commentId w16cid:paraId="63A076A0" w16cid:durableId="1DBD85A3"/>
  <w16cid:commentId w16cid:paraId="1DF3B257" w16cid:durableId="1DBD85A4"/>
  <w16cid:commentId w16cid:paraId="290D81C2" w16cid:durableId="1DBD85A5"/>
  <w16cid:commentId w16cid:paraId="0637B444" w16cid:durableId="1DBD85A6"/>
  <w16cid:commentId w16cid:paraId="220B3E71" w16cid:durableId="1DBD85A7"/>
  <w16cid:commentId w16cid:paraId="24672F32" w16cid:durableId="1DBD85A8"/>
  <w16cid:commentId w16cid:paraId="258A6935" w16cid:durableId="1DBD85A9"/>
  <w16cid:commentId w16cid:paraId="49F2DA23" w16cid:durableId="1DBD85AA"/>
  <w16cid:commentId w16cid:paraId="04A76049" w16cid:durableId="1DBD85AB"/>
  <w16cid:commentId w16cid:paraId="242595C1" w16cid:durableId="1DBD85AC"/>
  <w16cid:commentId w16cid:paraId="50EEE0A8" w16cid:durableId="1DBD85AD"/>
  <w16cid:commentId w16cid:paraId="772D7B2C" w16cid:durableId="1DBD85AE"/>
  <w16cid:commentId w16cid:paraId="26DB47A3" w16cid:durableId="1DBD85AF"/>
  <w16cid:commentId w16cid:paraId="45580D69" w16cid:durableId="1DBD85B0"/>
  <w16cid:commentId w16cid:paraId="5E073CC6" w16cid:durableId="1DBD85B1"/>
  <w16cid:commentId w16cid:paraId="56B36AA5" w16cid:durableId="1DBD85B2"/>
  <w16cid:commentId w16cid:paraId="3C0F194D" w16cid:durableId="1DBD85B3"/>
  <w16cid:commentId w16cid:paraId="2A4A8540" w16cid:durableId="1DBD85B4"/>
  <w16cid:commentId w16cid:paraId="3A57A209" w16cid:durableId="1DBD85B5"/>
  <w16cid:commentId w16cid:paraId="4EF01952" w16cid:durableId="1DBD85B6"/>
  <w16cid:commentId w16cid:paraId="6C0847C3" w16cid:durableId="1DBD85B7"/>
  <w16cid:commentId w16cid:paraId="14B5F00A" w16cid:durableId="1DBD85B8"/>
  <w16cid:commentId w16cid:paraId="22C66E33" w16cid:durableId="1DBD85B9"/>
  <w16cid:commentId w16cid:paraId="66A28894" w16cid:durableId="1DBD86C8"/>
  <w16cid:commentId w16cid:paraId="595D41AD" w16cid:durableId="1DBD85BA"/>
  <w16cid:commentId w16cid:paraId="69AD6927" w16cid:durableId="1DBD85BB"/>
  <w16cid:commentId w16cid:paraId="3CA7FF2B" w16cid:durableId="1DBD85BC"/>
  <w16cid:commentId w16cid:paraId="13F4F415" w16cid:durableId="1DBD85BD"/>
  <w16cid:commentId w16cid:paraId="37448CD7" w16cid:durableId="1DBD85BE"/>
  <w16cid:commentId w16cid:paraId="1EDF931D" w16cid:durableId="1DBD85BF"/>
  <w16cid:commentId w16cid:paraId="021B8FB6" w16cid:durableId="1DBD85C0"/>
  <w16cid:commentId w16cid:paraId="7664FA3A" w16cid:durableId="1DBD85C1"/>
  <w16cid:commentId w16cid:paraId="1AE07D5C" w16cid:durableId="1DBD85C2"/>
  <w16cid:commentId w16cid:paraId="3135E766" w16cid:durableId="1DBD85C3"/>
  <w16cid:commentId w16cid:paraId="6D19C7B4" w16cid:durableId="1DBD88A7"/>
  <w16cid:commentId w16cid:paraId="7BFAF7A3" w16cid:durableId="1DBD85C4"/>
  <w16cid:commentId w16cid:paraId="65FB2245" w16cid:durableId="1DBD85C5"/>
  <w16cid:commentId w16cid:paraId="6E5EAD38" w16cid:durableId="1DBD85C6"/>
  <w16cid:commentId w16cid:paraId="41283CB9" w16cid:durableId="1DBD85C7"/>
  <w16cid:commentId w16cid:paraId="3FAE56F4" w16cid:durableId="1DBD85C8"/>
  <w16cid:commentId w16cid:paraId="1E4AAF00" w16cid:durableId="1DBD85C9"/>
  <w16cid:commentId w16cid:paraId="32285D1B" w16cid:durableId="1DBD85CA"/>
  <w16cid:commentId w16cid:paraId="5188A0EF" w16cid:durableId="1DBD85CB"/>
  <w16cid:commentId w16cid:paraId="0192DFA6" w16cid:durableId="1DBD85CC"/>
  <w16cid:commentId w16cid:paraId="7A9A8937" w16cid:durableId="1DBD85CD"/>
  <w16cid:commentId w16cid:paraId="158EFFBD" w16cid:durableId="1DBD85CE"/>
  <w16cid:commentId w16cid:paraId="29F5C550" w16cid:durableId="1DBD85CF"/>
  <w16cid:commentId w16cid:paraId="549F44C2" w16cid:durableId="1DBD85D0"/>
  <w16cid:commentId w16cid:paraId="7D1DB73E" w16cid:durableId="1DBD85D1"/>
  <w16cid:commentId w16cid:paraId="3376B7CB" w16cid:durableId="1DBD89ED"/>
  <w16cid:commentId w16cid:paraId="780BAD85" w16cid:durableId="1DBD85D2"/>
  <w16cid:commentId w16cid:paraId="730CCC03" w16cid:durableId="1DBD85D3"/>
  <w16cid:commentId w16cid:paraId="4CFB834E" w16cid:durableId="1DBD85D4"/>
  <w16cid:commentId w16cid:paraId="67E916AF" w16cid:durableId="1DBD85D5"/>
  <w16cid:commentId w16cid:paraId="74181F1F" w16cid:durableId="1DBD85D6"/>
  <w16cid:commentId w16cid:paraId="5C6EE983" w16cid:durableId="1DBD85D7"/>
  <w16cid:commentId w16cid:paraId="26012D2B" w16cid:durableId="1DBD85D8"/>
  <w16cid:commentId w16cid:paraId="162E97A6" w16cid:durableId="1DBD85D9"/>
  <w16cid:commentId w16cid:paraId="147C8AA8" w16cid:durableId="1DBD85DA"/>
  <w16cid:commentId w16cid:paraId="08E01039" w16cid:durableId="1DBD85DB"/>
  <w16cid:commentId w16cid:paraId="16DB0F3C" w16cid:durableId="1DBD85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C Square Sans Pro">
    <w:altName w:val="Segoe UI"/>
    <w:charset w:val="00"/>
    <w:family w:val="swiss"/>
    <w:pitch w:val="variable"/>
    <w:sig w:usb0="00000001" w:usb1="5000E0FB"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65537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Член 5 от Хартата на основните права на Европейския съюз, член 79 от ДФЕС и член 83 от ДФЕС.</w:t>
      </w:r>
    </w:p>
  </w:footnote>
  <w:footnote w:id="3">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Според данните на Комисията 67 % от регистрираните жертви на трафик в ЕС са жертви на сексуална експлоатация (95 % от които са жени или момичета), следвани от жертвите на трудова експлоатация (21 %) и други форми на експлоатация (12 %). Това съответства на тенденциите, установени от международните и регионалните организации.</w:t>
      </w:r>
    </w:p>
  </w:footnote>
  <w:footnote w:id="4">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Годишните печалби от всички форми на трафик на хора се оценяват на 29,4 милиарда евро в световен мащаб (според доклада на Европол от 2015 г. относно финансовия бизнес модел на трафика на хора).</w:t>
      </w:r>
    </w:p>
  </w:footnote>
  <w:footnote w:id="5">
    <w:p>
      <w:pPr>
        <w:pStyle w:val="FootnoteText"/>
        <w:ind w:left="720" w:hanging="720"/>
        <w:jc w:val="both"/>
        <w:rPr>
          <w:rFonts w:ascii="Times New Roman" w:hAnsi="Times New Roman" w:cs="Times New Roman"/>
          <w:color w:val="000000"/>
        </w:rPr>
      </w:pPr>
      <w:r>
        <w:rPr>
          <w:rStyle w:val="FootnoteReference"/>
          <w:rFonts w:ascii="Times New Roman" w:eastAsiaTheme="majorEastAsia" w:hAnsi="Times New Roman"/>
        </w:rPr>
        <w:footnoteRef/>
      </w:r>
      <w:r>
        <w:rPr>
          <w:rStyle w:val="FootnoteReference"/>
          <w:rFonts w:ascii="Times New Roman" w:eastAsiaTheme="majorEastAsia" w:hAnsi="Times New Roman"/>
        </w:rPr>
        <w:t xml:space="preserve"> </w:t>
      </w:r>
      <w:r>
        <w:tab/>
      </w:r>
      <w:r>
        <w:rPr>
          <w:rFonts w:ascii="Times New Roman" w:hAnsi="Times New Roman"/>
          <w:color w:val="000000"/>
        </w:rPr>
        <w:t>COM(2016) 267 final; COM(2017) 195 final; Оценка на Европол на заплахата от организираната престъпност, ползваща се от интернет (iOCTA), от 2016 г., оценка на ЕС на заплахата от тежката и организираната престъпност (SOCTA) от 2017 г. и „Доклад за състоянието — трафикът на хора в ЕС“ от 2016 г.</w:t>
      </w:r>
    </w:p>
  </w:footnote>
  <w:footnote w:id="6">
    <w:p>
      <w:pPr>
        <w:pStyle w:val="FootnoteText"/>
        <w:ind w:left="720" w:hanging="720"/>
        <w:jc w:val="both"/>
        <w:rPr>
          <w:rFonts w:ascii="Times New Roman" w:hAnsi="Times New Roman" w:cs="Times New Roman"/>
          <w:color w:val="000000"/>
        </w:rPr>
      </w:pPr>
      <w:r>
        <w:rPr>
          <w:rStyle w:val="FootnoteReference"/>
          <w:rFonts w:ascii="Times New Roman" w:eastAsiaTheme="majorEastAsia" w:hAnsi="Times New Roman"/>
        </w:rPr>
        <w:footnoteRef/>
      </w:r>
      <w:r>
        <w:rPr>
          <w:rFonts w:ascii="Times New Roman" w:hAnsi="Times New Roman"/>
          <w:color w:val="000000"/>
        </w:rPr>
        <w:t xml:space="preserve"> </w:t>
      </w:r>
      <w:r>
        <w:tab/>
      </w:r>
      <w:r>
        <w:rPr>
          <w:rFonts w:ascii="Times New Roman" w:hAnsi="Times New Roman"/>
          <w:color w:val="000000"/>
        </w:rPr>
        <w:t>Европейска програма за миграцията (COM(2015) 240 final); Европейска програма за сигурност (COM(2015) 185 final).</w:t>
      </w:r>
    </w:p>
  </w:footnote>
  <w:footnote w:id="7">
    <w:p>
      <w:pPr>
        <w:pStyle w:val="Default"/>
        <w:ind w:left="720" w:hanging="720"/>
        <w:jc w:val="both"/>
        <w:rPr>
          <w:rFonts w:ascii="Times New Roman" w:hAnsi="Times New Roman" w:cs="Times New Roman"/>
          <w:sz w:val="20"/>
          <w:szCs w:val="20"/>
        </w:rPr>
      </w:pPr>
      <w:r>
        <w:rPr>
          <w:rStyle w:val="FootnoteReference"/>
          <w:rFonts w:ascii="Times New Roman" w:eastAsiaTheme="majorEastAsia" w:hAnsi="Times New Roman"/>
          <w:color w:val="auto"/>
          <w:sz w:val="20"/>
        </w:rPr>
        <w:footnoteRef/>
      </w:r>
      <w:r>
        <w:rPr>
          <w:rFonts w:ascii="Times New Roman" w:hAnsi="Times New Roman"/>
          <w:sz w:val="20"/>
        </w:rPr>
        <w:t xml:space="preserve"> </w:t>
      </w:r>
      <w:r>
        <w:tab/>
      </w:r>
      <w:r>
        <w:rPr>
          <w:rFonts w:ascii="Times New Roman" w:hAnsi="Times New Roman"/>
          <w:sz w:val="20"/>
        </w:rPr>
        <w:t>Съобщение на Комисията „Отворена и сигурна Европа: превръщане на визията в реалност“ (COM(2014) 154 final); Съобщение на Комисията „Закрилата на децата мигранти“ (COM(2017) 211 final); както и във връзка със Стратегията на ЕС за борба с наркотиците (COM(2017) 195 final); докладите за напредъка по създаване на ефективен и истински Съюз на сигурност (COM(2017) 213 final, SWD(2017) 278 final, COM(2017) 407 final).</w:t>
      </w:r>
    </w:p>
  </w:footnote>
  <w:footnote w:id="8">
    <w:p>
      <w:pPr>
        <w:pStyle w:val="FootnoteText"/>
        <w:ind w:left="720" w:hanging="720"/>
        <w:jc w:val="both"/>
        <w:rPr>
          <w:rFonts w:ascii="Times New Roman" w:hAnsi="Times New Roman" w:cs="Times New Roman"/>
          <w:color w:val="000000"/>
        </w:rPr>
      </w:pPr>
      <w:r>
        <w:rPr>
          <w:rStyle w:val="FootnoteReference"/>
          <w:rFonts w:ascii="Times New Roman" w:eastAsiaTheme="majorEastAsia" w:hAnsi="Times New Roman"/>
        </w:rPr>
        <w:footnoteRef/>
      </w:r>
      <w:r>
        <w:rPr>
          <w:rFonts w:ascii="Times New Roman" w:hAnsi="Times New Roman"/>
          <w:color w:val="000000"/>
        </w:rPr>
        <w:t xml:space="preserve"> </w:t>
      </w:r>
      <w:r>
        <w:tab/>
      </w:r>
      <w:r>
        <w:rPr>
          <w:rFonts w:ascii="Times New Roman" w:hAnsi="Times New Roman"/>
          <w:color w:val="000000"/>
        </w:rPr>
        <w:t>Заключения на Съвета за определяне на приоритетите на ЕС в борбата срещу организираната и тежката международна престъпност за периода 2018—2021 г. (7704/17). Вж. също оценката на ЕС на заплахата от тежката и организираната престъпност (Европол, 2017 г.).</w:t>
      </w:r>
    </w:p>
  </w:footnote>
  <w:footnote w:id="9">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План за действие на ЕС относно правата на човека и демокрацията; рамката за дейностите на ЕС относно равенството между половете и овластяването на жените в областта на външните отношения на ЕС за периода 2016—2020 г.; стратегическия ангажимент за равенство между половете стратегията на ЕС за корпоративната социална отговорност и новия европейски консенсус за развитие.</w:t>
      </w:r>
    </w:p>
  </w:footnote>
  <w:footnote w:id="10">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Резолюция на Европейския парламент относно прилагането на Директива 2011/36/ЕС (P8_TA(2016)0227) и Резолюция на Европейския парламент относно борбата с трафика на хора във външните отношения на ЕС (P8_TA(2016)0300). Вж. също десетте ключови послания до Европейската комисия от Комисията на ЕП по правата на жените и равенството между половете (FEMM/8/09 816 от 3 май 2017 г.).</w:t>
      </w:r>
    </w:p>
  </w:footnote>
  <w:footnote w:id="11">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Такава подкрепа беше изразена на редовните срещи на Платформата на гражданското общество в ЕС за борба с трафика на хора, на обществени събития и в многобройни становища, изпратени до Комисията. </w:t>
      </w:r>
    </w:p>
  </w:footnote>
  <w:footnote w:id="12">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Директива 2011/36/ЕС относно предотвратяването и борбата с трафика на хора и защитата на жертвите от него (ОВ L 101, 15.4.2011 г., стр. 1).</w:t>
      </w:r>
    </w:p>
  </w:footnote>
  <w:footnote w:id="13">
    <w:p>
      <w:pPr>
        <w:spacing w:after="0" w:line="240" w:lineRule="auto"/>
        <w:ind w:left="720" w:hanging="720"/>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sz w:val="20"/>
        </w:rPr>
        <w:t>„Доклад за транспонирането“ (COM(2016) 722 final), „Доклад за използването на услуги, които са предмет на експлоатация“</w:t>
      </w:r>
      <w:r>
        <w:t xml:space="preserve"> (COM(2016) 719 final), приети на 2.12.2016 г.</w:t>
      </w:r>
    </w:p>
  </w:footnote>
  <w:footnote w:id="14">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COM(2012) 286 final.</w:t>
      </w:r>
    </w:p>
  </w:footnote>
  <w:footnote w:id="15">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Общ преглед: Действията на ЕС за борба с трафика накратко:</w:t>
      </w:r>
      <w:hyperlink r:id="rId1">
        <w:r>
          <w:rPr>
            <w:rFonts w:ascii="Times New Roman" w:hAnsi="Times New Roman"/>
          </w:rPr>
          <w:t>https://ec.europa.eu/anti-trafficking/publications/eu-anti-trafficking-action-2012-2016-glance_en</w:t>
        </w:r>
      </w:hyperlink>
      <w:r>
        <w:rPr>
          <w:rFonts w:ascii="Times New Roman" w:hAnsi="Times New Roman"/>
        </w:rPr>
        <w:t>.</w:t>
      </w:r>
    </w:p>
  </w:footnote>
  <w:footnote w:id="16">
    <w:p>
      <w:pPr>
        <w:pStyle w:val="Default"/>
        <w:ind w:left="720" w:hanging="720"/>
        <w:jc w:val="both"/>
        <w:rPr>
          <w:rFonts w:ascii="Times New Roman" w:hAnsi="Times New Roman" w:cs="Times New Roman"/>
          <w:color w:val="auto"/>
          <w:sz w:val="20"/>
          <w:szCs w:val="20"/>
        </w:rPr>
      </w:pPr>
      <w:r>
        <w:rPr>
          <w:rStyle w:val="FootnoteReference"/>
          <w:rFonts w:ascii="Times New Roman" w:hAnsi="Times New Roman"/>
          <w:color w:val="auto"/>
          <w:sz w:val="20"/>
        </w:rPr>
        <w:footnoteRef/>
      </w:r>
      <w:r>
        <w:rPr>
          <w:rFonts w:ascii="Times New Roman" w:hAnsi="Times New Roman"/>
          <w:color w:val="auto"/>
          <w:sz w:val="20"/>
        </w:rPr>
        <w:t xml:space="preserve"> </w:t>
      </w:r>
      <w:r>
        <w:tab/>
      </w:r>
      <w:r>
        <w:rPr>
          <w:rFonts w:ascii="Times New Roman" w:hAnsi="Times New Roman"/>
          <w:color w:val="auto"/>
          <w:sz w:val="20"/>
        </w:rPr>
        <w:t>„Доклад за транспонирането“ и „Доклад за използването на услуги, които са предмет на експлоатация“.</w:t>
      </w:r>
    </w:p>
  </w:footnote>
  <w:footnote w:id="17">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Мрежата на ЕС от национални органи за докладване или равностойни механизми по въпросите на трафика на хора; Платформата на гражданското общество в ЕС за борба с трафика на хора; агенциите на ЕС в областта на правосъдието и вътрешните работи; институциите на ЕС; международни организации.</w:t>
      </w:r>
    </w:p>
  </w:footnote>
  <w:footnote w:id="18">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Сътрудничеството ще включва дейности, извършвани в контекста на прилагането на Четвъртата директива за борба с изпирането на пари и в областите на дейност на Платформата на звената за финансово разузнаване в ЕС и на мрежата ALEFA (Сдружение на правоприлагащите органи в областта на криминалистичното счетоводство). </w:t>
      </w:r>
    </w:p>
  </w:footnote>
  <w:footnote w:id="19">
    <w:p>
      <w:pPr>
        <w:pStyle w:val="doc-ti"/>
        <w:shd w:val="clear" w:color="auto" w:fill="FFFFFF"/>
        <w:spacing w:before="0" w:beforeAutospacing="0" w:after="0" w:afterAutospacing="0"/>
        <w:ind w:left="720" w:hanging="720"/>
        <w:jc w:val="both"/>
        <w:rPr>
          <w:rFonts w:ascii="Times New Roman" w:hAnsi="Times New Roman" w:cs="Times New Roman"/>
          <w:bCs/>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Съобщение на Комисията „Търговията — за всички. Към една по-отговорна търговска и инвестиционна политика“ (COM(2015) 497 final); Доклад относно изпълнението на стратегията за търговска политика „Търговията — за всички“. Осигуряване на прогресивна търговска политика, която извлича ползи от глобализацията (COM(2017) 491 final). </w:t>
      </w:r>
    </w:p>
  </w:footnote>
  <w:footnote w:id="20">
    <w:p>
      <w:pPr>
        <w:pStyle w:val="doc-ti"/>
        <w:shd w:val="clear" w:color="auto" w:fill="FFFFFF"/>
        <w:spacing w:before="0" w:beforeAutospacing="0" w:after="0" w:afterAutospacing="0"/>
        <w:ind w:left="720" w:hanging="720"/>
        <w:jc w:val="both"/>
        <w:rPr>
          <w:rFonts w:ascii="Times New Roman" w:hAnsi="Times New Roman" w:cs="Times New Roman"/>
          <w:bCs/>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Те включват: прозрачност, условия на заетост и труд, околна среда и изменение на климата, социален диалог, обществени поръчки, търговия, сътрудничество за развитие и международни отношения.</w:t>
      </w:r>
    </w:p>
  </w:footnote>
  <w:footnote w:id="21">
    <w:p>
      <w:pPr>
        <w:pStyle w:val="doc-ti"/>
        <w:shd w:val="clear" w:color="auto" w:fill="FFFFFF"/>
        <w:spacing w:before="0" w:beforeAutospacing="0" w:after="0" w:afterAutospacing="0"/>
        <w:ind w:left="720" w:hanging="720"/>
        <w:jc w:val="both"/>
        <w:rPr>
          <w:rFonts w:ascii="Times New Roman" w:hAnsi="Times New Roman" w:cs="Times New Roman"/>
          <w:bCs/>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 xml:space="preserve">За повече информация вж.: </w:t>
      </w:r>
      <w:hyperlink r:id="rId2">
        <w:r>
          <w:rPr>
            <w:rFonts w:ascii="Times New Roman" w:hAnsi="Times New Roman"/>
          </w:rPr>
          <w:t>https://ec.europa.eu/europeaid/sites/devco/files/overview-garment-related-activities_en.pdf</w:t>
        </w:r>
      </w:hyperlink>
      <w:r>
        <w:rPr>
          <w:rFonts w:ascii="Times New Roman" w:hAnsi="Times New Roman"/>
        </w:rPr>
        <w:t xml:space="preserve"> .</w:t>
      </w:r>
    </w:p>
  </w:footnote>
  <w:footnote w:id="22">
    <w:p>
      <w:pPr>
        <w:pStyle w:val="doc-ti"/>
        <w:shd w:val="clear" w:color="auto" w:fill="FFFFFF"/>
        <w:spacing w:before="0" w:beforeAutospacing="0" w:after="0" w:afterAutospacing="0"/>
        <w:ind w:left="720" w:hanging="720"/>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 xml:space="preserve">В Директива 2014/24/ЕС за обществените поръчки и за отмяна на Директива 2004/18/ЕО трафикът на хора изрично се съдържа като основание за изключване в член 57. </w:t>
      </w:r>
    </w:p>
  </w:footnote>
  <w:footnote w:id="23">
    <w:p>
      <w:pPr>
        <w:pStyle w:val="doc-ti"/>
        <w:shd w:val="clear" w:color="auto" w:fill="FFFFFF"/>
        <w:spacing w:before="0" w:beforeAutospacing="0" w:after="0" w:afterAutospacing="0"/>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В член 57 от Директива 2014/24/ЕС за обществените поръчки и за отмяна на Директива 2004/18/ЕО трафикът на хора изрично се споменава като основание за изключване.</w:t>
      </w:r>
    </w:p>
  </w:footnote>
  <w:footnote w:id="24">
    <w:p>
      <w:pPr>
        <w:pStyle w:val="FootnoteText"/>
        <w:ind w:left="720" w:hanging="720"/>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 xml:space="preserve">Прегледът на правата на жертвите на трафик на хора в Европейския съюз е достъпен на: </w:t>
      </w:r>
      <w:hyperlink r:id="rId3">
        <w:r>
          <w:rPr>
            <w:rFonts w:ascii="Times New Roman" w:hAnsi="Times New Roman"/>
          </w:rPr>
          <w:t>https://ec.europa.eu/anti-trafficking/sites/antitrafficking/files/eu_rights_of_victims_of_trafficking_bg_1.pdf</w:t>
        </w:r>
      </w:hyperlink>
      <w:r>
        <w:rPr>
          <w:rFonts w:ascii="Times New Roman" w:hAnsi="Times New Roman"/>
        </w:rPr>
        <w:t xml:space="preserve"> .</w:t>
      </w:r>
    </w:p>
  </w:footnote>
  <w:footnote w:id="25">
    <w:p>
      <w:pPr>
        <w:pStyle w:val="FootnoteText"/>
        <w:ind w:left="720" w:hanging="720"/>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В „Доклада за транспонирането“ се изброяват специфичните мерки за закрила на детето, презумпцията за детство и определянето на възрастта на дете, закрилата преди наказателно производство и в неговия ход, достъпа до безусловна помощ, обезщетението, ненаказването, помощта и подкрепата за член на семейството на дете жертва.</w:t>
      </w:r>
    </w:p>
  </w:footnote>
  <w:footnote w:id="26">
    <w:p>
      <w:pPr>
        <w:pStyle w:val="FootnoteText"/>
        <w:ind w:left="720" w:hanging="720"/>
        <w:jc w:val="both"/>
        <w:rPr>
          <w:rFonts w:ascii="Times New Roman" w:hAnsi="Times New Roman" w:cs="Times New Roman"/>
        </w:rPr>
      </w:pPr>
      <w:r>
        <w:rPr>
          <w:rFonts w:ascii="Times New Roman" w:hAnsi="Times New Roman"/>
          <w:vertAlign w:val="superscript"/>
        </w:rPr>
        <w:footnoteRef/>
      </w:r>
      <w:r>
        <w:rPr>
          <w:rFonts w:ascii="Times New Roman" w:hAnsi="Times New Roman"/>
          <w:vertAlign w:val="superscript"/>
        </w:rPr>
        <w:t xml:space="preserve"> </w:t>
      </w:r>
      <w:r>
        <w:tab/>
      </w:r>
      <w:r>
        <w:rPr>
          <w:rFonts w:ascii="Times New Roman" w:hAnsi="Times New Roman"/>
        </w:rPr>
        <w:t>Доклад относно напредъка в борбата с трафика на хора („Доклад за напредъка“) (COM(2016) 267 final).</w:t>
      </w:r>
    </w:p>
  </w:footnote>
  <w:footnote w:id="27">
    <w:p>
      <w:pPr>
        <w:pStyle w:val="FootnoteText"/>
        <w:ind w:left="720" w:hanging="720"/>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В Наръчника за обработване на заявления за издаване на визи и промяна в издадени визи вече има препоръки относно най-добрите практики при обработването на заявления, подадени от името на ненавършили пълнолетие лица, за да се гарантира, че няма основания да се подозира трафик или малтретиране на деца (C(2010) 1620 final).</w:t>
      </w:r>
    </w:p>
  </w:footnote>
  <w:footnote w:id="28">
    <w:p>
      <w:pPr>
        <w:pStyle w:val="FootnoteText"/>
        <w:ind w:left="720" w:hanging="720"/>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Достъпни на:</w:t>
      </w:r>
      <w:hyperlink r:id="rId4">
        <w:r>
          <w:rPr>
            <w:rFonts w:ascii="Times New Roman" w:hAnsi="Times New Roman"/>
          </w:rPr>
          <w:t>http://ec.europa.eu/justice/fundamental-rights/files/rights_child/10_principles_for_integrated_child_protection_systems.pdf</w:t>
        </w:r>
      </w:hyperlink>
      <w:r>
        <w:rPr>
          <w:rFonts w:ascii="Times New Roman" w:hAnsi="Times New Roman"/>
        </w:rPr>
        <w:t>.</w:t>
      </w:r>
    </w:p>
  </w:footnote>
  <w:footnote w:id="29">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През 2011 г. седемте агенции на ЕС в областта на правосъдието и вътрешните работи поеха общ ангажимент за борба с трафика на хора.</w:t>
      </w:r>
    </w:p>
  </w:footnote>
  <w:footnote w:id="30">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Резолюция 71/1, приета от Общото събрание на ООН на 19 септември 2016 г., Декларация от Ню Йорк за бежанците и мигрантите.</w:t>
      </w:r>
    </w:p>
  </w:footnote>
  <w:footnote w:id="31">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Новият европейски консенсус за развитие. „Нашият свят, нашето достойнство, нашето бъдеще“ (2017/C 210/01).</w:t>
      </w:r>
    </w:p>
  </w:footnote>
  <w:footnote w:id="32">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Инициативата е подкрепена с бюджет в размер на 500 милиона евро.</w:t>
      </w:r>
    </w:p>
  </w:footnote>
  <w:footnote w:id="33">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Изследването на цялостния преглед на политиките, свързани с проектите за борба с трафика, финансирано от Европейската комисия (2016 г.) е достъпно на: </w:t>
      </w:r>
      <w:hyperlink r:id="rId5">
        <w:r>
          <w:rPr>
            <w:rStyle w:val="Hyperlink"/>
            <w:rFonts w:ascii="Times New Roman" w:hAnsi="Times New Roman"/>
            <w:color w:val="auto"/>
          </w:rPr>
          <w:t>https://ec.europa.eu/anti-trafficking/publications/comprehensive-policy-review-anti-trafficking-projects_en</w:t>
        </w:r>
      </w:hyperlink>
      <w:r>
        <w:rPr>
          <w:rStyle w:val="Hyperlink"/>
          <w:rFonts w:ascii="Times New Roman" w:hAnsi="Times New Roman"/>
          <w:color w:val="auto"/>
        </w:rPr>
        <w:t xml:space="preserve"> </w:t>
      </w:r>
      <w:r>
        <w:rPr>
          <w:rFonts w:ascii="Times New Roman" w:hAnsi="Times New Roman"/>
        </w:rPr>
        <w:t>. За периода 2004—2015 г. Комисията финансира пряко 321 проекта за борба с трафика на обща стойност от 158,5 милиона евро. Този набор от данни не включва отделените средствата с цел ответна реакция на миграционната криза.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3B05"/>
    <w:multiLevelType w:val="hybridMultilevel"/>
    <w:tmpl w:val="FEB05C0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nsid w:val="265E1E1C"/>
    <w:multiLevelType w:val="hybridMultilevel"/>
    <w:tmpl w:val="B658BEB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454E02A5"/>
    <w:multiLevelType w:val="hybridMultilevel"/>
    <w:tmpl w:val="4EB4E4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CE1D09"/>
    <w:multiLevelType w:val="hybridMultilevel"/>
    <w:tmpl w:val="0F14BF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D155E2B"/>
    <w:multiLevelType w:val="hybridMultilevel"/>
    <w:tmpl w:val="D15EB8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660F45"/>
    <w:multiLevelType w:val="hybridMultilevel"/>
    <w:tmpl w:val="02C8F21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0A81AF8"/>
    <w:multiLevelType w:val="hybridMultilevel"/>
    <w:tmpl w:val="7F58FB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B177959"/>
    <w:multiLevelType w:val="hybridMultilevel"/>
    <w:tmpl w:val="905EEA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7"/>
  </w:num>
  <w:num w:numId="6">
    <w:abstractNumId w:val="5"/>
  </w:num>
  <w:num w:numId="7">
    <w:abstractNumId w:val="1"/>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oi Sakelliadou">
    <w15:presenceInfo w15:providerId="Windows Live" w15:userId="c671dac53a5efd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04DA69E-EB6C-4BEE-B395-976BCB55E1B8"/>
    <w:docVar w:name="LW_COVERPAGE_TYPE" w:val="1"/>
    <w:docVar w:name="LW_CROSSREFERENCE" w:val="&lt;UNUSED&gt;"/>
    <w:docVar w:name="LW_DocType" w:val="NORMAL"/>
    <w:docVar w:name="LW_EMISSION" w:val="4.12.2017"/>
    <w:docVar w:name="LW_EMISSION_ISODATE" w:val="2017-12-04"/>
    <w:docVar w:name="LW_EMISSION_LOCATION" w:val="BRX"/>
    <w:docVar w:name="LW_EMISSION_PREFIX" w:val="Брюксел, "/>
    <w:docVar w:name="LW_EMISSION_SUFFIX" w:val="\u1075?."/>
    <w:docVar w:name="LW_ID_DOCTYPE_NONLW" w:val="CP-012"/>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7) 72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u1044?\u1086?\u1082?\u1083?\u1072?\u1076?\u1074?\u1072?\u1085?\u1077? \u1079?\u1072? \u1087?\u1086?\u1089?\u1083?\u1077?\u1076?\u1074?\u1072?\u1097?\u1080?\u1090?\u1077? \u1076?\u1077?\u1081?\u1089?\u1090?\u1074?\u1080?\u1103? \u1074?\u1098?\u1074? \u1074?\u1088?\u1098?\u1079?\u1082?\u1072? \u1089?\u1098?\u1089? \u1057?\u1090?\u1088?\u1072?\u1090?\u1077?\u1075?\u1080?\u1103?\u1090?\u1072? \u1085?\u1072? \u1045?\u1057? \u1079?\u1072? \u1087?\u1088?\u1077?\u1084?\u1072?\u1093?\u1074?\u1072?\u1085?\u1077? \u1085?\u1072? \u1090?\u1088?\u1072?\u1092?\u1080?\u1082?\u1072? \u1085?\u1072? \u1093?\u1086?\u1088?\u1072? \u1080? \u1085?\u1072?\u1073?\u1077?\u1083?\u1103?\u1079?\u1074?\u1072?\u1085?\u1077? \u1085?\u1072? \u1076?\u1086?\u1087?\u1098?\u1083?\u1085?\u1080?\u1090?\u1077?\u1083?\u1085?\u1080? \u1082?\u1086?\u1085?\u1082?\u1088?\u1077?\u1090?\u1085?\u1080? \u1076?\u1077?\u1081?\u1089?\u1090?\u1074?\u1080?\u1103?"/>
    <w:docVar w:name="LW_TYPE.DOC.CP" w:val="\u1057?\u1066?\u1054?\u1041?\u1065?\u1045?\u1053?\u1048?\u1045? \u1053?\u1040? \u1050?\u1054?\u1052?\u1048?\u1057?\u1048?\u1071?\u1058?\u1040? \u1044?\u1054? \u1045?\u1042?\u1056?\u1054?\u1055?\u1045?\u1049?\u1057?\u1050?\u1048?\u1071? \u1055?\u1040?\u1056?\u1051?\u1040?\u1052?\u1045?\u1053?\u1058? \u1048? \u1057?\u1066?\u1042?\u1045?\u1058?\u1040?"/>
    <w:docVar w:name="LW_TYPE.DOC.CP.USERTEXT" w:val="&lt;EMPTY&gt;"/>
    <w:docVar w:name="Stamp" w:val="\\dossiers.dgt.cec.eu.int\dossiers\HOME\HOME-2017-00860\HOME-2017-00860-00-00-EN-REV-00.201711141435134776987.DOCX"/>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noteText">
    <w:name w:val="footnote text"/>
    <w:basedOn w:val="Normal"/>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styleId="FootnoteReference">
    <w:name w:val="footnote reference"/>
    <w:aliases w:val="Footnote Reference Superscript,BVI fnr, BVI fnr,Footnote symbol,Footnote symboFußnotenzeichen,Footnote sign,Footnote Reference text,Footnote reference number,note TESI,SUPERS,(Footnote Reference),Footnote,Voetnootverwijzing,number,FR"/>
    <w:basedOn w:val="DefaultParagraphFont"/>
    <w:link w:val="FootnoteReferenceLVL6"/>
    <w:uiPriority w:val="99"/>
    <w:unhideWhenUsed/>
    <w:qFormat/>
    <w:rPr>
      <w:vertAlign w:val="superscript"/>
    </w:rPr>
  </w:style>
  <w:style w:type="paragraph" w:customStyle="1" w:styleId="Default">
    <w:name w:val="Default"/>
    <w:pPr>
      <w:autoSpaceDE w:val="0"/>
      <w:autoSpaceDN w:val="0"/>
      <w:adjustRightInd w:val="0"/>
      <w:spacing w:after="0" w:line="240" w:lineRule="auto"/>
    </w:pPr>
    <w:rPr>
      <w:rFonts w:ascii="EC Square Sans Pro" w:hAnsi="EC Square Sans Pro" w:cs="EC Square Sans Pro"/>
      <w:color w:val="000000"/>
      <w:sz w:val="24"/>
      <w:szCs w:val="24"/>
    </w:rPr>
  </w:style>
  <w:style w:type="character" w:styleId="Hyperlink">
    <w:name w:val="Hyperlink"/>
    <w:basedOn w:val="DefaultParagraphFont"/>
    <w:uiPriority w:val="99"/>
    <w:unhideWhenUsed/>
    <w:rPr>
      <w:strike w:val="0"/>
      <w:dstrike w:val="0"/>
      <w:color w:val="0065A2"/>
      <w:u w:val="none"/>
      <w:effect w:val="none"/>
    </w:rPr>
  </w:style>
  <w:style w:type="paragraph" w:customStyle="1" w:styleId="FootnoteReferenceLVL6">
    <w:name w:val="Footnote Reference_LVL6"/>
    <w:aliases w:val="Footnote Reference_LVL61,Footnote Reference_LVL62,Footnote Reference_LVL63,Footnote Reference_LVL64,fr,Odwo&lt;0142&gt;anie przypisu,SUPER,BVI fnr Char1 Char"/>
    <w:basedOn w:val="Normal"/>
    <w:next w:val="Normal"/>
    <w:link w:val="FootnoteReference"/>
    <w:uiPriority w:val="99"/>
    <w:pPr>
      <w:spacing w:after="160" w:line="240" w:lineRule="exact"/>
      <w:jc w:val="both"/>
    </w:pPr>
    <w:rPr>
      <w:vertAlign w:val="superscript"/>
    </w:rPr>
  </w:style>
  <w:style w:type="paragraph" w:customStyle="1" w:styleId="doc-ti">
    <w:name w:val="doc-ti"/>
    <w:basedOn w:val="Normal"/>
    <w:pPr>
      <w:spacing w:before="100" w:beforeAutospacing="1" w:after="100" w:afterAutospacing="1" w:line="240" w:lineRule="auto"/>
    </w:pPr>
    <w:rPr>
      <w:rFonts w:ascii="Times" w:hAnsi="Time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afterAutospacing="1"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afterAutospacing="1"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afterAutospacing="1"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afterAutospacing="1"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PlainText">
    <w:name w:val="Plain Text"/>
    <w:basedOn w:val="Normal"/>
    <w:link w:val="PlainTextChar"/>
    <w:uiPriority w:val="99"/>
    <w:pPr>
      <w:spacing w:after="24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Pr>
      <w:rFonts w:ascii="Courier New" w:eastAsia="Times New Roman" w:hAnsi="Courier New" w:cs="Times New Roman"/>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noteText">
    <w:name w:val="footnote text"/>
    <w:basedOn w:val="Normal"/>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styleId="FootnoteReference">
    <w:name w:val="footnote reference"/>
    <w:aliases w:val="Footnote Reference Superscript,BVI fnr, BVI fnr,Footnote symbol,Footnote symboFußnotenzeichen,Footnote sign,Footnote Reference text,Footnote reference number,note TESI,SUPERS,(Footnote Reference),Footnote,Voetnootverwijzing,number,FR"/>
    <w:basedOn w:val="DefaultParagraphFont"/>
    <w:link w:val="FootnoteReferenceLVL6"/>
    <w:uiPriority w:val="99"/>
    <w:unhideWhenUsed/>
    <w:qFormat/>
    <w:rPr>
      <w:vertAlign w:val="superscript"/>
    </w:rPr>
  </w:style>
  <w:style w:type="paragraph" w:customStyle="1" w:styleId="Default">
    <w:name w:val="Default"/>
    <w:pPr>
      <w:autoSpaceDE w:val="0"/>
      <w:autoSpaceDN w:val="0"/>
      <w:adjustRightInd w:val="0"/>
      <w:spacing w:after="0" w:line="240" w:lineRule="auto"/>
    </w:pPr>
    <w:rPr>
      <w:rFonts w:ascii="EC Square Sans Pro" w:hAnsi="EC Square Sans Pro" w:cs="EC Square Sans Pro"/>
      <w:color w:val="000000"/>
      <w:sz w:val="24"/>
      <w:szCs w:val="24"/>
    </w:rPr>
  </w:style>
  <w:style w:type="character" w:styleId="Hyperlink">
    <w:name w:val="Hyperlink"/>
    <w:basedOn w:val="DefaultParagraphFont"/>
    <w:uiPriority w:val="99"/>
    <w:unhideWhenUsed/>
    <w:rPr>
      <w:strike w:val="0"/>
      <w:dstrike w:val="0"/>
      <w:color w:val="0065A2"/>
      <w:u w:val="none"/>
      <w:effect w:val="none"/>
    </w:rPr>
  </w:style>
  <w:style w:type="paragraph" w:customStyle="1" w:styleId="FootnoteReferenceLVL6">
    <w:name w:val="Footnote Reference_LVL6"/>
    <w:aliases w:val="Footnote Reference_LVL61,Footnote Reference_LVL62,Footnote Reference_LVL63,Footnote Reference_LVL64,fr,Odwo&lt;0142&gt;anie przypisu,SUPER,BVI fnr Char1 Char"/>
    <w:basedOn w:val="Normal"/>
    <w:next w:val="Normal"/>
    <w:link w:val="FootnoteReference"/>
    <w:uiPriority w:val="99"/>
    <w:pPr>
      <w:spacing w:after="160" w:line="240" w:lineRule="exact"/>
      <w:jc w:val="both"/>
    </w:pPr>
    <w:rPr>
      <w:vertAlign w:val="superscript"/>
    </w:rPr>
  </w:style>
  <w:style w:type="paragraph" w:customStyle="1" w:styleId="doc-ti">
    <w:name w:val="doc-ti"/>
    <w:basedOn w:val="Normal"/>
    <w:pPr>
      <w:spacing w:before="100" w:beforeAutospacing="1" w:after="100" w:afterAutospacing="1" w:line="240" w:lineRule="auto"/>
    </w:pPr>
    <w:rPr>
      <w:rFonts w:ascii="Times" w:hAnsi="Time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afterAutospacing="1"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afterAutospacing="1"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afterAutospacing="1"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afterAutospacing="1"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PlainText">
    <w:name w:val="Plain Text"/>
    <w:basedOn w:val="Normal"/>
    <w:link w:val="PlainTextChar"/>
    <w:uiPriority w:val="99"/>
    <w:pPr>
      <w:spacing w:after="24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Pr>
      <w:rFonts w:ascii="Courier New" w:eastAsia="Times New Roman" w:hAnsi="Courier New"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0988">
      <w:bodyDiv w:val="1"/>
      <w:marLeft w:val="0"/>
      <w:marRight w:val="0"/>
      <w:marTop w:val="0"/>
      <w:marBottom w:val="0"/>
      <w:divBdr>
        <w:top w:val="none" w:sz="0" w:space="0" w:color="auto"/>
        <w:left w:val="none" w:sz="0" w:space="0" w:color="auto"/>
        <w:bottom w:val="none" w:sz="0" w:space="0" w:color="auto"/>
        <w:right w:val="none" w:sz="0" w:space="0" w:color="auto"/>
      </w:divBdr>
    </w:div>
    <w:div w:id="959530747">
      <w:bodyDiv w:val="1"/>
      <w:marLeft w:val="0"/>
      <w:marRight w:val="0"/>
      <w:marTop w:val="0"/>
      <w:marBottom w:val="0"/>
      <w:divBdr>
        <w:top w:val="none" w:sz="0" w:space="0" w:color="auto"/>
        <w:left w:val="none" w:sz="0" w:space="0" w:color="auto"/>
        <w:bottom w:val="none" w:sz="0" w:space="0" w:color="auto"/>
        <w:right w:val="none" w:sz="0" w:space="0" w:color="auto"/>
      </w:divBdr>
    </w:div>
    <w:div w:id="184805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28"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anti-trafficking/sites/antitrafficking/files/eu_rights_of_victims_of_trafficking_bg_1.pdf" TargetMode="External"/><Relationship Id="rId2" Type="http://schemas.openxmlformats.org/officeDocument/2006/relationships/hyperlink" Target="https://ec.europa.eu/europeaid/sites/devco/files/overview-garment-related-activities_en.pdf" TargetMode="External"/><Relationship Id="rId1" Type="http://schemas.openxmlformats.org/officeDocument/2006/relationships/hyperlink" Target="https://ec.europa.eu/anti-trafficking/publications/eu-anti-trafficking-action-2012-2016-glance_en." TargetMode="External"/><Relationship Id="rId5" Type="http://schemas.openxmlformats.org/officeDocument/2006/relationships/hyperlink" Target="https://ec.europa.eu/anti-trafficking/publications/comprehensive-policy-review-anti-trafficking-projects_en" TargetMode="External"/><Relationship Id="rId4" Type="http://schemas.openxmlformats.org/officeDocument/2006/relationships/hyperlink" Target="http://ec.europa.eu/justice/fundamental-rights/files/rights_child/10_principles_for_integrated_child_protection_syste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66A6E-AC6F-4663-B1BF-B6C8133A9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3707</Words>
  <Characters>20950</Characters>
  <Application>Microsoft Office Word</Application>
  <DocSecurity>0</DocSecurity>
  <Lines>361</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cp:lastPrinted>2017-11-21T11:13:00Z</cp:lastPrinted>
  <dcterms:created xsi:type="dcterms:W3CDTF">2017-11-22T11:04:00Z</dcterms:created>
  <dcterms:modified xsi:type="dcterms:W3CDTF">2017-12-04T16:56:00Z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