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9A05119-6839-4B0B-9766-50D72BD68C68" style="width:450.8pt;height:361.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30"/>
        </w:numPr>
        <w:spacing w:before="360"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ВЪВЕДЕНИЕ</w:t>
      </w:r>
    </w:p>
    <w:p>
      <w:pPr>
        <w:spacing w:before="60" w:after="60" w:line="240" w:lineRule="auto"/>
        <w:jc w:val="both"/>
        <w:rPr>
          <w:rFonts w:ascii="Times New Roman" w:hAnsi="Times New Roman" w:cs="Times New Roman"/>
          <w:noProof/>
          <w:sz w:val="24"/>
          <w:szCs w:val="24"/>
        </w:rPr>
      </w:pPr>
      <w:r>
        <w:rPr>
          <w:rFonts w:ascii="Times New Roman" w:hAnsi="Times New Roman"/>
          <w:b/>
          <w:noProof/>
          <w:sz w:val="24"/>
        </w:rPr>
        <w:t>Ефективните, добре структурирани и балансирани системи за интелектуална собственост (ИС) са ключово средство за насърчаване на инвестициите в иновации и растеж</w:t>
      </w:r>
      <w:r>
        <w:rPr>
          <w:rFonts w:ascii="Times New Roman" w:hAnsi="Times New Roman"/>
          <w:noProof/>
          <w:sz w:val="24"/>
        </w:rPr>
        <w:t>. Правата върху интелектуална собственост (ПИС) са едно от основните средства, чрез които компаниите, създателите и изобретателите генерират възвращаемост на инвестициите си в знания и създаване. Проучванията показват, че секторите с интензивно използване на ПИС представляват около 42 % от БВП на ЕС (на стойност около 5,7 трилиона евро годишно), генерират 38 % от всички работни места</w:t>
      </w:r>
      <w:r>
        <w:rPr>
          <w:rStyle w:val="FootnoteReference"/>
          <w:rFonts w:ascii="Times New Roman" w:hAnsi="Times New Roman"/>
          <w:noProof/>
          <w:sz w:val="24"/>
        </w:rPr>
        <w:footnoteReference w:id="2"/>
      </w:r>
      <w:r>
        <w:rPr>
          <w:noProof/>
        </w:rPr>
        <w:t xml:space="preserve"> </w:t>
      </w:r>
      <w:r>
        <w:rPr>
          <w:rFonts w:ascii="Times New Roman" w:hAnsi="Times New Roman"/>
          <w:noProof/>
          <w:sz w:val="24"/>
        </w:rPr>
        <w:t>и допринасят за 90 % от износа на ЕС</w:t>
      </w:r>
      <w:r>
        <w:rPr>
          <w:rStyle w:val="FootnoteReference"/>
          <w:rFonts w:ascii="Times New Roman" w:hAnsi="Times New Roman"/>
          <w:noProof/>
          <w:sz w:val="24"/>
        </w:rPr>
        <w:footnoteReference w:id="3"/>
      </w:r>
      <w:r>
        <w:rPr>
          <w:noProof/>
        </w:rPr>
        <w:t>.</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Цифровата революция разкри многобройни нови възможности. Интернет донесе новаторски стоки, технологии и творческо съдържание на много по-широк кръг потребители, като по този начин позволи на изобретателите и творците да достигат до нови пазари и аудитории. Цифровата революция обаче също така излага системата на ИС в ЕС на по-големи рискове. Онлайн средата позволява много по-широко и по-бързо разпространение на стоки и съдържание, предмет на нарушение на ПИС, и често затруднява потребителите при разграничаването между стоките и съдържанието, предмет на нарушение, и истинските и законните стоки и съдържание. Освен това нарушителите на ПИС могат да се скрият зад фалшиви самоличности и често се намират извън ЕС в юрисдикции със слаби режими на прилагане.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Всичко това е довело до </w:t>
      </w:r>
      <w:r>
        <w:rPr>
          <w:rFonts w:ascii="Times New Roman" w:hAnsi="Times New Roman"/>
          <w:b/>
          <w:noProof/>
          <w:sz w:val="24"/>
        </w:rPr>
        <w:t>увеличение на нарушенията на ПИС по целия свят</w:t>
      </w:r>
      <w:r>
        <w:rPr>
          <w:rStyle w:val="FootnoteReference"/>
          <w:rFonts w:ascii="Times New Roman" w:hAnsi="Times New Roman"/>
          <w:noProof/>
          <w:sz w:val="24"/>
        </w:rPr>
        <w:footnoteReference w:id="4"/>
      </w:r>
      <w:r>
        <w:rPr>
          <w:rFonts w:ascii="Times New Roman" w:hAnsi="Times New Roman"/>
          <w:noProof/>
          <w:sz w:val="24"/>
        </w:rPr>
        <w:t>. Днес фалшифицираните и пиратските стоки представляват 2,5 % от световната търговия. Промишлеността на ЕС е сериозно засегната: според скорошно проучване</w:t>
      </w:r>
      <w:r>
        <w:rPr>
          <w:rStyle w:val="FootnoteReference"/>
          <w:rFonts w:ascii="Times New Roman" w:hAnsi="Times New Roman"/>
          <w:noProof/>
          <w:sz w:val="24"/>
        </w:rPr>
        <w:footnoteReference w:id="5"/>
      </w:r>
      <w:r>
        <w:rPr>
          <w:rFonts w:ascii="Times New Roman" w:hAnsi="Times New Roman"/>
          <w:noProof/>
          <w:sz w:val="24"/>
        </w:rPr>
        <w:t xml:space="preserve"> 5 % от целия внос в ЕС се състои от фалшифицирани и пиратски стоки, което съответства на незаконна търговия на стойност приблизително 85 милиарда евро. </w:t>
      </w:r>
    </w:p>
    <w:p>
      <w:pPr>
        <w:spacing w:before="60" w:after="60" w:line="240" w:lineRule="auto"/>
        <w:jc w:val="both"/>
        <w:rPr>
          <w:rFonts w:ascii="Times New Roman" w:hAnsi="Times New Roman" w:cs="Times New Roman"/>
          <w:noProof/>
          <w:sz w:val="24"/>
        </w:rPr>
      </w:pPr>
      <w:r>
        <w:rPr>
          <w:rFonts w:ascii="Times New Roman" w:hAnsi="Times New Roman"/>
          <w:noProof/>
          <w:sz w:val="24"/>
        </w:rPr>
        <w:t>Нарушенията на ПИС са особена заплаха за секторите, в които предприятията в ЕС са световни лидери, като облекло, луксозни стоки и фармацевтични продукти, и са причина за значителни загуби на приходи и работни места в тези сектори. Неотдавна Службата на Европейския съюз за интелектуална собственост (EUIPO) анализира обхвата, мащаба и въздействието на нарушенията на ПИС в девет сектора</w:t>
      </w:r>
      <w:r>
        <w:rPr>
          <w:rFonts w:ascii="Times New Roman" w:hAnsi="Times New Roman"/>
          <w:noProof/>
          <w:sz w:val="24"/>
          <w:vertAlign w:val="superscript"/>
        </w:rPr>
        <w:footnoteReference w:id="6"/>
      </w:r>
      <w:r>
        <w:rPr>
          <w:rFonts w:ascii="Times New Roman" w:hAnsi="Times New Roman"/>
          <w:noProof/>
          <w:sz w:val="24"/>
        </w:rPr>
        <w:t xml:space="preserve"> и определи общите загуби в ЕС на 48 милиарда евро</w:t>
      </w:r>
      <w:r>
        <w:rPr>
          <w:rFonts w:ascii="Times New Roman" w:hAnsi="Times New Roman"/>
          <w:noProof/>
          <w:sz w:val="24"/>
          <w:vertAlign w:val="superscript"/>
        </w:rPr>
        <w:footnoteReference w:id="7"/>
      </w:r>
      <w:r>
        <w:rPr>
          <w:rFonts w:ascii="Times New Roman" w:hAnsi="Times New Roman"/>
          <w:noProof/>
          <w:sz w:val="24"/>
        </w:rPr>
        <w:t>. Творческите и културните индустрии в Европа (музика, филми, софтуер, книги) също са засегнати негативно</w:t>
      </w:r>
      <w:r>
        <w:rPr>
          <w:rFonts w:ascii="Times New Roman" w:hAnsi="Times New Roman"/>
          <w:noProof/>
          <w:sz w:val="24"/>
          <w:vertAlign w:val="superscript"/>
        </w:rPr>
        <w:footnoteReference w:id="8"/>
      </w:r>
      <w:r>
        <w:rPr>
          <w:noProof/>
          <w:sz w:val="16"/>
        </w:rPr>
        <w:t>.</w:t>
      </w:r>
      <w:r>
        <w:rPr>
          <w:rFonts w:ascii="Times New Roman" w:hAnsi="Times New Roman"/>
          <w:noProof/>
          <w:sz w:val="24"/>
        </w:rPr>
        <w:t xml:space="preserve"> Щетите, понесени от предприятията заради фалшифицирането и пиратството, оказват отрицателно въздействие върху работните места, които те осигуряват в ЕС, и водят до загуба на данъчни приходи и вноски за социално осигуряване</w:t>
      </w:r>
      <w:r>
        <w:rPr>
          <w:rStyle w:val="FootnoteReference"/>
          <w:rFonts w:ascii="Times New Roman" w:hAnsi="Times New Roman"/>
          <w:noProof/>
          <w:sz w:val="24"/>
        </w:rPr>
        <w:footnoteReference w:id="9"/>
      </w:r>
      <w:r>
        <w:rPr>
          <w:rFonts w:ascii="Times New Roman" w:hAnsi="Times New Roman"/>
          <w:noProof/>
          <w:sz w:val="24"/>
        </w:rPr>
        <w:t>.</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В същото време печалбите от фалшифицирането и пиратството често отиват за престъпни организации. Тези организации обикновено осъществяват дейност във и извън ЕС, използват както законни, така и нелегални производствени предприятия, проникват във веригите за доставка, експлоатират труда, не плащат данъци, изпират пари и застрашават потребителите</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Планът за действие относно прилагането на ПИС от 2014 г.</w:t>
      </w:r>
      <w:r>
        <w:rPr>
          <w:rStyle w:val="FootnoteReference"/>
          <w:rFonts w:ascii="Times New Roman" w:hAnsi="Times New Roman"/>
          <w:noProof/>
          <w:sz w:val="24"/>
        </w:rPr>
        <w:footnoteReference w:id="11"/>
      </w:r>
      <w:r>
        <w:rPr>
          <w:rFonts w:ascii="Times New Roman" w:hAnsi="Times New Roman"/>
          <w:noProof/>
          <w:sz w:val="24"/>
        </w:rPr>
        <w:t xml:space="preserve"> отбеляза пренасочване на политиката на Комисията за прилагане на ПИС към подхода „следвай парите“, който е насочен към лишаване на нарушителите на ПИС с търговско измерение от приходните потоци, които правят дейността им доходоносна. По-доброто прилагане на ПИС дава своя принос за приоритетите на Комисията за създаване на работни места, насърчаване на растежа и повишаване на конкурентоспособността. То също така играе ключова роля за окончателното изграждане и укрепването на единния пазар и за намаляването на разпокъсаността в държавите членки. Поради това в стратегиите за цифровия единен пазар</w:t>
      </w:r>
      <w:r>
        <w:rPr>
          <w:rStyle w:val="FootnoteReference"/>
          <w:rFonts w:ascii="Times New Roman" w:hAnsi="Times New Roman"/>
          <w:noProof/>
          <w:sz w:val="24"/>
        </w:rPr>
        <w:footnoteReference w:id="12"/>
      </w:r>
      <w:r>
        <w:rPr>
          <w:rFonts w:ascii="Times New Roman" w:hAnsi="Times New Roman"/>
          <w:noProof/>
          <w:sz w:val="24"/>
        </w:rPr>
        <w:t xml:space="preserve"> и за единния пазар</w:t>
      </w:r>
      <w:r>
        <w:rPr>
          <w:rStyle w:val="FootnoteReference"/>
          <w:rFonts w:ascii="Times New Roman" w:hAnsi="Times New Roman"/>
          <w:noProof/>
          <w:sz w:val="24"/>
        </w:rPr>
        <w:footnoteReference w:id="13"/>
      </w:r>
      <w:r>
        <w:rPr>
          <w:rFonts w:ascii="Times New Roman" w:hAnsi="Times New Roman"/>
          <w:noProof/>
          <w:sz w:val="24"/>
        </w:rPr>
        <w:t xml:space="preserve"> Комисията обяви, че Европа трябва да направи повече, за да гарантира, че прилагането на ПИС също ще се превърне в реалност в цифровата среда, като подкрепи подхода „следвай парите“ и като обърне специално внимание на малките и средните предприятия (МСП).  </w:t>
      </w:r>
    </w:p>
    <w:p>
      <w:pPr>
        <w:spacing w:before="60" w:after="60" w:line="240" w:lineRule="auto"/>
        <w:jc w:val="both"/>
        <w:rPr>
          <w:noProof/>
        </w:rPr>
      </w:pPr>
      <w:r>
        <w:rPr>
          <w:rFonts w:ascii="Times New Roman" w:hAnsi="Times New Roman"/>
          <w:noProof/>
          <w:sz w:val="24"/>
        </w:rPr>
        <w:t>Като стъпва на неотдавнашните инициативи за усъвършенстване на рамката за авторското право</w:t>
      </w:r>
      <w:r>
        <w:rPr>
          <w:rFonts w:ascii="Times New Roman" w:hAnsi="Times New Roman"/>
          <w:noProof/>
          <w:sz w:val="24"/>
          <w:vertAlign w:val="superscript"/>
        </w:rPr>
        <w:footnoteReference w:id="14"/>
      </w:r>
      <w:r>
        <w:rPr>
          <w:rFonts w:ascii="Times New Roman" w:hAnsi="Times New Roman"/>
          <w:noProof/>
          <w:sz w:val="24"/>
        </w:rPr>
        <w:t xml:space="preserve">, Комисията представя </w:t>
      </w:r>
      <w:r>
        <w:rPr>
          <w:rFonts w:ascii="Times New Roman" w:hAnsi="Times New Roman"/>
          <w:b/>
          <w:noProof/>
          <w:sz w:val="24"/>
        </w:rPr>
        <w:t>цялостен пакет от мерки за по-нататъшно подобряване на прилагането и упражняването на ПИС в държавите — членки на ЕС, на нашите граници и на международно равнище</w:t>
      </w:r>
      <w:r>
        <w:rPr>
          <w:rStyle w:val="FootnoteReference"/>
          <w:rFonts w:ascii="Times New Roman" w:hAnsi="Times New Roman"/>
          <w:noProof/>
          <w:sz w:val="24"/>
        </w:rPr>
        <w:footnoteReference w:id="15"/>
      </w:r>
      <w:r>
        <w:rPr>
          <w:rFonts w:ascii="Times New Roman" w:hAnsi="Times New Roman"/>
          <w:noProof/>
          <w:sz w:val="24"/>
        </w:rPr>
        <w:t xml:space="preserve">. Мерките, съдържащи се в този пакет, са изложени в настоящото съобщение, както и в следните документи: </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Съобщение, съдържащо насоки за прилагането на Директивата относно упражняването на права върху интелектуалната собственост (Директивата за ПИС)</w:t>
      </w:r>
      <w:r>
        <w:rPr>
          <w:rStyle w:val="FootnoteReference"/>
          <w:rFonts w:ascii="Times New Roman" w:hAnsi="Times New Roman"/>
          <w:noProof/>
          <w:sz w:val="24"/>
        </w:rPr>
        <w:footnoteReference w:id="16"/>
      </w:r>
      <w:r>
        <w:rPr>
          <w:rFonts w:ascii="Times New Roman" w:hAnsi="Times New Roman"/>
          <w:noProof/>
          <w:sz w:val="24"/>
        </w:rPr>
        <w:t>, придружено от работен документ на службите на Комисията с оценка на Директивата за ПИС;</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Съобщение относно патентите от съществено значение за стандарт;</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работен документ на службите на Комисията относно оценката на Меморандума за разбирателство относно продажбата на фалшифицирани стоки по интернет.</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Това съобщение осигурява рамка за всички тези действия по упражняване на ПИС и се състои от четири основни раздела, които представят: </w:t>
      </w:r>
    </w:p>
    <w:p>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мерки, които да улеснят заинтересованите страни в областта на ИС да се възползват от една хомогенна, справедлива и ефективна система за </w:t>
      </w:r>
      <w:r>
        <w:rPr>
          <w:rFonts w:ascii="Times New Roman" w:hAnsi="Times New Roman"/>
          <w:b/>
          <w:noProof/>
          <w:sz w:val="24"/>
        </w:rPr>
        <w:t>правоприлагане</w:t>
      </w:r>
      <w:r>
        <w:rPr>
          <w:rFonts w:ascii="Times New Roman" w:hAnsi="Times New Roman"/>
          <w:noProof/>
          <w:sz w:val="24"/>
        </w:rPr>
        <w:t xml:space="preserve"> в ЕС. Заедно с насоките за прилагането на Директивата за ПИС, тези мерки включват действия и препоръки за по-нататъшно укрепване на съдебния капацитет и подобряване на предвидимостта в ЕС;</w:t>
      </w:r>
    </w:p>
    <w:p>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действия в подкрепа на </w:t>
      </w:r>
      <w:r>
        <w:rPr>
          <w:rFonts w:ascii="Times New Roman" w:hAnsi="Times New Roman"/>
          <w:b/>
          <w:noProof/>
          <w:sz w:val="24"/>
        </w:rPr>
        <w:t>ръководени от промишлеността инициативи за борба с нарушенията на ПИС</w:t>
      </w:r>
      <w:r>
        <w:rPr>
          <w:rFonts w:ascii="Times New Roman" w:hAnsi="Times New Roman"/>
          <w:noProof/>
          <w:sz w:val="24"/>
        </w:rPr>
        <w:t>, като доброволни споразумения с посредници и стъпки за по-добра защита на веригите за доставка от фалшифициране;</w:t>
      </w:r>
    </w:p>
    <w:p>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инициативи за </w:t>
      </w:r>
      <w:r>
        <w:rPr>
          <w:rFonts w:ascii="Times New Roman" w:hAnsi="Times New Roman"/>
          <w:b/>
          <w:noProof/>
          <w:sz w:val="24"/>
        </w:rPr>
        <w:t>укрепване на капацитета на митническите и други органи за прилагане на правата на ИС</w:t>
      </w:r>
      <w:r>
        <w:rPr>
          <w:rFonts w:ascii="Times New Roman" w:hAnsi="Times New Roman"/>
          <w:noProof/>
          <w:sz w:val="24"/>
        </w:rPr>
        <w:t>;</w:t>
      </w:r>
    </w:p>
    <w:p>
      <w:pPr>
        <w:pStyle w:val="ListParagraph"/>
        <w:numPr>
          <w:ilvl w:val="0"/>
          <w:numId w:val="29"/>
        </w:numPr>
        <w:spacing w:before="60" w:after="6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мерки за </w:t>
      </w:r>
      <w:r>
        <w:rPr>
          <w:rFonts w:ascii="Times New Roman" w:hAnsi="Times New Roman"/>
          <w:b/>
          <w:noProof/>
          <w:sz w:val="24"/>
        </w:rPr>
        <w:t>укрепване на усилията за борба с нарушенията на ПИС в световен мащаб</w:t>
      </w:r>
      <w:r>
        <w:rPr>
          <w:rFonts w:ascii="Times New Roman" w:hAnsi="Times New Roman"/>
          <w:noProof/>
          <w:sz w:val="24"/>
        </w:rPr>
        <w:t xml:space="preserve"> чрез насърчаване на най-добрите практики и засилване на сътрудничеството с трети държави.</w:t>
      </w:r>
      <w:r>
        <w:rPr>
          <w:rStyle w:val="CommentReference"/>
          <w:noProof/>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Въпреки че съществува ясна необходимост от по-решителни действия срещу нарушенията на ПИС, ЕС трябва същевременно да има политики, които да гарантират, че </w:t>
      </w:r>
      <w:r>
        <w:rPr>
          <w:rFonts w:ascii="Times New Roman" w:hAnsi="Times New Roman"/>
          <w:b/>
          <w:noProof/>
          <w:sz w:val="24"/>
        </w:rPr>
        <w:t xml:space="preserve">зачитането на ПИС е съгласувано с </w:t>
      </w:r>
      <w:r>
        <w:rPr>
          <w:rFonts w:ascii="Times New Roman" w:hAnsi="Times New Roman"/>
          <w:noProof/>
          <w:sz w:val="24"/>
        </w:rPr>
        <w:t xml:space="preserve">необходимостта от </w:t>
      </w:r>
      <w:r>
        <w:rPr>
          <w:rFonts w:ascii="Times New Roman" w:hAnsi="Times New Roman"/>
          <w:b/>
          <w:noProof/>
          <w:sz w:val="24"/>
        </w:rPr>
        <w:t>безпроблемно въвеждане на нови и иновативни технологии</w:t>
      </w:r>
      <w:r>
        <w:rPr>
          <w:rFonts w:ascii="Times New Roman" w:hAnsi="Times New Roman"/>
          <w:noProof/>
          <w:sz w:val="24"/>
        </w:rPr>
        <w:t xml:space="preserve">. Това е особено важно, когато тези технологии се включват в стандарти. В днешния бързо променящ се и взаимосвързан свят за целите на оперативната съвместимост и по-специално за ефективното въвеждане на интернет на предметите са необходими широко разпространени стандарти, основаващи се на защитени с ИС технологии (патенти от съществено значение за стандарт). </w:t>
      </w:r>
      <w:r>
        <w:rPr>
          <w:rStyle w:val="Ninguno"/>
          <w:rFonts w:ascii="Times New Roman" w:hAnsi="Times New Roman"/>
          <w:noProof/>
          <w:sz w:val="24"/>
        </w:rPr>
        <w:t xml:space="preserve">Поради това една балансирана, ефективна и устойчива рамка </w:t>
      </w:r>
      <w:r>
        <w:rPr>
          <w:rFonts w:ascii="Times New Roman" w:hAnsi="Times New Roman"/>
          <w:noProof/>
          <w:sz w:val="24"/>
        </w:rPr>
        <w:t>за патентите от съществено значение за стандарт е от изключителна важност, за да се осигури справедлив достъп до стандартизирани технологии, като същевременно се гарантира, че притежателите на патенти получават възнаграждение за своите инвестиции в научноизследователска и развойна дейност и дейности по стандартизация</w:t>
      </w:r>
      <w:r>
        <w:rPr>
          <w:noProof/>
        </w:rPr>
        <w:t xml:space="preserve"> </w:t>
      </w:r>
      <w:r>
        <w:rPr>
          <w:rFonts w:ascii="Times New Roman" w:hAnsi="Times New Roman"/>
          <w:noProof/>
          <w:sz w:val="24"/>
        </w:rPr>
        <w:t>и следователно имат стимул да предлагат най-добрите си технологии за включване в стандартите.</w:t>
      </w:r>
    </w:p>
    <w:p>
      <w:pPr>
        <w:spacing w:before="60" w:after="60" w:line="240" w:lineRule="auto"/>
        <w:jc w:val="both"/>
        <w:rPr>
          <w:rFonts w:ascii="Times New Roman" w:hAnsi="Times New Roman" w:cs="Times New Roman"/>
          <w:b/>
          <w:noProof/>
          <w:sz w:val="24"/>
          <w:szCs w:val="24"/>
        </w:rPr>
      </w:pPr>
      <w:r>
        <w:rPr>
          <w:rFonts w:ascii="Times New Roman" w:hAnsi="Times New Roman"/>
          <w:noProof/>
          <w:sz w:val="24"/>
        </w:rPr>
        <w:t xml:space="preserve">Поради тази причина в </w:t>
      </w:r>
      <w:r>
        <w:rPr>
          <w:rFonts w:ascii="Times New Roman" w:hAnsi="Times New Roman"/>
          <w:b/>
          <w:noProof/>
          <w:sz w:val="24"/>
        </w:rPr>
        <w:t>отделно съобщение се съдържа</w:t>
      </w:r>
      <w:r>
        <w:rPr>
          <w:rFonts w:ascii="Times New Roman" w:hAnsi="Times New Roman"/>
          <w:noProof/>
          <w:sz w:val="24"/>
        </w:rPr>
        <w:t xml:space="preserve"> </w:t>
      </w:r>
      <w:r>
        <w:rPr>
          <w:rFonts w:ascii="Times New Roman" w:hAnsi="Times New Roman"/>
          <w:b/>
          <w:noProof/>
          <w:sz w:val="24"/>
        </w:rPr>
        <w:t xml:space="preserve">рамка за патентите от съществено значение за стандарт. </w:t>
      </w:r>
      <w:r>
        <w:rPr>
          <w:rFonts w:ascii="Times New Roman" w:hAnsi="Times New Roman"/>
          <w:noProof/>
          <w:sz w:val="24"/>
        </w:rPr>
        <w:t>В него</w:t>
      </w:r>
      <w:r>
        <w:rPr>
          <w:rFonts w:ascii="Times New Roman" w:hAnsi="Times New Roman"/>
          <w:b/>
          <w:noProof/>
          <w:sz w:val="24"/>
        </w:rPr>
        <w:t xml:space="preserve"> </w:t>
      </w:r>
      <w:r>
        <w:rPr>
          <w:rFonts w:ascii="Times New Roman" w:hAnsi="Times New Roman"/>
          <w:noProof/>
          <w:sz w:val="24"/>
        </w:rPr>
        <w:t>се предлагат</w:t>
      </w:r>
      <w:r>
        <w:rPr>
          <w:rFonts w:ascii="Times New Roman" w:hAnsi="Times New Roman"/>
          <w:b/>
          <w:noProof/>
          <w:sz w:val="24"/>
        </w:rPr>
        <w:t xml:space="preserve"> </w:t>
      </w:r>
      <w:r>
        <w:rPr>
          <w:rFonts w:ascii="Times New Roman" w:hAnsi="Times New Roman"/>
          <w:noProof/>
          <w:sz w:val="24"/>
        </w:rPr>
        <w:t>насоки и препоръки за това как системата за деклариране да стане по-прозрачна и ефективна, изясняват се някои основни принципи във връзка със справедливите, разумни и недискриминационни практики (подход „FRAND“) и се предлагат насоки за това как да се осигури ефективно прилагане като същевременно се намали вероятността от злоупотреба с предявяването на съдебни искове. По-голямата яснота по тези въпроси ще помогне да се гарантира, че ЕС може да бъде лидер в световните технологични иновации, като същевременно ще улесни ефективното въвеждане в ЕС на нови технологии, като например интернет на предметите или 5G, които са в основата на цифровия единен пазар.</w:t>
      </w:r>
    </w:p>
    <w:p>
      <w:pPr>
        <w:pStyle w:val="ListParagraph"/>
        <w:numPr>
          <w:ilvl w:val="0"/>
          <w:numId w:val="30"/>
        </w:numPr>
        <w:spacing w:before="360" w:after="240" w:line="240" w:lineRule="auto"/>
        <w:rPr>
          <w:rFonts w:ascii="Times New Roman" w:hAnsi="Times New Roman" w:cs="Times New Roman"/>
          <w:b/>
          <w:noProof/>
          <w:sz w:val="24"/>
          <w:szCs w:val="24"/>
        </w:rPr>
      </w:pPr>
      <w:r>
        <w:rPr>
          <w:rFonts w:ascii="Times New Roman" w:hAnsi="Times New Roman"/>
          <w:b/>
          <w:noProof/>
          <w:sz w:val="24"/>
        </w:rPr>
        <w:t>КЪМ ПО-ЕФЕКТИВЕН И ПРЕДВИДИМ РЕЖИМ НА ПРАВОПРИЛАГАНЕ В ЕС</w:t>
      </w:r>
    </w:p>
    <w:p>
      <w:pPr>
        <w:pStyle w:val="NormalWeb"/>
        <w:spacing w:before="60" w:beforeAutospacing="0" w:after="60" w:afterAutospacing="0"/>
        <w:jc w:val="both"/>
        <w:rPr>
          <w:noProof/>
        </w:rPr>
      </w:pPr>
      <w:r>
        <w:rPr>
          <w:noProof/>
        </w:rPr>
        <w:t>В съответствие с насоките за по-добро регулиране</w:t>
      </w:r>
      <w:r>
        <w:rPr>
          <w:rStyle w:val="FootnoteReference"/>
          <w:noProof/>
        </w:rPr>
        <w:footnoteReference w:id="17"/>
      </w:r>
      <w:r>
        <w:rPr>
          <w:noProof/>
        </w:rPr>
        <w:t xml:space="preserve"> Комисията завърши цялостна оценка на изпълнението на Директивата за ПИС. Резултатите показват, че директивата е довела до създаването на обща правна рамка, при която еднакъв набор от инструменти се прилага в гражданските съдилища в целия ЕС и по този начин се осигурява високо равнище на защита във вътрешния пазар. Директивата също така е довела до създаването на общоевропейски стратегии за прилагане на правата от дружествата и е насърчила съдиите и юристите да обменят опит в областта на съдебните спорове. Освен това оценката показа, че Директивата за ПИС е била рентабилна, съгласувана с други интервенции на ЕС със сходни цели и създава добавена стойност на равнище ЕС. Поради това оценката доведе до заключението, че Директивата за ПИС продължава да е подходяща за набелязаните цели.</w:t>
      </w:r>
    </w:p>
    <w:p>
      <w:pPr>
        <w:pStyle w:val="NormalWeb"/>
        <w:spacing w:before="60" w:beforeAutospacing="0" w:after="60" w:afterAutospacing="0"/>
        <w:jc w:val="both"/>
        <w:rPr>
          <w:noProof/>
        </w:rPr>
      </w:pPr>
      <w:r>
        <w:rPr>
          <w:noProof/>
        </w:rPr>
        <w:t xml:space="preserve">Оценката обаче също така установи, че съществуват </w:t>
      </w:r>
      <w:r>
        <w:rPr>
          <w:b/>
          <w:noProof/>
        </w:rPr>
        <w:t xml:space="preserve">различия в начина на изпълнение и прилагане в практиката на определени разпоредби на Директивата за ПИС </w:t>
      </w:r>
      <w:r>
        <w:rPr>
          <w:noProof/>
        </w:rPr>
        <w:t xml:space="preserve">(например относно забранителните действия, обезщетението за вреди и съдебните разноски). Тези различия често произтичат от несигурността и различните схващания за това как трябва да се разбират разпоредбите, особено поради предизвикателствата, свързани с новата цифрова среда. Те могат да се дължат и на минималното хармонизиране, заложено в Директивата за ПИС. Вероятно най-важното е, че различията произтичат от факта, че Директивата за ПИС се прилага на фона на много разнообразни национални рамки на гражданското правоприлагане и съдебни традиции. Вследствие на това, в зависимост от мястото на завеждане на съдебното производство, резултатите могат да бъдат много различни както по отношение на съдържанието, така и по отношение на ефективността или ефикасността. Това може да попречи на предвидимостта и да направи изпълнението трудно, особено в трансграничен контекст. </w:t>
      </w:r>
    </w:p>
    <w:p>
      <w:pPr>
        <w:pStyle w:val="NormalWeb"/>
        <w:spacing w:before="60" w:beforeAutospacing="0" w:after="60" w:afterAutospacing="0"/>
        <w:jc w:val="both"/>
        <w:rPr>
          <w:noProof/>
        </w:rPr>
      </w:pPr>
      <w:r>
        <w:rPr>
          <w:noProof/>
        </w:rPr>
        <w:t>Резултатите от обществената консултация относно оценката на Директивата за ПИС</w:t>
      </w:r>
      <w:r>
        <w:rPr>
          <w:rStyle w:val="FootnoteReference"/>
          <w:noProof/>
        </w:rPr>
        <w:footnoteReference w:id="18"/>
      </w:r>
      <w:r>
        <w:rPr>
          <w:noProof/>
        </w:rPr>
        <w:t xml:space="preserve"> потвърждават тези констатации. Въпреки че повечето заинтересовани страни смятат, че съществуващите правила действително са спомогнали за защитата на ИС и за предотвратяването на нарушения на ПИС, мнозина поискаха по-голяма яснота относно начина, по който Директивата за ПИС следва да се прилага на практика. По-специално притежателите на права и посредниците считат, че мерките, процедурите и средствата за съдебна защита, предвидени в Директивата за ПИС, не се прилагат последователно в държавите членки, което води до различни нива на защита в рамките на ЕС. Макар че спазването на ИС е основно право</w:t>
      </w:r>
      <w:r>
        <w:rPr>
          <w:rStyle w:val="FootnoteReference"/>
          <w:noProof/>
        </w:rPr>
        <w:footnoteReference w:id="19"/>
      </w:r>
      <w:r>
        <w:rPr>
          <w:noProof/>
        </w:rPr>
        <w:t xml:space="preserve">, гражданите от своя страна изразиха безпокойство относно зачитането на техните основни права в процедурите за упражняване на ПИС. </w:t>
      </w:r>
    </w:p>
    <w:p>
      <w:pPr>
        <w:pStyle w:val="NormalWeb"/>
        <w:spacing w:before="120" w:beforeAutospacing="0" w:after="120" w:afterAutospacing="0"/>
        <w:jc w:val="both"/>
        <w:rPr>
          <w:b/>
          <w:i/>
          <w:noProof/>
        </w:rPr>
      </w:pPr>
      <w:r>
        <w:rPr>
          <w:b/>
          <w:i/>
          <w:noProof/>
        </w:rPr>
        <w:t>Насоки относно Директивата за ПИС</w:t>
      </w:r>
    </w:p>
    <w:p>
      <w:pPr>
        <w:pStyle w:val="NormalWeb"/>
        <w:spacing w:before="60" w:beforeAutospacing="0" w:after="60" w:afterAutospacing="0"/>
        <w:jc w:val="both"/>
        <w:rPr>
          <w:noProof/>
        </w:rPr>
      </w:pPr>
      <w:r>
        <w:rPr>
          <w:noProof/>
        </w:rPr>
        <w:t xml:space="preserve">За да осигури по-последователно и ефективно прилагане на Директивата за ПИС, Комисията издава като отделно съобщение </w:t>
      </w:r>
      <w:r>
        <w:rPr>
          <w:b/>
          <w:noProof/>
        </w:rPr>
        <w:t>насоки относно тълкуването и прилагането на мерките, процедурите и средствата за съдебна защита, предвидени в Директивата за ПИС</w:t>
      </w:r>
      <w:r>
        <w:rPr>
          <w:rStyle w:val="FootnoteReference"/>
          <w:noProof/>
        </w:rPr>
        <w:footnoteReference w:id="20"/>
      </w:r>
      <w:r>
        <w:rPr>
          <w:noProof/>
        </w:rPr>
        <w:t>. Като стъпват на съдебната практика на Съда на Европейския съюз и съществуващите добри практики, насоките излагат становищата на Комисията относно разпоредбите на Директивата за ПИС, които създават проблеми с тълкуването. Като вземат предвид резултатите от оценката, включително обществената консултация, насоките разглеждат основни аспекти на Директивата за ПИС, по-конкретно:</w:t>
      </w:r>
    </w:p>
    <w:p>
      <w:pPr>
        <w:pStyle w:val="ListParagraph"/>
        <w:numPr>
          <w:ilvl w:val="0"/>
          <w:numId w:val="26"/>
        </w:numPr>
        <w:spacing w:before="60" w:after="60" w:line="240" w:lineRule="auto"/>
        <w:contextualSpacing w:val="0"/>
        <w:jc w:val="both"/>
        <w:rPr>
          <w:noProof/>
        </w:rPr>
      </w:pPr>
      <w:r>
        <w:rPr>
          <w:rFonts w:ascii="Times New Roman" w:hAnsi="Times New Roman"/>
          <w:noProof/>
          <w:sz w:val="24"/>
        </w:rPr>
        <w:t xml:space="preserve">нейния обхват; </w:t>
      </w:r>
    </w:p>
    <w:p>
      <w:pPr>
        <w:pStyle w:val="ListParagraph"/>
        <w:numPr>
          <w:ilvl w:val="0"/>
          <w:numId w:val="26"/>
        </w:numPr>
        <w:spacing w:before="60" w:after="60" w:line="240" w:lineRule="auto"/>
        <w:contextualSpacing w:val="0"/>
        <w:jc w:val="both"/>
        <w:rPr>
          <w:noProof/>
        </w:rPr>
      </w:pPr>
      <w:r>
        <w:rPr>
          <w:rFonts w:ascii="Times New Roman" w:hAnsi="Times New Roman"/>
          <w:noProof/>
          <w:sz w:val="24"/>
        </w:rPr>
        <w:t xml:space="preserve">значението на изискването тези мерки, процедури и средства за съдебна защита да са, наред с другото, „лоялни и справедливи“; </w:t>
      </w:r>
    </w:p>
    <w:p>
      <w:pPr>
        <w:pStyle w:val="ListParagraph"/>
        <w:numPr>
          <w:ilvl w:val="0"/>
          <w:numId w:val="26"/>
        </w:numPr>
        <w:spacing w:before="60" w:after="60" w:line="240" w:lineRule="auto"/>
        <w:contextualSpacing w:val="0"/>
        <w:jc w:val="both"/>
        <w:rPr>
          <w:noProof/>
        </w:rPr>
      </w:pPr>
      <w:r>
        <w:rPr>
          <w:rFonts w:ascii="Times New Roman" w:hAnsi="Times New Roman"/>
          <w:noProof/>
          <w:sz w:val="24"/>
        </w:rPr>
        <w:t xml:space="preserve">правилата относно доказателствата, правото на информация, правото на временни и предпазни мерки и забраните; </w:t>
      </w:r>
    </w:p>
    <w:p>
      <w:pPr>
        <w:pStyle w:val="ListParagraph"/>
        <w:numPr>
          <w:ilvl w:val="0"/>
          <w:numId w:val="26"/>
        </w:numPr>
        <w:spacing w:before="60" w:after="60" w:line="240" w:lineRule="auto"/>
        <w:contextualSpacing w:val="0"/>
        <w:jc w:val="both"/>
        <w:rPr>
          <w:noProof/>
        </w:rPr>
      </w:pPr>
      <w:r>
        <w:rPr>
          <w:rFonts w:ascii="Times New Roman" w:hAnsi="Times New Roman"/>
          <w:noProof/>
          <w:sz w:val="24"/>
        </w:rPr>
        <w:t xml:space="preserve">компенсацията за понесените вреди (обезщетение); както и </w:t>
      </w:r>
    </w:p>
    <w:p>
      <w:pPr>
        <w:pStyle w:val="ListParagraph"/>
        <w:numPr>
          <w:ilvl w:val="0"/>
          <w:numId w:val="26"/>
        </w:numPr>
        <w:spacing w:before="60" w:after="60" w:line="240" w:lineRule="auto"/>
        <w:contextualSpacing w:val="0"/>
        <w:jc w:val="both"/>
        <w:rPr>
          <w:noProof/>
        </w:rPr>
      </w:pPr>
      <w:r>
        <w:rPr>
          <w:rFonts w:ascii="Times New Roman" w:hAnsi="Times New Roman"/>
          <w:noProof/>
          <w:sz w:val="24"/>
        </w:rPr>
        <w:t xml:space="preserve">възстановяването на съдебните разноски. </w:t>
      </w:r>
    </w:p>
    <w:p>
      <w:pPr>
        <w:pStyle w:val="NormalWeb"/>
        <w:spacing w:before="60" w:beforeAutospacing="0" w:after="60" w:afterAutospacing="0"/>
        <w:jc w:val="both"/>
        <w:rPr>
          <w:noProof/>
        </w:rPr>
      </w:pPr>
      <w:r>
        <w:rPr>
          <w:noProof/>
        </w:rPr>
        <w:t>Документът също така дава насоки за това как да се прилагат предвидените в Директивата за ПИС мерки, така че да се постигне справедливо равновесие между различните основни права, които могат да бъдат засегнати при съдебните спорове във връзка с ИС, като същевременно се избягват непропорционални резултати и злоупотреби с предявяването на съдебни искове.</w:t>
      </w:r>
    </w:p>
    <w:p>
      <w:pPr>
        <w:pStyle w:val="NormalWeb"/>
        <w:spacing w:before="60" w:beforeAutospacing="0" w:after="60" w:afterAutospacing="0"/>
        <w:jc w:val="both"/>
        <w:rPr>
          <w:noProof/>
        </w:rPr>
      </w:pPr>
      <w:r>
        <w:rPr>
          <w:noProof/>
        </w:rPr>
        <w:t>Процесуалното производство във връзка с ИС, особено в цифровата епоха, може да се осъществява едновременно в няколко държави членки. Например може да се наложи притежателите на авторски права, които желаят да се борят с незаконното онлайн съдържание, да подадат искове в няколко държави членки във връзка с едно и също нарушение по едно и също време. Стартирането на производство за едно и също средство на съдебна защита за едно и също нарушение в повече от една юрисдикция обикновено води до значителни разходи и продължителни процедури, особено когато не съществува единно право на ЕС за ИС и когато поради различия в материалното право изключенията и ограниченията могат да се прилагат по различен начин в различните държави членки. Въпреки че не разглеждат и не могат да се справят с всички предизвикателства, които съществуват в това отношение</w:t>
      </w:r>
      <w:r>
        <w:rPr>
          <w:noProof/>
          <w:vertAlign w:val="superscript"/>
        </w:rPr>
        <w:footnoteReference w:id="21"/>
      </w:r>
      <w:r>
        <w:rPr>
          <w:noProof/>
        </w:rPr>
        <w:t xml:space="preserve">, насоките относно Директивата за ПИС би следвало да улеснят участието на притежателите на права в </w:t>
      </w:r>
      <w:r>
        <w:rPr>
          <w:b/>
          <w:noProof/>
        </w:rPr>
        <w:t>трансгранични съдебни спорове</w:t>
      </w:r>
      <w:r>
        <w:rPr>
          <w:noProof/>
        </w:rPr>
        <w:t>, като спомогнат за постигането на по-съгласувано тълкуване и прилагане на Директивата за ПИС.</w:t>
      </w:r>
    </w:p>
    <w:p>
      <w:pPr>
        <w:pStyle w:val="NormalWeb"/>
        <w:spacing w:before="60" w:beforeAutospacing="0" w:after="60" w:afterAutospacing="0"/>
        <w:jc w:val="both"/>
        <w:rPr>
          <w:noProof/>
        </w:rPr>
      </w:pPr>
      <w:r>
        <w:rPr>
          <w:noProof/>
        </w:rPr>
        <w:t>Насоките не засягат действията за правоприлагане, които Комисията би могла да сметне за подходящо да предприеме съгласно член 258 от ДФЕС и които ще съответстват на тълкуването, изложено в насоките.</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Ролите и отговорностите на </w:t>
      </w:r>
      <w:r>
        <w:rPr>
          <w:rFonts w:ascii="Times New Roman" w:hAnsi="Times New Roman"/>
          <w:b/>
          <w:noProof/>
          <w:sz w:val="24"/>
        </w:rPr>
        <w:t>посредниците</w:t>
      </w:r>
      <w:r>
        <w:rPr>
          <w:rFonts w:ascii="Times New Roman" w:hAnsi="Times New Roman"/>
          <w:noProof/>
          <w:sz w:val="24"/>
        </w:rPr>
        <w:t>, и по-специално на онлайн посредниците, се очертаха като важен проблем за заинтересованите страни както в оценката, така и в обществената консултация. Както се пояснява в насоките, възможността за издаване на забранително разпореждане срещу посредник въз основа на Директивата за ПИС не зависи от отговорността на посредника за въпросното (твърдяно) нарушение</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Всъщност Директивата за електронната търговия</w:t>
      </w:r>
      <w:r>
        <w:rPr>
          <w:rFonts w:ascii="Times New Roman" w:hAnsi="Times New Roman"/>
          <w:noProof/>
          <w:sz w:val="24"/>
          <w:vertAlign w:val="superscript"/>
        </w:rPr>
        <w:footnoteReference w:id="23"/>
      </w:r>
      <w:r>
        <w:rPr>
          <w:rFonts w:ascii="Times New Roman" w:hAnsi="Times New Roman"/>
          <w:noProof/>
          <w:sz w:val="24"/>
        </w:rPr>
        <w:t xml:space="preserve"> урежда условията, при които определени онлайн посредници са освободени от отговорност. Докато </w:t>
      </w:r>
      <w:r>
        <w:rPr>
          <w:rStyle w:val="Ninguno"/>
          <w:rFonts w:ascii="Times New Roman" w:hAnsi="Times New Roman"/>
          <w:noProof/>
          <w:sz w:val="24"/>
        </w:rPr>
        <w:t>в своето Съобщение относно онлайн платформите</w:t>
      </w:r>
      <w:r>
        <w:rPr>
          <w:rStyle w:val="Ninguno"/>
          <w:rFonts w:ascii="Times New Roman" w:hAnsi="Times New Roman"/>
          <w:noProof/>
          <w:sz w:val="24"/>
          <w:vertAlign w:val="superscript"/>
        </w:rPr>
        <w:footnoteReference w:id="24"/>
      </w:r>
      <w:r>
        <w:rPr>
          <w:rStyle w:val="Ninguno"/>
          <w:rFonts w:ascii="Times New Roman" w:hAnsi="Times New Roman"/>
          <w:noProof/>
          <w:sz w:val="24"/>
        </w:rPr>
        <w:t xml:space="preserve"> от 2016 г. Комисията заяви, че </w:t>
      </w:r>
      <w:r>
        <w:rPr>
          <w:rFonts w:ascii="Times New Roman" w:hAnsi="Times New Roman"/>
          <w:noProof/>
          <w:sz w:val="24"/>
        </w:rPr>
        <w:t>тази рамка, предвидена в последната директива, все още е подходяща за целта, неотдавна Комисията издаде конкретни насоки</w:t>
      </w:r>
      <w:r>
        <w:rPr>
          <w:rStyle w:val="FootnoteReference"/>
          <w:rFonts w:ascii="Times New Roman" w:hAnsi="Times New Roman"/>
          <w:noProof/>
          <w:sz w:val="24"/>
        </w:rPr>
        <w:footnoteReference w:id="25"/>
      </w:r>
      <w:r>
        <w:rPr>
          <w:rFonts w:ascii="Times New Roman" w:hAnsi="Times New Roman"/>
          <w:noProof/>
          <w:sz w:val="24"/>
        </w:rPr>
        <w:t>, които имат за цел да съчетаят бързото и ефективно откриване и премахване на незаконно онлайн съдържание, включително съдържание, предмет на нарушение на ПИС, с необходимите правни гаранции, например чрез процедури за подаване на сигнал и предприемане на действия. Предложението за директива за авторското право в цифровия единен пазар също предвижда определени конкретни инструменти и механизми за постигане на добре функциониращ пазар за авторското право, и по-специално предлага подходящи мерки, които да се предприемат от определени доставчици на онлайн услуги в сътрудничество с притежателите на права с цел предотвратяване достъпа до съдържание, защитено с авторско право, без съгласието на притежателите на права.</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Изграждане на по-силна „общност на знание в областта на упражняването на ПИС“: подобряване на правоприлагането в ЕС</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Оценката показа, че много притежатели на права се оплакват от затруднения по отношение на достъпа до правосъдие, дълги и скъпи процедури и несигурни резултати. Освен това оценката разкри предполагаема липса на прозрачност и предвидимост относно начина, по който се управлява съдебното производство, и (вероятните) резултати от него. Като цяло изглежда, че фактори като различията в националните традиции в областта на гражданското право и съдебните практики продължават да възпират развитието на предвидима и последователна система за прилагане на ПИС в ЕС. </w:t>
      </w:r>
    </w:p>
    <w:p>
      <w:pPr>
        <w:pStyle w:val="NormalWeb"/>
        <w:spacing w:before="60" w:beforeAutospacing="0" w:after="60" w:afterAutospacing="0"/>
        <w:jc w:val="both"/>
        <w:rPr>
          <w:noProof/>
        </w:rPr>
      </w:pPr>
      <w:r>
        <w:rPr>
          <w:noProof/>
        </w:rPr>
        <w:t xml:space="preserve">В този контекст, в допълнение към предоставянето на насоки относно Директивата за ПИС, Комисията </w:t>
      </w:r>
      <w:r>
        <w:rPr>
          <w:b/>
          <w:noProof/>
        </w:rPr>
        <w:t>призовава държавите членки да увеличат усилията си за осигуряване на ефективна и предвидима гражданскоправна защита</w:t>
      </w:r>
      <w:r>
        <w:rPr>
          <w:noProof/>
        </w:rPr>
        <w:t xml:space="preserve"> срещу нарушенията на ПИС в ЕС в съответствие с Директивата за ПИС и ще подкрепи тези усилия. На практика по-голямата прозрачност и предвидимост биха били от голяма полза, особено за МСП. Те биха улеснили достъпа на МСП до правосъдие и биха спомогнали за насърчаване на въвеждането на достъпни застрахователни схеми за съдебни спорове в областта на ИС</w:t>
      </w:r>
      <w:r>
        <w:rPr>
          <w:rStyle w:val="FootnoteReference"/>
          <w:noProof/>
        </w:rPr>
        <w:footnoteReference w:id="26"/>
      </w:r>
      <w:r>
        <w:rPr>
          <w:noProof/>
        </w:rPr>
        <w:t xml:space="preserve">. </w:t>
      </w:r>
    </w:p>
    <w:p>
      <w:pPr>
        <w:pStyle w:val="NormalWeb"/>
        <w:spacing w:before="60" w:beforeAutospacing="0" w:after="60" w:afterAutospacing="0"/>
        <w:jc w:val="both"/>
        <w:rPr>
          <w:noProof/>
        </w:rPr>
      </w:pPr>
      <w:r>
        <w:rPr>
          <w:noProof/>
        </w:rPr>
        <w:t xml:space="preserve">Като първа стъпка, Комисията ще работи в тясно сътрудничество с държавите членки и заинтересованите страни за допълване на горепосочените насоки, където е необходимо и целесъобразно, с </w:t>
      </w:r>
      <w:r>
        <w:rPr>
          <w:b/>
          <w:noProof/>
        </w:rPr>
        <w:t>допълнителни</w:t>
      </w:r>
      <w:r>
        <w:rPr>
          <w:noProof/>
        </w:rPr>
        <w:t xml:space="preserve"> </w:t>
      </w:r>
      <w:r>
        <w:rPr>
          <w:b/>
          <w:noProof/>
        </w:rPr>
        <w:t>по-целенасочени насоки</w:t>
      </w:r>
      <w:r>
        <w:rPr>
          <w:noProof/>
        </w:rPr>
        <w:t xml:space="preserve"> за подкрепа на хомогенното и ефективно упражняване на ПИС в ЕС. За тази цел тя ще определи съвместно с националните експерти, включително националните съдии и другите заинтересовани страни, някои конкретни въпроси и проблемни области, в които биха били полезни допълнителни конкретни насоки, основани на опита от най-добрите практики. Конкретно действие в това отношение би могло да бъде изчисляването на обезщетенията за вреди и необходимите доказателства за компенсиране на вредите, причинени от нарушения на ПИС. </w:t>
      </w:r>
    </w:p>
    <w:p>
      <w:pPr>
        <w:pStyle w:val="NormalWeb"/>
        <w:spacing w:before="60" w:beforeAutospacing="0" w:after="60" w:afterAutospacing="0"/>
        <w:jc w:val="both"/>
        <w:rPr>
          <w:noProof/>
        </w:rPr>
      </w:pPr>
      <w:r>
        <w:rPr>
          <w:noProof/>
        </w:rPr>
        <w:t xml:space="preserve">Комисията възнамерява да публикува онлайн всички насоки относно упражняването на ПИС, </w:t>
      </w:r>
      <w:r>
        <w:rPr>
          <w:i/>
          <w:noProof/>
        </w:rPr>
        <w:t>inter alia</w:t>
      </w:r>
      <w:r>
        <w:rPr>
          <w:noProof/>
        </w:rPr>
        <w:t>, чрез портала „Вашата Европа“</w:t>
      </w:r>
      <w:r>
        <w:rPr>
          <w:rStyle w:val="FootnoteReference"/>
          <w:noProof/>
        </w:rPr>
        <w:footnoteReference w:id="27"/>
      </w:r>
      <w:r>
        <w:rPr>
          <w:noProof/>
        </w:rPr>
        <w:t>, така че да се предостави достъп до практическа информация за правоприлагането в областта на правата върху ИС в ЕС не само за съдиите и юристите, но и за всички заинтересовани страни.</w:t>
      </w:r>
    </w:p>
    <w:p>
      <w:pPr>
        <w:spacing w:before="60" w:after="60" w:line="240" w:lineRule="auto"/>
        <w:jc w:val="both"/>
        <w:rPr>
          <w:rFonts w:ascii="Times New Roman" w:hAnsi="Times New Roman"/>
          <w:noProof/>
          <w:sz w:val="24"/>
          <w:szCs w:val="24"/>
        </w:rPr>
      </w:pPr>
      <w:r>
        <w:rPr>
          <w:rFonts w:ascii="Times New Roman" w:hAnsi="Times New Roman"/>
          <w:noProof/>
          <w:sz w:val="24"/>
        </w:rPr>
        <w:t xml:space="preserve">Освен това, както показа оценката на Директивата за ПИС, участието на </w:t>
      </w:r>
      <w:r>
        <w:rPr>
          <w:rFonts w:ascii="Times New Roman" w:hAnsi="Times New Roman"/>
          <w:b/>
          <w:noProof/>
          <w:sz w:val="24"/>
        </w:rPr>
        <w:t>съдии</w:t>
      </w:r>
      <w:r>
        <w:rPr>
          <w:rFonts w:ascii="Times New Roman" w:hAnsi="Times New Roman"/>
          <w:noProof/>
          <w:sz w:val="24"/>
        </w:rPr>
        <w:t xml:space="preserve">, </w:t>
      </w:r>
      <w:r>
        <w:rPr>
          <w:rFonts w:ascii="Times New Roman" w:hAnsi="Times New Roman"/>
          <w:b/>
          <w:noProof/>
          <w:sz w:val="24"/>
        </w:rPr>
        <w:t>специализирали в областта на ПИС и по-специално на упражняването на ПИС</w:t>
      </w:r>
      <w:r>
        <w:rPr>
          <w:rFonts w:ascii="Times New Roman" w:hAnsi="Times New Roman"/>
          <w:noProof/>
          <w:sz w:val="24"/>
        </w:rPr>
        <w:t xml:space="preserve">, е от особена важност за ефективното и ефикасно използване на предвидените в Директивата за ПИС мерки, процедури и средства за съдебна защита. Тази специализация може да донесе значителни предимства, и по-специално до по-бързи, по-ефективни и по-последователни решения, водещи до повишена правна сигурност. Поради това Комисията призовава държавите членки да повишат тази специализация.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Друг елемент за по-ефикасно и последователно упражняване на ПИС в ЕС е наличието на </w:t>
      </w:r>
      <w:r>
        <w:rPr>
          <w:rFonts w:ascii="Times New Roman" w:hAnsi="Times New Roman"/>
          <w:b/>
          <w:noProof/>
          <w:sz w:val="24"/>
        </w:rPr>
        <w:t>обучение за съдии</w:t>
      </w:r>
      <w:r>
        <w:rPr>
          <w:rFonts w:ascii="Times New Roman" w:hAnsi="Times New Roman"/>
          <w:noProof/>
          <w:sz w:val="24"/>
        </w:rPr>
        <w:t xml:space="preserve"> и </w:t>
      </w:r>
      <w:r>
        <w:rPr>
          <w:rFonts w:ascii="Times New Roman" w:hAnsi="Times New Roman"/>
          <w:b/>
          <w:noProof/>
          <w:sz w:val="24"/>
        </w:rPr>
        <w:t>разработването на добри практики</w:t>
      </w:r>
      <w:r>
        <w:rPr>
          <w:rFonts w:ascii="Times New Roman" w:hAnsi="Times New Roman"/>
          <w:noProof/>
          <w:sz w:val="24"/>
        </w:rPr>
        <w:t>. За да подкрепи усилията на държавите членки в тази област, Комисията ще работи още по-активно с Обсерваторията, за да разработи всеобхватна програма за семинари и обучения за съдиите. Това би следвало да насърчи създаването на мрежи и практики за обучение между съдиите, които се занимават с нарушения на ПИС.</w:t>
      </w:r>
      <w:r>
        <w:rPr>
          <w:noProof/>
        </w:rPr>
        <w:t xml:space="preserve"> </w:t>
      </w:r>
      <w:r>
        <w:rPr>
          <w:rFonts w:ascii="Times New Roman" w:hAnsi="Times New Roman"/>
          <w:noProof/>
          <w:sz w:val="24"/>
        </w:rPr>
        <w:t>В този контекст през 2018 г. се предвиждат три специални семинара.</w:t>
      </w:r>
    </w:p>
    <w:p>
      <w:pPr>
        <w:spacing w:before="60" w:after="60" w:line="240" w:lineRule="auto"/>
        <w:jc w:val="both"/>
        <w:rPr>
          <w:rFonts w:ascii="Times New Roman" w:hAnsi="Times New Roman"/>
          <w:noProof/>
          <w:sz w:val="24"/>
          <w:szCs w:val="24"/>
        </w:rPr>
      </w:pPr>
      <w:r>
        <w:rPr>
          <w:rFonts w:ascii="Times New Roman" w:hAnsi="Times New Roman"/>
          <w:noProof/>
          <w:sz w:val="24"/>
        </w:rPr>
        <w:t xml:space="preserve">На последно място, </w:t>
      </w:r>
      <w:r>
        <w:rPr>
          <w:rFonts w:ascii="Times New Roman" w:hAnsi="Times New Roman"/>
          <w:b/>
          <w:noProof/>
          <w:sz w:val="24"/>
        </w:rPr>
        <w:t>прозрачността</w:t>
      </w:r>
      <w:r>
        <w:rPr>
          <w:rFonts w:ascii="Times New Roman" w:hAnsi="Times New Roman"/>
          <w:noProof/>
          <w:sz w:val="24"/>
        </w:rPr>
        <w:t xml:space="preserve"> по отношение на съдебните решения в областта на упражняването на ПИС е съществена предпоставка за обмен на знания в единния пазар, по-голяма предвидимост и трансграничен дебат между практикуващите специалисти в областта на ИС. Към настоящия момент обаче само няколко държави членки са публикували съдебна практика, свързана с ИС, на специализирани уебсайтове, а правилата за достъпност и публикуване се различават в значителна степен. Поради това Комисията призовава държавите членки </w:t>
      </w:r>
      <w:r>
        <w:rPr>
          <w:rFonts w:ascii="Times New Roman" w:hAnsi="Times New Roman"/>
          <w:b/>
          <w:noProof/>
          <w:sz w:val="24"/>
        </w:rPr>
        <w:t>систематично да публикуват</w:t>
      </w:r>
      <w:r>
        <w:rPr>
          <w:rFonts w:ascii="Times New Roman" w:hAnsi="Times New Roman"/>
          <w:noProof/>
          <w:sz w:val="24"/>
        </w:rPr>
        <w:t xml:space="preserve"> съдебни решения по производства, свързани с нарушения на ПИС, и </w:t>
      </w:r>
      <w:r>
        <w:rPr>
          <w:noProof/>
        </w:rPr>
        <w:t>най-малкото постановените от апелативните съдилища и по-висшите инстанции</w:t>
      </w:r>
      <w:r>
        <w:rPr>
          <w:rFonts w:ascii="Times New Roman" w:hAnsi="Times New Roman"/>
          <w:noProof/>
          <w:sz w:val="24"/>
          <w:vertAlign w:val="superscript"/>
        </w:rPr>
        <w:footnoteReference w:id="28"/>
      </w:r>
      <w:r>
        <w:rPr>
          <w:noProof/>
        </w:rPr>
        <w:t xml:space="preserve">. От своя страна Комисията, съвместно с EUIPO и Обсерваторията, ще засили работата си по </w:t>
      </w:r>
      <w:r>
        <w:rPr>
          <w:rFonts w:ascii="Times New Roman" w:hAnsi="Times New Roman"/>
          <w:b/>
          <w:noProof/>
          <w:sz w:val="24"/>
        </w:rPr>
        <w:t>базата данни за събиране на съдебна практика</w:t>
      </w:r>
      <w:r>
        <w:rPr>
          <w:noProof/>
        </w:rPr>
        <w:t>, стартирана от EUIPO, за да бъде тя възможно най-изчерпателна и лесна за ползване.</w:t>
      </w:r>
    </w:p>
    <w:p>
      <w:pPr>
        <w:pStyle w:val="Default"/>
        <w:spacing w:before="60" w:after="60"/>
        <w:jc w:val="both"/>
        <w:rPr>
          <w:noProof/>
          <w:sz w:val="23"/>
          <w:szCs w:val="23"/>
        </w:rPr>
      </w:pPr>
      <w:r>
        <w:rPr>
          <w:noProof/>
        </w:rPr>
        <w:t xml:space="preserve">Освен по-ефективните системи за правоприлагане, следва да се обмисли и разработването на допълнителни инструменти за </w:t>
      </w:r>
      <w:r>
        <w:rPr>
          <w:b/>
          <w:noProof/>
        </w:rPr>
        <w:t>алтернативно разрешаване на спорове</w:t>
      </w:r>
      <w:r>
        <w:rPr>
          <w:noProof/>
        </w:rPr>
        <w:t xml:space="preserve"> (АРС). Използването на АРС за медиация и арбитраж може да послужи като алтернативно средство за упражняване на ПИС. Въпреки че все още се използват рядко за уреждане на искове за ИС, средствата за АРС имат предимства (например трансграничните въпроси могат да бъдат разрешени по-лесно, а АРС може да е по-бързо и по-евтино от съдебното производство). В момента Комисията съвместно с EUIPO идентифицира съществуващите инструменти за АРС и анализира ползите от създаването в рамките на EUIPO на център за медиация, който да разглежда въпросите, свързани с марките и дизайните. Тя също така възнамерява да си сътрудничи с бъдещия Единен патентен съд за развитието на медиацията и арбитража по свързани с патенти дела. Това би трябвало да помогне за въвеждането на мрежа на ЕС за медиация и арбитраж при спорове относно ИС, както е обявено в Инициативата за подкрепа на стартиращи и разрастващи се предприятия</w:t>
      </w:r>
      <w:r>
        <w:rPr>
          <w:rStyle w:val="FootnoteReference"/>
          <w:noProof/>
        </w:rPr>
        <w:footnoteReference w:id="29"/>
      </w:r>
      <w:r>
        <w:rPr>
          <w:noProof/>
          <w:sz w:val="23"/>
        </w:rPr>
        <w:t>.</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rPr>
        <w:t>С оглед на по-нататъшното подобряване на системата за правоприлагане в ЕС, Комисията:</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rPr>
        <w:t>- дава насоки относно тълкуването и прилагането на основните разпоредби на Директивата за ПИС;</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rPr>
        <w:t xml:space="preserve">- ще работи с националните експерти и съдиите от държавите членки по допълнителни по-целенасочени насоки, които да дадат по-подробни и практически указания относно конкретни въпроси, свързани с Директивата за ПИС, въз основа на опита от най-добрите практики; </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rPr>
        <w:t xml:space="preserve">- ще публикува посочените по-горе насоки и добри практики онлайн, </w:t>
      </w:r>
      <w:r>
        <w:rPr>
          <w:b/>
          <w:i/>
          <w:noProof/>
          <w:sz w:val="23"/>
        </w:rPr>
        <w:t>inter alia</w:t>
      </w:r>
      <w:r>
        <w:rPr>
          <w:b/>
          <w:noProof/>
          <w:sz w:val="23"/>
        </w:rPr>
        <w:t>, чрез портала „Вашата Европа“;</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rPr>
        <w:t>- призовава държавите членки да насърчават специализацията на съдии в областта на ИС и упражняването на ПИС, както и систематично да публикуват съдебни решения по производства, свързани с упражняване на ПИС;</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rPr>
        <w:t>- ще предприеме, съвместно с EUIPO, по-нататъшни действия за улесняване на по-широкото използване на алтернативното разрешаване на спорове (АРС) за уреждане на спорове относно ИС, включително идентифициране на съществуващите инструменти за АРС и анализ на предимствата на създаването на център за медиация в рамките на EUIPO.</w:t>
      </w:r>
    </w:p>
    <w:p>
      <w:pPr>
        <w:pStyle w:val="ListParagraph"/>
        <w:numPr>
          <w:ilvl w:val="0"/>
          <w:numId w:val="30"/>
        </w:numPr>
        <w:spacing w:before="360" w:after="240" w:line="240" w:lineRule="auto"/>
        <w:rPr>
          <w:rFonts w:ascii="Times New Roman" w:hAnsi="Times New Roman" w:cs="Times New Roman"/>
          <w:b/>
          <w:caps/>
          <w:noProof/>
          <w:sz w:val="24"/>
          <w:szCs w:val="24"/>
        </w:rPr>
      </w:pPr>
      <w:r>
        <w:rPr>
          <w:rFonts w:ascii="Times New Roman" w:hAnsi="Times New Roman"/>
          <w:b/>
          <w:caps/>
          <w:noProof/>
          <w:sz w:val="24"/>
        </w:rPr>
        <w:t>УВЕЛИЧАВАНЕ НА РЪКОВОДЕНИТЕ ОТ ПРОМИШЛЕНОСТТА УСИЛИЯ ЗА ПРЕДОТВРАТЯВАНЕ НА И БОРБА С НАРУШЕНИЯТА НА ПИС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Борбата срещу нарушенията на ПИС следва да бъде съвместно усилие, което включва всички участници, както от публичния, така и от частния сектор, и което използва не само съдебното правоприлагане, но и всички възможни средства. От години Комисията работи с промишлеността за подпомагане и насърчаване на предприеманите от промишлеността усилия срещу нарушенията на ПИС. Идеята е да се насърчи </w:t>
      </w:r>
      <w:r>
        <w:rPr>
          <w:rFonts w:ascii="Times New Roman" w:hAnsi="Times New Roman"/>
          <w:b/>
          <w:noProof/>
          <w:sz w:val="24"/>
        </w:rPr>
        <w:t>надлежната проверка</w:t>
      </w:r>
      <w:r>
        <w:rPr>
          <w:rFonts w:ascii="Times New Roman" w:hAnsi="Times New Roman"/>
          <w:noProof/>
          <w:sz w:val="24"/>
        </w:rPr>
        <w:t xml:space="preserve"> от страна на всички страни, които потенциално участват в разработването на нарушаващи ПИС продукти или съдържание и свързаните с тях сделки, включително доставчици, рекламни агенции, доставчици на платежни услуги, както и самите притежатели на права. Въпреки значителния напредък може и трябва да се направи повече, за да се спре разпространението на стоки и практики, предмет на нарушение на ПИС.</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 xml:space="preserve">Пълно използване на потенциала на доброволните споразумения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Комисията насърчава по-засилен диалог между заинтересованите страни за насърчаване на ефективно сътрудничество между партньорите от бранша в борбата срещу нарушенията на ПИС и на разпространяването на най-добрите практики в сектора. Първи меморандум за разбирателство беше сключен между притежателите на права и интернет платформите</w:t>
      </w:r>
      <w:r>
        <w:rPr>
          <w:noProof/>
        </w:rPr>
        <w:t xml:space="preserve"> </w:t>
      </w:r>
      <w:r>
        <w:rPr>
          <w:rStyle w:val="Ninguno"/>
          <w:rFonts w:ascii="Times New Roman" w:hAnsi="Times New Roman"/>
          <w:noProof/>
          <w:sz w:val="24"/>
        </w:rPr>
        <w:t>през 2011 г. и беше актуализиран през 2016 г</w:t>
      </w:r>
      <w:r>
        <w:rPr>
          <w:rStyle w:val="Ninguno"/>
          <w:rFonts w:ascii="Times New Roman" w:hAnsi="Times New Roman"/>
          <w:noProof/>
          <w:sz w:val="24"/>
          <w:vertAlign w:val="superscript"/>
        </w:rPr>
        <w:footnoteReference w:id="30"/>
      </w:r>
      <w:r>
        <w:rPr>
          <w:rStyle w:val="Ninguno"/>
          <w:rFonts w:ascii="Times New Roman" w:hAnsi="Times New Roman"/>
          <w:noProof/>
          <w:sz w:val="24"/>
        </w:rPr>
        <w:t>.</w:t>
      </w:r>
      <w:r>
        <w:rPr>
          <w:rFonts w:ascii="Times New Roman" w:hAnsi="Times New Roman"/>
          <w:noProof/>
          <w:sz w:val="24"/>
        </w:rPr>
        <w:t xml:space="preserve"> Той съдържа подход на сътрудничество за борба с продажбата на фалшифицирани стоки. Оттогава могат да бъдат отбелязани още две промени:</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На първо място, в контекста на този първи меморандум за разбирателство относно фалшифицирането бяха въведени </w:t>
      </w:r>
      <w:r>
        <w:rPr>
          <w:rFonts w:ascii="Times New Roman" w:hAnsi="Times New Roman"/>
          <w:b/>
          <w:noProof/>
          <w:sz w:val="24"/>
        </w:rPr>
        <w:t>ключови показатели за ефективност</w:t>
      </w:r>
      <w:r>
        <w:rPr>
          <w:rFonts w:ascii="Times New Roman" w:hAnsi="Times New Roman"/>
          <w:noProof/>
          <w:sz w:val="24"/>
        </w:rPr>
        <w:t xml:space="preserve"> (КПЕ) с цел оценка на резултатите от доброволното споразумяване и идентифициране на възможни области за по-нататъшно подобрение. Резултатите от първия цикъл на мониторинг въз основа на тези КПЕ показват, че </w:t>
      </w:r>
      <w:r>
        <w:rPr>
          <w:rFonts w:ascii="Times New Roman" w:hAnsi="Times New Roman"/>
          <w:b/>
          <w:noProof/>
          <w:sz w:val="24"/>
        </w:rPr>
        <w:t>меморандумът за разбирателство се оказва ефективен и вече е довел до значителни резултати.</w:t>
      </w:r>
      <w:r>
        <w:rPr>
          <w:rFonts w:ascii="Times New Roman" w:hAnsi="Times New Roman"/>
          <w:noProof/>
          <w:sz w:val="24"/>
        </w:rPr>
        <w:t xml:space="preserve"> Те показват, че доброволното сътрудничество може да има значителен принос за ограничаване на фалшифицирането онлайн и може да осигури ефективни решения</w:t>
      </w:r>
      <w:r>
        <w:rPr>
          <w:rFonts w:ascii="Times New Roman" w:hAnsi="Times New Roman"/>
          <w:noProof/>
          <w:color w:val="FF0000"/>
          <w:sz w:val="24"/>
        </w:rPr>
        <w:t xml:space="preserve">. </w:t>
      </w:r>
      <w:r>
        <w:rPr>
          <w:rFonts w:ascii="Times New Roman" w:hAnsi="Times New Roman"/>
          <w:noProof/>
          <w:sz w:val="24"/>
        </w:rPr>
        <w:t xml:space="preserve">От влизането на меморандума за разбирателство в сила значителна част от предложенията за фалшифицирани продукти бяха премахнати от онлайн платформите, главно в резултат на по-засилени </w:t>
      </w:r>
      <w:r>
        <w:rPr>
          <w:rStyle w:val="Ninguno"/>
          <w:rFonts w:ascii="Times New Roman" w:hAnsi="Times New Roman"/>
          <w:noProof/>
          <w:sz w:val="24"/>
        </w:rPr>
        <w:t>проактивни и превантивни мерки</w:t>
      </w:r>
      <w:r>
        <w:rPr>
          <w:rFonts w:ascii="Times New Roman" w:hAnsi="Times New Roman"/>
          <w:noProof/>
          <w:sz w:val="24"/>
        </w:rPr>
        <w:t>. Въпреки това, предвид факта, че стоките, предмет на нарушение на ПИС, все повече успяват да навлязат на единния пазар, Комисията насърчава всички подписали страни и нови участници да увеличат усилията си</w:t>
      </w:r>
      <w:r>
        <w:rPr>
          <w:rStyle w:val="FootnoteReference"/>
          <w:rFonts w:ascii="Times New Roman" w:hAnsi="Times New Roman"/>
          <w:noProof/>
          <w:sz w:val="24"/>
        </w:rPr>
        <w:footnoteReference w:id="31"/>
      </w:r>
      <w:r>
        <w:rPr>
          <w:rFonts w:ascii="Times New Roman" w:hAnsi="Times New Roman"/>
          <w:noProof/>
          <w:sz w:val="24"/>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На второ място, под егидата на Комисията заинтересованите страни финализират своята работа за сключването на нов </w:t>
      </w:r>
      <w:r>
        <w:rPr>
          <w:rFonts w:ascii="Times New Roman" w:hAnsi="Times New Roman"/>
          <w:b/>
          <w:noProof/>
          <w:sz w:val="24"/>
        </w:rPr>
        <w:t>меморандум за разбирателство, насочен към въздържането от рекламиране на уебсайтове, нарушаващи ПИС.</w:t>
      </w:r>
      <w:r>
        <w:rPr>
          <w:rFonts w:ascii="Times New Roman" w:hAnsi="Times New Roman"/>
          <w:noProof/>
          <w:sz w:val="24"/>
        </w:rPr>
        <w:t xml:space="preserve"> Рекламата генерира значителни приходи за тези сайтове и мерките, които трябва да бъдат договорени, следва да помогнат да се прекъсне този съществен източник на подкрепа за нарушителите на ПИС. Наличието на реклами за домакински уреди от утвърдени марки и известни платежни услуги на сайтове, нарушаващи ПИС, може да накара потребителите да сметнат, че сайтът, в който са влезли, предоставя законен достъп до съдържание, стоки или услуги, когато всъщност това не е така. Това може да обърка потребителите, като подкопае доверието им, и по този начин да навреди на марката.</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Продължава работата по меморандум за разбирателство за </w:t>
      </w:r>
      <w:r>
        <w:rPr>
          <w:rFonts w:ascii="Times New Roman" w:hAnsi="Times New Roman"/>
          <w:b/>
          <w:noProof/>
          <w:sz w:val="24"/>
        </w:rPr>
        <w:t>транспортните и превозваческите услуги.</w:t>
      </w:r>
      <w:r>
        <w:rPr>
          <w:rFonts w:ascii="Times New Roman" w:hAnsi="Times New Roman"/>
          <w:noProof/>
          <w:sz w:val="24"/>
        </w:rPr>
        <w:t xml:space="preserve"> Целта му е да предотврати използването на услугите, предоставяни от компаниите в този отрасъл, от фалшификатори в търговски мащаб за насочване на фалшифицирани стоки към ЕС. Още един меморандум за разбирателство в процес на изготвяне се очаква да обхване доставчиците на </w:t>
      </w:r>
      <w:r>
        <w:rPr>
          <w:rFonts w:ascii="Times New Roman" w:hAnsi="Times New Roman"/>
          <w:b/>
          <w:noProof/>
          <w:sz w:val="24"/>
        </w:rPr>
        <w:t>платежни услуги</w:t>
      </w:r>
      <w:r>
        <w:rPr>
          <w:rFonts w:ascii="Times New Roman" w:hAnsi="Times New Roman"/>
          <w:noProof/>
          <w:sz w:val="24"/>
        </w:rPr>
        <w:t>, които често са от жизненоважно значение за онлайн предложенията, нарушаващи ПИС.</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Комисията подкрепя по-нататъшното развитие на тези доброволни споразумения, по-специално в онлайн среда, и ще се стреми да гарантира, че всички подписващи страни действат добросъвестно и при пълно зачитане на правото на ЕС като цяло, и по-специално на членове 101 и 102 от ДФЕС. Тя също така ще се стреми да гарантира, че съществува подходящ баланс между различните интереси на участващите страни и че правата на потребителите са надлежно зачетени. Комисията ще насърчава и широко участие в тези споразумения на всички сектори и браншове.</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Комисията счита, че мониторингът на такива меморандуми за разбирателство трябва да се основава на ключови показатели за ефективност. Тя ще изготвя редовни доклади за ефективността на тези споразумения с цел извличане на най-добрите практики, определяне на области за бъдещо подобрение и оценка на необходимостта от законодателни мерки на равнище ЕС.</w:t>
      </w:r>
    </w:p>
    <w:p>
      <w:pPr>
        <w:spacing w:before="120" w:after="120" w:line="240" w:lineRule="auto"/>
        <w:jc w:val="both"/>
        <w:rPr>
          <w:rFonts w:ascii="Times New Roman" w:eastAsia="Times New Roman" w:hAnsi="Times New Roman" w:cs="Times New Roman"/>
          <w:b/>
          <w:bCs/>
          <w:i/>
          <w:smallCaps/>
          <w:noProof/>
          <w:sz w:val="24"/>
          <w:szCs w:val="24"/>
        </w:rPr>
      </w:pPr>
      <w:r>
        <w:rPr>
          <w:rFonts w:ascii="Times New Roman" w:hAnsi="Times New Roman"/>
          <w:b/>
          <w:i/>
          <w:noProof/>
          <w:sz w:val="24"/>
        </w:rPr>
        <w:t>Защита на веригите за доставка от заплахи за нарушаване на ПИС</w:t>
      </w:r>
    </w:p>
    <w:p>
      <w:pPr>
        <w:spacing w:before="60" w:after="60" w:line="240" w:lineRule="auto"/>
        <w:jc w:val="both"/>
        <w:rPr>
          <w:rFonts w:ascii="Times New Roman" w:eastAsia="Times New Roman" w:hAnsi="Times New Roman" w:cs="Times New Roman"/>
          <w:noProof/>
          <w:sz w:val="24"/>
          <w:szCs w:val="20"/>
        </w:rPr>
      </w:pPr>
      <w:r>
        <w:rPr>
          <w:rFonts w:ascii="Times New Roman" w:hAnsi="Times New Roman"/>
          <w:noProof/>
          <w:sz w:val="24"/>
        </w:rPr>
        <w:t>Друга насока на дейността на Комисията, промишлеността и техните партньори има за цел да защити веригите за доставка от заплахи от фалшифициране и други нарушения на ПИС. И тук предизвикателствата се увеличават. Проведеният през 2015 г. семинар за надлежна проверка и непокътнатост на веригата за доставка за защита на ПИС</w:t>
      </w:r>
      <w:r>
        <w:rPr>
          <w:rStyle w:val="FootnoteReference"/>
          <w:rFonts w:ascii="Times New Roman" w:hAnsi="Times New Roman"/>
          <w:noProof/>
          <w:sz w:val="24"/>
        </w:rPr>
        <w:footnoteReference w:id="32"/>
      </w:r>
      <w:r>
        <w:rPr>
          <w:rFonts w:ascii="Times New Roman" w:hAnsi="Times New Roman"/>
          <w:noProof/>
          <w:sz w:val="24"/>
        </w:rPr>
        <w:t xml:space="preserve"> стигна до заключението, че компаниите все по-често се сблъскват със случаи на фалшифицирани продукти (като например фалшифицирани електронни части), които навлизат в техните вериги за доставка. Това до голяма степен се дължи на факта, че веригите за доставка непрекъснато се усложняват, което често затруднява компаниите </w:t>
      </w:r>
      <w:r>
        <w:rPr>
          <w:rFonts w:ascii="Times New Roman" w:hAnsi="Times New Roman"/>
          <w:noProof/>
        </w:rPr>
        <w:t xml:space="preserve">— </w:t>
      </w:r>
      <w:r>
        <w:rPr>
          <w:rFonts w:ascii="Times New Roman" w:hAnsi="Times New Roman"/>
          <w:noProof/>
          <w:sz w:val="24"/>
        </w:rPr>
        <w:t xml:space="preserve">по-специално МСП </w:t>
      </w:r>
      <w:r>
        <w:rPr>
          <w:rFonts w:ascii="Times New Roman" w:hAnsi="Times New Roman"/>
          <w:noProof/>
        </w:rPr>
        <w:t>—</w:t>
      </w:r>
      <w:r>
        <w:rPr>
          <w:rFonts w:ascii="Times New Roman" w:hAnsi="Times New Roman"/>
          <w:noProof/>
          <w:sz w:val="24"/>
        </w:rPr>
        <w:t xml:space="preserve"> при проследяването на техните доставчици и поддоставчици. Освен това появата на нови технологии и използването на интернет помага на нарушителите да подобрят техниките си на фалшифициране и да проникнат в законни вериги за доставка. Съществуват добри практики за прозрачност на веригата за доставка (управление на риска, корпоративна социална отговорност). Те обаче не се използват рутинно за установяване на нарушения на ПИС и борба срещу тях. Липсата на надлежна проверка отслабва сигурността на веригата за доставка и допуска във веригата фалшификати, които са вредни за бизнеса и излагат гражданите на риск.</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Според Комисията съществува неотложна необходимост от засилено използване на веригите за доставка в борбата срещу фалшификатите. Това може да се направи чрез изпробване на нови инструменти и подпомагане на изграждането и разширяването на най-добрите практики.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Възможността за проследяване на стоките е крайъгълен камък на сигурността на веригата за доставка, безопасността на потребителите и качеството на продуктите. Поради това Комисията ще се стреми да засили сътрудничеството между притежателите на права и ключови участници, като например организации по стандартизация и доставчици на решения в областта на сигурността, с цел да се улесни разпространението на технологии за проследяване</w:t>
      </w:r>
      <w:r>
        <w:rPr>
          <w:rStyle w:val="FootnoteReference"/>
          <w:rFonts w:ascii="Times New Roman" w:hAnsi="Times New Roman"/>
          <w:noProof/>
          <w:sz w:val="24"/>
        </w:rPr>
        <w:footnoteReference w:id="33"/>
      </w:r>
      <w:r>
        <w:rPr>
          <w:rFonts w:ascii="Times New Roman" w:hAnsi="Times New Roman"/>
          <w:noProof/>
          <w:sz w:val="24"/>
        </w:rPr>
        <w:t xml:space="preserve"> и да се подкрепи появата на нови системи за проследяване и удостоверяване на автентичността, като </w:t>
      </w:r>
      <w:r>
        <w:rPr>
          <w:rFonts w:ascii="Times New Roman" w:hAnsi="Times New Roman"/>
          <w:b/>
          <w:noProof/>
          <w:sz w:val="24"/>
        </w:rPr>
        <w:t>блокчейн (блокверига)</w:t>
      </w:r>
      <w:r>
        <w:rPr>
          <w:rFonts w:ascii="Times New Roman" w:hAnsi="Times New Roman"/>
          <w:noProof/>
          <w:sz w:val="24"/>
        </w:rPr>
        <w:t xml:space="preserve">. Чрез регистриране на активите, трансакциите и участниците, този </w:t>
      </w:r>
      <w:r>
        <w:rPr>
          <w:rFonts w:ascii="Times New Roman" w:hAnsi="Times New Roman" w:cs="Times New Roman"/>
          <w:noProof/>
          <w:sz w:val="24"/>
          <w:szCs w:val="24"/>
        </w:rPr>
        <w:t>споделен цифров регистър предоставя ценна информация за произхода и историята на продуктите, така че те да могат да бъдат проследявани и автентичността им да бъде удостоверявана по-лесно. Решенията, основаващи се на блокчейн, могат да направят възможно бързото откриване на фалшифицирани части или продукти, които са навлезли в законните вериги за доставка, както и евентуалното отклоняване на стоки към незаконни пазари</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Като част от проекта си </w:t>
      </w:r>
      <w:r>
        <w:rPr>
          <w:rFonts w:ascii="Times New Roman" w:hAnsi="Times New Roman" w:cs="Times New Roman"/>
          <w:i/>
          <w:noProof/>
          <w:sz w:val="24"/>
          <w:szCs w:val="24"/>
        </w:rPr>
        <w:t>#Blockchain4EU:</w:t>
      </w:r>
      <w:r>
        <w:rPr>
          <w:rFonts w:ascii="Times New Roman" w:hAnsi="Times New Roman" w:cs="Times New Roman"/>
          <w:noProof/>
          <w:sz w:val="24"/>
          <w:szCs w:val="24"/>
        </w:rPr>
        <w:t xml:space="preserve"> </w:t>
      </w:r>
      <w:r>
        <w:rPr>
          <w:rFonts w:ascii="Times New Roman" w:hAnsi="Times New Roman" w:cs="Times New Roman"/>
          <w:i/>
          <w:noProof/>
          <w:sz w:val="24"/>
          <w:szCs w:val="24"/>
        </w:rPr>
        <w:t>Блокчейн за промишлени трансформации</w:t>
      </w:r>
      <w:r>
        <w:rPr>
          <w:rFonts w:ascii="Times New Roman" w:hAnsi="Times New Roman" w:cs="Times New Roman"/>
          <w:noProof/>
          <w:sz w:val="24"/>
          <w:szCs w:val="24"/>
        </w:rPr>
        <w:t xml:space="preserve"> Комисията анализира как блокчейн могат да се използват за повишаване на прозрачността на веригите за доставка и за по-добра защита на ПИС. Съвместно с Обсерваторията Комисията ще продължи да установява и изпробва (по-специално чрез </w:t>
      </w:r>
      <w:r>
        <w:rPr>
          <w:rFonts w:ascii="Times New Roman" w:hAnsi="Times New Roman" w:cs="Times New Roman"/>
          <w:i/>
          <w:noProof/>
          <w:sz w:val="24"/>
          <w:szCs w:val="24"/>
        </w:rPr>
        <w:t>Blockathon</w:t>
      </w:r>
      <w:r>
        <w:rPr>
          <w:rFonts w:ascii="Times New Roman" w:hAnsi="Times New Roman" w:cs="Times New Roman"/>
          <w:noProof/>
          <w:sz w:val="24"/>
          <w:szCs w:val="24"/>
        </w:rPr>
        <w:t xml:space="preserve"> (маратон за програмиране на блокчейн) различни възможни начини на използване на блокчейн в борбата срещу фалшификатите, както и да идентифицира потенциалните правни и икономически бариери пред тяхното възприемане</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има още възможности за по-засилено повишаване на осведомеността и за по-широко разпространение на най-добрите практики. Отраслите трябва да бъдат информирани за необходимостта от защита на техните вериги за доставка и следва да бъдат насърчавани да предприемат действия за по-добра защита. </w:t>
      </w:r>
      <w:r>
        <w:rPr>
          <w:rFonts w:ascii="Times New Roman" w:hAnsi="Times New Roman"/>
          <w:b/>
          <w:noProof/>
          <w:sz w:val="24"/>
        </w:rPr>
        <w:t>Допълнителното включване на защитата на ИС в процесите на акредитация</w:t>
      </w:r>
      <w:r>
        <w:rPr>
          <w:rFonts w:ascii="Times New Roman" w:hAnsi="Times New Roman"/>
          <w:noProof/>
          <w:sz w:val="24"/>
        </w:rPr>
        <w:t xml:space="preserve"> може да послужи като полезен инструмент в този контекст. Например на 10 май 2017 г. беше приет нов стандарт на ISO за устойчиви обществени поръчки (ISO 20400), който за пръв път съдържа изрично позоваване на мерки за борба с нарушенията на ПИС. Комисията ще се стреми да популяризира още повече този стандарт чрез информационни сесии за дружества</w:t>
      </w:r>
      <w:r>
        <w:rPr>
          <w:rStyle w:val="FootnoteReference"/>
          <w:rFonts w:ascii="Times New Roman" w:hAnsi="Times New Roman"/>
          <w:noProof/>
          <w:sz w:val="24"/>
        </w:rPr>
        <w:footnoteReference w:id="36"/>
      </w:r>
      <w:r>
        <w:rPr>
          <w:rFonts w:ascii="Times New Roman" w:hAnsi="Times New Roman"/>
          <w:noProof/>
          <w:sz w:val="24"/>
        </w:rPr>
        <w:t xml:space="preserve"> или по-мащабни събития в областта на упражняването на ПИС</w:t>
      </w:r>
      <w:r>
        <w:rPr>
          <w:rStyle w:val="FootnoteReference"/>
          <w:rFonts w:ascii="Times New Roman" w:hAnsi="Times New Roman"/>
          <w:noProof/>
          <w:sz w:val="24"/>
        </w:rPr>
        <w:footnoteReference w:id="37"/>
      </w:r>
      <w:r>
        <w:rPr>
          <w:rFonts w:ascii="Times New Roman" w:hAnsi="Times New Roman"/>
          <w:noProof/>
          <w:sz w:val="24"/>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Комисията ще разгледа по-задълбочено как спазването на стандартите за защита на ИС биха могли да станат част от процеса за придобиване на </w:t>
      </w:r>
      <w:r>
        <w:rPr>
          <w:rFonts w:ascii="Times New Roman" w:hAnsi="Times New Roman"/>
          <w:b/>
          <w:noProof/>
          <w:sz w:val="24"/>
        </w:rPr>
        <w:t>статут на „одобрен икономически оператор (ОИО)“</w:t>
      </w:r>
      <w:r>
        <w:rPr>
          <w:rStyle w:val="FootnoteReference"/>
          <w:rFonts w:ascii="Times New Roman" w:hAnsi="Times New Roman"/>
          <w:noProof/>
          <w:sz w:val="24"/>
        </w:rPr>
        <w:footnoteReference w:id="38"/>
      </w:r>
      <w:r>
        <w:rPr>
          <w:rFonts w:ascii="Times New Roman" w:hAnsi="Times New Roman"/>
          <w:b/>
          <w:noProof/>
          <w:sz w:val="24"/>
        </w:rPr>
        <w:t xml:space="preserve"> </w:t>
      </w:r>
      <w:r>
        <w:rPr>
          <w:rFonts w:ascii="Times New Roman" w:hAnsi="Times New Roman"/>
          <w:noProof/>
          <w:sz w:val="24"/>
        </w:rPr>
        <w:t>в бъдеще. Концепцията за ОИО се основава на партньорството в рамките на Световната митническа организация (СМО) между митническите органи и предприятията. Статутът на ОИО се предоставя от митническите органи и предоставя на икономическите оператори определени облекчения в митническите процедури. Той може да бъде получен от всички участници във веригата за доставка, които отговарят на даденикритерии за качество, определени в митническите правила на ЕС, и работят в тясно сътрудничество с митническите органи за гарантиране на сигурността и непокътнатостта на веригите за доставка. В този контекст борбата срещу фалшифицирането би могла да придобие още по-съществено значение. За да се увеличи сигурността на веригата за доставки, икономическите оператори се насърчават да избират надеждни партньори, които разполагат с ефикасни схеми за гарантиране на съответствието, като например ОИО.</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На последно място, трябва да се обърне специално внимание на </w:t>
      </w:r>
      <w:r>
        <w:rPr>
          <w:rFonts w:ascii="Times New Roman" w:hAnsi="Times New Roman"/>
          <w:b/>
          <w:noProof/>
          <w:sz w:val="24"/>
        </w:rPr>
        <w:t>положението на МСП</w:t>
      </w:r>
      <w:r>
        <w:rPr>
          <w:rFonts w:ascii="Times New Roman" w:hAnsi="Times New Roman"/>
          <w:noProof/>
          <w:sz w:val="24"/>
        </w:rPr>
        <w:t>, които често разполагат със силно ограничени средства за приспособяване на веригите си на доставка. EUIPO започва конкретно проучване в тази област с цел извличане на най-добрите практики и предлагане на конкретни решения.</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rPr>
      </w:pPr>
      <w:r>
        <w:rPr>
          <w:rFonts w:ascii="Times New Roman" w:hAnsi="Times New Roman"/>
          <w:b/>
          <w:noProof/>
          <w:sz w:val="24"/>
        </w:rPr>
        <w:t>Комисията призовава промишлеността да предприеме необходимите мерки за надлежна проверка с цел борба срещу нарушенията на ПИС. За да подкрепи промишлеността в тези усилия и да насърчи най-добрите практики, тя ще:</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rPr>
      </w:pPr>
      <w:r>
        <w:rPr>
          <w:rFonts w:ascii="Times New Roman" w:hAnsi="Times New Roman"/>
          <w:b/>
          <w:noProof/>
          <w:sz w:val="24"/>
        </w:rPr>
        <w:t>- си сътрудничи още по-интензивно със заинтересованите страни за подобряване и разширяване на доброволните споразумения за борба с нарушенията на ПИС. Комисията ще работи за популяризирането на специални меморандуми за разбирателство, в които участват притежатели на права, интернет платформи, рекламни компании, превозвачи и доставчици на платежни услуги;</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rPr>
      </w:pPr>
      <w:r>
        <w:rPr>
          <w:rFonts w:ascii="Times New Roman" w:hAnsi="Times New Roman"/>
          <w:b/>
          <w:noProof/>
          <w:sz w:val="24"/>
        </w:rPr>
        <w:t>- продължи да наблюдава функционирането и ефективността на тези меморандуми за разбирателство и ще докладва за резултатите от тях;</w:t>
      </w:r>
    </w:p>
    <w:p>
      <w:pPr>
        <w:pBdr>
          <w:top w:val="single" w:sz="4" w:space="1" w:color="auto"/>
          <w:left w:val="single" w:sz="4" w:space="4" w:color="auto"/>
          <w:bottom w:val="single" w:sz="4" w:space="1" w:color="auto"/>
          <w:right w:val="single" w:sz="4" w:space="4" w:color="auto"/>
        </w:pBdr>
        <w:spacing w:before="120" w:after="120" w:line="240" w:lineRule="auto"/>
        <w:jc w:val="both"/>
        <w:rPr>
          <w:b/>
          <w:noProof/>
        </w:rPr>
      </w:pPr>
      <w:r>
        <w:rPr>
          <w:rFonts w:ascii="Times New Roman" w:hAnsi="Times New Roman"/>
          <w:b/>
          <w:noProof/>
          <w:sz w:val="24"/>
        </w:rPr>
        <w:t>- продължи насърчаването на надлежната проверка във веригите за доставки, ще проучва потенциала на новите технологии като блокчейн и ще насърчава използването на съществуващите процеси за акредитация за въвеждане на схеми за гарантиране на съответствието в областта на ИС.</w:t>
      </w:r>
    </w:p>
    <w:p>
      <w:pPr>
        <w:pStyle w:val="ListParagraph"/>
        <w:numPr>
          <w:ilvl w:val="0"/>
          <w:numId w:val="30"/>
        </w:numPr>
        <w:spacing w:before="360" w:after="240" w:line="240" w:lineRule="auto"/>
        <w:rPr>
          <w:rFonts w:ascii="Times New Roman" w:hAnsi="Times New Roman" w:cs="Times New Roman"/>
          <w:b/>
          <w:caps/>
          <w:noProof/>
          <w:sz w:val="24"/>
          <w:szCs w:val="24"/>
        </w:rPr>
      </w:pPr>
      <w:r>
        <w:rPr>
          <w:rFonts w:ascii="Times New Roman" w:hAnsi="Times New Roman"/>
          <w:b/>
          <w:caps/>
          <w:noProof/>
          <w:sz w:val="24"/>
        </w:rPr>
        <w:t xml:space="preserve">Борба срещу нарушенията на ПИС чрез засилено административно сътрудничество </w:t>
      </w:r>
    </w:p>
    <w:p>
      <w:pPr>
        <w:spacing w:before="60" w:after="60" w:line="240" w:lineRule="auto"/>
        <w:jc w:val="both"/>
        <w:rPr>
          <w:rFonts w:ascii="Times New Roman" w:hAnsi="Times New Roman"/>
          <w:b/>
          <w:noProof/>
          <w:sz w:val="24"/>
        </w:rPr>
      </w:pPr>
      <w:r>
        <w:rPr>
          <w:rFonts w:ascii="Times New Roman" w:hAnsi="Times New Roman"/>
          <w:noProof/>
          <w:sz w:val="24"/>
        </w:rPr>
        <w:t>Понастоящем има богата информация относно стойността и въздействието на фалшифицираните и пиратските стоки</w:t>
      </w:r>
      <w:r>
        <w:rPr>
          <w:rStyle w:val="FootnoteReference"/>
          <w:rFonts w:ascii="Times New Roman" w:hAnsi="Times New Roman"/>
          <w:noProof/>
          <w:sz w:val="24"/>
        </w:rPr>
        <w:footnoteReference w:id="39"/>
      </w:r>
      <w:r>
        <w:rPr>
          <w:rFonts w:ascii="Times New Roman" w:hAnsi="Times New Roman"/>
          <w:noProof/>
          <w:sz w:val="24"/>
        </w:rPr>
        <w:t>, произхода на престъпните организации и маршрутите, които те използват, за да насочат тези стоки към ЕС</w:t>
      </w:r>
      <w:r>
        <w:rPr>
          <w:rStyle w:val="FootnoteReference"/>
          <w:rFonts w:ascii="Times New Roman" w:hAnsi="Times New Roman"/>
          <w:noProof/>
          <w:sz w:val="24"/>
        </w:rPr>
        <w:footnoteReference w:id="40"/>
      </w:r>
      <w:r>
        <w:rPr>
          <w:rFonts w:ascii="Times New Roman" w:hAnsi="Times New Roman"/>
          <w:noProof/>
          <w:sz w:val="24"/>
        </w:rPr>
        <w:t>. Благодарение на огромните усилия за събиране на данни</w:t>
      </w:r>
      <w:r>
        <w:rPr>
          <w:rStyle w:val="FootnoteReference"/>
          <w:rFonts w:ascii="Times New Roman" w:hAnsi="Times New Roman"/>
          <w:noProof/>
          <w:sz w:val="24"/>
        </w:rPr>
        <w:footnoteReference w:id="41"/>
      </w:r>
      <w:r>
        <w:rPr>
          <w:rFonts w:ascii="Times New Roman" w:hAnsi="Times New Roman"/>
          <w:noProof/>
          <w:sz w:val="24"/>
        </w:rPr>
        <w:t xml:space="preserve"> вече са идентифицирани най-засегнатите сектори, установени са използваните маршрути и са събрани необходимите доказателства. Следователно е време да се обединят усилията в рамките на ЕС и да се засили борбата срещу нарушенията на ПИС на границите му и извън него.</w:t>
      </w:r>
    </w:p>
    <w:p>
      <w:pPr>
        <w:spacing w:before="60" w:after="60" w:line="240" w:lineRule="auto"/>
        <w:jc w:val="both"/>
        <w:rPr>
          <w:rFonts w:ascii="Times New Roman" w:hAnsi="Times New Roman"/>
          <w:noProof/>
          <w:sz w:val="24"/>
          <w:szCs w:val="24"/>
        </w:rPr>
      </w:pPr>
      <w:r>
        <w:rPr>
          <w:rFonts w:ascii="Times New Roman" w:hAnsi="Times New Roman"/>
          <w:noProof/>
          <w:sz w:val="24"/>
        </w:rPr>
        <w:t xml:space="preserve">Комисията ще се стреми да </w:t>
      </w:r>
      <w:r>
        <w:rPr>
          <w:rFonts w:ascii="Times New Roman" w:hAnsi="Times New Roman"/>
          <w:b/>
          <w:noProof/>
          <w:sz w:val="24"/>
        </w:rPr>
        <w:t>засили сътрудничеството между всички компетентни органи</w:t>
      </w:r>
      <w:r>
        <w:rPr>
          <w:rFonts w:ascii="Times New Roman" w:hAnsi="Times New Roman"/>
          <w:noProof/>
          <w:sz w:val="24"/>
        </w:rPr>
        <w:t>, за да се подобри зачитането на правата върху ИС в рамките на ЕС. На първо място, тя ще проучи как контролните органи в областта на икономиката и търговията, съвместно с органите за защита на потребителите, могат да участват по-тясно в борбата с фалшифицирането и пиратството. В някои държави членки това вече е факт, но в други — все още не. Въз основа на съществуващите добри практики в някои области и държави членки, Комисията ще обсъди с държавите членки как да се осигури подходящото участие на всички съответни органи. Например Комисията ще продължи да насърчава обмена на добри практики между държавите членки в сектора на хранително-вкусовата промишленост за контрол и прилагане по-специално на правата в областта на географските означения, включително ще продължи програмата за одит на контролните структури на държавите членки.</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Освен това, съвместно с EUIPO и Европол, Комисията ще установи различните бази данни, използвани в борбата срещу фалшифицирането, за да идентифицира пропуските в данните и възможните начини за подобряване на обмена на данни между съответните органи.</w:t>
      </w:r>
    </w:p>
    <w:p>
      <w:pPr>
        <w:spacing w:before="60" w:after="60" w:line="240" w:lineRule="auto"/>
        <w:jc w:val="both"/>
        <w:rPr>
          <w:rFonts w:ascii="Times New Roman" w:hAnsi="Times New Roman"/>
          <w:noProof/>
          <w:sz w:val="24"/>
          <w:szCs w:val="24"/>
        </w:rPr>
      </w:pPr>
      <w:r>
        <w:rPr>
          <w:rFonts w:ascii="Times New Roman" w:hAnsi="Times New Roman"/>
          <w:noProof/>
          <w:sz w:val="24"/>
        </w:rPr>
        <w:t xml:space="preserve">Съвместно с EUIPO и въз основа на събраните доказателства и данни, Комисията също така ще се стреми да си сътрудничи с държавите членки за </w:t>
      </w:r>
      <w:r>
        <w:rPr>
          <w:rFonts w:ascii="Times New Roman" w:hAnsi="Times New Roman"/>
          <w:b/>
          <w:noProof/>
          <w:sz w:val="24"/>
        </w:rPr>
        <w:t>допълнително повишаване на обществената осведоменост</w:t>
      </w:r>
      <w:r>
        <w:rPr>
          <w:rFonts w:ascii="Times New Roman" w:hAnsi="Times New Roman"/>
          <w:noProof/>
          <w:sz w:val="24"/>
        </w:rPr>
        <w:t xml:space="preserve"> за ролята на ИС и отрицателното въздействие на нарушенията на ПИС.</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За целите на </w:t>
      </w:r>
      <w:r>
        <w:rPr>
          <w:rFonts w:ascii="Times New Roman" w:hAnsi="Times New Roman"/>
          <w:b/>
          <w:noProof/>
          <w:sz w:val="24"/>
        </w:rPr>
        <w:t>борбата срещу фалшифицирането и пиратството на границите на Съюза</w:t>
      </w:r>
      <w:r>
        <w:rPr>
          <w:rFonts w:ascii="Times New Roman" w:hAnsi="Times New Roman"/>
          <w:noProof/>
          <w:sz w:val="24"/>
        </w:rPr>
        <w:t xml:space="preserve"> Комисията ще продължи да помага на държавите членки в </w:t>
      </w:r>
      <w:r>
        <w:rPr>
          <w:rFonts w:ascii="Times New Roman" w:hAnsi="Times New Roman"/>
          <w:b/>
          <w:noProof/>
          <w:sz w:val="24"/>
        </w:rPr>
        <w:t>прилагането от страна на митническите органи</w:t>
      </w:r>
      <w:r>
        <w:rPr>
          <w:rFonts w:ascii="Times New Roman" w:hAnsi="Times New Roman"/>
          <w:noProof/>
          <w:sz w:val="24"/>
        </w:rPr>
        <w:t>. В момента тя оценява резултатите от Плана за действие в митническата област за борба с нарушенията на правата върху ИС за периода 2013—2017 г.</w:t>
      </w:r>
      <w:r>
        <w:rPr>
          <w:rStyle w:val="FootnoteReference"/>
          <w:rFonts w:ascii="Times New Roman" w:hAnsi="Times New Roman"/>
          <w:noProof/>
          <w:sz w:val="24"/>
        </w:rPr>
        <w:footnoteReference w:id="42"/>
      </w:r>
      <w:r>
        <w:rPr>
          <w:rFonts w:ascii="Times New Roman" w:hAnsi="Times New Roman"/>
          <w:noProof/>
          <w:sz w:val="24"/>
        </w:rPr>
        <w:t xml:space="preserve"> Тя ще изготви доклад за тях още през 2017 г. и ще предприеме необходимите следващи стъпки, като се съсредоточи върху следните приоритети:</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осигуряване на хомогенно прилагане на законодателството за прилагане на ПИС по границите в целия ЕС;</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засилване на митническото сътрудничество и обмена на информация с полицията и други правоприлагащи органи;</w:t>
      </w:r>
    </w:p>
    <w:p>
      <w:pPr>
        <w:pStyle w:val="ListParagraph"/>
        <w:numPr>
          <w:ilvl w:val="0"/>
          <w:numId w:val="26"/>
        </w:numPr>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разработване на инструменти за управление на риска за целите на прилагането на ПИС.</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Комисията припомня задълженията на държавите членки да транспонират новите правила на ЕС, установени с Директивата за марките, включително режима за публичните органи. Тези правила служат, </w:t>
      </w:r>
      <w:r>
        <w:rPr>
          <w:rFonts w:ascii="Times New Roman" w:hAnsi="Times New Roman"/>
          <w:i/>
          <w:noProof/>
          <w:sz w:val="24"/>
        </w:rPr>
        <w:t>inter alia</w:t>
      </w:r>
      <w:r>
        <w:rPr>
          <w:rFonts w:ascii="Times New Roman" w:hAnsi="Times New Roman"/>
          <w:noProof/>
          <w:sz w:val="24"/>
        </w:rPr>
        <w:t>, за спиране на потока от фалшифицирани стоки, включително транзитно преминаващите стоки</w:t>
      </w:r>
      <w:r>
        <w:rPr>
          <w:rStyle w:val="FootnoteReference"/>
          <w:rFonts w:ascii="Times New Roman" w:hAnsi="Times New Roman"/>
          <w:noProof/>
          <w:sz w:val="24"/>
        </w:rPr>
        <w:footnoteReference w:id="43"/>
      </w:r>
      <w:r>
        <w:rPr>
          <w:rFonts w:ascii="Times New Roman" w:hAnsi="Times New Roman"/>
          <w:noProof/>
          <w:sz w:val="24"/>
        </w:rPr>
        <w:t>.</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Фалшифицираните продукти обикновено не съответстват на законодателството на ЕС в областта на продуктите и могат да представляват риск за потребителите. Тъй като настоящото съобщение се съсредоточава върху по-доброто прилагане на законодателството на ЕС в областта на ПИС, прилагането на други законодателни актове на ЕС в областта на продуктите ще бъде разгледано в предстоящия пакет „Пакет за стоките“, както е обявено в стратегията за единния пазар.</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rPr>
      </w:pPr>
      <w:r>
        <w:rPr>
          <w:rFonts w:ascii="Times New Roman" w:hAnsi="Times New Roman"/>
          <w:b/>
          <w:noProof/>
          <w:color w:val="000000"/>
          <w:sz w:val="23"/>
        </w:rPr>
        <w:t>Комисията ще предприеме следното:</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rPr>
      </w:pPr>
      <w:r>
        <w:rPr>
          <w:rFonts w:ascii="Times New Roman" w:hAnsi="Times New Roman"/>
          <w:b/>
          <w:noProof/>
          <w:color w:val="000000"/>
          <w:sz w:val="23"/>
        </w:rPr>
        <w:t>- съвместно с EUIPO ще гарантира, че съответните правоприлагащи органи в ЕС разполагат с инструменти за сътрудничество в борбата срещу фалшифицирането и пиратството, включително чрез по-добро наблюдение на пазара;</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rPr>
      </w:pPr>
      <w:r>
        <w:rPr>
          <w:rFonts w:ascii="Times New Roman" w:hAnsi="Times New Roman"/>
          <w:b/>
          <w:noProof/>
          <w:color w:val="000000"/>
          <w:sz w:val="23"/>
        </w:rPr>
        <w:t xml:space="preserve">- съвместно с EUIPO ще увеличи усилията си за повишаване на осведомеността на обществеността за рисковете, свързани с нарушенията на правата върху ИС; </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
          <w:noProof/>
          <w:color w:val="000000"/>
          <w:sz w:val="23"/>
          <w:szCs w:val="23"/>
        </w:rPr>
      </w:pPr>
      <w:r>
        <w:rPr>
          <w:rFonts w:ascii="Times New Roman" w:hAnsi="Times New Roman"/>
          <w:b/>
          <w:noProof/>
          <w:color w:val="000000"/>
          <w:sz w:val="23"/>
        </w:rPr>
        <w:t>- ще предложи по-целенасочена помощ на националните митнически органи въз основа на резултатите от настоящия План за действие в областта на митниците и ще работи със Съвета за нов План за действие в областта на митниците през 2018 г.</w:t>
      </w:r>
    </w:p>
    <w:p>
      <w:pPr>
        <w:pStyle w:val="ListParagraph"/>
        <w:numPr>
          <w:ilvl w:val="0"/>
          <w:numId w:val="30"/>
        </w:numPr>
        <w:spacing w:before="360" w:after="240" w:line="240" w:lineRule="auto"/>
        <w:rPr>
          <w:rFonts w:ascii="Times New Roman" w:hAnsi="Times New Roman" w:cs="Times New Roman"/>
          <w:b/>
          <w:noProof/>
          <w:sz w:val="24"/>
          <w:szCs w:val="24"/>
        </w:rPr>
      </w:pPr>
      <w:r>
        <w:rPr>
          <w:rFonts w:ascii="Times New Roman" w:hAnsi="Times New Roman"/>
          <w:b/>
          <w:noProof/>
          <w:sz w:val="24"/>
        </w:rPr>
        <w:t xml:space="preserve">БОРБА СРЕЩУ НАРУШЕНИЯТА В СВЕТОВЕН МАЩАБ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Фалшифицирането и пиратството са предимно глобални проблеми, изискващи глобални отговори. Предприеманите в рамките на ЕС мерки трябва да бъдат придружени от международни усилия за предотвратяване на нарушенията на ПИС в световните вериги за доставка. </w:t>
      </w:r>
    </w:p>
    <w:p>
      <w:pPr>
        <w:pStyle w:val="NormalWeb"/>
        <w:spacing w:before="60" w:beforeAutospacing="0" w:after="60" w:afterAutospacing="0"/>
        <w:jc w:val="both"/>
        <w:rPr>
          <w:b/>
          <w:noProof/>
          <w:sz w:val="23"/>
          <w:szCs w:val="23"/>
        </w:rPr>
      </w:pPr>
      <w:r>
        <w:rPr>
          <w:noProof/>
        </w:rPr>
        <w:t>Комисията популяризира подхода на ЕС към правоприлагането в областта на ПИС в световен мащаб: двустранно, в търговски споразумения и диалози относно ПИС с основните търговски партньори; и многостранно, в рамките на международни организации като Световната организация за интелектуална собственост (СОИС), Съвета по ТРИПС на Световната търговска организация (СТО) и ОИСР, както и съответните органи като ICANN</w:t>
      </w:r>
      <w:r>
        <w:rPr>
          <w:rStyle w:val="FootnoteReference"/>
          <w:noProof/>
        </w:rPr>
        <w:footnoteReference w:id="44"/>
      </w:r>
      <w:r>
        <w:rPr>
          <w:noProof/>
        </w:rPr>
        <w:t xml:space="preserve">. Целта е да се засили и стандартизира правоприлагането в областта на ИС в международен мащаб и да се повиши осведомеността за вредите, причинявани от фалшифицирането и пиратството.  </w:t>
      </w:r>
    </w:p>
    <w:p>
      <w:pPr>
        <w:autoSpaceDE w:val="0"/>
        <w:autoSpaceDN w:val="0"/>
        <w:adjustRightInd w:val="0"/>
        <w:spacing w:before="60" w:after="6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тясно сътрудничество с EUIPO Комисията стартира три </w:t>
      </w:r>
      <w:r>
        <w:rPr>
          <w:rFonts w:ascii="Times New Roman" w:hAnsi="Times New Roman"/>
          <w:b/>
          <w:noProof/>
          <w:sz w:val="24"/>
        </w:rPr>
        <w:t xml:space="preserve">програми за техническо сътрудничество в областта на ИС </w:t>
      </w:r>
      <w:r>
        <w:rPr>
          <w:rFonts w:ascii="Times New Roman" w:hAnsi="Times New Roman"/>
          <w:noProof/>
          <w:sz w:val="24"/>
        </w:rPr>
        <w:t xml:space="preserve">(„IP Key“) съответно с Китай, Югоизточна Азия и Латинска Америка. Тя се основава на положителния опит от предишни програми за сътрудничество с Китай и региона на АСЕАН. Бюджетът на тези три програми ще възлезе на общо 20 милиона евро между 2017 г. и 2020 г. Програмите ще подкрепят разработването на ефективна система за защита на ИС в участващите държави въз основа на най-добрите практики на ЕС, която ще помага на дружествата от ЕС да защитават своите права върху ИС на тези пазари. </w:t>
      </w:r>
    </w:p>
    <w:p>
      <w:pPr>
        <w:autoSpaceDE w:val="0"/>
        <w:autoSpaceDN w:val="0"/>
        <w:adjustRightInd w:val="0"/>
        <w:spacing w:before="60" w:after="60" w:line="240" w:lineRule="auto"/>
        <w:jc w:val="both"/>
        <w:rPr>
          <w:rFonts w:ascii="Times New Roman" w:hAnsi="Times New Roman" w:cs="Times New Roman"/>
          <w:noProof/>
          <w:sz w:val="24"/>
          <w:szCs w:val="24"/>
        </w:rPr>
      </w:pPr>
      <w:r>
        <w:rPr>
          <w:rFonts w:ascii="Times New Roman" w:hAnsi="Times New Roman"/>
          <w:noProof/>
          <w:sz w:val="24"/>
        </w:rPr>
        <w:t>Като част от Стратегията за защита и прилагане на правата върху интелектуална собственост в трети държави</w:t>
      </w:r>
      <w:r>
        <w:rPr>
          <w:rStyle w:val="FootnoteReference"/>
          <w:rFonts w:ascii="Times New Roman" w:hAnsi="Times New Roman"/>
          <w:noProof/>
          <w:sz w:val="24"/>
        </w:rPr>
        <w:footnoteReference w:id="45"/>
      </w:r>
      <w:r>
        <w:rPr>
          <w:rFonts w:ascii="Times New Roman" w:hAnsi="Times New Roman"/>
          <w:noProof/>
          <w:sz w:val="24"/>
        </w:rPr>
        <w:t xml:space="preserve">, Комисията ще публикува актуализиран </w:t>
      </w:r>
      <w:r>
        <w:rPr>
          <w:rFonts w:ascii="Times New Roman" w:hAnsi="Times New Roman"/>
          <w:b/>
          <w:noProof/>
          <w:sz w:val="24"/>
        </w:rPr>
        <w:t>доклад относно защитата и прилагането на ПИС в трети държави.</w:t>
      </w:r>
      <w:r>
        <w:rPr>
          <w:rFonts w:ascii="Times New Roman" w:hAnsi="Times New Roman"/>
          <w:noProof/>
          <w:sz w:val="24"/>
        </w:rPr>
        <w:t xml:space="preserve"> Докладът ще съдържа списък на новите приоритетни държави. Комисията ще засили дейностите си в приоритетните държави и ще съсредоточи ресурсите си върху определените области, които предизвикват загриженост, включително зоните за свободна търговия и географските означения. </w:t>
      </w:r>
    </w:p>
    <w:p>
      <w:pPr>
        <w:spacing w:before="60" w:after="60" w:line="240" w:lineRule="auto"/>
        <w:jc w:val="both"/>
        <w:rPr>
          <w:rFonts w:ascii="Times New Roman" w:hAnsi="Times New Roman" w:cs="Times New Roman"/>
          <w:noProof/>
          <w:sz w:val="24"/>
          <w:szCs w:val="24"/>
        </w:rPr>
      </w:pPr>
      <w:r>
        <w:rPr>
          <w:rFonts w:ascii="Times New Roman" w:hAnsi="Times New Roman"/>
          <w:noProof/>
          <w:color w:val="222222"/>
          <w:sz w:val="24"/>
        </w:rPr>
        <w:t xml:space="preserve">В сътрудничество с EUIPO Комисията ще създаде </w:t>
      </w:r>
      <w:r>
        <w:rPr>
          <w:rFonts w:ascii="Times New Roman" w:hAnsi="Times New Roman"/>
          <w:b/>
          <w:noProof/>
          <w:color w:val="222222"/>
          <w:sz w:val="24"/>
        </w:rPr>
        <w:t>списък за наблюдение на пазарите на ИС</w:t>
      </w:r>
      <w:r>
        <w:rPr>
          <w:rFonts w:ascii="Times New Roman" w:hAnsi="Times New Roman"/>
          <w:noProof/>
          <w:color w:val="222222"/>
          <w:sz w:val="24"/>
        </w:rPr>
        <w:t xml:space="preserve">. </w:t>
      </w:r>
      <w:r>
        <w:rPr>
          <w:rFonts w:ascii="Times New Roman" w:hAnsi="Times New Roman"/>
          <w:noProof/>
          <w:sz w:val="24"/>
        </w:rPr>
        <w:t xml:space="preserve">Списъкът за наблюдение ще идентифицира онлайн и физически пазари, разположени извън ЕС, за които се съобщава, че извършват или улесняват извършването на съществени нарушения на ПИС, и по-специално пиратство и фалшифициране, по отношение на потребители в ЕС. Крайният резултат ще бъде списък на най-проблематичните пазари с описание на основните им характеристики. Необходимата информация и предпазните мерки по отношение на съдържанието и целта на списъка ще бъдат предоставени от Комисията. Комисията също така ще наблюдава мерките и действията, предприемани от местните власти във връзка с включените в списъка пазари, както и мерките и действията, предприемани от операторите и собствениците на пазари за ограничаване на нарушенията на ПИС.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В този контекст Комисията ще започне обществена консултация за събиране на информация относно тези пазари. Потвърдените с помощта на Обсерваторията данни ще се използват при избора на пазарите, които да бъдат включени в списъка. Първият Списък за наблюдение на пазари на ИС следва да бъде публикуван през второто полугодие на 2018 г. и ще се актуализира редовно.</w:t>
      </w:r>
    </w:p>
    <w:p>
      <w:pPr>
        <w:spacing w:before="60" w:after="60" w:line="240" w:lineRule="auto"/>
        <w:jc w:val="both"/>
        <w:rPr>
          <w:noProof/>
        </w:rPr>
      </w:pPr>
      <w:r>
        <w:rPr>
          <w:rFonts w:ascii="Times New Roman" w:hAnsi="Times New Roman"/>
          <w:noProof/>
          <w:sz w:val="24"/>
        </w:rPr>
        <w:t xml:space="preserve">Комисията също така ще продължи да насърчава използването на онлайн информация за защитата на ИС, включително базата данни на системата за бързо разузнаване в сферата на борбата с фалшифицирането (ACRIS), която събира информация за случаи на нарушаване на ПИС, засягащи дружества от ЕС в държави извън ЕС. За да улесни достъпа и използването на информацията онлайн, Комисията възнамерява да създаде портал, обединяващ пунктовете за достъп до свързаните с ИС уебсайтове и бази данни.  </w:t>
      </w:r>
    </w:p>
    <w:p>
      <w:pPr>
        <w:pStyle w:val="Default"/>
        <w:pBdr>
          <w:top w:val="single" w:sz="4" w:space="1" w:color="auto"/>
          <w:left w:val="single" w:sz="4" w:space="4" w:color="auto"/>
          <w:bottom w:val="single" w:sz="4" w:space="1" w:color="auto"/>
          <w:right w:val="single" w:sz="4" w:space="4" w:color="auto"/>
        </w:pBdr>
        <w:spacing w:before="120" w:after="120"/>
        <w:jc w:val="both"/>
        <w:rPr>
          <w:b/>
          <w:noProof/>
        </w:rPr>
      </w:pPr>
      <w:r>
        <w:rPr>
          <w:b/>
          <w:noProof/>
        </w:rPr>
        <w:t>За засилване на борбата с нарушенията на ПИС в държави извън ЕС, Комисията ще:</w:t>
      </w:r>
    </w:p>
    <w:p>
      <w:pPr>
        <w:pStyle w:val="Default"/>
        <w:pBdr>
          <w:top w:val="single" w:sz="4" w:space="1" w:color="auto"/>
          <w:left w:val="single" w:sz="4" w:space="4" w:color="auto"/>
          <w:bottom w:val="single" w:sz="4" w:space="1" w:color="auto"/>
          <w:right w:val="single" w:sz="4" w:space="4" w:color="auto"/>
        </w:pBdr>
        <w:spacing w:before="120" w:after="120"/>
        <w:jc w:val="both"/>
        <w:rPr>
          <w:b/>
          <w:noProof/>
        </w:rPr>
      </w:pPr>
      <w:r>
        <w:rPr>
          <w:b/>
          <w:noProof/>
        </w:rPr>
        <w:t>- публикува през първото тримесечие на 2018 г. нов</w:t>
      </w:r>
      <w:r>
        <w:rPr>
          <w:b/>
          <w:noProof/>
          <w:sz w:val="23"/>
        </w:rPr>
        <w:t xml:space="preserve"> </w:t>
      </w:r>
      <w:r>
        <w:rPr>
          <w:b/>
          <w:noProof/>
        </w:rPr>
        <w:t xml:space="preserve">доклад относно защитата и прилагането на права върху интелектуална собственост в трети държави, в който ще включи нови области (т.е. зони за свободна търговия, географски означения); </w:t>
      </w:r>
    </w:p>
    <w:p>
      <w:pPr>
        <w:pStyle w:val="Default"/>
        <w:pBdr>
          <w:top w:val="single" w:sz="4" w:space="1" w:color="auto"/>
          <w:left w:val="single" w:sz="4" w:space="4" w:color="auto"/>
          <w:bottom w:val="single" w:sz="4" w:space="1" w:color="auto"/>
          <w:right w:val="single" w:sz="4" w:space="4" w:color="auto"/>
        </w:pBdr>
        <w:spacing w:before="120" w:after="120"/>
        <w:jc w:val="both"/>
        <w:rPr>
          <w:b/>
          <w:noProof/>
        </w:rPr>
      </w:pPr>
      <w:r>
        <w:rPr>
          <w:b/>
          <w:noProof/>
          <w:sz w:val="23"/>
        </w:rPr>
        <w:t>- </w:t>
      </w:r>
      <w:r>
        <w:rPr>
          <w:b/>
          <w:noProof/>
        </w:rPr>
        <w:t xml:space="preserve">създаде през второто полугодие на 2018 г. списък за наблюдение на пазарите на ИС, в който са идентифицирани онлайн и физически пазари, които извършват или улесняват извършването на съществени нарушения на ПИС; </w:t>
      </w:r>
    </w:p>
    <w:p>
      <w:pPr>
        <w:pStyle w:val="Default"/>
        <w:pBdr>
          <w:top w:val="single" w:sz="4" w:space="1" w:color="auto"/>
          <w:left w:val="single" w:sz="4" w:space="4" w:color="auto"/>
          <w:bottom w:val="single" w:sz="4" w:space="1" w:color="auto"/>
          <w:right w:val="single" w:sz="4" w:space="4" w:color="auto"/>
        </w:pBdr>
        <w:spacing w:before="120" w:after="120"/>
        <w:jc w:val="both"/>
        <w:rPr>
          <w:b/>
          <w:noProof/>
          <w:sz w:val="23"/>
          <w:szCs w:val="23"/>
        </w:rPr>
      </w:pPr>
      <w:r>
        <w:rPr>
          <w:b/>
          <w:noProof/>
          <w:sz w:val="23"/>
        </w:rPr>
        <w:t>- </w:t>
      </w:r>
      <w:r>
        <w:rPr>
          <w:b/>
          <w:noProof/>
        </w:rPr>
        <w:t xml:space="preserve">изпълнява, въз основа на годишни работни планове, програми за техническо сътрудничество (програмите „IP Key“) с Китай, Югоизточна Азия и Латинска Америка. </w:t>
      </w:r>
    </w:p>
    <w:p>
      <w:pPr>
        <w:pStyle w:val="ListParagraph"/>
        <w:numPr>
          <w:ilvl w:val="0"/>
          <w:numId w:val="30"/>
        </w:numPr>
        <w:spacing w:before="360" w:after="240" w:line="240" w:lineRule="auto"/>
        <w:rPr>
          <w:rFonts w:ascii="Times New Roman" w:hAnsi="Times New Roman" w:cs="Times New Roman"/>
          <w:b/>
          <w:noProof/>
          <w:sz w:val="24"/>
          <w:szCs w:val="24"/>
        </w:rPr>
      </w:pPr>
      <w:r>
        <w:rPr>
          <w:rFonts w:ascii="Times New Roman" w:hAnsi="Times New Roman"/>
          <w:b/>
          <w:noProof/>
          <w:sz w:val="24"/>
        </w:rPr>
        <w:t>ЗАКЛЮЧЕНИЕ</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Настоящото съобщение определя обширен набор от мерки и действия, насочени към осигуряване на координиран и ефективен подход в политиките на ЕС за по-нататъшно подобряване на борбата с нарушенията на ПИС. За да се осигури максимална видимост, Комисията работи с EUIPO за предоставяне на информация за всички мерки и действия чрез един уеб портал.</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Мащабите на фалшифицирането и пиратството и тяхното въздействие върху нашето общество изискват ефективни правоприлагащи действия, включващи бърза и координирана намеса от страна на множество действащи лица, както публични, така и частни, които действат на всяко равнище, от местно до световно.</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С оглед на това Комисията приканва всички страни да предприемат последващи действия във връзка с насоките, препоръките и действията, описани в настоящото съобщение. Тя ще наблюдава постигнатия напредък и на тази основа ще оцени необходимостта от по-нататъшни стъпки. </w:t>
      </w:r>
    </w:p>
    <w:p>
      <w:pPr>
        <w:rPr>
          <w:noProof/>
        </w:rPr>
      </w:pPr>
      <w:r>
        <w:rPr>
          <w:noProof/>
        </w:rPr>
        <w:br w:type="page"/>
      </w:r>
    </w:p>
    <w:p>
      <w:pPr>
        <w:spacing w:before="60" w:after="120" w:line="240" w:lineRule="auto"/>
        <w:jc w:val="center"/>
        <w:rPr>
          <w:rFonts w:ascii="Times New Roman" w:hAnsi="Times New Roman" w:cs="Times New Roman"/>
          <w:b/>
          <w:noProof/>
          <w:sz w:val="24"/>
          <w:szCs w:val="24"/>
          <w:u w:val="single"/>
        </w:rPr>
      </w:pPr>
      <w:r>
        <w:rPr>
          <w:rFonts w:ascii="Times New Roman" w:hAnsi="Times New Roman"/>
          <w:b/>
          <w:noProof/>
          <w:sz w:val="24"/>
          <w:u w:val="single"/>
        </w:rPr>
        <w:t>Преглед на основните действия</w:t>
      </w:r>
    </w:p>
    <w:p>
      <w:pPr>
        <w:spacing w:before="60" w:after="120" w:line="240" w:lineRule="auto"/>
        <w:jc w:val="center"/>
        <w:rPr>
          <w:rFonts w:ascii="Times New Roman" w:hAnsi="Times New Roman" w:cs="Times New Roman"/>
          <w:b/>
          <w:noProof/>
          <w:sz w:val="24"/>
          <w:szCs w:val="24"/>
          <w:u w:val="single"/>
        </w:rPr>
      </w:pPr>
    </w:p>
    <w:tbl>
      <w:tblPr>
        <w:tblStyle w:val="TableGrid"/>
        <w:tblW w:w="9420" w:type="dxa"/>
        <w:tblLook w:val="04A0" w:firstRow="1" w:lastRow="0" w:firstColumn="1" w:lastColumn="0" w:noHBand="0" w:noVBand="1"/>
      </w:tblPr>
      <w:tblGrid>
        <w:gridCol w:w="4152"/>
        <w:gridCol w:w="3209"/>
        <w:gridCol w:w="2059"/>
      </w:tblGrid>
      <w:tr>
        <w:tc>
          <w:tcPr>
            <w:tcW w:w="4800" w:type="dxa"/>
            <w:tcBorders>
              <w:bottom w:val="single" w:sz="4" w:space="0" w:color="auto"/>
            </w:tcBorders>
          </w:tcPr>
          <w:p>
            <w:pPr>
              <w:spacing w:before="120" w:after="120"/>
              <w:jc w:val="center"/>
              <w:rPr>
                <w:rFonts w:ascii="Times New Roman" w:hAnsi="Times New Roman" w:cs="Times New Roman"/>
                <w:b/>
                <w:noProof/>
                <w:sz w:val="24"/>
                <w:szCs w:val="24"/>
              </w:rPr>
            </w:pPr>
            <w:r>
              <w:rPr>
                <w:rFonts w:ascii="Times New Roman" w:hAnsi="Times New Roman"/>
                <w:b/>
                <w:noProof/>
                <w:sz w:val="24"/>
              </w:rPr>
              <w:t>ДЕЙСТВИЕ</w:t>
            </w:r>
          </w:p>
        </w:tc>
        <w:tc>
          <w:tcPr>
            <w:tcW w:w="2310" w:type="dxa"/>
            <w:tcBorders>
              <w:bottom w:val="single" w:sz="4" w:space="0" w:color="auto"/>
            </w:tcBorders>
          </w:tcPr>
          <w:p>
            <w:pPr>
              <w:spacing w:before="120" w:after="120"/>
              <w:jc w:val="center"/>
              <w:rPr>
                <w:rFonts w:ascii="Times New Roman" w:hAnsi="Times New Roman" w:cs="Times New Roman"/>
                <w:b/>
                <w:noProof/>
                <w:sz w:val="24"/>
                <w:szCs w:val="24"/>
              </w:rPr>
            </w:pPr>
            <w:r>
              <w:rPr>
                <w:rFonts w:ascii="Times New Roman" w:hAnsi="Times New Roman"/>
                <w:b/>
                <w:noProof/>
                <w:sz w:val="24"/>
              </w:rPr>
              <w:t>ДЕЙСТВАЩИ ЛИЦА</w:t>
            </w:r>
          </w:p>
        </w:tc>
        <w:tc>
          <w:tcPr>
            <w:tcW w:w="2310" w:type="dxa"/>
            <w:tcBorders>
              <w:bottom w:val="single" w:sz="4" w:space="0" w:color="auto"/>
            </w:tcBorders>
          </w:tcPr>
          <w:p>
            <w:pPr>
              <w:spacing w:before="120" w:after="120"/>
              <w:jc w:val="center"/>
              <w:rPr>
                <w:rFonts w:ascii="Times New Roman" w:hAnsi="Times New Roman" w:cs="Times New Roman"/>
                <w:b/>
                <w:noProof/>
                <w:sz w:val="24"/>
                <w:szCs w:val="24"/>
              </w:rPr>
            </w:pPr>
            <w:r>
              <w:rPr>
                <w:rFonts w:ascii="Times New Roman" w:hAnsi="Times New Roman"/>
                <w:b/>
                <w:noProof/>
                <w:sz w:val="24"/>
              </w:rPr>
              <w:t>СРОК</w:t>
            </w:r>
          </w:p>
        </w:tc>
      </w:tr>
      <w:tr>
        <w:tc>
          <w:tcPr>
            <w:tcW w:w="9420" w:type="dxa"/>
            <w:gridSpan w:val="3"/>
          </w:tcPr>
          <w:p>
            <w:pPr>
              <w:tabs>
                <w:tab w:val="left" w:pos="709"/>
              </w:tabs>
              <w:spacing w:before="120" w:after="120"/>
              <w:ind w:left="709" w:hanging="709"/>
              <w:jc w:val="both"/>
              <w:rPr>
                <w:rFonts w:ascii="Times New Roman" w:hAnsi="Times New Roman" w:cs="Times New Roman"/>
                <w:noProof/>
                <w:sz w:val="24"/>
                <w:szCs w:val="24"/>
              </w:rPr>
            </w:pPr>
            <w:r>
              <w:rPr>
                <w:rFonts w:ascii="Times New Roman" w:hAnsi="Times New Roman"/>
                <w:b/>
                <w:noProof/>
                <w:sz w:val="24"/>
              </w:rPr>
              <w:t>1.</w:t>
            </w:r>
            <w:r>
              <w:rPr>
                <w:noProof/>
              </w:rPr>
              <w:tab/>
            </w:r>
            <w:r>
              <w:rPr>
                <w:rFonts w:ascii="Times New Roman" w:hAnsi="Times New Roman"/>
                <w:b/>
                <w:noProof/>
                <w:sz w:val="24"/>
              </w:rPr>
              <w:t>КЪМ ПО-ЕФЕКТИВЕН И ПРЕДВИДИМ РЕЖИМ НА ПРАВОПРИЛАГАНЕ В ЕС</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noProof/>
                <w:sz w:val="24"/>
              </w:rPr>
              <w:t>Насоки относно тълкуването и прилагането на основните разпоредби на Директивата за ПИС</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Комисия</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изпълнено</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noProof/>
                <w:sz w:val="24"/>
              </w:rPr>
              <w:t>Сътрудничество с националните експерти и съдиите по изготвяне на допълнителни по</w:t>
            </w:r>
            <w:r>
              <w:rPr>
                <w:noProof/>
              </w:rPr>
              <w:noBreakHyphen/>
            </w:r>
            <w:r>
              <w:rPr>
                <w:rFonts w:ascii="Times New Roman" w:hAnsi="Times New Roman"/>
                <w:noProof/>
                <w:sz w:val="24"/>
              </w:rPr>
              <w:t>целенасочени насоки, основаващи се на най-добрите практики</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Комисия/държави членки/Обсерватория</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до 2019 г.</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Публикуване на посочените по-горе насоки и най-добри практики онлайн, </w:t>
            </w:r>
            <w:r>
              <w:rPr>
                <w:rFonts w:ascii="Times New Roman" w:hAnsi="Times New Roman"/>
                <w:i/>
                <w:noProof/>
                <w:sz w:val="24"/>
              </w:rPr>
              <w:t>inter alia</w:t>
            </w:r>
            <w:r>
              <w:rPr>
                <w:rFonts w:ascii="Times New Roman" w:hAnsi="Times New Roman"/>
                <w:noProof/>
                <w:sz w:val="24"/>
              </w:rPr>
              <w:t>, чрез портала „Вашата Европа“</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Комисия/Обсерватория</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до 2019 г.</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noProof/>
                <w:sz w:val="24"/>
              </w:rPr>
              <w:t>Насърчаване на:</w:t>
            </w:r>
          </w:p>
          <w:p>
            <w:pPr>
              <w:spacing w:before="120" w:after="120"/>
              <w:jc w:val="both"/>
              <w:rPr>
                <w:rFonts w:ascii="Times New Roman" w:hAnsi="Times New Roman" w:cs="Times New Roman"/>
                <w:noProof/>
                <w:sz w:val="24"/>
                <w:szCs w:val="24"/>
              </w:rPr>
            </w:pPr>
            <w:r>
              <w:rPr>
                <w:rFonts w:ascii="Times New Roman" w:hAnsi="Times New Roman"/>
                <w:noProof/>
                <w:sz w:val="24"/>
              </w:rPr>
              <w:t>- специализацията на съдии в областта на ИС и упражняването на ПИС;</w:t>
            </w:r>
          </w:p>
          <w:p>
            <w:pPr>
              <w:spacing w:before="120" w:after="120"/>
              <w:jc w:val="both"/>
              <w:rPr>
                <w:rFonts w:ascii="Times New Roman" w:hAnsi="Times New Roman" w:cs="Times New Roman"/>
                <w:noProof/>
                <w:sz w:val="24"/>
                <w:szCs w:val="24"/>
              </w:rPr>
            </w:pPr>
            <w:r>
              <w:rPr>
                <w:rFonts w:ascii="Times New Roman" w:hAnsi="Times New Roman"/>
                <w:noProof/>
                <w:sz w:val="24"/>
              </w:rPr>
              <w:t>- систематичното публикуване на съдебни решения по дела, свързани с упражняване на ПИС.</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Държави членки</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w:t>
            </w:r>
          </w:p>
        </w:tc>
      </w:tr>
      <w:tr>
        <w:tc>
          <w:tcPr>
            <w:tcW w:w="480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noProof/>
                <w:sz w:val="24"/>
              </w:rPr>
              <w:t>Улесняване на по-широкото използване на алтернативното разрешаване на спорове (АРС) за уреждане на спорове относно ИС, включително идентифициране на съществуващите инструменти за АРС и анализ на предимствата на създаването на център за медиация в рамките на EUIPO.</w:t>
            </w: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noProof/>
                <w:sz w:val="24"/>
              </w:rPr>
              <w:t>Комисия/EUIPO</w:t>
            </w: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noProof/>
                <w:sz w:val="24"/>
              </w:rPr>
              <w:t>до 2019 г.</w:t>
            </w:r>
          </w:p>
        </w:tc>
      </w:tr>
      <w:tr>
        <w:tc>
          <w:tcPr>
            <w:tcW w:w="9420" w:type="dxa"/>
            <w:gridSpan w:val="3"/>
          </w:tcPr>
          <w:p>
            <w:pPr>
              <w:spacing w:before="120" w:after="120"/>
              <w:ind w:left="709" w:hanging="709"/>
              <w:jc w:val="both"/>
              <w:rPr>
                <w:rFonts w:ascii="Times New Roman" w:hAnsi="Times New Roman" w:cs="Times New Roman"/>
                <w:noProof/>
                <w:sz w:val="24"/>
                <w:szCs w:val="24"/>
              </w:rPr>
            </w:pPr>
            <w:r>
              <w:rPr>
                <w:rFonts w:ascii="Times New Roman" w:hAnsi="Times New Roman"/>
                <w:b/>
                <w:caps/>
                <w:noProof/>
                <w:sz w:val="24"/>
              </w:rPr>
              <w:t>2.</w:t>
            </w:r>
            <w:r>
              <w:rPr>
                <w:noProof/>
              </w:rPr>
              <w:tab/>
            </w:r>
            <w:r>
              <w:rPr>
                <w:rFonts w:ascii="Times New Roman" w:hAnsi="Times New Roman"/>
                <w:b/>
                <w:caps/>
                <w:noProof/>
                <w:sz w:val="24"/>
              </w:rPr>
              <w:t>УВЕЛИЧАВАНЕ НА РЪКОВОДЕНИТЕ ОТ ПРОМИШЛЕНОСТТА УСИЛИЯ ЗА ПРЕДОТВРАТЯВАНЕ НА И БОРБА С НАРУШЕНИЯТА НА ПИС</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noProof/>
                <w:sz w:val="24"/>
              </w:rPr>
              <w:t>Подобряване и разширяване на доброволните споразумения за борба с нарушенията на ПИС, по-конкретно чрез специални меморандуми за разбирателство, в които участват притежатели на права, интернет платформи, рекламни компании, превозвачи и доставчици на платежни услуги</w:t>
            </w:r>
          </w:p>
          <w:p>
            <w:pPr>
              <w:spacing w:before="120" w:after="120"/>
              <w:jc w:val="both"/>
              <w:rPr>
                <w:rFonts w:ascii="Times New Roman" w:hAnsi="Times New Roman" w:cs="Times New Roman"/>
                <w:noProof/>
                <w:sz w:val="24"/>
                <w:szCs w:val="24"/>
              </w:rPr>
            </w:pPr>
            <w:r>
              <w:rPr>
                <w:rFonts w:ascii="Times New Roman" w:hAnsi="Times New Roman"/>
                <w:noProof/>
                <w:sz w:val="24"/>
              </w:rPr>
              <w:t>Насърчаване на такива меморандуми за разбирателство; наблюдаване на функционирането и ефективността им и докладване на резултатите от тях.</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Комисия/Промишленост</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r>
              <w:rPr>
                <w:rFonts w:ascii="Times New Roman" w:hAnsi="Times New Roman"/>
                <w:noProof/>
                <w:sz w:val="24"/>
              </w:rPr>
              <w:t>Комисия/Обсерватория</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до 2019 г.</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r>
              <w:rPr>
                <w:rFonts w:ascii="Times New Roman" w:hAnsi="Times New Roman"/>
                <w:noProof/>
                <w:sz w:val="24"/>
              </w:rPr>
              <w:t>до 2019 г.</w:t>
            </w:r>
          </w:p>
        </w:tc>
      </w:tr>
      <w:tr>
        <w:tc>
          <w:tcPr>
            <w:tcW w:w="480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noProof/>
                <w:sz w:val="24"/>
              </w:rPr>
              <w:t>Насърчаване на надлежната проверка във веригите за доставки с цел борба срещу нарушенията на ПИС, проучване на потенциала на новите технологии като блокчейн и насърчаване на използването на съществуващите процеси за акредитация за въвеждане на схеми за гарантиране на съответствието в областта на ИС.</w:t>
            </w: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noProof/>
                <w:sz w:val="24"/>
              </w:rPr>
              <w:t>Комисия/държави членки/EUIPO/Обсерватория</w:t>
            </w:r>
          </w:p>
          <w:p>
            <w:pPr>
              <w:spacing w:before="120" w:after="120"/>
              <w:jc w:val="both"/>
              <w:rPr>
                <w:rFonts w:ascii="Times New Roman" w:hAnsi="Times New Roman" w:cs="Times New Roman"/>
                <w:noProof/>
                <w:sz w:val="24"/>
                <w:szCs w:val="24"/>
              </w:rPr>
            </w:pP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noProof/>
                <w:sz w:val="24"/>
              </w:rPr>
              <w:t>до 2019 г.</w:t>
            </w:r>
          </w:p>
        </w:tc>
      </w:tr>
      <w:tr>
        <w:tc>
          <w:tcPr>
            <w:tcW w:w="9420" w:type="dxa"/>
            <w:gridSpan w:val="3"/>
          </w:tcPr>
          <w:p>
            <w:pPr>
              <w:spacing w:before="120" w:after="120"/>
              <w:ind w:left="709" w:hanging="709"/>
              <w:jc w:val="both"/>
              <w:rPr>
                <w:rFonts w:ascii="Times New Roman" w:hAnsi="Times New Roman" w:cs="Times New Roman"/>
                <w:noProof/>
                <w:sz w:val="24"/>
                <w:szCs w:val="24"/>
              </w:rPr>
            </w:pPr>
            <w:r>
              <w:rPr>
                <w:rFonts w:ascii="Times New Roman" w:hAnsi="Times New Roman"/>
                <w:b/>
                <w:smallCaps/>
                <w:noProof/>
                <w:sz w:val="24"/>
              </w:rPr>
              <w:t>3.</w:t>
            </w:r>
            <w:r>
              <w:rPr>
                <w:noProof/>
              </w:rPr>
              <w:tab/>
            </w:r>
            <w:r>
              <w:rPr>
                <w:rFonts w:ascii="Times New Roman" w:hAnsi="Times New Roman"/>
                <w:b/>
                <w:caps/>
                <w:noProof/>
                <w:sz w:val="24"/>
              </w:rPr>
              <w:t>Борба срещу нарушенията на ПИС чрез засилено административно сътрудничество</w:t>
            </w:r>
            <w:r>
              <w:rPr>
                <w:rFonts w:ascii="Times New Roman" w:hAnsi="Times New Roman"/>
                <w:b/>
                <w:smallCaps/>
                <w:noProof/>
                <w:sz w:val="24"/>
              </w:rPr>
              <w:t xml:space="preserve"> </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noProof/>
                <w:sz w:val="24"/>
              </w:rPr>
              <w:t>Увеличаване на усилията и повишаване на осведомеността на обществеността за рисковете, свързани с нарушенията на правата върху ИС.</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EUIPO</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до 2019 г.</w:t>
            </w:r>
          </w:p>
        </w:tc>
      </w:tr>
      <w:tr>
        <w:tc>
          <w:tcPr>
            <w:tcW w:w="480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noProof/>
                <w:sz w:val="24"/>
              </w:rPr>
              <w:t>Предлагане на по-целенасочена помощ на националните митнически органи въз основа на резултатите от настоящия План за действие в областта на митниците и работа с Председателството на Съвета за нов План за действие в областта на митниците.</w:t>
            </w: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noProof/>
                <w:sz w:val="24"/>
              </w:rPr>
              <w:t>Комисия/Съвет</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tc>
        <w:tc>
          <w:tcPr>
            <w:tcW w:w="2310" w:type="dxa"/>
            <w:tcBorders>
              <w:bottom w:val="single" w:sz="4" w:space="0" w:color="auto"/>
            </w:tcBorders>
          </w:tcPr>
          <w:p>
            <w:pPr>
              <w:spacing w:before="120" w:after="120"/>
              <w:jc w:val="both"/>
              <w:rPr>
                <w:rFonts w:ascii="Times New Roman" w:hAnsi="Times New Roman" w:cs="Times New Roman"/>
                <w:noProof/>
                <w:sz w:val="24"/>
                <w:szCs w:val="24"/>
              </w:rPr>
            </w:pPr>
            <w:r>
              <w:rPr>
                <w:rFonts w:ascii="Times New Roman" w:hAnsi="Times New Roman"/>
                <w:noProof/>
                <w:sz w:val="24"/>
              </w:rPr>
              <w:t>2018 г.</w:t>
            </w:r>
          </w:p>
        </w:tc>
      </w:tr>
      <w:tr>
        <w:tc>
          <w:tcPr>
            <w:tcW w:w="9420" w:type="dxa"/>
            <w:gridSpan w:val="3"/>
          </w:tcPr>
          <w:p>
            <w:pPr>
              <w:spacing w:before="120" w:after="120"/>
              <w:jc w:val="both"/>
              <w:rPr>
                <w:rFonts w:ascii="Times New Roman" w:hAnsi="Times New Roman" w:cs="Times New Roman"/>
                <w:noProof/>
                <w:sz w:val="24"/>
                <w:szCs w:val="24"/>
              </w:rPr>
            </w:pPr>
            <w:r>
              <w:rPr>
                <w:rFonts w:ascii="Times New Roman" w:hAnsi="Times New Roman"/>
                <w:b/>
                <w:noProof/>
                <w:sz w:val="24"/>
              </w:rPr>
              <w:t xml:space="preserve">4. </w:t>
            </w:r>
            <w:r>
              <w:rPr>
                <w:noProof/>
              </w:rPr>
              <w:tab/>
            </w:r>
            <w:r>
              <w:rPr>
                <w:rFonts w:ascii="Times New Roman" w:hAnsi="Times New Roman"/>
                <w:b/>
                <w:noProof/>
                <w:sz w:val="24"/>
              </w:rPr>
              <w:t xml:space="preserve">БОРБА СРЕЩУ НАРУШЕНИЯТА В СВЕТОВЕН МАЩАБ </w:t>
            </w: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Публикуване на нов доклад относно защитата и прилагането на права върху интелектуална собственост в трети държави, който включва нови области (т.е. зони за свободна търговия, географски означения). </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Комисия</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първо полугодие на 2018 г.</w:t>
            </w:r>
          </w:p>
          <w:p>
            <w:pPr>
              <w:spacing w:before="120" w:after="120"/>
              <w:jc w:val="both"/>
              <w:rPr>
                <w:rFonts w:ascii="Times New Roman" w:hAnsi="Times New Roman" w:cs="Times New Roman"/>
                <w:noProof/>
                <w:sz w:val="24"/>
                <w:szCs w:val="24"/>
              </w:rPr>
            </w:pP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noProof/>
                <w:sz w:val="24"/>
              </w:rPr>
              <w:t>Създаване на списък за наблюдение на пазарите на ИС, в който са идентифицирани онлайн и физически пазари, които извършват или улесняват извършването на съществени нарушения на ПИС.</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Комисия</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2018 г.</w:t>
            </w:r>
          </w:p>
          <w:p>
            <w:pPr>
              <w:spacing w:before="120" w:after="120"/>
              <w:jc w:val="both"/>
              <w:rPr>
                <w:rFonts w:ascii="Times New Roman" w:hAnsi="Times New Roman" w:cs="Times New Roman"/>
                <w:noProof/>
                <w:sz w:val="24"/>
                <w:szCs w:val="24"/>
              </w:rPr>
            </w:pPr>
          </w:p>
        </w:tc>
      </w:tr>
      <w:tr>
        <w:tc>
          <w:tcPr>
            <w:tcW w:w="4800" w:type="dxa"/>
          </w:tcPr>
          <w:p>
            <w:pPr>
              <w:spacing w:before="120" w:after="120"/>
              <w:jc w:val="both"/>
              <w:rPr>
                <w:rFonts w:ascii="Times New Roman" w:hAnsi="Times New Roman" w:cs="Times New Roman"/>
                <w:noProof/>
                <w:sz w:val="24"/>
                <w:szCs w:val="24"/>
              </w:rPr>
            </w:pPr>
            <w:r>
              <w:rPr>
                <w:rFonts w:ascii="Times New Roman" w:hAnsi="Times New Roman"/>
                <w:noProof/>
                <w:sz w:val="24"/>
              </w:rPr>
              <w:t>Изпълнение, въз основа на годишни работни планове, на програми за техническо сътрудничество (програмите „IP Key“) с Китай, Югоизточна Азия и Латинска Америка.</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Комисия/Обсерватория</w:t>
            </w:r>
          </w:p>
        </w:tc>
        <w:tc>
          <w:tcPr>
            <w:tcW w:w="2310" w:type="dxa"/>
          </w:tcPr>
          <w:p>
            <w:pPr>
              <w:spacing w:before="120" w:after="120"/>
              <w:jc w:val="both"/>
              <w:rPr>
                <w:rFonts w:ascii="Times New Roman" w:hAnsi="Times New Roman" w:cs="Times New Roman"/>
                <w:noProof/>
                <w:sz w:val="24"/>
                <w:szCs w:val="24"/>
              </w:rPr>
            </w:pPr>
            <w:r>
              <w:rPr>
                <w:rFonts w:ascii="Times New Roman" w:hAnsi="Times New Roman"/>
                <w:noProof/>
                <w:sz w:val="24"/>
              </w:rPr>
              <w:t>2018—2019 г.</w:t>
            </w:r>
          </w:p>
        </w:tc>
      </w:tr>
    </w:tbl>
    <w:p>
      <w:pPr>
        <w:spacing w:before="120" w:after="12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03"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3692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 отчитане както на пряката, така и на косвената заетост.</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EUIPO, </w:t>
      </w:r>
      <w:r>
        <w:rPr>
          <w:rFonts w:ascii="Times New Roman" w:hAnsi="Times New Roman"/>
          <w:i/>
        </w:rPr>
        <w:t>Intellectual property rights intensive industries and economic performance in the EU (Сектори с широко използване на права върху интелектуална собственост и икономически резултати в ЕС)</w:t>
      </w:r>
      <w:r>
        <w:rPr>
          <w:rFonts w:ascii="Times New Roman" w:hAnsi="Times New Roman"/>
        </w:rPr>
        <w:t>, 2016 г.</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Независимо от това е налице и положително развитие. В областта на авторското право например новите бизнес модели доведоха до намаляване на нарушенията на авторските права на някои пазари (достъпно на адрес: </w:t>
      </w:r>
      <w:hyperlink r:id="rId1">
        <w:r>
          <w:rPr>
            <w:rStyle w:val="Hyperlink"/>
            <w:rFonts w:ascii="Times New Roman" w:hAnsi="Times New Roman"/>
          </w:rPr>
          <w:t>https://copia.is/library/the-carrot-or-the-stick/</w:t>
        </w:r>
      </w:hyperlink>
      <w:r>
        <w:rPr>
          <w:rFonts w:ascii="Times New Roman" w:hAnsi="Times New Roman"/>
        </w:rPr>
        <w:t xml:space="preserve">). Успешното развитие на законното предлагане, разбира се, също зависи от ефективните мерки за прилагане. Комисията многократно е изтъквала, че борбата с онлайн пиратството следва да се съчетае с допълнителни действия, включително развитие на законното предлагане и образователни инициативи (вж. например следните съобщения на Комисията: </w:t>
      </w:r>
      <w:r>
        <w:rPr>
          <w:rFonts w:ascii="Times New Roman" w:hAnsi="Times New Roman"/>
          <w:i/>
        </w:rPr>
        <w:t>Съобщение относно творческото онлайн съдържание в единния пазар</w:t>
      </w:r>
      <w:r>
        <w:rPr>
          <w:rFonts w:ascii="Times New Roman" w:hAnsi="Times New Roman"/>
        </w:rPr>
        <w:t xml:space="preserve"> (COM (2007)0836 окончателен) и </w:t>
      </w:r>
      <w:r>
        <w:rPr>
          <w:rFonts w:ascii="Times New Roman" w:hAnsi="Times New Roman"/>
          <w:i/>
        </w:rPr>
        <w:t>Към една модерна и по-европейска рамка за авторското право</w:t>
      </w:r>
      <w:r>
        <w:rPr>
          <w:rFonts w:ascii="Times New Roman" w:hAnsi="Times New Roman"/>
        </w:rPr>
        <w:t xml:space="preserve"> (COM (2015) 626 final). </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ОИСР/EUIPO, </w:t>
      </w:r>
      <w:r>
        <w:rPr>
          <w:rFonts w:ascii="Times New Roman" w:hAnsi="Times New Roman"/>
          <w:i/>
        </w:rPr>
        <w:t>Trade in Counterfeit and Pirated Goods: Mapping the Economic Impact (Търговия с фалшифицирани и пиратски стоки: очертаване на икономическото въздействие)</w:t>
      </w:r>
      <w:r>
        <w:rPr>
          <w:rFonts w:ascii="Times New Roman" w:hAnsi="Times New Roman"/>
        </w:rPr>
        <w:t>, 2016 г.</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Козметични продукти и продукти за лична хигиена; облекло, аксесоари и обувки; спортни стоки; играчки и игри; чанти и куфари; бижута и часовници; музикални записи; спиртни напитки и вино; и лекарства.</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Достъпно на адрес </w:t>
      </w:r>
      <w:hyperlink r:id="rId2">
        <w:r>
          <w:rPr>
            <w:rStyle w:val="Hyperlink"/>
            <w:rFonts w:ascii="Times New Roman" w:hAnsi="Times New Roman"/>
          </w:rPr>
          <w:t>https://euipo.europa.eu/ohimportal/en/web/observatory/quantification-of-ipr-infringement</w:t>
        </w:r>
      </w:hyperlink>
      <w:r>
        <w:rPr>
          <w:rStyle w:val="Hyperlink"/>
          <w:rFonts w:ascii="Times New Roman" w:hAnsi="Times New Roman"/>
        </w:rPr>
        <w:t>.</w:t>
      </w:r>
      <w:r>
        <w:rPr>
          <w:rFonts w:ascii="Times New Roman" w:hAnsi="Times New Roman"/>
        </w:rPr>
        <w:t xml:space="preserve"> </w:t>
      </w:r>
    </w:p>
  </w:footnote>
  <w:footnote w:id="8">
    <w:p>
      <w:pPr>
        <w:pStyle w:val="Cuerpo"/>
        <w:spacing w:after="0" w:line="240" w:lineRule="auto"/>
        <w:jc w:val="both"/>
        <w:rPr>
          <w:rFonts w:ascii="Times New Roman" w:eastAsiaTheme="minorHAnsi" w:hAnsi="Times New Roman" w:cs="Times New Roman"/>
          <w:color w:val="auto"/>
          <w:sz w:val="20"/>
          <w:szCs w:val="20"/>
          <w:bdr w:val="none" w:sz="0" w:space="0" w:color="auto"/>
          <w:lang w:eastAsia="en-US"/>
        </w:rPr>
      </w:pPr>
      <w:r>
        <w:rPr>
          <w:rFonts w:ascii="Times New Roman" w:hAnsi="Times New Roman"/>
          <w:sz w:val="20"/>
          <w:vertAlign w:val="superscript"/>
        </w:rPr>
        <w:footnoteRef/>
      </w:r>
      <w:r>
        <w:rPr>
          <w:rFonts w:ascii="Times New Roman" w:hAnsi="Times New Roman"/>
          <w:sz w:val="20"/>
        </w:rPr>
        <w:t xml:space="preserve"> Вж. например BASCAP/INTA, </w:t>
      </w:r>
      <w:r>
        <w:rPr>
          <w:rFonts w:ascii="Times New Roman" w:hAnsi="Times New Roman"/>
          <w:i/>
          <w:sz w:val="20"/>
        </w:rPr>
        <w:t>The economic impact of counterfeiting and piracy (Икономическо въздействие на фалшифицирането и пиратството)</w:t>
      </w:r>
      <w:r>
        <w:rPr>
          <w:rFonts w:ascii="Times New Roman" w:hAnsi="Times New Roman"/>
          <w:sz w:val="20"/>
        </w:rPr>
        <w:t>, 2017 г., достъпно на адрес:</w:t>
      </w:r>
      <w:r>
        <w:rPr>
          <w:rFonts w:ascii="Times New Roman" w:eastAsiaTheme="minorHAnsi" w:hAnsi="Times New Roman"/>
          <w:color w:val="auto"/>
          <w:sz w:val="20"/>
          <w:bdr w:val="none" w:sz="0" w:space="0" w:color="auto"/>
        </w:rPr>
        <w:t xml:space="preserve"> </w:t>
      </w:r>
      <w:hyperlink r:id="rId3">
        <w:r>
          <w:rPr>
            <w:rStyle w:val="Hyperlink"/>
            <w:rFonts w:ascii="Times New Roman" w:hAnsi="Times New Roman"/>
            <w:sz w:val="20"/>
          </w:rPr>
          <w:t>http://www.inta.org/Communications/Documents/2017_Frontier_Report.pdf</w:t>
        </w:r>
      </w:hyperlink>
      <w:r>
        <w:rPr>
          <w:rFonts w:ascii="Times New Roman" w:hAnsi="Times New Roman"/>
          <w:sz w:val="20"/>
        </w:rPr>
        <w:t xml:space="preserve">, където стойността на цифровото пиратство на филми, музика и софтуер през 2015 г. беше оценена на 213 милиарда щатски долара. Вж. също EUIPO, </w:t>
      </w:r>
      <w:r>
        <w:rPr>
          <w:rFonts w:ascii="Times New Roman" w:hAnsi="Times New Roman"/>
          <w:i/>
          <w:sz w:val="20"/>
        </w:rPr>
        <w:t>The Economic cost of IPR Infringement in the recorded Music industry (Икономическата цена на нарушаването на ПИС в звукозаписната индустрия)</w:t>
      </w:r>
      <w:r>
        <w:rPr>
          <w:rFonts w:ascii="Times New Roman" w:hAnsi="Times New Roman"/>
          <w:sz w:val="20"/>
        </w:rPr>
        <w:t xml:space="preserve"> — май 2016 г., достъпно на адрес: </w:t>
      </w:r>
      <w:hyperlink r:id="rId4">
        <w:r>
          <w:rPr>
            <w:rStyle w:val="Hyperlink"/>
            <w:rFonts w:ascii="Times New Roman" w:hAnsi="Times New Roman"/>
            <w:sz w:val="20"/>
          </w:rPr>
          <w:t>https://euipo.europa.eu/tunnel-web/secure/webdav/guest/document_library/observatory/resources/research-and-studies/ip_infringement/study7/Music_industry_en.pdf</w:t>
        </w:r>
      </w:hyperlink>
      <w:r>
        <w:rPr>
          <w:rFonts w:ascii="Times New Roman" w:hAnsi="Times New Roman"/>
          <w:sz w:val="20"/>
        </w:rPr>
        <w:t>. Това проучване установи, че през 2014 г. в резултат на потреблението на музикални записи от незаконни източници загубите на звукозаписната индустрия от продажби в ЕС възлизат на приблизително 170 милиона евро. Вж. също проучванията на Службата по интелектуална собственост на Обединеното кралство, проследяващи степента на онлайн нарушенията на авторски права. Според последната версия (май 2016 г.) 15 % от британските потребители на интернет на възраст над 12 години са използвали най-малко един обект на онлайн съдържание незаконно между март и май 2016 г., 5 % от потребителите на възраст над 12 години в Обединеното кралство са използвали изключително незаконно съдържание</w:t>
      </w:r>
      <w:r>
        <w:rPr>
          <w:rFonts w:ascii="Times New Roman" w:eastAsiaTheme="minorHAnsi" w:hAnsi="Times New Roman"/>
          <w:color w:val="auto"/>
          <w:sz w:val="20"/>
          <w:bdr w:val="none" w:sz="0" w:space="0" w:color="auto"/>
        </w:rPr>
        <w:t xml:space="preserve"> (достъпно на адрес:</w:t>
      </w:r>
    </w:p>
    <w:p>
      <w:pPr>
        <w:pStyle w:val="Cuerpo"/>
        <w:spacing w:after="0" w:line="240" w:lineRule="auto"/>
        <w:jc w:val="both"/>
        <w:rPr>
          <w:rFonts w:ascii="Times New Roman" w:hAnsi="Times New Roman" w:cs="Times New Roman"/>
          <w:sz w:val="20"/>
          <w:szCs w:val="20"/>
        </w:rPr>
      </w:pPr>
      <w:r>
        <w:rPr>
          <w:rFonts w:ascii="Times New Roman" w:eastAsiaTheme="minorHAnsi" w:hAnsi="Times New Roman"/>
          <w:color w:val="auto"/>
          <w:sz w:val="20"/>
          <w:bdr w:val="none" w:sz="0" w:space="0" w:color="auto"/>
        </w:rPr>
        <w:t xml:space="preserve"> </w:t>
      </w:r>
      <w:hyperlink r:id="rId5">
        <w:r>
          <w:rPr>
            <w:rStyle w:val="Hyperlink"/>
            <w:rFonts w:ascii="Times New Roman" w:hAnsi="Times New Roman"/>
            <w:sz w:val="20"/>
            <w:u w:val="none"/>
          </w:rPr>
          <w:t>https://www.gov.uk/government/uploads/system/uploads/attachment_data/file/546223/OCI-tracker-6th-wave-March-May-2016.pdf</w:t>
        </w:r>
      </w:hyperlink>
      <w:r>
        <w:rPr>
          <w:rFonts w:ascii="Times New Roman" w:hAnsi="Times New Roman"/>
          <w:sz w:val="20"/>
        </w:rPr>
        <w:t>).</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Неотдавнашният анализ на EUIPO (вж. бележка под линия 6) изчисли, че преките и непреките загуби на работни места в деветте отрасъла надвишават 786 000. Загубите на приходи за държавата в същите девет сектора възлизат на 14,4 милиарда евро.</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UNODC, </w:t>
      </w:r>
      <w:r>
        <w:rPr>
          <w:rFonts w:ascii="Times New Roman" w:hAnsi="Times New Roman"/>
          <w:i/>
        </w:rPr>
        <w:t>The Illicit Trafficking of Counterfeit Goods and Transnational Organized Crime (Незаконният трафик на фалшифицирани стоки и транснационалната организирана престъпност)</w:t>
      </w:r>
      <w:r>
        <w:rPr>
          <w:rFonts w:ascii="Times New Roman" w:hAnsi="Times New Roman"/>
        </w:rPr>
        <w:t>,</w:t>
      </w:r>
      <w:r>
        <w:rPr>
          <w:rFonts w:ascii="Times New Roman" w:hAnsi="Times New Roman"/>
          <w:i/>
        </w:rPr>
        <w:t xml:space="preserve"> </w:t>
      </w:r>
      <w:r>
        <w:rPr>
          <w:rFonts w:ascii="Times New Roman" w:hAnsi="Times New Roman"/>
        </w:rPr>
        <w:t>2014 г., достъпно на адрес:</w:t>
      </w:r>
    </w:p>
    <w:p>
      <w:pPr>
        <w:pStyle w:val="FootnoteText"/>
        <w:jc w:val="both"/>
        <w:rPr>
          <w:rFonts w:ascii="Times New Roman" w:hAnsi="Times New Roman" w:cs="Times New Roman"/>
        </w:rPr>
      </w:pPr>
      <w:hyperlink r:id="rId6">
        <w:r>
          <w:rPr>
            <w:rStyle w:val="Hyperlink"/>
            <w:rFonts w:ascii="Times New Roman" w:hAnsi="Times New Roman"/>
          </w:rPr>
          <w:t>https://www.unodc.org/documents/counterfeit/FocusSheet/Counterfeit_focussheet_EN_HIRES.pdf</w:t>
        </w:r>
      </w:hyperlink>
    </w:p>
    <w:p>
      <w:pPr>
        <w:pStyle w:val="FootnoteText"/>
        <w:jc w:val="both"/>
        <w:rPr>
          <w:rFonts w:ascii="Times New Roman" w:hAnsi="Times New Roman" w:cs="Times New Roman"/>
        </w:rPr>
      </w:pPr>
      <w:r>
        <w:rPr>
          <w:rFonts w:ascii="Times New Roman" w:hAnsi="Times New Roman"/>
        </w:rPr>
        <w:t xml:space="preserve">Европол — EUIPO, </w:t>
      </w:r>
      <w:r>
        <w:rPr>
          <w:rFonts w:ascii="Times New Roman" w:hAnsi="Times New Roman"/>
          <w:i/>
        </w:rPr>
        <w:t>Situation report on counterfeiting in the EU (Доклад относно състоянието на фалшифицирането в ЕС)</w:t>
      </w:r>
      <w:r>
        <w:rPr>
          <w:rFonts w:ascii="Times New Roman" w:hAnsi="Times New Roman"/>
        </w:rPr>
        <w:t xml:space="preserve">, 2015 г., достъпен на адрес: </w:t>
      </w:r>
    </w:p>
    <w:p>
      <w:pPr>
        <w:pStyle w:val="FootnoteText"/>
        <w:jc w:val="both"/>
        <w:rPr>
          <w:rFonts w:ascii="Times New Roman" w:hAnsi="Times New Roman" w:cs="Times New Roman"/>
        </w:rPr>
      </w:pPr>
      <w:hyperlink r:id="rId7">
        <w:r>
          <w:rPr>
            <w:rStyle w:val="Hyperlink"/>
            <w:rFonts w:ascii="Times New Roman" w:hAnsi="Times New Roman"/>
          </w:rPr>
          <w:t>https://euipo.europa.eu/ohimportal/documents/11370/80606/2015+Situation+Report+on+Counterfeiting+in+the+EU</w:t>
        </w:r>
      </w:hyperlink>
      <w:r>
        <w:rPr>
          <w:rStyle w:val="Hyperlink"/>
          <w:rFonts w:ascii="Times New Roman" w:hAnsi="Times New Roman"/>
          <w:color w:val="auto"/>
          <w:u w:val="none"/>
        </w:rPr>
        <w:t>, и</w:t>
      </w:r>
      <w:r>
        <w:rPr>
          <w:rFonts w:ascii="Times New Roman" w:hAnsi="Times New Roman"/>
        </w:rPr>
        <w:t xml:space="preserve"> UNICRI, </w:t>
      </w:r>
      <w:r>
        <w:rPr>
          <w:rFonts w:ascii="Times New Roman" w:hAnsi="Times New Roman"/>
          <w:i/>
        </w:rPr>
        <w:t xml:space="preserve">Illicit pesticides, Organized crime and supply chain integrity (Незаконни пестициди, организирана престъпност и цялост на веригата за доставки) </w:t>
      </w:r>
      <w:r>
        <w:rPr>
          <w:rFonts w:ascii="Times New Roman" w:hAnsi="Times New Roman"/>
        </w:rPr>
        <w:t>, 2016 г., достъпно на адрес:</w:t>
      </w:r>
    </w:p>
    <w:p>
      <w:pPr>
        <w:pStyle w:val="FootnoteText"/>
        <w:jc w:val="both"/>
        <w:rPr>
          <w:rFonts w:ascii="Times New Roman" w:hAnsi="Times New Roman" w:cs="Times New Roman"/>
        </w:rPr>
      </w:pPr>
      <w:hyperlink r:id="rId8">
        <w:r>
          <w:rPr>
            <w:rStyle w:val="Hyperlink"/>
            <w:rFonts w:ascii="Times New Roman" w:hAnsi="Times New Roman"/>
          </w:rPr>
          <w:t>http://www.unicri.it/in_focus/files/The_problem_of_illicit_pesticides_low_res1.pdf</w:t>
        </w:r>
      </w:hyperlink>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Към обновен консенсус относно прилагането на правата върху интелектуалната собственост: план за действие на ЕС</w:t>
      </w:r>
      <w:r>
        <w:rPr>
          <w:rFonts w:ascii="Times New Roman" w:hAnsi="Times New Roman"/>
        </w:rPr>
        <w:t>, COM(2014)392, 1 юли 2014 г. Въз основа на този план за действие Европейският парламент призова Комисията да представи подробна оценка на съществуващата правна рамка (вж. резолюцията от 9 юни 2015 г.).</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w:t>
      </w:r>
      <w:r>
        <w:rPr>
          <w:rFonts w:ascii="Times New Roman" w:hAnsi="Times New Roman"/>
          <w:i/>
        </w:rPr>
        <w:t>Стратегия за цифров единен пазар за Европа</w:t>
      </w:r>
      <w:r>
        <w:rPr>
          <w:rFonts w:ascii="Times New Roman" w:hAnsi="Times New Roman"/>
        </w:rPr>
        <w:t>, COM/2015/0192, 6 май 2015 г.</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w:t>
      </w:r>
      <w:r>
        <w:rPr>
          <w:rFonts w:ascii="Times New Roman" w:hAnsi="Times New Roman"/>
          <w:i/>
        </w:rPr>
        <w:t>Осъвременяване на единния пазар: повече възможности за гражданите и предприятията</w:t>
      </w:r>
      <w:r>
        <w:rPr>
          <w:rFonts w:ascii="Times New Roman" w:hAnsi="Times New Roman"/>
        </w:rPr>
        <w:t>, COM/2015/0550, 28 октомври 2015 г.</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по-специално </w:t>
      </w:r>
      <w:r>
        <w:rPr>
          <w:rFonts w:ascii="Times New Roman" w:hAnsi="Times New Roman"/>
          <w:i/>
        </w:rPr>
        <w:t>Насърчаване на справедлива, ефективна и конкурентоспособна европейска икономика, основана на авторското право, в цифровия единен пазар</w:t>
      </w:r>
      <w:r>
        <w:rPr>
          <w:rFonts w:ascii="Times New Roman" w:hAnsi="Times New Roman"/>
        </w:rPr>
        <w:t>, COM(2016)592, 14 септември 2016 г., и предложението за Директива относно авторското право в цифровия единен пазар от 14 септември 2017 г.</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Приложението съдържа преглед на основните действия.</w:t>
      </w:r>
    </w:p>
  </w:footnote>
  <w:footnote w:id="16">
    <w:p>
      <w:pPr>
        <w:pStyle w:val="FootnoteText"/>
        <w:jc w:val="both"/>
      </w:pPr>
      <w:r>
        <w:rPr>
          <w:rStyle w:val="FootnoteReference"/>
          <w:rFonts w:ascii="Times New Roman" w:hAnsi="Times New Roman"/>
        </w:rPr>
        <w:footnoteRef/>
      </w:r>
      <w:r>
        <w:rPr>
          <w:rFonts w:ascii="Times New Roman" w:hAnsi="Times New Roman"/>
        </w:rPr>
        <w:t xml:space="preserve"> Директива 2004/48/ЕО на Европейския парламент и на Съвета от 29 април 2004 г. относно упражняването на права върху интелектуалната собственост (ОВ L 157, 30.4.2004 г., стр. 45).</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Насоките за по-добро регулиране съдържат принципите на Европейската комисия за управление и оценка на съществуващото законодателство. Вж. </w:t>
      </w:r>
      <w:hyperlink r:id="rId9">
        <w:r>
          <w:rPr>
            <w:rStyle w:val="Hyperlink"/>
            <w:rFonts w:ascii="Times New Roman" w:hAnsi="Times New Roman"/>
          </w:rPr>
          <w:t>https://ec.europa.eu/info/better-regulation-guidelines-and-toolbox_bg</w:t>
        </w:r>
      </w:hyperlink>
      <w:r>
        <w:rPr>
          <w:rFonts w:ascii="Times New Roman" w:hAnsi="Times New Roman"/>
        </w:rPr>
        <w:t xml:space="preserve">. </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Резултатите от обществената консултация са публикувани на уебсайта на Комисията на адрес: </w:t>
      </w:r>
      <w:hyperlink r:id="rId10">
        <w:r>
          <w:rPr>
            <w:rStyle w:val="Hyperlink"/>
            <w:rFonts w:ascii="Times New Roman" w:hAnsi="Times New Roman"/>
          </w:rPr>
          <w:t>http://ec.europa.eu/growth/content/have-your-say-enforcement-intellectual-property-rights-0_bg</w:t>
        </w:r>
      </w:hyperlink>
      <w:r>
        <w:rPr>
          <w:rFonts w:ascii="Times New Roman" w:hAnsi="Times New Roman"/>
        </w:rPr>
        <w:t xml:space="preserve"> </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17, параграф 2 от Хартата на основните права.</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w:t>
      </w:r>
      <w:r>
        <w:rPr>
          <w:rFonts w:ascii="Times New Roman" w:hAnsi="Times New Roman"/>
          <w:i/>
        </w:rPr>
        <w:t>Насоки относно определени аспекти на Директива 2004/48/ЕО на Европейския парламент и на Съвета относно упражняването на права върху интелектуалната собственост</w:t>
      </w:r>
      <w:r>
        <w:rPr>
          <w:rFonts w:ascii="Times New Roman" w:hAnsi="Times New Roman"/>
        </w:rPr>
        <w:t>, COM(2017) 708.</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Както е обяснено в съображение 11 от Директивата за ПИС, директивата няма за цел въвеждане на хармонизирани правила за съдебно сътрудничество, юрисдикция, признаване и въвеждане в сила на решения по граждански и търговски въпроси, нито се занимава с приложимото законодателство, тъй като съществуват други инструменти на правото на Съюза, с които подобни въпроси се уреждат най-общо и които по принцип са еднакво приложими за ИС. </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раздел IV.1 от насоките.</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2000/31/ЕО на Европейския парламент и на Съвета от 8 юни 2000 г. относно определени правни аспекти на услугите на информационното общество, и по-специално на електронната търговия на вътрешния пазар (ОВ L 178, 17.7.2000 г., стр. 1). </w:t>
      </w:r>
    </w:p>
  </w:footnote>
  <w:footnote w:id="24">
    <w:p>
      <w:pPr>
        <w:pStyle w:val="FootnoteText"/>
        <w:jc w:val="both"/>
        <w:rPr>
          <w:rFonts w:ascii="Times New Roman" w:hAnsi="Times New Roman" w:cs="Times New Roman"/>
        </w:rPr>
      </w:pPr>
      <w:r>
        <w:rPr>
          <w:rStyle w:val="Ninguno"/>
          <w:rFonts w:ascii="Times New Roman" w:hAnsi="Times New Roman"/>
          <w:vertAlign w:val="superscript"/>
        </w:rPr>
        <w:footnoteRef/>
      </w:r>
      <w:r>
        <w:rPr>
          <w:rFonts w:ascii="Times New Roman" w:hAnsi="Times New Roman"/>
        </w:rPr>
        <w:t xml:space="preserve"> Съобщение на Комисията </w:t>
      </w:r>
      <w:r>
        <w:rPr>
          <w:rStyle w:val="Ninguno"/>
          <w:rFonts w:ascii="Times New Roman" w:hAnsi="Times New Roman"/>
          <w:i/>
        </w:rPr>
        <w:t>Онлайн платформите и цифровият единен пазар. Възможности и предизвикателства пред Европа</w:t>
      </w:r>
      <w:r>
        <w:rPr>
          <w:rStyle w:val="Ninguno"/>
          <w:rFonts w:ascii="Times New Roman" w:hAnsi="Times New Roman"/>
        </w:rPr>
        <w:t xml:space="preserve">, </w:t>
      </w:r>
      <w:r>
        <w:rPr>
          <w:rFonts w:ascii="Times New Roman" w:hAnsi="Times New Roman"/>
        </w:rPr>
        <w:t>COM(2016) 288 от 25 май 2016 г.</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w:t>
      </w:r>
      <w:r>
        <w:rPr>
          <w:rFonts w:ascii="Times New Roman" w:hAnsi="Times New Roman"/>
          <w:i/>
        </w:rPr>
        <w:t xml:space="preserve"> Борба с незаконното онлайн съдържание. Повишаване на отговорността на онлайн платформите,</w:t>
      </w:r>
      <w:r>
        <w:rPr>
          <w:rFonts w:ascii="Times New Roman" w:hAnsi="Times New Roman"/>
        </w:rPr>
        <w:t xml:space="preserve"> COM(2017) 555 от 28 септември 2017 г.</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Както обяви в своята Инициатива за подкрепа на стартиращи и разрастващи се предприятия (</w:t>
      </w:r>
      <w:r>
        <w:rPr>
          <w:rFonts w:ascii="Times New Roman" w:hAnsi="Times New Roman"/>
          <w:i/>
        </w:rPr>
        <w:t>Поставяне на интелектуалната собственост в услуга на МСП за насърчаване на иновациите и растежа</w:t>
      </w:r>
      <w:r>
        <w:rPr>
          <w:rFonts w:ascii="Times New Roman" w:hAnsi="Times New Roman"/>
        </w:rPr>
        <w:t>, SWD(2016) 373 от 22 ноември 2016 г.), Комисията предприема действия за насърчаване на въвеждането на такива застрахователни схеми за ИС в Европа, особено за да подпомогне МСП.</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hAnsi="Times New Roman"/>
          </w:rPr>
          <w:t>http://europa.eu/youreurope/citizens/index_bg.htm</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Това трябва да се извършва в съответствие със законодателството за защита на личните данни. Наред с това държавите членки трябва също така да се съобразят с член 15 от Директивата за ПИС, който позволява на съдебните органи да постановят по искане на ищеца и за сметка на нарушителя публикуване на съдебните решения.</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бележка под линия 26.</w:t>
      </w:r>
    </w:p>
  </w:footnote>
  <w:footnote w:id="30">
    <w:p>
      <w:pPr>
        <w:pStyle w:val="FootnoteText"/>
        <w:jc w:val="both"/>
        <w:rPr>
          <w:rFonts w:ascii="Times New Roman" w:hAnsi="Times New Roman" w:cs="Times New Roman"/>
        </w:rPr>
      </w:pPr>
      <w:r>
        <w:rPr>
          <w:rStyle w:val="Ninguno"/>
          <w:rFonts w:ascii="Times New Roman" w:hAnsi="Times New Roman"/>
          <w:vertAlign w:val="superscript"/>
        </w:rPr>
        <w:footnoteRef/>
      </w:r>
      <w:r>
        <w:rPr>
          <w:rFonts w:ascii="Times New Roman" w:hAnsi="Times New Roman"/>
        </w:rPr>
        <w:t xml:space="preserve"> Меморандум за разбирателство относно продажбата на фалшифицирани стоки по интернет от 21 юни 2016 г., достъпен на адрес </w:t>
      </w:r>
      <w:hyperlink r:id="rId12">
        <w:r>
          <w:rPr>
            <w:rStyle w:val="Hyperlink"/>
            <w:rFonts w:ascii="Times New Roman" w:hAnsi="Times New Roman"/>
          </w:rPr>
          <w:t>http://ec.europa.eu/DocsRoom/documents/18023/attachments/1/translations</w:t>
        </w:r>
      </w:hyperlink>
      <w:r>
        <w:rPr>
          <w:rFonts w:ascii="Times New Roman" w:hAnsi="Times New Roman"/>
        </w:rPr>
        <w:t>. Меморандумът за разбирателство се прилага по отношение на марките, дизайните и авторските права.</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Повече подробности относно резултатите от първия цикъл на мониторинг на меморандума за разбирателство относно фалшифицирането, включително анализ, използващ ключовите показатели за ефективност и резултатите от допитване до заинтересованите страни, могат да бъдат намерени в работния документ на службите на Комисията </w:t>
      </w:r>
      <w:r>
        <w:rPr>
          <w:rFonts w:ascii="Times New Roman" w:hAnsi="Times New Roman"/>
          <w:i/>
        </w:rPr>
        <w:t>Преглед на функционирането на Меморандума за разбирателство относно продажбата на фалшифицирани стоки по интернет</w:t>
      </w:r>
      <w:r>
        <w:rPr>
          <w:rFonts w:ascii="Times New Roman" w:hAnsi="Times New Roman"/>
        </w:rPr>
        <w:t>, SWD(2017) 430, приложен към настоящото съобщение.</w:t>
      </w:r>
    </w:p>
  </w:footnote>
  <w:footnote w:id="32">
    <w:p>
      <w:pPr>
        <w:autoSpaceDE w:val="0"/>
        <w:autoSpaceDN w:val="0"/>
        <w:adjustRightInd w:val="0"/>
        <w:spacing w:after="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Видеозаписът на семинара е достъпен на уебсайта на Комисията на адрес:</w:t>
      </w:r>
    </w:p>
    <w:p>
      <w:pPr>
        <w:autoSpaceDE w:val="0"/>
        <w:autoSpaceDN w:val="0"/>
        <w:adjustRightInd w:val="0"/>
        <w:spacing w:after="0"/>
        <w:jc w:val="both"/>
        <w:rPr>
          <w:rFonts w:ascii="Times New Roman" w:hAnsi="Times New Roman" w:cs="Times New Roman"/>
          <w:sz w:val="20"/>
          <w:szCs w:val="20"/>
        </w:rPr>
      </w:pPr>
      <w:r>
        <w:rPr>
          <w:rFonts w:ascii="Times New Roman" w:hAnsi="Times New Roman"/>
          <w:sz w:val="20"/>
        </w:rPr>
        <w:t xml:space="preserve"> </w:t>
      </w:r>
      <w:hyperlink r:id="rId13">
        <w:r>
          <w:rPr>
            <w:rStyle w:val="Hyperlink"/>
            <w:rFonts w:ascii="Times New Roman" w:hAnsi="Times New Roman"/>
            <w:sz w:val="20"/>
          </w:rPr>
          <w:t>http://ec.europa.eu/growth/industry/intellectual-property/enforcement/index_en.htm</w:t>
        </w:r>
      </w:hyperlink>
      <w:r>
        <w:rPr>
          <w:rStyle w:val="Hyperlink"/>
          <w:rFonts w:ascii="Times New Roman" w:hAnsi="Times New Roman"/>
          <w:sz w:val="20"/>
        </w:rPr>
        <w:t>.</w:t>
      </w:r>
    </w:p>
  </w:footnote>
  <w:footnote w:id="3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Съвместният изследователски център на Европейската комисия извърши обширно обследване на технологиите за удостоверяване на автентичността и системите за проследяване, публикувано през 2016 г. и достъпно на адрес:</w:t>
      </w:r>
    </w:p>
    <w:p>
      <w:pPr>
        <w:pStyle w:val="FootnoteText"/>
        <w:jc w:val="both"/>
        <w:rPr>
          <w:rFonts w:ascii="Times New Roman" w:hAnsi="Times New Roman" w:cs="Times New Roman"/>
        </w:rPr>
      </w:pPr>
      <w:r>
        <w:rPr>
          <w:rFonts w:ascii="Times New Roman" w:hAnsi="Times New Roman"/>
        </w:rPr>
        <w:t xml:space="preserve"> </w:t>
      </w:r>
      <w:hyperlink r:id="rId14">
        <w:r>
          <w:rPr>
            <w:rStyle w:val="Hyperlink"/>
            <w:rFonts w:ascii="Times New Roman" w:hAnsi="Times New Roman"/>
          </w:rPr>
          <w:t>http://publications.jrc.ec.europa.eu/repository/bitstream/JRC104204/kjna28400enn.pdf</w:t>
        </w:r>
      </w:hyperlink>
      <w:r>
        <w:rPr>
          <w:rFonts w:ascii="Times New Roman" w:hAnsi="Times New Roman"/>
        </w:rPr>
        <w:t xml:space="preserve"> </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 условие, разбира се, че основаните на блокчейн решения са в съответствие с приложимото право, особено по отношение на защитата на личните данни. </w:t>
      </w:r>
    </w:p>
  </w:footnote>
  <w:footnote w:id="3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Комисията също така ще създаде „Обсерватория и форум на ЕС за блокчейн“ съвместно с Европейския парламент.</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Например с подкрепата на информационните бюра за ПИС.</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ISO 20400 беше разгледан по време на Срещата на върха по прилагане на правата върху ИС, проведена в Берлин на 23 юни 2017 г.</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5">
        <w:r>
          <w:rPr>
            <w:rStyle w:val="Hyperlink"/>
            <w:rFonts w:ascii="Times New Roman" w:hAnsi="Times New Roman"/>
          </w:rPr>
          <w:t>https://ec.europa.eu/taxation_customs/general-information-customs/customs-security/authorised-economic-operator-aeo_en</w:t>
        </w:r>
      </w:hyperlink>
      <w:r>
        <w:rPr>
          <w:rFonts w:ascii="Times New Roman" w:hAnsi="Times New Roman"/>
        </w:rPr>
        <w:t xml:space="preserve"> </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Европол/EUIPO, </w:t>
      </w:r>
      <w:r>
        <w:rPr>
          <w:rFonts w:ascii="Times New Roman" w:hAnsi="Times New Roman"/>
          <w:i/>
        </w:rPr>
        <w:t>Situation Report on Counterfeiting and Piracy in the European Union (Доклад относно състоянието на фалшифицирането и пиратството в Европейския съюз)</w:t>
      </w:r>
      <w:r>
        <w:rPr>
          <w:rFonts w:ascii="Times New Roman" w:hAnsi="Times New Roman"/>
        </w:rPr>
        <w:t>, 2017 г., на адрес:</w:t>
      </w:r>
    </w:p>
    <w:p>
      <w:pPr>
        <w:pStyle w:val="FootnoteText"/>
        <w:jc w:val="both"/>
        <w:rPr>
          <w:rFonts w:ascii="Times New Roman" w:hAnsi="Times New Roman" w:cs="Times New Roman"/>
        </w:rPr>
      </w:pPr>
      <w:r>
        <w:rPr>
          <w:rFonts w:ascii="Times New Roman" w:hAnsi="Times New Roman"/>
        </w:rPr>
        <w:t xml:space="preserve"> </w:t>
      </w:r>
      <w:hyperlink r:id="rId16">
        <w:r>
          <w:rPr>
            <w:rStyle w:val="Hyperlink"/>
            <w:rFonts w:ascii="Times New Roman" w:hAnsi="Times New Roman"/>
          </w:rPr>
          <w:t>https://euipo.europa.eu/tunnel-web/secure/webdav/guest/document_library/observatory/documents/reports/Situation%20Report%20EUIPO-Europol_en.pdf</w:t>
        </w:r>
      </w:hyperlink>
      <w:r>
        <w:rPr>
          <w:rFonts w:ascii="Times New Roman" w:hAnsi="Times New Roman"/>
        </w:rPr>
        <w:t>.</w:t>
      </w:r>
    </w:p>
  </w:footnote>
  <w:footnote w:id="4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ОИСР/EUIPO</w:t>
      </w:r>
      <w:r>
        <w:rPr>
          <w:rFonts w:ascii="Times New Roman" w:hAnsi="Times New Roman"/>
          <w:i/>
        </w:rPr>
        <w:t>, Mapping the Real Routes of Trade in Fake Goods (Очертаване на реалните маршрути на търговията с фалшифицирани стоки)</w:t>
      </w:r>
      <w:r>
        <w:rPr>
          <w:rFonts w:ascii="Times New Roman" w:hAnsi="Times New Roman"/>
        </w:rPr>
        <w:t>, юни 2017 г., достъпно на адрес:</w:t>
      </w:r>
    </w:p>
    <w:p>
      <w:pPr>
        <w:pStyle w:val="FootnoteText"/>
        <w:jc w:val="both"/>
        <w:rPr>
          <w:rFonts w:ascii="Times New Roman" w:hAnsi="Times New Roman" w:cs="Times New Roman"/>
        </w:rPr>
      </w:pPr>
      <w:r>
        <w:rPr>
          <w:rFonts w:ascii="Times New Roman" w:hAnsi="Times New Roman"/>
        </w:rPr>
        <w:t xml:space="preserve"> </w:t>
      </w:r>
      <w:hyperlink r:id="rId17">
        <w:r>
          <w:rPr>
            <w:rStyle w:val="Hyperlink"/>
            <w:rFonts w:ascii="Times New Roman" w:hAnsi="Times New Roman"/>
          </w:rPr>
          <w:t>https://euipo.europa.eu/tunnel-web/secure/webdav/guest/document_library/observatory/documents/reports/Mapping_the_Real_Routes_of_Trade_in_Fake_Goods_en.pdf</w:t>
        </w:r>
      </w:hyperlink>
      <w:r>
        <w:rPr>
          <w:rFonts w:ascii="Times New Roman" w:hAnsi="Times New Roman"/>
        </w:rPr>
        <w:t xml:space="preserve">. </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Повече публикации по конкретни въпроси, свързани с ИС и нарушенията на ПИС, са достъпни на началната страница на Обсерваторията: https://euipo.europa.eu/ohimportal/en/web/observatory/observatory-publications.</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Резолюция на Съвета относно плана за действие на ЕС в митническата област за борба с нарушенията на ПИС (ОВ C 80, 19.3.2013 г., стр. 1).</w:t>
      </w:r>
    </w:p>
  </w:footnote>
  <w:footnote w:id="4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Директива (ЕС) 2015/2436 на Европейския парламент и на Съвета от 16 декември 2015 г. за сближаване на законодателствата на държавите членки относно марките (ОВ L 336, 23.12.2015 г., стр. 1).</w:t>
      </w:r>
    </w:p>
  </w:footnote>
  <w:footnote w:id="4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Интернет корпорация за присвоени имена и адреси.</w:t>
      </w:r>
    </w:p>
  </w:footnote>
  <w:footnote w:id="45">
    <w:p>
      <w:pPr>
        <w:pStyle w:val="FootnoteText"/>
        <w:jc w:val="both"/>
      </w:pPr>
      <w:r>
        <w:rPr>
          <w:rStyle w:val="FootnoteReference"/>
          <w:rFonts w:ascii="Times New Roman" w:hAnsi="Times New Roman"/>
        </w:rPr>
        <w:footnoteRef/>
      </w:r>
      <w:hyperlink r:id="rId18">
        <w:r>
          <w:rPr>
            <w:rStyle w:val="Hyperlink"/>
            <w:rFonts w:ascii="Times New Roman" w:hAnsi="Times New Roman"/>
          </w:rPr>
          <w:t>https://euipo.europa.eu/ohimportal/documents/11370/0/Report+on+the+protection+and+enforcement+of+intellectual+property+rights+in+third+countries</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820"/>
    <w:multiLevelType w:val="hybridMultilevel"/>
    <w:tmpl w:val="1DC6A2C8"/>
    <w:lvl w:ilvl="0" w:tplc="5DB0B390">
      <w:numFmt w:val="bullet"/>
      <w:lvlText w:val="-"/>
      <w:lvlJc w:val="left"/>
      <w:pPr>
        <w:ind w:left="720" w:hanging="360"/>
      </w:pPr>
      <w:rPr>
        <w:rFonts w:ascii="Times New Roman" w:eastAsiaTheme="minorHAnsi" w:hAnsi="Times New Roman"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078BC"/>
    <w:multiLevelType w:val="hybridMultilevel"/>
    <w:tmpl w:val="32A8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4318D"/>
    <w:multiLevelType w:val="hybridMultilevel"/>
    <w:tmpl w:val="6EAE69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AE0024"/>
    <w:multiLevelType w:val="hybridMultilevel"/>
    <w:tmpl w:val="1B0613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AC1280"/>
    <w:multiLevelType w:val="hybridMultilevel"/>
    <w:tmpl w:val="CDAE3F46"/>
    <w:lvl w:ilvl="0" w:tplc="D094634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F55B9"/>
    <w:multiLevelType w:val="hybridMultilevel"/>
    <w:tmpl w:val="AAD8C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65925"/>
    <w:multiLevelType w:val="hybridMultilevel"/>
    <w:tmpl w:val="45820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462D0A"/>
    <w:multiLevelType w:val="hybridMultilevel"/>
    <w:tmpl w:val="13169C0A"/>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2101D2"/>
    <w:multiLevelType w:val="hybridMultilevel"/>
    <w:tmpl w:val="E76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8869BC"/>
    <w:multiLevelType w:val="hybridMultilevel"/>
    <w:tmpl w:val="595EE01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2245A2F"/>
    <w:multiLevelType w:val="hybridMultilevel"/>
    <w:tmpl w:val="FBD6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07216F"/>
    <w:multiLevelType w:val="hybridMultilevel"/>
    <w:tmpl w:val="9792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CC5759"/>
    <w:multiLevelType w:val="hybridMultilevel"/>
    <w:tmpl w:val="17765F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930FD3"/>
    <w:multiLevelType w:val="hybridMultilevel"/>
    <w:tmpl w:val="6B3A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A9455B"/>
    <w:multiLevelType w:val="hybridMultilevel"/>
    <w:tmpl w:val="FBC2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8777AE"/>
    <w:multiLevelType w:val="hybridMultilevel"/>
    <w:tmpl w:val="31B6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120D48"/>
    <w:multiLevelType w:val="hybridMultilevel"/>
    <w:tmpl w:val="5B2AE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432656"/>
    <w:multiLevelType w:val="multilevel"/>
    <w:tmpl w:val="DD70A9D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DE03F88"/>
    <w:multiLevelType w:val="hybridMultilevel"/>
    <w:tmpl w:val="012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335E3B"/>
    <w:multiLevelType w:val="hybridMultilevel"/>
    <w:tmpl w:val="F8BA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7910C7"/>
    <w:multiLevelType w:val="hybridMultilevel"/>
    <w:tmpl w:val="86B695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1B3A98"/>
    <w:multiLevelType w:val="hybridMultilevel"/>
    <w:tmpl w:val="6FBE5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2E65E76"/>
    <w:multiLevelType w:val="hybridMultilevel"/>
    <w:tmpl w:val="5584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018E6"/>
    <w:multiLevelType w:val="hybridMultilevel"/>
    <w:tmpl w:val="A7D8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005C95"/>
    <w:multiLevelType w:val="hybridMultilevel"/>
    <w:tmpl w:val="2C7266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F8230C2"/>
    <w:multiLevelType w:val="multilevel"/>
    <w:tmpl w:val="12242F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3845D2"/>
    <w:multiLevelType w:val="hybridMultilevel"/>
    <w:tmpl w:val="4F1414E2"/>
    <w:lvl w:ilvl="0" w:tplc="B09CD21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40061EC"/>
    <w:multiLevelType w:val="hybridMultilevel"/>
    <w:tmpl w:val="10AE38D0"/>
    <w:lvl w:ilvl="0" w:tplc="AEB282B8">
      <w:start w:val="1"/>
      <w:numFmt w:val="decimal"/>
      <w:lvlText w:val="%1."/>
      <w:lvlJc w:val="left"/>
      <w:pPr>
        <w:ind w:left="720" w:hanging="360"/>
      </w:pPr>
      <w:rPr>
        <w:b/>
        <w:i w:val="0"/>
        <w:sz w:val="22"/>
        <w:szCs w:val="22"/>
      </w:rPr>
    </w:lvl>
    <w:lvl w:ilvl="1" w:tplc="88C0B4EA">
      <w:start w:val="1"/>
      <w:numFmt w:val="lowerLetter"/>
      <w:lvlText w:val="%2."/>
      <w:lvlJc w:val="left"/>
      <w:pPr>
        <w:ind w:left="1440" w:hanging="360"/>
      </w:pPr>
      <w:rPr>
        <w:b/>
      </w:rPr>
    </w:lvl>
    <w:lvl w:ilvl="2" w:tplc="0809001B">
      <w:start w:val="1"/>
      <w:numFmt w:val="lowerRoman"/>
      <w:lvlText w:val="%3."/>
      <w:lvlJc w:val="right"/>
      <w:pPr>
        <w:ind w:left="2160" w:hanging="180"/>
      </w:pPr>
    </w:lvl>
    <w:lvl w:ilvl="3" w:tplc="0688EF5A">
      <w:numFmt w:val="bullet"/>
      <w:lvlText w:val="-"/>
      <w:lvlJc w:val="left"/>
      <w:pPr>
        <w:ind w:left="2880" w:hanging="36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235D35"/>
    <w:multiLevelType w:val="hybridMultilevel"/>
    <w:tmpl w:val="EB8E28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DC3770F"/>
    <w:multiLevelType w:val="hybridMultilevel"/>
    <w:tmpl w:val="B6567EE0"/>
    <w:lvl w:ilvl="0" w:tplc="88C0B4EA">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4"/>
  </w:num>
  <w:num w:numId="3">
    <w:abstractNumId w:val="20"/>
  </w:num>
  <w:num w:numId="4">
    <w:abstractNumId w:val="13"/>
  </w:num>
  <w:num w:numId="5">
    <w:abstractNumId w:val="15"/>
  </w:num>
  <w:num w:numId="6">
    <w:abstractNumId w:val="4"/>
  </w:num>
  <w:num w:numId="7">
    <w:abstractNumId w:val="7"/>
  </w:num>
  <w:num w:numId="8">
    <w:abstractNumId w:val="16"/>
  </w:num>
  <w:num w:numId="9">
    <w:abstractNumId w:val="27"/>
  </w:num>
  <w:num w:numId="10">
    <w:abstractNumId w:val="29"/>
  </w:num>
  <w:num w:numId="11">
    <w:abstractNumId w:val="8"/>
  </w:num>
  <w:num w:numId="12">
    <w:abstractNumId w:val="14"/>
  </w:num>
  <w:num w:numId="13">
    <w:abstractNumId w:val="28"/>
  </w:num>
  <w:num w:numId="14">
    <w:abstractNumId w:val="25"/>
  </w:num>
  <w:num w:numId="15">
    <w:abstractNumId w:val="17"/>
  </w:num>
  <w:num w:numId="16">
    <w:abstractNumId w:val="11"/>
  </w:num>
  <w:num w:numId="17">
    <w:abstractNumId w:val="6"/>
  </w:num>
  <w:num w:numId="18">
    <w:abstractNumId w:val="10"/>
  </w:num>
  <w:num w:numId="19">
    <w:abstractNumId w:val="1"/>
  </w:num>
  <w:num w:numId="20">
    <w:abstractNumId w:val="19"/>
  </w:num>
  <w:num w:numId="21">
    <w:abstractNumId w:val="18"/>
  </w:num>
  <w:num w:numId="22">
    <w:abstractNumId w:val="5"/>
  </w:num>
  <w:num w:numId="23">
    <w:abstractNumId w:val="3"/>
  </w:num>
  <w:num w:numId="24">
    <w:abstractNumId w:val="0"/>
  </w:num>
  <w:num w:numId="25">
    <w:abstractNumId w:val="22"/>
  </w:num>
  <w:num w:numId="26">
    <w:abstractNumId w:val="21"/>
  </w:num>
  <w:num w:numId="27">
    <w:abstractNumId w:val="23"/>
  </w:num>
  <w:num w:numId="28">
    <w:abstractNumId w:val="26"/>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9A05119-6839-4B0B-9766-50D72BD68C68"/>
    <w:docVar w:name="LW_COVERPAGE_TYPE" w:val="1"/>
    <w:docVar w:name="LW_CROSSREFERENCE" w:val="{SWD(2017) 430 final}"/>
    <w:docVar w:name="LW_DocType" w:val="NORMAL"/>
    <w:docVar w:name="LW_EMISSION" w:val="29.11.2017"/>
    <w:docVar w:name="LW_EMISSION_ISODATE" w:val="2017-11-29"/>
    <w:docVar w:name="LW_EMISSION_LOCATION" w:val="BRX"/>
    <w:docVar w:name="LW_EMISSION_PREFIX" w:val="Брюксел, "/>
    <w:docVar w:name="LW_EMISSION_SUFFIX" w:val="\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 Cyr&gt;\u1041?\u1072?\u1083?\u1072?\u1085?\u1089?\u1080?\u1088?\u1072?\u1085?\u1072? \u1089?\u1080?\u1089?\u1090?\u1077?\u1084?\u1072? \u1079?\u1072? \u1086?\u1089?\u1080?\u1075?\u1091?\u1088?\u1103?\u1074?\u1072?\u1085?\u1077? \u1085?\u1072? \u1087?\u1088?\u1080?\u1083?\u1072?\u1075?\u1072?\u1085?\u1077?\u1090?\u1086? \u1085?\u1072? \u1087?\u1088?\u1072?\u1074?\u1072?\u1090?\u1072? \u1074?\u1098?\u1088?\u1093?\u1091? \u1080?\u1085?\u1090?\u1077?\u1083?\u1077?\u1082?\u1090?\u1091?\u1072?\u1083?\u1085?\u1072? \u1089?\u1086?\u1073?\u1089?\u1090?\u1074?\u1077?\u1085?\u1086?\u1089?\u1090?, \u1086?\u1090?\u1075?\u1086?\u1074?\u1072?\u1088?\u1103?\u1097?\u1072? \u1085?\u1072? \u1076?\u1085?\u1077?\u1096?\u1085?\u1080?\u1090?\u1077? \u1087?\u1088?\u1077?\u1076?\u1080?\u1079?\u1074?\u1080?\u1082?\u1072?\u1090?\u1077?\u1083?\u1089?\u1090?\u1074?\u1072? \u1087?\u1088?\u1077?\u1076? \u1086?\u1073?\u1097?\u1077?\u1089?\u1090?\u1074?\u1086?\u1090?\u1086?&lt;/FMT&gt;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5"/>
      </w:numPr>
      <w:spacing w:before="480" w:after="240" w:line="240" w:lineRule="auto"/>
      <w:ind w:left="482" w:hanging="482"/>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pPr>
      <w:keepNext/>
      <w:numPr>
        <w:ilvl w:val="1"/>
        <w:numId w:val="15"/>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5"/>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5"/>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Pr>
      <w:rFonts w:ascii="Times New Roman" w:eastAsia="Times New Roman" w:hAnsi="Times New Roman" w:cs="Times New Roman"/>
      <w:b/>
      <w:smallCaps/>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Cuerpo">
    <w:name w:val="Cuerpo"/>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Enlace">
    <w:name w:val="Enlace"/>
    <w:rPr>
      <w:color w:val="0000FF"/>
      <w:u w:val="single" w:color="0000FF"/>
    </w:rPr>
  </w:style>
  <w:style w:type="character" w:customStyle="1" w:styleId="Ninguno">
    <w:name w:val="Ninguno"/>
  </w:style>
  <w:style w:type="character" w:customStyle="1" w:styleId="Hyperlink5">
    <w:name w:val="Hyperlink.5"/>
    <w:basedOn w:val="Enlace"/>
    <w:rPr>
      <w:rFonts w:ascii="Times New Roman" w:eastAsia="Times New Roman" w:hAnsi="Times New Roman" w:cs="Times New Roman"/>
      <w:color w:val="0000FF"/>
      <w:sz w:val="20"/>
      <w:szCs w:val="20"/>
      <w:u w:val="single" w:color="0000FF"/>
      <w:lang w:val="bg-BG"/>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5"/>
      </w:numPr>
      <w:spacing w:before="480" w:after="240" w:line="240" w:lineRule="auto"/>
      <w:ind w:left="482" w:hanging="482"/>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pPr>
      <w:keepNext/>
      <w:numPr>
        <w:ilvl w:val="1"/>
        <w:numId w:val="15"/>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5"/>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5"/>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Pr>
      <w:rFonts w:ascii="Times New Roman" w:eastAsia="Times New Roman" w:hAnsi="Times New Roman" w:cs="Times New Roman"/>
      <w:b/>
      <w:smallCaps/>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Cuerpo">
    <w:name w:val="Cuerpo"/>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Enlace">
    <w:name w:val="Enlace"/>
    <w:rPr>
      <w:color w:val="0000FF"/>
      <w:u w:val="single" w:color="0000FF"/>
    </w:rPr>
  </w:style>
  <w:style w:type="character" w:customStyle="1" w:styleId="Ninguno">
    <w:name w:val="Ninguno"/>
  </w:style>
  <w:style w:type="character" w:customStyle="1" w:styleId="Hyperlink5">
    <w:name w:val="Hyperlink.5"/>
    <w:basedOn w:val="Enlace"/>
    <w:rPr>
      <w:rFonts w:ascii="Times New Roman" w:eastAsia="Times New Roman" w:hAnsi="Times New Roman" w:cs="Times New Roman"/>
      <w:color w:val="0000FF"/>
      <w:sz w:val="20"/>
      <w:szCs w:val="20"/>
      <w:u w:val="single" w:color="0000FF"/>
      <w:lang w:val="bg-BG"/>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character" w:customStyle="1" w:styleId="ListParagraphChar">
    <w:name w:val="List Paragraph Char"/>
    <w:basedOn w:val="DefaultParagraphFont"/>
    <w:link w:val="ListParagraph"/>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977">
      <w:bodyDiv w:val="1"/>
      <w:marLeft w:val="0"/>
      <w:marRight w:val="0"/>
      <w:marTop w:val="0"/>
      <w:marBottom w:val="0"/>
      <w:divBdr>
        <w:top w:val="none" w:sz="0" w:space="0" w:color="auto"/>
        <w:left w:val="none" w:sz="0" w:space="0" w:color="auto"/>
        <w:bottom w:val="none" w:sz="0" w:space="0" w:color="auto"/>
        <w:right w:val="none" w:sz="0" w:space="0" w:color="auto"/>
      </w:divBdr>
    </w:div>
    <w:div w:id="253322911">
      <w:bodyDiv w:val="1"/>
      <w:marLeft w:val="0"/>
      <w:marRight w:val="0"/>
      <w:marTop w:val="0"/>
      <w:marBottom w:val="0"/>
      <w:divBdr>
        <w:top w:val="none" w:sz="0" w:space="0" w:color="auto"/>
        <w:left w:val="none" w:sz="0" w:space="0" w:color="auto"/>
        <w:bottom w:val="none" w:sz="0" w:space="0" w:color="auto"/>
        <w:right w:val="none" w:sz="0" w:space="0" w:color="auto"/>
      </w:divBdr>
    </w:div>
    <w:div w:id="331761427">
      <w:bodyDiv w:val="1"/>
      <w:marLeft w:val="0"/>
      <w:marRight w:val="0"/>
      <w:marTop w:val="0"/>
      <w:marBottom w:val="0"/>
      <w:divBdr>
        <w:top w:val="none" w:sz="0" w:space="0" w:color="auto"/>
        <w:left w:val="none" w:sz="0" w:space="0" w:color="auto"/>
        <w:bottom w:val="none" w:sz="0" w:space="0" w:color="auto"/>
        <w:right w:val="none" w:sz="0" w:space="0" w:color="auto"/>
      </w:divBdr>
      <w:divsChild>
        <w:div w:id="809981088">
          <w:marLeft w:val="0"/>
          <w:marRight w:val="0"/>
          <w:marTop w:val="0"/>
          <w:marBottom w:val="0"/>
          <w:divBdr>
            <w:top w:val="none" w:sz="0" w:space="0" w:color="auto"/>
            <w:left w:val="none" w:sz="0" w:space="0" w:color="auto"/>
            <w:bottom w:val="none" w:sz="0" w:space="0" w:color="auto"/>
            <w:right w:val="none" w:sz="0" w:space="0" w:color="auto"/>
          </w:divBdr>
          <w:divsChild>
            <w:div w:id="1211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344">
      <w:bodyDiv w:val="1"/>
      <w:marLeft w:val="0"/>
      <w:marRight w:val="0"/>
      <w:marTop w:val="0"/>
      <w:marBottom w:val="0"/>
      <w:divBdr>
        <w:top w:val="none" w:sz="0" w:space="0" w:color="auto"/>
        <w:left w:val="none" w:sz="0" w:space="0" w:color="auto"/>
        <w:bottom w:val="none" w:sz="0" w:space="0" w:color="auto"/>
        <w:right w:val="none" w:sz="0" w:space="0" w:color="auto"/>
      </w:divBdr>
    </w:div>
    <w:div w:id="366175229">
      <w:bodyDiv w:val="1"/>
      <w:marLeft w:val="0"/>
      <w:marRight w:val="0"/>
      <w:marTop w:val="0"/>
      <w:marBottom w:val="0"/>
      <w:divBdr>
        <w:top w:val="none" w:sz="0" w:space="0" w:color="auto"/>
        <w:left w:val="none" w:sz="0" w:space="0" w:color="auto"/>
        <w:bottom w:val="none" w:sz="0" w:space="0" w:color="auto"/>
        <w:right w:val="none" w:sz="0" w:space="0" w:color="auto"/>
      </w:divBdr>
    </w:div>
    <w:div w:id="409735543">
      <w:bodyDiv w:val="1"/>
      <w:marLeft w:val="0"/>
      <w:marRight w:val="0"/>
      <w:marTop w:val="0"/>
      <w:marBottom w:val="0"/>
      <w:divBdr>
        <w:top w:val="none" w:sz="0" w:space="0" w:color="auto"/>
        <w:left w:val="none" w:sz="0" w:space="0" w:color="auto"/>
        <w:bottom w:val="none" w:sz="0" w:space="0" w:color="auto"/>
        <w:right w:val="none" w:sz="0" w:space="0" w:color="auto"/>
      </w:divBdr>
    </w:div>
    <w:div w:id="554852653">
      <w:bodyDiv w:val="1"/>
      <w:marLeft w:val="0"/>
      <w:marRight w:val="0"/>
      <w:marTop w:val="0"/>
      <w:marBottom w:val="0"/>
      <w:divBdr>
        <w:top w:val="none" w:sz="0" w:space="0" w:color="auto"/>
        <w:left w:val="none" w:sz="0" w:space="0" w:color="auto"/>
        <w:bottom w:val="none" w:sz="0" w:space="0" w:color="auto"/>
        <w:right w:val="none" w:sz="0" w:space="0" w:color="auto"/>
      </w:divBdr>
    </w:div>
    <w:div w:id="693464206">
      <w:bodyDiv w:val="1"/>
      <w:marLeft w:val="0"/>
      <w:marRight w:val="0"/>
      <w:marTop w:val="0"/>
      <w:marBottom w:val="0"/>
      <w:divBdr>
        <w:top w:val="none" w:sz="0" w:space="0" w:color="auto"/>
        <w:left w:val="none" w:sz="0" w:space="0" w:color="auto"/>
        <w:bottom w:val="none" w:sz="0" w:space="0" w:color="auto"/>
        <w:right w:val="none" w:sz="0" w:space="0" w:color="auto"/>
      </w:divBdr>
    </w:div>
    <w:div w:id="716665501">
      <w:bodyDiv w:val="1"/>
      <w:marLeft w:val="0"/>
      <w:marRight w:val="0"/>
      <w:marTop w:val="0"/>
      <w:marBottom w:val="0"/>
      <w:divBdr>
        <w:top w:val="none" w:sz="0" w:space="0" w:color="auto"/>
        <w:left w:val="none" w:sz="0" w:space="0" w:color="auto"/>
        <w:bottom w:val="none" w:sz="0" w:space="0" w:color="auto"/>
        <w:right w:val="none" w:sz="0" w:space="0" w:color="auto"/>
      </w:divBdr>
    </w:div>
    <w:div w:id="720057910">
      <w:bodyDiv w:val="1"/>
      <w:marLeft w:val="0"/>
      <w:marRight w:val="0"/>
      <w:marTop w:val="0"/>
      <w:marBottom w:val="0"/>
      <w:divBdr>
        <w:top w:val="none" w:sz="0" w:space="0" w:color="auto"/>
        <w:left w:val="none" w:sz="0" w:space="0" w:color="auto"/>
        <w:bottom w:val="none" w:sz="0" w:space="0" w:color="auto"/>
        <w:right w:val="none" w:sz="0" w:space="0" w:color="auto"/>
      </w:divBdr>
    </w:div>
    <w:div w:id="742878529">
      <w:bodyDiv w:val="1"/>
      <w:marLeft w:val="0"/>
      <w:marRight w:val="0"/>
      <w:marTop w:val="0"/>
      <w:marBottom w:val="0"/>
      <w:divBdr>
        <w:top w:val="none" w:sz="0" w:space="0" w:color="auto"/>
        <w:left w:val="none" w:sz="0" w:space="0" w:color="auto"/>
        <w:bottom w:val="none" w:sz="0" w:space="0" w:color="auto"/>
        <w:right w:val="none" w:sz="0" w:space="0" w:color="auto"/>
      </w:divBdr>
    </w:div>
    <w:div w:id="827943880">
      <w:bodyDiv w:val="1"/>
      <w:marLeft w:val="0"/>
      <w:marRight w:val="0"/>
      <w:marTop w:val="0"/>
      <w:marBottom w:val="0"/>
      <w:divBdr>
        <w:top w:val="none" w:sz="0" w:space="0" w:color="auto"/>
        <w:left w:val="none" w:sz="0" w:space="0" w:color="auto"/>
        <w:bottom w:val="none" w:sz="0" w:space="0" w:color="auto"/>
        <w:right w:val="none" w:sz="0" w:space="0" w:color="auto"/>
      </w:divBdr>
    </w:div>
    <w:div w:id="968320778">
      <w:bodyDiv w:val="1"/>
      <w:marLeft w:val="0"/>
      <w:marRight w:val="0"/>
      <w:marTop w:val="0"/>
      <w:marBottom w:val="0"/>
      <w:divBdr>
        <w:top w:val="none" w:sz="0" w:space="0" w:color="auto"/>
        <w:left w:val="none" w:sz="0" w:space="0" w:color="auto"/>
        <w:bottom w:val="none" w:sz="0" w:space="0" w:color="auto"/>
        <w:right w:val="none" w:sz="0" w:space="0" w:color="auto"/>
      </w:divBdr>
    </w:div>
    <w:div w:id="978609931">
      <w:bodyDiv w:val="1"/>
      <w:marLeft w:val="0"/>
      <w:marRight w:val="0"/>
      <w:marTop w:val="0"/>
      <w:marBottom w:val="0"/>
      <w:divBdr>
        <w:top w:val="none" w:sz="0" w:space="0" w:color="auto"/>
        <w:left w:val="none" w:sz="0" w:space="0" w:color="auto"/>
        <w:bottom w:val="none" w:sz="0" w:space="0" w:color="auto"/>
        <w:right w:val="none" w:sz="0" w:space="0" w:color="auto"/>
      </w:divBdr>
    </w:div>
    <w:div w:id="1288706992">
      <w:bodyDiv w:val="1"/>
      <w:marLeft w:val="0"/>
      <w:marRight w:val="0"/>
      <w:marTop w:val="0"/>
      <w:marBottom w:val="0"/>
      <w:divBdr>
        <w:top w:val="none" w:sz="0" w:space="0" w:color="auto"/>
        <w:left w:val="none" w:sz="0" w:space="0" w:color="auto"/>
        <w:bottom w:val="none" w:sz="0" w:space="0" w:color="auto"/>
        <w:right w:val="none" w:sz="0" w:space="0" w:color="auto"/>
      </w:divBdr>
    </w:div>
    <w:div w:id="1332951999">
      <w:bodyDiv w:val="1"/>
      <w:marLeft w:val="0"/>
      <w:marRight w:val="0"/>
      <w:marTop w:val="0"/>
      <w:marBottom w:val="0"/>
      <w:divBdr>
        <w:top w:val="none" w:sz="0" w:space="0" w:color="auto"/>
        <w:left w:val="none" w:sz="0" w:space="0" w:color="auto"/>
        <w:bottom w:val="none" w:sz="0" w:space="0" w:color="auto"/>
        <w:right w:val="none" w:sz="0" w:space="0" w:color="auto"/>
      </w:divBdr>
    </w:div>
    <w:div w:id="1386106787">
      <w:bodyDiv w:val="1"/>
      <w:marLeft w:val="0"/>
      <w:marRight w:val="0"/>
      <w:marTop w:val="0"/>
      <w:marBottom w:val="0"/>
      <w:divBdr>
        <w:top w:val="none" w:sz="0" w:space="0" w:color="auto"/>
        <w:left w:val="none" w:sz="0" w:space="0" w:color="auto"/>
        <w:bottom w:val="none" w:sz="0" w:space="0" w:color="auto"/>
        <w:right w:val="none" w:sz="0" w:space="0" w:color="auto"/>
      </w:divBdr>
    </w:div>
    <w:div w:id="1394083946">
      <w:bodyDiv w:val="1"/>
      <w:marLeft w:val="0"/>
      <w:marRight w:val="0"/>
      <w:marTop w:val="0"/>
      <w:marBottom w:val="0"/>
      <w:divBdr>
        <w:top w:val="none" w:sz="0" w:space="0" w:color="auto"/>
        <w:left w:val="none" w:sz="0" w:space="0" w:color="auto"/>
        <w:bottom w:val="none" w:sz="0" w:space="0" w:color="auto"/>
        <w:right w:val="none" w:sz="0" w:space="0" w:color="auto"/>
      </w:divBdr>
    </w:div>
    <w:div w:id="1644265180">
      <w:bodyDiv w:val="1"/>
      <w:marLeft w:val="0"/>
      <w:marRight w:val="0"/>
      <w:marTop w:val="0"/>
      <w:marBottom w:val="0"/>
      <w:divBdr>
        <w:top w:val="none" w:sz="0" w:space="0" w:color="auto"/>
        <w:left w:val="none" w:sz="0" w:space="0" w:color="auto"/>
        <w:bottom w:val="none" w:sz="0" w:space="0" w:color="auto"/>
        <w:right w:val="none" w:sz="0" w:space="0" w:color="auto"/>
      </w:divBdr>
    </w:div>
    <w:div w:id="1660497863">
      <w:bodyDiv w:val="1"/>
      <w:marLeft w:val="0"/>
      <w:marRight w:val="0"/>
      <w:marTop w:val="0"/>
      <w:marBottom w:val="0"/>
      <w:divBdr>
        <w:top w:val="none" w:sz="0" w:space="0" w:color="auto"/>
        <w:left w:val="none" w:sz="0" w:space="0" w:color="auto"/>
        <w:bottom w:val="none" w:sz="0" w:space="0" w:color="auto"/>
        <w:right w:val="none" w:sz="0" w:space="0" w:color="auto"/>
      </w:divBdr>
    </w:div>
    <w:div w:id="1726562748">
      <w:bodyDiv w:val="1"/>
      <w:marLeft w:val="0"/>
      <w:marRight w:val="0"/>
      <w:marTop w:val="0"/>
      <w:marBottom w:val="0"/>
      <w:divBdr>
        <w:top w:val="none" w:sz="0" w:space="0" w:color="auto"/>
        <w:left w:val="none" w:sz="0" w:space="0" w:color="auto"/>
        <w:bottom w:val="none" w:sz="0" w:space="0" w:color="auto"/>
        <w:right w:val="none" w:sz="0" w:space="0" w:color="auto"/>
      </w:divBdr>
    </w:div>
    <w:div w:id="1875774323">
      <w:bodyDiv w:val="1"/>
      <w:marLeft w:val="0"/>
      <w:marRight w:val="0"/>
      <w:marTop w:val="0"/>
      <w:marBottom w:val="0"/>
      <w:divBdr>
        <w:top w:val="none" w:sz="0" w:space="0" w:color="auto"/>
        <w:left w:val="none" w:sz="0" w:space="0" w:color="auto"/>
        <w:bottom w:val="none" w:sz="0" w:space="0" w:color="auto"/>
        <w:right w:val="none" w:sz="0" w:space="0" w:color="auto"/>
      </w:divBdr>
    </w:div>
    <w:div w:id="1966084362">
      <w:bodyDiv w:val="1"/>
      <w:marLeft w:val="0"/>
      <w:marRight w:val="0"/>
      <w:marTop w:val="0"/>
      <w:marBottom w:val="0"/>
      <w:divBdr>
        <w:top w:val="none" w:sz="0" w:space="0" w:color="auto"/>
        <w:left w:val="none" w:sz="0" w:space="0" w:color="auto"/>
        <w:bottom w:val="none" w:sz="0" w:space="0" w:color="auto"/>
        <w:right w:val="none" w:sz="0" w:space="0" w:color="auto"/>
      </w:divBdr>
    </w:div>
    <w:div w:id="20751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icri.it/in_focus/files/The_problem_of_illicit_pesticides_low_res1.pdf" TargetMode="External"/><Relationship Id="rId13" Type="http://schemas.openxmlformats.org/officeDocument/2006/relationships/hyperlink" Target="http://ec.europa.eu/growth/industry/intellectual-property/enforcement/index_en.htm" TargetMode="External"/><Relationship Id="rId18" Type="http://schemas.openxmlformats.org/officeDocument/2006/relationships/hyperlink" Target="https://euipo.europa.eu/ohimportal/documents/11370/0/Report+on+the+protection+and+enforcement+of+intellectual+property+rights+in+third+countries" TargetMode="External"/><Relationship Id="rId3" Type="http://schemas.openxmlformats.org/officeDocument/2006/relationships/hyperlink" Target="http://www.inta.org/Communications/Documents/2017_Frontier_Report.pdf" TargetMode="External"/><Relationship Id="rId7" Type="http://schemas.openxmlformats.org/officeDocument/2006/relationships/hyperlink" Target="https://euipo.europa.eu/ohimportal/documents/11370/80606/2015+Situation+Report+on+Counterfeiting+in+the+EU" TargetMode="External"/><Relationship Id="rId12" Type="http://schemas.openxmlformats.org/officeDocument/2006/relationships/hyperlink" Target="http://ec.europa.eu/DocsRoom/documents/18023/attachments/1/translations?locale=bg" TargetMode="External"/><Relationship Id="rId17" Type="http://schemas.openxmlformats.org/officeDocument/2006/relationships/hyperlink" Target="https://euipo.europa.eu/tunnel-web/secure/webdav/guest/document_library/observatory/documents/reports/Mapping_the_Real_Routes_of_Trade_in_Fake_Goods_en.pdf" TargetMode="External"/><Relationship Id="rId2" Type="http://schemas.openxmlformats.org/officeDocument/2006/relationships/hyperlink" Target="https://euipo.europa.eu/ohimportal/en/web/observatory/quantification-of-ipr-infringement" TargetMode="External"/><Relationship Id="rId16" Type="http://schemas.openxmlformats.org/officeDocument/2006/relationships/hyperlink" Target="https://euipo.europa.eu/tunnel-web/secure/webdav/guest/document_library/observatory/documents/reports/Situation%20Report%20EUIPO-Europol_en.pdf" TargetMode="External"/><Relationship Id="rId1" Type="http://schemas.openxmlformats.org/officeDocument/2006/relationships/hyperlink" Target="https://copia.is/library/the-carrot-or-the-stick/" TargetMode="External"/><Relationship Id="rId6" Type="http://schemas.openxmlformats.org/officeDocument/2006/relationships/hyperlink" Target="https://www.unodc.org/documents/counterfeit/FocusSheet/Counterfeit_focussheet_EN_HIRES.pdf" TargetMode="External"/><Relationship Id="rId11" Type="http://schemas.openxmlformats.org/officeDocument/2006/relationships/hyperlink" Target="http://europa.eu/youreurope/citizens/index_bg.htm" TargetMode="External"/><Relationship Id="rId5" Type="http://schemas.openxmlformats.org/officeDocument/2006/relationships/hyperlink" Target="https://www.gov.uk/government/uploads/system/uploads/attachment_data/file/546223/OCI-tracker-6th-wave-March-May-2016.pdf" TargetMode="External"/><Relationship Id="rId15" Type="http://schemas.openxmlformats.org/officeDocument/2006/relationships/hyperlink" Target="https://ec.europa.eu/taxation_customs/general-information-customs/customs-security/authorised-economic-operator-aeo_en" TargetMode="External"/><Relationship Id="rId10" Type="http://schemas.openxmlformats.org/officeDocument/2006/relationships/hyperlink" Target="http://ec.europa.eu/growth/content/have-your-say-enforcement-intellectual-property-rights-0_bg" TargetMode="External"/><Relationship Id="rId4" Type="http://schemas.openxmlformats.org/officeDocument/2006/relationships/hyperlink" Target="https://euipo.europa.eu/tunnel-web/secure/webdav/guest/document_library/observatory/resources/research-and-studies/ip_infringement/study7/Music_industry_en.pdf" TargetMode="External"/><Relationship Id="rId9" Type="http://schemas.openxmlformats.org/officeDocument/2006/relationships/hyperlink" Target="https://ec.europa.eu/info/better-regulation-guidelines-and-toolbox_bg" TargetMode="External"/><Relationship Id="rId14" Type="http://schemas.openxmlformats.org/officeDocument/2006/relationships/hyperlink" Target="http://publications.jrc.ec.europa.eu/repository/bitstream/JRC104204/kjna28400e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BEBED-E4A9-49A5-A98D-058C832C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6448</Words>
  <Characters>37789</Characters>
  <Application>Microsoft Office Word</Application>
  <DocSecurity>0</DocSecurity>
  <Lines>713</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2017-11-23T15:06:00Z</cp:lastPrinted>
  <dcterms:created xsi:type="dcterms:W3CDTF">2017-11-28T10:31:00Z</dcterms:created>
  <dcterms:modified xsi:type="dcterms:W3CDTF">2017-12-05T18:03:00Z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_DocHome">
    <vt:i4>-495944927</vt:i4>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Created using">
    <vt:lpwstr>3.0</vt:lpwstr>
  </property>
  <property fmtid="{D5CDD505-2E9C-101B-9397-08002B2CF9AE}" pid="8" name="Last edited using">
    <vt:lpwstr>EL 4.6 Build 50000</vt:lpwstr>
  </property>
</Properties>
</file>