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D3" w:rsidRDefault="00D372FF" w:rsidP="00D372FF">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8F869CF-E316-40C6-8A66-C8F667F9B5A3" style="width:450.75pt;height:321pt">
            <v:imagedata r:id="rId9" o:title=""/>
          </v:shape>
        </w:pict>
      </w:r>
    </w:p>
    <w:bookmarkEnd w:id="0"/>
    <w:p w:rsidR="00B601D3" w:rsidRDefault="00B601D3">
      <w:pPr>
        <w:pStyle w:val="Pagedecouverture"/>
        <w:rPr>
          <w:noProof/>
        </w:rPr>
        <w:sectPr w:rsidR="00B601D3" w:rsidSect="00D372FF">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B601D3" w:rsidRDefault="00D372FF">
      <w:pPr>
        <w:keepNext/>
        <w:spacing w:before="360" w:after="120" w:line="240" w:lineRule="auto"/>
        <w:jc w:val="both"/>
        <w:outlineLvl w:val="0"/>
        <w:rPr>
          <w:rFonts w:ascii="Times New Roman" w:eastAsia="Times New Roman" w:hAnsi="Times New Roman" w:cs="Times New Roman"/>
          <w:b/>
          <w:bCs/>
          <w:smallCaps/>
          <w:noProof/>
          <w:sz w:val="24"/>
          <w:szCs w:val="24"/>
        </w:rPr>
      </w:pPr>
      <w:bookmarkStart w:id="1" w:name="_GoBack"/>
      <w:bookmarkEnd w:id="1"/>
      <w:r>
        <w:rPr>
          <w:rFonts w:ascii="Times New Roman" w:hAnsi="Times New Roman"/>
          <w:b/>
          <w:smallCaps/>
          <w:noProof/>
          <w:sz w:val="24"/>
        </w:rPr>
        <w:lastRenderedPageBreak/>
        <w:t>Въведение</w:t>
      </w:r>
    </w:p>
    <w:p w:rsidR="00B601D3" w:rsidRDefault="00D372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Взаимодействието между патентите и стандартите е важно за иновациите и растежа. Стандартите гарантират широкото разпространение на оперативно </w:t>
      </w:r>
      <w:r>
        <w:rPr>
          <w:rFonts w:ascii="Times New Roman" w:hAnsi="Times New Roman"/>
          <w:noProof/>
          <w:sz w:val="24"/>
        </w:rPr>
        <w:t xml:space="preserve">съвместимите и сигурни технологии сред предприятията и потребителите. Патентите предоставят стимули за развитие на научноизследователската и развойната дейност и предоставят възможност на новаторските дружества да получат адекватна възвръщаемост на своите </w:t>
      </w:r>
      <w:r>
        <w:rPr>
          <w:rFonts w:ascii="Times New Roman" w:hAnsi="Times New Roman"/>
          <w:noProof/>
          <w:sz w:val="24"/>
        </w:rPr>
        <w:t>инвестиции. При стандартите</w:t>
      </w:r>
      <w:r>
        <w:rPr>
          <w:rStyle w:val="FootnoteReference"/>
          <w:rFonts w:ascii="Times New Roman" w:hAnsi="Times New Roman"/>
          <w:noProof/>
          <w:sz w:val="24"/>
        </w:rPr>
        <w:footnoteReference w:id="2"/>
      </w:r>
      <w:r>
        <w:rPr>
          <w:rFonts w:ascii="Times New Roman" w:hAnsi="Times New Roman"/>
          <w:noProof/>
          <w:sz w:val="24"/>
        </w:rPr>
        <w:t xml:space="preserve"> често се прави позоваване на технологии, които са защитени с патенти. Патент, който защитава ключова за даден стандарт технология, се нарича патент от съществено значение за стандарт („ПСЗС“). Следователно ПСЗС закрилят техноло</w:t>
      </w:r>
      <w:r>
        <w:rPr>
          <w:rFonts w:ascii="Times New Roman" w:hAnsi="Times New Roman"/>
          <w:noProof/>
          <w:sz w:val="24"/>
        </w:rPr>
        <w:t xml:space="preserve">гии, които са от съществено значение за спазването на техническите стандарти и за предлагането на пазара на продукти въз основа на тези стандарти. </w:t>
      </w:r>
    </w:p>
    <w:p w:rsidR="00B601D3" w:rsidRDefault="00D372FF">
      <w:pPr>
        <w:autoSpaceDE w:val="0"/>
        <w:autoSpaceDN w:val="0"/>
        <w:adjustRightInd w:val="0"/>
        <w:spacing w:after="0" w:line="240" w:lineRule="auto"/>
        <w:jc w:val="both"/>
        <w:rPr>
          <w:rFonts w:ascii="Times New Roman" w:eastAsia="Calibri" w:hAnsi="Times New Roman" w:cs="Times New Roman"/>
          <w:noProof/>
          <w:sz w:val="24"/>
          <w:szCs w:val="24"/>
        </w:rPr>
      </w:pPr>
      <w:r>
        <w:rPr>
          <w:rFonts w:ascii="Times New Roman" w:hAnsi="Times New Roman"/>
          <w:noProof/>
          <w:sz w:val="24"/>
        </w:rPr>
        <w:t>Стандартите подкрепят иновациите и растежа в Европа, по-специално като осигуряват оперативна съвместимост на</w:t>
      </w:r>
      <w:r>
        <w:rPr>
          <w:rFonts w:ascii="Times New Roman" w:hAnsi="Times New Roman"/>
          <w:noProof/>
          <w:sz w:val="24"/>
        </w:rPr>
        <w:t xml:space="preserve"> цифровите технологии, които са в основата на цифровия единен пазар. Например компютрите, смартфоните или таблетите се свързват към интернет или други устройства чрез стандартизирани технологии, като например LTE (long-term evolution), WiFi или Bluetooth, </w:t>
      </w:r>
      <w:r>
        <w:rPr>
          <w:rFonts w:ascii="Times New Roman" w:hAnsi="Times New Roman"/>
          <w:noProof/>
          <w:sz w:val="24"/>
        </w:rPr>
        <w:t>като всички те са защитени с ПСЗС. Без широкото използване на такива стандартизирани технологии тази взаимосвързаност не би била възможна</w:t>
      </w:r>
      <w:r>
        <w:rPr>
          <w:rStyle w:val="FootnoteReference"/>
          <w:rFonts w:ascii="Times New Roman" w:hAnsi="Times New Roman"/>
          <w:noProof/>
          <w:sz w:val="24"/>
        </w:rPr>
        <w:footnoteReference w:id="3"/>
      </w:r>
      <w:r>
        <w:rPr>
          <w:rFonts w:ascii="Times New Roman" w:hAnsi="Times New Roman"/>
          <w:noProof/>
          <w:sz w:val="24"/>
        </w:rPr>
        <w:t>.</w:t>
      </w:r>
    </w:p>
    <w:p w:rsidR="00B601D3" w:rsidRDefault="00B601D3">
      <w:pPr>
        <w:autoSpaceDE w:val="0"/>
        <w:autoSpaceDN w:val="0"/>
        <w:adjustRightInd w:val="0"/>
        <w:spacing w:after="0" w:line="240" w:lineRule="auto"/>
        <w:jc w:val="both"/>
        <w:rPr>
          <w:rFonts w:ascii="Times New Roman" w:eastAsia="Calibri" w:hAnsi="Times New Roman" w:cs="Times New Roman"/>
          <w:noProof/>
          <w:sz w:val="24"/>
          <w:szCs w:val="24"/>
        </w:rPr>
      </w:pPr>
    </w:p>
    <w:p w:rsidR="00B601D3" w:rsidRDefault="00D372FF">
      <w:pPr>
        <w:autoSpaceDE w:val="0"/>
        <w:autoSpaceDN w:val="0"/>
        <w:adjustRightInd w:val="0"/>
        <w:spacing w:after="0" w:line="240" w:lineRule="auto"/>
        <w:jc w:val="both"/>
        <w:rPr>
          <w:rFonts w:ascii="Times New Roman" w:eastAsia="Calibri" w:hAnsi="Times New Roman" w:cs="Times New Roman"/>
          <w:noProof/>
          <w:sz w:val="24"/>
          <w:szCs w:val="24"/>
        </w:rPr>
      </w:pPr>
      <w:r>
        <w:rPr>
          <w:rFonts w:ascii="Times New Roman" w:hAnsi="Times New Roman"/>
          <w:noProof/>
          <w:sz w:val="24"/>
        </w:rPr>
        <w:t xml:space="preserve">Взаимосвързаността придобива още по-голяма важност в днешната ера на хиперсвързаност. Широка гама от нови продукти </w:t>
      </w:r>
      <w:r>
        <w:rPr>
          <w:rFonts w:ascii="Times New Roman" w:hAnsi="Times New Roman"/>
          <w:noProof/>
          <w:sz w:val="24"/>
        </w:rPr>
        <w:t xml:space="preserve">трябва да бъдат взаимосвързани, за да се предоставят на потребителите допълнителни продукти и услуги (напр. интелигентни домакински уреди) и да се създадат нови стопански възможности за европейските дружества. </w:t>
      </w:r>
    </w:p>
    <w:p w:rsidR="00B601D3" w:rsidRDefault="00B601D3">
      <w:pPr>
        <w:autoSpaceDE w:val="0"/>
        <w:autoSpaceDN w:val="0"/>
        <w:adjustRightInd w:val="0"/>
        <w:spacing w:after="0" w:line="240" w:lineRule="auto"/>
        <w:jc w:val="both"/>
        <w:rPr>
          <w:rFonts w:ascii="Times New Roman" w:eastAsia="Calibri" w:hAnsi="Times New Roman" w:cs="Times New Roman"/>
          <w:noProof/>
          <w:sz w:val="24"/>
          <w:szCs w:val="24"/>
        </w:rPr>
      </w:pPr>
    </w:p>
    <w:p w:rsidR="00B601D3" w:rsidRDefault="00D372FF">
      <w:pPr>
        <w:autoSpaceDE w:val="0"/>
        <w:autoSpaceDN w:val="0"/>
        <w:adjustRightInd w:val="0"/>
        <w:spacing w:after="0" w:line="240" w:lineRule="auto"/>
        <w:jc w:val="both"/>
        <w:rPr>
          <w:rFonts w:ascii="Times New Roman" w:eastAsia="Calibri" w:hAnsi="Times New Roman" w:cs="Times New Roman"/>
          <w:noProof/>
          <w:sz w:val="24"/>
          <w:szCs w:val="24"/>
        </w:rPr>
      </w:pPr>
      <w:r>
        <w:rPr>
          <w:rFonts w:ascii="Times New Roman" w:hAnsi="Times New Roman"/>
          <w:noProof/>
          <w:sz w:val="24"/>
        </w:rPr>
        <w:t xml:space="preserve">Цифровизацията на икономиката разкрива </w:t>
      </w:r>
      <w:r>
        <w:rPr>
          <w:rFonts w:ascii="Times New Roman" w:hAnsi="Times New Roman"/>
          <w:noProof/>
          <w:sz w:val="24"/>
        </w:rPr>
        <w:t>мащабни възможности пред промишлеността на ЕС. До 2025 г. в развитите страни прогнозираният икономически потенциал на приложенията на интернет на предметите (ИП) в устройства, предназначени за хора, дома, офиса, фабрики, работни обекти, търговски обекти за</w:t>
      </w:r>
      <w:r>
        <w:rPr>
          <w:rFonts w:ascii="Times New Roman" w:hAnsi="Times New Roman"/>
          <w:noProof/>
          <w:sz w:val="24"/>
        </w:rPr>
        <w:t xml:space="preserve"> продажби на дребно, градове, превозни средства и за открити пространства, ще бъде в размер до 9 трилиона евро годишно</w:t>
      </w:r>
      <w:r>
        <w:rPr>
          <w:rStyle w:val="FootnoteReference"/>
          <w:rFonts w:ascii="Times New Roman" w:hAnsi="Times New Roman"/>
          <w:noProof/>
          <w:sz w:val="24"/>
        </w:rPr>
        <w:footnoteReference w:id="4"/>
      </w:r>
      <w:r>
        <w:rPr>
          <w:rFonts w:ascii="Times New Roman" w:hAnsi="Times New Roman"/>
          <w:noProof/>
          <w:sz w:val="24"/>
        </w:rPr>
        <w:t>. В рамките на следващите пет години цифровизацията на продукти и услуги може да добави за европейската икономика приходи в размер на пов</w:t>
      </w:r>
      <w:r>
        <w:rPr>
          <w:rFonts w:ascii="Times New Roman" w:hAnsi="Times New Roman"/>
          <w:noProof/>
          <w:sz w:val="24"/>
        </w:rPr>
        <w:t>ече от 110 милиарда евро годишно</w:t>
      </w:r>
      <w:r>
        <w:rPr>
          <w:rStyle w:val="FootnoteReference"/>
          <w:rFonts w:ascii="Times New Roman" w:hAnsi="Times New Roman"/>
          <w:noProof/>
          <w:sz w:val="24"/>
        </w:rPr>
        <w:footnoteReference w:id="5"/>
      </w:r>
      <w:r>
        <w:rPr>
          <w:rFonts w:ascii="Times New Roman" w:hAnsi="Times New Roman"/>
          <w:noProof/>
          <w:sz w:val="24"/>
        </w:rPr>
        <w:t xml:space="preserve">. Способността на свързаните устройства и системи да работят заедно е от решаващо значение за максималното оползотворяване на този икономически потенциал. Без предоставяната чрез стандартите оперативна съвместимост 40 % от </w:t>
      </w:r>
      <w:r>
        <w:rPr>
          <w:rFonts w:ascii="Times New Roman" w:hAnsi="Times New Roman"/>
          <w:noProof/>
          <w:sz w:val="24"/>
        </w:rPr>
        <w:t>потенциалните ползи от системите на ИП не биха били налице</w:t>
      </w:r>
      <w:r>
        <w:rPr>
          <w:rStyle w:val="FootnoteReference"/>
          <w:rFonts w:ascii="Times New Roman" w:hAnsi="Times New Roman"/>
          <w:noProof/>
          <w:sz w:val="24"/>
        </w:rPr>
        <w:footnoteReference w:id="6"/>
      </w:r>
      <w:r>
        <w:rPr>
          <w:rFonts w:ascii="Times New Roman" w:hAnsi="Times New Roman"/>
          <w:noProof/>
          <w:sz w:val="24"/>
        </w:rPr>
        <w:t xml:space="preserve">. Без официалната стандартизация и ПСЗС, например, </w:t>
      </w:r>
      <w:r>
        <w:rPr>
          <w:rFonts w:ascii="Times New Roman" w:hAnsi="Times New Roman"/>
          <w:noProof/>
          <w:sz w:val="24"/>
        </w:rPr>
        <w:lastRenderedPageBreak/>
        <w:t>нямаше да има свързани превозни средства. Дистанционната диагностика, дистанционното осъществяване на операции в отдалечени болници или обменът на</w:t>
      </w:r>
      <w:r>
        <w:rPr>
          <w:rFonts w:ascii="Times New Roman" w:hAnsi="Times New Roman"/>
          <w:noProof/>
          <w:sz w:val="24"/>
        </w:rPr>
        <w:t xml:space="preserve"> информация за пациента също не биха били възможни.</w:t>
      </w:r>
    </w:p>
    <w:p w:rsidR="00B601D3" w:rsidRDefault="00D372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Патентопритежателите допринасят с технологии за разработването на стандарти в рамките на организациите, разработващи стандарти (ОРС). След като бъде установен даден стандарт и притежателите на ПСЗС са пое</w:t>
      </w:r>
      <w:r>
        <w:rPr>
          <w:rFonts w:ascii="Times New Roman" w:hAnsi="Times New Roman"/>
          <w:noProof/>
          <w:sz w:val="24"/>
        </w:rPr>
        <w:t>ли ангажимент да ги лицензират при справедливи, разумни и недискриминационни (FRAND) условия, технологията, включена в съответния стандарт, следва да бъде на разположение на всеки потенциален ползвател на стандарта. Поради това добрите лицензионни практики</w:t>
      </w:r>
      <w:r>
        <w:rPr>
          <w:rFonts w:ascii="Times New Roman" w:hAnsi="Times New Roman"/>
          <w:noProof/>
          <w:sz w:val="24"/>
        </w:rPr>
        <w:t xml:space="preserve"> са от съществено значение, за да се гарантира справедлив, разумен и недискриминационен достъп до стандартизираните технологии и да се възнаградят патентопритежателите, така че те да продължат да инвестират в научноизследователски и развойни дейности и дей</w:t>
      </w:r>
      <w:r>
        <w:rPr>
          <w:rFonts w:ascii="Times New Roman" w:hAnsi="Times New Roman"/>
          <w:noProof/>
          <w:sz w:val="24"/>
        </w:rPr>
        <w:t>ности по стандартизация. Това на свой ред играе значима роля в изграждането на свързано общество, където новите участници на пазара извън традиционните сектори на ИКТ (производители на домакински уреди, свързани автомобили и т.н.) се нуждаят от достъп до с</w:t>
      </w:r>
      <w:r>
        <w:rPr>
          <w:rFonts w:ascii="Times New Roman" w:hAnsi="Times New Roman"/>
          <w:noProof/>
          <w:sz w:val="24"/>
        </w:rPr>
        <w:t xml:space="preserve">тандартизираните технологии. </w:t>
      </w:r>
    </w:p>
    <w:p w:rsidR="00B601D3" w:rsidRDefault="00D372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Опитът обаче сочи, че лицензирането и прилагането на ПСЗС не е безпроблемно и може да доведе до конфликти. Ползвателите на технологии обвиняват притежателите на ПСЗС, че налагат прекомерно високи лицензионни такси за слаби пат</w:t>
      </w:r>
      <w:r>
        <w:rPr>
          <w:rFonts w:ascii="Times New Roman" w:hAnsi="Times New Roman"/>
          <w:noProof/>
          <w:sz w:val="24"/>
        </w:rPr>
        <w:t>ентни портфейли и че използват заплахи за съдебно преследване. Притежателите на ПСЗС твърдят, че ползвателите на технологии използват техните иновации наготово и съзнателно нарушават правата върху интелектуална собственост (ПИС), без да провеждат добросъве</w:t>
      </w:r>
      <w:r>
        <w:rPr>
          <w:rFonts w:ascii="Times New Roman" w:hAnsi="Times New Roman"/>
          <w:noProof/>
          <w:sz w:val="24"/>
        </w:rPr>
        <w:t>стно преговори за лицензиране</w:t>
      </w:r>
      <w:r>
        <w:rPr>
          <w:rStyle w:val="FootnoteReference"/>
          <w:rFonts w:ascii="Times New Roman" w:hAnsi="Times New Roman"/>
          <w:noProof/>
          <w:sz w:val="24"/>
        </w:rPr>
        <w:footnoteReference w:id="7"/>
      </w:r>
      <w:r>
        <w:rPr>
          <w:rFonts w:ascii="Times New Roman" w:hAnsi="Times New Roman"/>
          <w:noProof/>
          <w:sz w:val="24"/>
        </w:rPr>
        <w:t>. Проблемите могат да бъдат особено сериозни, когато участници от новите промишлени сектори, които не са запознати с традиционната дейност в областта на ИКТ, се нуждаят от достъп до стандартизирани технологии. Споровете и заба</w:t>
      </w:r>
      <w:r>
        <w:rPr>
          <w:rFonts w:ascii="Times New Roman" w:hAnsi="Times New Roman"/>
          <w:noProof/>
          <w:sz w:val="24"/>
        </w:rPr>
        <w:t>вянията в преговорите между ползвателите и притежателите на технологиите може в крайна сметка да забавят широкото използване на ключовите стандартизирани технологии. Това може да попречи на развитието на свързани продукти в Европа, като в крайна сметка мож</w:t>
      </w:r>
      <w:r>
        <w:rPr>
          <w:rFonts w:ascii="Times New Roman" w:hAnsi="Times New Roman"/>
          <w:noProof/>
          <w:sz w:val="24"/>
        </w:rPr>
        <w:t xml:space="preserve">е да засегне конкурентоспособността на икономиката на ЕС. </w:t>
      </w:r>
    </w:p>
    <w:p w:rsidR="00B601D3" w:rsidRDefault="00D372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В съобщението си от април 2016 г. относно приоритетите за стандартизацията за цифровия единен пазар</w:t>
      </w:r>
      <w:r>
        <w:rPr>
          <w:rStyle w:val="FootnoteReference"/>
          <w:rFonts w:ascii="Times New Roman" w:hAnsi="Times New Roman"/>
          <w:noProof/>
          <w:sz w:val="24"/>
        </w:rPr>
        <w:footnoteReference w:id="8"/>
      </w:r>
      <w:r>
        <w:rPr>
          <w:rFonts w:ascii="Times New Roman" w:hAnsi="Times New Roman"/>
          <w:noProof/>
          <w:sz w:val="24"/>
        </w:rPr>
        <w:t xml:space="preserve"> Комисията определи три основни области, в които средата за лицензирането, свързано с ПСЗС, би мо</w:t>
      </w:r>
      <w:r>
        <w:rPr>
          <w:rFonts w:ascii="Times New Roman" w:hAnsi="Times New Roman"/>
          <w:noProof/>
          <w:sz w:val="24"/>
        </w:rPr>
        <w:t>гла да бъде подобрена: непрозрачна информация относно експозицията на ПСЗС; неясна оценка на свързаното с патентованите технологии тълкуване на стандартите и определението на понятието „FRAND“; и риск от несигурност при прилагането на ПСЗС. Освен това след</w:t>
      </w:r>
      <w:r>
        <w:rPr>
          <w:rFonts w:ascii="Times New Roman" w:hAnsi="Times New Roman"/>
          <w:noProof/>
          <w:sz w:val="24"/>
        </w:rPr>
        <w:t xml:space="preserve">ва да бъде оценена и ролята на общностите с отворен код в процеса на разработване на стандарти. </w:t>
      </w:r>
    </w:p>
    <w:p w:rsidR="00B601D3" w:rsidRDefault="00D372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Поради това е необходима ясна, балансирана и разумна политика за патентите от съществено значение за стандарт в ЕС с цел да се допринесе за развитието на интер</w:t>
      </w:r>
      <w:r>
        <w:rPr>
          <w:rFonts w:ascii="Times New Roman" w:hAnsi="Times New Roman"/>
          <w:noProof/>
          <w:sz w:val="24"/>
        </w:rPr>
        <w:t xml:space="preserve">нет на предметите и да се утвърди водещата роля на Европа в този контекст. </w:t>
      </w:r>
    </w:p>
    <w:p w:rsidR="00B601D3" w:rsidRDefault="00D372FF">
      <w:pPr>
        <w:spacing w:before="120" w:after="120" w:line="240" w:lineRule="auto"/>
        <w:jc w:val="both"/>
        <w:rPr>
          <w:rFonts w:ascii="Times New Roman" w:eastAsia="Calibri" w:hAnsi="Times New Roman" w:cs="Times New Roman"/>
          <w:i/>
          <w:noProof/>
          <w:sz w:val="24"/>
          <w:szCs w:val="24"/>
        </w:rPr>
      </w:pPr>
      <w:r>
        <w:rPr>
          <w:rFonts w:ascii="Times New Roman" w:hAnsi="Times New Roman"/>
          <w:noProof/>
          <w:sz w:val="24"/>
        </w:rPr>
        <w:t xml:space="preserve">Влизащите в конфликт интереси на заинтересованите страни в някои ОРС могат да затруднят предоставянето от тези организации на ефективни насоки по такива сложни </w:t>
      </w:r>
      <w:r>
        <w:rPr>
          <w:rFonts w:ascii="Times New Roman" w:hAnsi="Times New Roman"/>
          <w:noProof/>
          <w:sz w:val="24"/>
        </w:rPr>
        <w:lastRenderedPageBreak/>
        <w:t xml:space="preserve">правни въпроси и </w:t>
      </w:r>
      <w:r>
        <w:rPr>
          <w:rFonts w:ascii="Times New Roman" w:hAnsi="Times New Roman"/>
          <w:noProof/>
          <w:sz w:val="24"/>
        </w:rPr>
        <w:t>въпроси, свързани с политиката относно интелектуалната собственост (ИС). Инициативите за платформа за лицензиране в тази област са все още на ранен етап и не са били приети от ползвателите, които могат да се колебаят предвид несигурността в настоящата регу</w:t>
      </w:r>
      <w:r>
        <w:rPr>
          <w:rFonts w:ascii="Times New Roman" w:hAnsi="Times New Roman"/>
          <w:noProof/>
          <w:sz w:val="24"/>
        </w:rPr>
        <w:t>латорна среда за ПСЗС и които нямат достатъчен стимул да встъпят в сделка в този контекст.</w:t>
      </w:r>
      <w:r>
        <w:rPr>
          <w:rFonts w:ascii="Times New Roman" w:hAnsi="Times New Roman"/>
          <w:i/>
          <w:noProof/>
          <w:sz w:val="24"/>
        </w:rPr>
        <w:t xml:space="preserve">  </w:t>
      </w:r>
    </w:p>
    <w:p w:rsidR="00B601D3" w:rsidRDefault="00D372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Освен това стандартизацията на 5G и интернет на предметите е проблем от световен мащаб. Промишлеността на Европа запазва водеща позиция в много сектори на световни</w:t>
      </w:r>
      <w:r>
        <w:rPr>
          <w:rFonts w:ascii="Times New Roman" w:hAnsi="Times New Roman"/>
          <w:noProof/>
          <w:sz w:val="24"/>
        </w:rPr>
        <w:t>те пазари. Комисията отбелязва важната роля на европейската стандартизация в глобалния контекст</w:t>
      </w:r>
      <w:r>
        <w:rPr>
          <w:rStyle w:val="FootnoteReference"/>
          <w:rFonts w:ascii="Times New Roman" w:hAnsi="Times New Roman"/>
          <w:noProof/>
          <w:sz w:val="24"/>
        </w:rPr>
        <w:footnoteReference w:id="9"/>
      </w:r>
      <w:r>
        <w:rPr>
          <w:rFonts w:ascii="Times New Roman" w:hAnsi="Times New Roman"/>
          <w:noProof/>
          <w:sz w:val="24"/>
        </w:rPr>
        <w:t xml:space="preserve">. </w:t>
      </w:r>
    </w:p>
    <w:p w:rsidR="00B601D3" w:rsidRDefault="00D372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Ето защо Комисията смята, че е налице спешна необходимост да се определят основните принципи, които да насърчават постигането на балансирана, ефикасна и пред</w:t>
      </w:r>
      <w:r>
        <w:rPr>
          <w:rFonts w:ascii="Times New Roman" w:hAnsi="Times New Roman"/>
          <w:noProof/>
          <w:sz w:val="24"/>
        </w:rPr>
        <w:t>видима рамка за ПСЗС. Тези ключови принципи отразяват две основни цели: стимулиране на развитието и включването на водещи технологии в стандарти чрез запазване на справедлива и адекватна възвръщаемост на този принос, както и гарантиране на безпрепятственот</w:t>
      </w:r>
      <w:r>
        <w:rPr>
          <w:rFonts w:ascii="Times New Roman" w:hAnsi="Times New Roman"/>
          <w:noProof/>
          <w:sz w:val="24"/>
        </w:rPr>
        <w:t>о и широко разпространение на стандартизираните технологии въз основа на справедливи условия за достъп. Балансираната и успешна политика във връзка с лицензирането на ПСЗС следва да бъде от полза за стартиращите предприятия в Европа и да служи на всички гр</w:t>
      </w:r>
      <w:r>
        <w:rPr>
          <w:rFonts w:ascii="Times New Roman" w:hAnsi="Times New Roman"/>
          <w:noProof/>
          <w:sz w:val="24"/>
        </w:rPr>
        <w:t xml:space="preserve">аждани на ЕС, като им предостави достъп до продукти и услуги, основани на стандартизираните технологии с най-добри показатели. </w:t>
      </w:r>
    </w:p>
    <w:p w:rsidR="00B601D3" w:rsidRDefault="00D372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Настоящото съобщение се основава на отговорността на всички участници в процеса на лицензиране на ПСЗС и всички заинтересовани с</w:t>
      </w:r>
      <w:r>
        <w:rPr>
          <w:rFonts w:ascii="Times New Roman" w:hAnsi="Times New Roman"/>
          <w:noProof/>
          <w:sz w:val="24"/>
        </w:rPr>
        <w:t>трани се насърчават да дадат своя принос, така че тази рамка да функционира на практика. То няма за цел да излага правни твърдения и не засяга тълкуването на правото на ЕС от Съда на Европейския съюз („Съда на ЕС“). То не обвързва Комисията по отношение на</w:t>
      </w:r>
      <w:r>
        <w:rPr>
          <w:rFonts w:ascii="Times New Roman" w:hAnsi="Times New Roman"/>
          <w:noProof/>
          <w:sz w:val="24"/>
        </w:rPr>
        <w:t xml:space="preserve"> прилагането на правилата на ЕС за конкуренцията, и по-специално членове 101 и 102 от Договора за функционирането на Европейския съюз (ДФЕС).  </w:t>
      </w:r>
    </w:p>
    <w:p w:rsidR="00B601D3" w:rsidRDefault="00D372FF">
      <w:pPr>
        <w:pStyle w:val="ListParagraph"/>
        <w:numPr>
          <w:ilvl w:val="0"/>
          <w:numId w:val="3"/>
        </w:numPr>
        <w:spacing w:before="360" w:after="120" w:line="240" w:lineRule="auto"/>
        <w:ind w:left="357" w:hanging="357"/>
        <w:contextualSpacing w:val="0"/>
        <w:rPr>
          <w:rFonts w:ascii="Times New Roman" w:eastAsia="Times New Roman" w:hAnsi="Times New Roman" w:cs="Times New Roman"/>
          <w:b/>
          <w:bCs/>
          <w:smallCaps/>
          <w:noProof/>
          <w:sz w:val="24"/>
          <w:szCs w:val="24"/>
        </w:rPr>
      </w:pPr>
      <w:r>
        <w:rPr>
          <w:rFonts w:ascii="Times New Roman" w:hAnsi="Times New Roman"/>
          <w:b/>
          <w:smallCaps/>
          <w:noProof/>
          <w:sz w:val="24"/>
        </w:rPr>
        <w:t>Увеличаване на прозрачността на информацията относно експозицията на ПСЗС</w:t>
      </w:r>
    </w:p>
    <w:p w:rsidR="00B601D3" w:rsidRDefault="00D372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Информацията относно съществуването, о</w:t>
      </w:r>
      <w:r>
        <w:rPr>
          <w:rFonts w:ascii="Times New Roman" w:hAnsi="Times New Roman"/>
          <w:noProof/>
          <w:sz w:val="24"/>
        </w:rPr>
        <w:t>бхвата и приложимостта на ПСЗС е от първостепенно значение за провеждането на справедливи преговори за лицензиране и за да могат потенциалните ползватели на даден стандарт да определят степента на своята експозиция на ПСЗС и съответните лицензиращи партньо</w:t>
      </w:r>
      <w:r>
        <w:rPr>
          <w:rFonts w:ascii="Times New Roman" w:hAnsi="Times New Roman"/>
          <w:noProof/>
          <w:sz w:val="24"/>
        </w:rPr>
        <w:t>ри. Понастоящем обаче единствената достъпна за ползвателите информация за ПСЗС може да бъде намерена в базите данни за декларациите, поддържани от ОРС, при които може да липсва прозрачност. Това положение прави преговорите за лицензиране и предвиждането на</w:t>
      </w:r>
      <w:r>
        <w:rPr>
          <w:rFonts w:ascii="Times New Roman" w:hAnsi="Times New Roman"/>
          <w:noProof/>
          <w:sz w:val="24"/>
        </w:rPr>
        <w:t xml:space="preserve"> рисковете, свързани с ПСЗС, особено трудни за стартиращите предприятия и МСП.  Основната цел на декларациите е да се даде увереност на ОРС и на всички трети страни, че технологията ще бъде достъпна за ползвателите, обикновено в рамките на ангажимент за ли</w:t>
      </w:r>
      <w:r>
        <w:rPr>
          <w:rFonts w:ascii="Times New Roman" w:hAnsi="Times New Roman"/>
          <w:noProof/>
          <w:sz w:val="24"/>
        </w:rPr>
        <w:t>цензиране при FRAND условия.</w:t>
      </w:r>
    </w:p>
    <w:p w:rsidR="00B601D3" w:rsidRDefault="00D372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В базите данни на ОРС може да са вписани десетки хиляди ПСЗС за един-единствен стандарт и тенденцията се засилва</w:t>
      </w:r>
      <w:r>
        <w:rPr>
          <w:rStyle w:val="FootnoteReference"/>
          <w:rFonts w:ascii="Times New Roman" w:hAnsi="Times New Roman"/>
          <w:noProof/>
          <w:sz w:val="24"/>
        </w:rPr>
        <w:footnoteReference w:id="10"/>
      </w:r>
      <w:r>
        <w:rPr>
          <w:rFonts w:ascii="Times New Roman" w:hAnsi="Times New Roman"/>
          <w:noProof/>
          <w:sz w:val="24"/>
        </w:rPr>
        <w:t>. Декларациите се основават на самооценка от страна на патентопритежателя и не подлежат на контрол по отношение на</w:t>
      </w:r>
      <w:r>
        <w:rPr>
          <w:rFonts w:ascii="Times New Roman" w:hAnsi="Times New Roman"/>
          <w:noProof/>
          <w:sz w:val="24"/>
        </w:rPr>
        <w:t xml:space="preserve"> съществения характер на декларирания патент, което може да се промени в хода на процедурата по приемане на стандарта. Освен това заинтересованите страни посочват, че дори при конкретни преговори за лицензиране лицензодателите не успяват да обосноват твърд</w:t>
      </w:r>
      <w:r>
        <w:rPr>
          <w:rFonts w:ascii="Times New Roman" w:hAnsi="Times New Roman"/>
          <w:noProof/>
          <w:sz w:val="24"/>
        </w:rPr>
        <w:t>енията си с по-точна информация. Това е особено незадоволително в контекста на ИП, при който на пазара на свързаността непрекъснато навлизат нови участници с малък опит в лицензирането на ПСЗС. Поради това Комисията счита, че посочeните по-долу мерки са не</w:t>
      </w:r>
      <w:r>
        <w:rPr>
          <w:rFonts w:ascii="Times New Roman" w:hAnsi="Times New Roman"/>
          <w:noProof/>
          <w:sz w:val="24"/>
        </w:rPr>
        <w:t>обходими за подобряване на информацията за ПСЗС.</w:t>
      </w:r>
    </w:p>
    <w:p w:rsidR="00B601D3" w:rsidRDefault="00D372FF">
      <w:pPr>
        <w:pStyle w:val="ListParagraph"/>
        <w:keepNext/>
        <w:numPr>
          <w:ilvl w:val="1"/>
          <w:numId w:val="3"/>
        </w:numPr>
        <w:spacing w:before="240" w:after="120" w:line="240" w:lineRule="auto"/>
        <w:ind w:left="788" w:hanging="431"/>
        <w:contextualSpacing w:val="0"/>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Подобряване на качеството и достъпността на информацията, записана в базите данни на ОРС</w:t>
      </w:r>
    </w:p>
    <w:p w:rsidR="00B601D3" w:rsidRDefault="00D372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Комисията счита, че ОРС следва да предоставят подробна информация в своите бази данни в подкрепа на рамката за лицензи</w:t>
      </w:r>
      <w:r>
        <w:rPr>
          <w:rFonts w:ascii="Times New Roman" w:hAnsi="Times New Roman"/>
          <w:noProof/>
          <w:sz w:val="24"/>
        </w:rPr>
        <w:t>ране на ПСЗС. Въпреки че в базите данни на ОРС се събират големи обеми данни от декларациите</w:t>
      </w:r>
      <w:r>
        <w:rPr>
          <w:rStyle w:val="FootnoteReference"/>
          <w:rFonts w:ascii="Times New Roman" w:hAnsi="Times New Roman"/>
          <w:noProof/>
          <w:sz w:val="24"/>
        </w:rPr>
        <w:footnoteReference w:id="11"/>
      </w:r>
      <w:r>
        <w:rPr>
          <w:rFonts w:ascii="Times New Roman" w:hAnsi="Times New Roman"/>
          <w:noProof/>
          <w:sz w:val="24"/>
        </w:rPr>
        <w:t>, те често не предоставят удобен достъп за заинтересованите страни, и липсват основни характеристики на качеството. Поради това Комисията е на мнение, че е необход</w:t>
      </w:r>
      <w:r>
        <w:rPr>
          <w:rFonts w:ascii="Times New Roman" w:hAnsi="Times New Roman"/>
          <w:noProof/>
          <w:sz w:val="24"/>
        </w:rPr>
        <w:t>имо да бъдат подобрени качеството и достъпността на базите данни</w:t>
      </w:r>
      <w:r>
        <w:rPr>
          <w:rStyle w:val="FootnoteReference"/>
          <w:rFonts w:ascii="Times New Roman" w:hAnsi="Times New Roman"/>
          <w:noProof/>
          <w:sz w:val="24"/>
        </w:rPr>
        <w:footnoteReference w:id="12"/>
      </w:r>
      <w:r>
        <w:rPr>
          <w:rFonts w:ascii="Times New Roman" w:hAnsi="Times New Roman"/>
          <w:noProof/>
          <w:sz w:val="24"/>
        </w:rPr>
        <w:t>. Първо, данните следва да бъдат лесно достъпни чрез удобни за използване интерфейси за притежателите и ползвателите на патенти и за трети страни. Цялата декларирана информация следва да позв</w:t>
      </w:r>
      <w:r>
        <w:rPr>
          <w:rFonts w:ascii="Times New Roman" w:hAnsi="Times New Roman"/>
          <w:noProof/>
          <w:sz w:val="24"/>
        </w:rPr>
        <w:t>олява търсене въз основа на съответните проекти за стандартизация, което може също така да изисква преобразуването на исторически данни в текущи формати. Процесът за осигуряване на качеството следва да премахне също дублирането и други явни грешки. Накрая,</w:t>
      </w:r>
      <w:r>
        <w:rPr>
          <w:rFonts w:ascii="Times New Roman" w:hAnsi="Times New Roman"/>
          <w:noProof/>
          <w:sz w:val="24"/>
        </w:rPr>
        <w:t xml:space="preserve"> следва да се осигури връзка с базите данни на патентните ведомства, включително актуализациите на патентния статут, собствеността и прехвърлянето ѝ. Работата по подобряване на базите данни трябва да се съчетае с по-строг контрол върху спазването на задълж</w:t>
      </w:r>
      <w:r>
        <w:rPr>
          <w:rFonts w:ascii="Times New Roman" w:hAnsi="Times New Roman"/>
          <w:noProof/>
          <w:sz w:val="24"/>
        </w:rPr>
        <w:t>енията за деклариране, определени в настоящите политики на ОРС за предотвратяване на непълните декларации</w:t>
      </w:r>
      <w:r>
        <w:rPr>
          <w:rStyle w:val="FootnoteReference"/>
          <w:rFonts w:ascii="Times New Roman" w:hAnsi="Times New Roman"/>
          <w:noProof/>
          <w:sz w:val="24"/>
        </w:rPr>
        <w:footnoteReference w:id="13"/>
      </w:r>
      <w:r>
        <w:rPr>
          <w:rFonts w:ascii="Times New Roman" w:hAnsi="Times New Roman"/>
          <w:noProof/>
          <w:sz w:val="24"/>
        </w:rPr>
        <w:t>.</w:t>
      </w:r>
    </w:p>
    <w:p w:rsidR="00B601D3" w:rsidRDefault="00D372FF">
      <w:pPr>
        <w:pStyle w:val="ListParagraph"/>
        <w:keepNext/>
        <w:numPr>
          <w:ilvl w:val="1"/>
          <w:numId w:val="3"/>
        </w:numPr>
        <w:spacing w:before="240" w:after="120" w:line="240" w:lineRule="auto"/>
        <w:ind w:left="788" w:hanging="431"/>
        <w:contextualSpacing w:val="0"/>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Развитие на информационен инструмент за подпомагане на преговорите за лицензиране</w:t>
      </w:r>
    </w:p>
    <w:p w:rsidR="00B601D3" w:rsidRDefault="00D372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Комисията отбелязва, че сегашната система за деклариране в ОРС под</w:t>
      </w:r>
      <w:r>
        <w:rPr>
          <w:rFonts w:ascii="Times New Roman" w:hAnsi="Times New Roman"/>
          <w:noProof/>
          <w:sz w:val="24"/>
        </w:rPr>
        <w:t>крепя процеса на определяне на технически стандарти и не е ориентирана към бъдещето лицензиране на ПСЗС. Ясно е обаче, че са налице нетни ползи от разширяването на съществуващата практика и целта на декларациите и базите данни, за да се обхване създаването</w:t>
      </w:r>
      <w:r>
        <w:rPr>
          <w:rFonts w:ascii="Times New Roman" w:hAnsi="Times New Roman"/>
          <w:noProof/>
          <w:sz w:val="24"/>
        </w:rPr>
        <w:t xml:space="preserve"> на нови инструменти за прозрачност, които, без да губят своята основна цел, могат значително да улеснят преговорите за лицензиране. Съображенията за пропорционалност са от основно значение в този контекст. Докато прекомерната тежест за заинтересованите ст</w:t>
      </w:r>
      <w:r>
        <w:rPr>
          <w:rFonts w:ascii="Times New Roman" w:hAnsi="Times New Roman"/>
          <w:noProof/>
          <w:sz w:val="24"/>
        </w:rPr>
        <w:t>рани следва да се избягва, важно е да се припомни, че в конкретните преговори за лицензиране патентопритежателите трябва непременно да положат усилия, за да обосноват пред ползвателите на ПСЗС защо патентите от портфейла на патентопритежателите са от същес</w:t>
      </w:r>
      <w:r>
        <w:rPr>
          <w:rFonts w:ascii="Times New Roman" w:hAnsi="Times New Roman"/>
          <w:noProof/>
          <w:sz w:val="24"/>
        </w:rPr>
        <w:t>твено значение за стандарта или как тези патенти са нарушени</w:t>
      </w:r>
      <w:r>
        <w:rPr>
          <w:rStyle w:val="FootnoteReference"/>
          <w:rFonts w:ascii="Times New Roman" w:hAnsi="Times New Roman"/>
          <w:noProof/>
          <w:sz w:val="24"/>
        </w:rPr>
        <w:footnoteReference w:id="14"/>
      </w:r>
      <w:r>
        <w:rPr>
          <w:rFonts w:ascii="Times New Roman" w:hAnsi="Times New Roman"/>
          <w:noProof/>
          <w:sz w:val="24"/>
        </w:rPr>
        <w:t>. Поради това Комисията счита, че предложените поетапни подобрения с контролирани разходи може значително да намалят общите разходи по трансакциите по време на преговорите за лицензиране, както и</w:t>
      </w:r>
      <w:r>
        <w:rPr>
          <w:rFonts w:ascii="Times New Roman" w:hAnsi="Times New Roman"/>
          <w:noProof/>
          <w:sz w:val="24"/>
        </w:rPr>
        <w:t xml:space="preserve"> риска от нарушения, което ще бъде от полза и за двете страни в преговорите</w:t>
      </w:r>
      <w:r>
        <w:rPr>
          <w:rStyle w:val="FootnoteReference"/>
          <w:rFonts w:ascii="Times New Roman" w:hAnsi="Times New Roman"/>
          <w:noProof/>
          <w:sz w:val="24"/>
        </w:rPr>
        <w:footnoteReference w:id="15"/>
      </w:r>
      <w:r>
        <w:rPr>
          <w:rFonts w:ascii="Times New Roman" w:hAnsi="Times New Roman"/>
          <w:noProof/>
          <w:sz w:val="24"/>
        </w:rPr>
        <w:t>.</w:t>
      </w:r>
    </w:p>
    <w:p w:rsidR="00B601D3" w:rsidRDefault="00D372FF">
      <w:pPr>
        <w:pStyle w:val="ListParagraph"/>
        <w:keepNext/>
        <w:numPr>
          <w:ilvl w:val="2"/>
          <w:numId w:val="3"/>
        </w:numPr>
        <w:spacing w:before="240" w:after="120" w:line="240" w:lineRule="auto"/>
        <w:ind w:left="1225" w:hanging="505"/>
        <w:jc w:val="both"/>
        <w:outlineLvl w:val="0"/>
        <w:rPr>
          <w:rFonts w:ascii="Times New Roman" w:eastAsia="Calibri" w:hAnsi="Times New Roman" w:cs="Times New Roman"/>
          <w:b/>
          <w:noProof/>
          <w:sz w:val="24"/>
          <w:szCs w:val="24"/>
        </w:rPr>
      </w:pPr>
      <w:r>
        <w:rPr>
          <w:rFonts w:ascii="Times New Roman" w:hAnsi="Times New Roman"/>
          <w:b/>
          <w:noProof/>
          <w:sz w:val="24"/>
        </w:rPr>
        <w:t>По-актуални и точни декларации</w:t>
      </w:r>
    </w:p>
    <w:p w:rsidR="00B601D3" w:rsidRDefault="00D372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Декларациите се подават на ранен етап от процеса на стандартизация, като обикновено не се преразглеждат на по-късен етап. При все това техническите</w:t>
      </w:r>
      <w:r>
        <w:rPr>
          <w:rFonts w:ascii="Times New Roman" w:hAnsi="Times New Roman"/>
          <w:noProof/>
          <w:sz w:val="24"/>
        </w:rPr>
        <w:t xml:space="preserve"> решения, предложени по време на преговорите във връзка със стандартите, търпят развитие до момента на одобряване на окончателния стандарт</w:t>
      </w:r>
      <w:r>
        <w:rPr>
          <w:rStyle w:val="FootnoteReference"/>
          <w:rFonts w:ascii="Times New Roman" w:hAnsi="Times New Roman"/>
          <w:noProof/>
          <w:sz w:val="24"/>
        </w:rPr>
        <w:footnoteReference w:id="16"/>
      </w:r>
      <w:r>
        <w:rPr>
          <w:rFonts w:ascii="Times New Roman" w:hAnsi="Times New Roman"/>
          <w:noProof/>
          <w:sz w:val="24"/>
        </w:rPr>
        <w:t>. Докато по-голямата част от декларациите се отнасят до заявки за патенти, претенциите в окончателния патент, издаден</w:t>
      </w:r>
      <w:r>
        <w:rPr>
          <w:rFonts w:ascii="Times New Roman" w:hAnsi="Times New Roman"/>
          <w:noProof/>
          <w:sz w:val="24"/>
        </w:rPr>
        <w:t xml:space="preserve"> след приемането на стандарта, могат да се различават значително</w:t>
      </w:r>
      <w:r>
        <w:rPr>
          <w:rStyle w:val="FootnoteReference"/>
          <w:rFonts w:ascii="Times New Roman" w:hAnsi="Times New Roman"/>
          <w:noProof/>
          <w:sz w:val="24"/>
        </w:rPr>
        <w:footnoteReference w:id="17"/>
      </w:r>
      <w:r>
        <w:rPr>
          <w:rFonts w:ascii="Times New Roman" w:hAnsi="Times New Roman"/>
          <w:noProof/>
          <w:sz w:val="24"/>
        </w:rPr>
        <w:t>, тъй като съдържанието им може да се промени по време на процедурата за издаване. Поради това носителите на права следва да извършват преглед на адекватността на своите декларации към момент</w:t>
      </w:r>
      <w:r>
        <w:rPr>
          <w:rFonts w:ascii="Times New Roman" w:hAnsi="Times New Roman"/>
          <w:noProof/>
          <w:sz w:val="24"/>
        </w:rPr>
        <w:t xml:space="preserve">а на приемането на окончателния стандарт (и последващите значителни преразглеждания) и към момента на приемането на окончателно решение за издаване на патент. </w:t>
      </w:r>
    </w:p>
    <w:p w:rsidR="00B601D3" w:rsidRDefault="00D372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Декларациите следва да включват също така достатъчно информация, за да се оцени експозицията на </w:t>
      </w:r>
      <w:r>
        <w:rPr>
          <w:rFonts w:ascii="Times New Roman" w:hAnsi="Times New Roman"/>
          <w:noProof/>
          <w:sz w:val="24"/>
        </w:rPr>
        <w:t>патента. Патентопритежателите следва най-малкото да направят позоваване на раздела на стандарта, който се отнася до ПСЗС, и на връзката с патентното семейство. Декларациите следва също така ясно да идентифицират данните за контакт на притежателя/лицензодат</w:t>
      </w:r>
      <w:r>
        <w:rPr>
          <w:rFonts w:ascii="Times New Roman" w:hAnsi="Times New Roman"/>
          <w:noProof/>
          <w:sz w:val="24"/>
        </w:rPr>
        <w:t>еля на декларирания ПСЗС.</w:t>
      </w:r>
    </w:p>
    <w:p w:rsidR="00B601D3" w:rsidRDefault="00D372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Накрая следва да се отбележи, че ПСЗС в областта на ключовите технологии са по-често предмет на съдебни спорове</w:t>
      </w:r>
      <w:r>
        <w:rPr>
          <w:rStyle w:val="FootnoteReference"/>
          <w:rFonts w:ascii="Times New Roman" w:hAnsi="Times New Roman"/>
          <w:noProof/>
          <w:sz w:val="24"/>
        </w:rPr>
        <w:footnoteReference w:id="18"/>
      </w:r>
      <w:r>
        <w:rPr>
          <w:rFonts w:ascii="Times New Roman" w:hAnsi="Times New Roman"/>
          <w:noProof/>
          <w:sz w:val="24"/>
        </w:rPr>
        <w:t>. Свързаната информация е от значение за всички заинтересовани лицензополучатели и може да играе роля в ограничаването</w:t>
      </w:r>
      <w:r>
        <w:rPr>
          <w:rFonts w:ascii="Times New Roman" w:hAnsi="Times New Roman"/>
          <w:noProof/>
          <w:sz w:val="24"/>
        </w:rPr>
        <w:t xml:space="preserve"> на възможността за бъдещи съдебни спорове. Поради това ОРС следва да осигурят възможност и стимули за патентопритежателите и ползвателите на технологии да посочват номера на делото и основните резултати от окончателните решения, независимо дали изходът е </w:t>
      </w:r>
      <w:r>
        <w:rPr>
          <w:rFonts w:ascii="Times New Roman" w:hAnsi="Times New Roman"/>
          <w:noProof/>
          <w:sz w:val="24"/>
        </w:rPr>
        <w:t>бил положителен или отрицателен, за декларираните ПСЗС (включително за съществения характер и валидността на патента). Тъй като предприятията обикновено водят съдебни спорове във връзка само с няколко ценни патента в портфейла и както патентопритежателите,</w:t>
      </w:r>
      <w:r>
        <w:rPr>
          <w:rFonts w:ascii="Times New Roman" w:hAnsi="Times New Roman"/>
          <w:noProof/>
          <w:sz w:val="24"/>
        </w:rPr>
        <w:t xml:space="preserve"> така и ползвателите на патенти следва да имат интерес да съобщят съответните решения в тяхна полза, свързаната с тази мярка тежест ще бъде ограничена. </w:t>
      </w:r>
    </w:p>
    <w:p w:rsidR="00B601D3" w:rsidRDefault="00D372FF">
      <w:pPr>
        <w:pStyle w:val="ListParagraph"/>
        <w:keepNext/>
        <w:numPr>
          <w:ilvl w:val="2"/>
          <w:numId w:val="3"/>
        </w:numPr>
        <w:spacing w:before="240" w:after="120" w:line="240" w:lineRule="auto"/>
        <w:ind w:left="1225" w:hanging="505"/>
        <w:jc w:val="both"/>
        <w:outlineLvl w:val="0"/>
        <w:rPr>
          <w:rFonts w:ascii="Times New Roman" w:eastAsia="Calibri" w:hAnsi="Times New Roman" w:cs="Times New Roman"/>
          <w:b/>
          <w:noProof/>
          <w:sz w:val="24"/>
          <w:szCs w:val="24"/>
        </w:rPr>
      </w:pPr>
      <w:r>
        <w:rPr>
          <w:rFonts w:ascii="Times New Roman" w:hAnsi="Times New Roman"/>
          <w:b/>
          <w:noProof/>
          <w:sz w:val="24"/>
        </w:rPr>
        <w:t>Проверки за наличието на съществен характер</w:t>
      </w:r>
    </w:p>
    <w:p w:rsidR="00B601D3" w:rsidRDefault="00D372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Опитът сочи съществуването на риск от преувеличаване при де</w:t>
      </w:r>
      <w:r>
        <w:rPr>
          <w:rFonts w:ascii="Times New Roman" w:hAnsi="Times New Roman"/>
          <w:noProof/>
          <w:sz w:val="24"/>
        </w:rPr>
        <w:t>кларирането, което обосновава нуждата от по-голяма надеждност по отношение на съществения характер на ПСЗС</w:t>
      </w:r>
      <w:r>
        <w:rPr>
          <w:rStyle w:val="FootnoteReference"/>
          <w:rFonts w:ascii="Times New Roman" w:hAnsi="Times New Roman"/>
          <w:noProof/>
          <w:sz w:val="24"/>
        </w:rPr>
        <w:footnoteReference w:id="19"/>
      </w:r>
      <w:r>
        <w:rPr>
          <w:rFonts w:ascii="Times New Roman" w:hAnsi="Times New Roman"/>
          <w:noProof/>
          <w:sz w:val="24"/>
        </w:rPr>
        <w:t>. Заинтересованите страни съобщават, че регистрираните декларации създават фактическа презумпция за съществен характер в преговорите с лицензополучат</w:t>
      </w:r>
      <w:r>
        <w:rPr>
          <w:rFonts w:ascii="Times New Roman" w:hAnsi="Times New Roman"/>
          <w:noProof/>
          <w:sz w:val="24"/>
        </w:rPr>
        <w:t>елите</w:t>
      </w:r>
      <w:r>
        <w:rPr>
          <w:rStyle w:val="FootnoteReference"/>
          <w:rFonts w:ascii="Times New Roman" w:hAnsi="Times New Roman"/>
          <w:noProof/>
          <w:sz w:val="24"/>
        </w:rPr>
        <w:footnoteReference w:id="20"/>
      </w:r>
      <w:r>
        <w:rPr>
          <w:rFonts w:ascii="Times New Roman" w:hAnsi="Times New Roman"/>
          <w:noProof/>
          <w:sz w:val="24"/>
        </w:rPr>
        <w:t>. Този сценарий вменява голяма тежест на всички желаещи да бъдат лицензополучатели, особено на МСП и стартиращите предприятия, свързана с проверката на съществения характер на голям брой ПСЗС в преговорите за лицензиране.</w:t>
      </w:r>
    </w:p>
    <w:p w:rsidR="00B601D3" w:rsidRDefault="00D372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Ето защо е необходима по-вис</w:t>
      </w:r>
      <w:r>
        <w:rPr>
          <w:rFonts w:ascii="Times New Roman" w:hAnsi="Times New Roman"/>
          <w:noProof/>
          <w:sz w:val="24"/>
        </w:rPr>
        <w:t>ока степен на контрол върху претенциите за съществен характер. Това би изисквало извършване в подходящ момент на контрол от независима страна с технически способности, ползваща се с признание на пазара. При това въвеждането на такова изискване за контрол в</w:t>
      </w:r>
      <w:r>
        <w:rPr>
          <w:rFonts w:ascii="Times New Roman" w:hAnsi="Times New Roman"/>
          <w:noProof/>
          <w:sz w:val="24"/>
        </w:rPr>
        <w:t>ърху ПСЗС трябва да бъде балансирано с оглед на разходите</w:t>
      </w:r>
      <w:r>
        <w:rPr>
          <w:rStyle w:val="FootnoteReference"/>
          <w:rFonts w:ascii="Times New Roman" w:hAnsi="Times New Roman"/>
          <w:noProof/>
          <w:sz w:val="24"/>
        </w:rPr>
        <w:footnoteReference w:id="21"/>
      </w:r>
      <w:r>
        <w:rPr>
          <w:rFonts w:ascii="Times New Roman" w:hAnsi="Times New Roman"/>
          <w:noProof/>
          <w:sz w:val="24"/>
        </w:rPr>
        <w:t xml:space="preserve">. Един поетапен подход, при който контролът се осъществява по искане на титуляря на правата или на бъдещите ползватели, при което се адаптира задълбочеността на контрола и проверките се ограничават </w:t>
      </w:r>
      <w:r>
        <w:rPr>
          <w:rFonts w:ascii="Times New Roman" w:hAnsi="Times New Roman"/>
          <w:noProof/>
          <w:sz w:val="24"/>
        </w:rPr>
        <w:t>до един патент в рамките на едно семейство и до извадки, обаче би могъл да гарантира правилния баланс между разходите и ползите от тази мярка</w:t>
      </w:r>
      <w:r>
        <w:rPr>
          <w:rStyle w:val="FootnoteReference"/>
          <w:rFonts w:ascii="Times New Roman" w:hAnsi="Times New Roman"/>
          <w:noProof/>
          <w:sz w:val="24"/>
        </w:rPr>
        <w:footnoteReference w:id="22"/>
      </w:r>
      <w:r>
        <w:rPr>
          <w:rFonts w:ascii="Times New Roman" w:hAnsi="Times New Roman"/>
          <w:noProof/>
          <w:sz w:val="24"/>
        </w:rPr>
        <w:t>.</w:t>
      </w:r>
    </w:p>
    <w:p w:rsidR="00B601D3" w:rsidRDefault="00D372FF">
      <w:pPr>
        <w:pStyle w:val="ListParagraph"/>
        <w:keepNext/>
        <w:numPr>
          <w:ilvl w:val="2"/>
          <w:numId w:val="3"/>
        </w:numPr>
        <w:spacing w:before="240" w:after="120" w:line="240" w:lineRule="auto"/>
        <w:ind w:left="1225" w:hanging="505"/>
        <w:jc w:val="both"/>
        <w:outlineLvl w:val="0"/>
        <w:rPr>
          <w:rFonts w:ascii="Times New Roman" w:eastAsia="Calibri" w:hAnsi="Times New Roman" w:cs="Times New Roman"/>
          <w:b/>
          <w:noProof/>
          <w:sz w:val="24"/>
          <w:szCs w:val="24"/>
        </w:rPr>
      </w:pPr>
      <w:r>
        <w:rPr>
          <w:rFonts w:ascii="Times New Roman" w:hAnsi="Times New Roman"/>
          <w:b/>
          <w:noProof/>
          <w:sz w:val="24"/>
        </w:rPr>
        <w:t>Средства за изпълнение</w:t>
      </w:r>
    </w:p>
    <w:p w:rsidR="00B601D3" w:rsidRDefault="00D372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Въпреки че са очевидни ползите от една такава повишена прозрачност, свързаната с това теж</w:t>
      </w:r>
      <w:r>
        <w:rPr>
          <w:rFonts w:ascii="Times New Roman" w:hAnsi="Times New Roman"/>
          <w:noProof/>
          <w:sz w:val="24"/>
        </w:rPr>
        <w:t xml:space="preserve">ест следва да остане пропорционална. Поради това мерките могат постепенно да се разширяват и да се прилагат само за нови и ключови стандарти, напр. 5G. </w:t>
      </w:r>
    </w:p>
    <w:p w:rsidR="00B601D3" w:rsidRDefault="00D372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Като първа стъпка, заинтересованите страни биха могли да бъдат стимулирани да допринесат за повишаванет</w:t>
      </w:r>
      <w:r>
        <w:rPr>
          <w:rFonts w:ascii="Times New Roman" w:hAnsi="Times New Roman"/>
          <w:noProof/>
          <w:sz w:val="24"/>
        </w:rPr>
        <w:t>о на прозрачността, напр. като удостоверят, че декларираните от тях портфейли от ПСЗС отговарят на критериите за прозрачност. Това удостоверяване по-късно може да се използва в преговорите за лицензиране и в съдебните спорове. Освен това неотдавнашно проуч</w:t>
      </w:r>
      <w:r>
        <w:rPr>
          <w:rFonts w:ascii="Times New Roman" w:hAnsi="Times New Roman"/>
          <w:noProof/>
          <w:sz w:val="24"/>
        </w:rPr>
        <w:t>ване, направено по поръчка на Комисията, навежда на идеята, че ОРС може да обмислят възможността за въвеждане на (умерени) такси за потвърждаване на декларациите за ПСЗС след издаването на стандарта и на патента, за да се стимулират притежателите на ПСЗС д</w:t>
      </w:r>
      <w:r>
        <w:rPr>
          <w:rFonts w:ascii="Times New Roman" w:hAnsi="Times New Roman"/>
          <w:noProof/>
          <w:sz w:val="24"/>
        </w:rPr>
        <w:t>а преразглеждат и запазват само относимите декларации</w:t>
      </w:r>
      <w:r>
        <w:rPr>
          <w:rStyle w:val="FootnoteReference"/>
          <w:rFonts w:ascii="Times New Roman" w:hAnsi="Times New Roman"/>
          <w:noProof/>
          <w:sz w:val="24"/>
        </w:rPr>
        <w:footnoteReference w:id="23"/>
      </w:r>
      <w:r>
        <w:rPr>
          <w:rFonts w:ascii="Times New Roman" w:hAnsi="Times New Roman"/>
          <w:noProof/>
          <w:sz w:val="24"/>
        </w:rPr>
        <w:t>.</w:t>
      </w:r>
    </w:p>
    <w:p w:rsidR="00B601D3" w:rsidRDefault="00D372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При предвиждането на проверки за наличието на съществен характер напълно е възможно патентните ведомства да бъдат естествени кандидати за използване на полезните взаимодействия и намаляване на разходи</w:t>
      </w:r>
      <w:r>
        <w:rPr>
          <w:rFonts w:ascii="Times New Roman" w:hAnsi="Times New Roman"/>
          <w:noProof/>
          <w:sz w:val="24"/>
        </w:rPr>
        <w:t>те</w:t>
      </w:r>
      <w:r>
        <w:rPr>
          <w:rStyle w:val="FootnoteReference"/>
          <w:rFonts w:ascii="Times New Roman" w:hAnsi="Times New Roman"/>
          <w:noProof/>
          <w:sz w:val="24"/>
        </w:rPr>
        <w:footnoteReference w:id="24"/>
      </w:r>
      <w:r>
        <w:rPr>
          <w:rFonts w:ascii="Times New Roman" w:hAnsi="Times New Roman"/>
          <w:noProof/>
          <w:sz w:val="24"/>
        </w:rPr>
        <w:t>. Комисията ще подкрепи по-нататъшния анализ на тяхната осъществимост, за да гарантира ефективни и пропорционални решения.</w:t>
      </w:r>
      <w:r>
        <w:rPr>
          <w:noProof/>
        </w:rPr>
        <w:t xml:space="preserve"> </w:t>
      </w:r>
      <w:r>
        <w:rPr>
          <w:rFonts w:ascii="Times New Roman" w:hAnsi="Times New Roman"/>
          <w:noProof/>
          <w:sz w:val="24"/>
        </w:rPr>
        <w:t>В зависимост от резултата от този проект независим европейски орган може да бъде натоварен с оценката на съществения характер на П</w:t>
      </w:r>
      <w:r>
        <w:rPr>
          <w:rFonts w:ascii="Times New Roman" w:hAnsi="Times New Roman"/>
          <w:noProof/>
          <w:sz w:val="24"/>
        </w:rPr>
        <w:t>СЗС.</w:t>
      </w:r>
    </w:p>
    <w:p w:rsidR="00B601D3" w:rsidRDefault="00D372FF">
      <w:pPr>
        <w:pBdr>
          <w:top w:val="single" w:sz="4" w:space="1" w:color="auto"/>
          <w:left w:val="single" w:sz="4" w:space="4" w:color="auto"/>
          <w:bottom w:val="single" w:sz="4" w:space="0" w:color="auto"/>
          <w:right w:val="single" w:sz="4" w:space="4" w:color="auto"/>
        </w:pBdr>
        <w:shd w:val="pct10" w:color="auto" w:fill="auto"/>
        <w:spacing w:before="120" w:after="120" w:line="240" w:lineRule="auto"/>
        <w:jc w:val="both"/>
        <w:rPr>
          <w:rFonts w:ascii="Times New Roman" w:eastAsia="Calibri" w:hAnsi="Times New Roman" w:cs="Times New Roman"/>
          <w:i/>
          <w:noProof/>
          <w:sz w:val="24"/>
          <w:szCs w:val="24"/>
        </w:rPr>
      </w:pPr>
      <w:r>
        <w:rPr>
          <w:rFonts w:ascii="Times New Roman" w:hAnsi="Times New Roman"/>
          <w:i/>
          <w:noProof/>
          <w:sz w:val="24"/>
        </w:rPr>
        <w:t>Комисията:</w:t>
      </w:r>
    </w:p>
    <w:p w:rsidR="00B601D3" w:rsidRDefault="00D372FF">
      <w:pPr>
        <w:pBdr>
          <w:top w:val="single" w:sz="4" w:space="1" w:color="auto"/>
          <w:left w:val="single" w:sz="4" w:space="4" w:color="auto"/>
          <w:bottom w:val="single" w:sz="4" w:space="0" w:color="auto"/>
          <w:right w:val="single" w:sz="4" w:space="4" w:color="auto"/>
        </w:pBdr>
        <w:shd w:val="pct10" w:color="auto" w:fill="auto"/>
        <w:spacing w:before="120" w:after="120" w:line="240" w:lineRule="auto"/>
        <w:jc w:val="both"/>
        <w:rPr>
          <w:rFonts w:ascii="Times New Roman" w:eastAsia="Calibri" w:hAnsi="Times New Roman" w:cs="Times New Roman"/>
          <w:i/>
          <w:noProof/>
          <w:sz w:val="24"/>
          <w:szCs w:val="24"/>
        </w:rPr>
      </w:pPr>
      <w:r>
        <w:rPr>
          <w:rFonts w:ascii="Times New Roman" w:hAnsi="Times New Roman"/>
          <w:i/>
          <w:noProof/>
          <w:sz w:val="24"/>
        </w:rPr>
        <w:t>- призовава ОРС спешно да гарантират, че техните бази данни са в съответствие с основните качествени характеристики, описани по-горе, и ще си сътрудничи с ОРС, за да улесни този процес;</w:t>
      </w:r>
    </w:p>
    <w:p w:rsidR="00B601D3" w:rsidRDefault="00D372FF">
      <w:pPr>
        <w:pBdr>
          <w:top w:val="single" w:sz="4" w:space="1" w:color="auto"/>
          <w:left w:val="single" w:sz="4" w:space="4" w:color="auto"/>
          <w:bottom w:val="single" w:sz="4" w:space="0" w:color="auto"/>
          <w:right w:val="single" w:sz="4" w:space="4" w:color="auto"/>
        </w:pBdr>
        <w:shd w:val="pct10" w:color="auto" w:fill="auto"/>
        <w:spacing w:before="120" w:after="120" w:line="240" w:lineRule="auto"/>
        <w:jc w:val="both"/>
        <w:rPr>
          <w:rFonts w:ascii="Times New Roman" w:eastAsia="Calibri" w:hAnsi="Times New Roman" w:cs="Times New Roman"/>
          <w:i/>
          <w:noProof/>
          <w:sz w:val="24"/>
          <w:szCs w:val="24"/>
        </w:rPr>
      </w:pPr>
      <w:r>
        <w:rPr>
          <w:rFonts w:ascii="Times New Roman" w:hAnsi="Times New Roman"/>
          <w:i/>
          <w:noProof/>
          <w:sz w:val="24"/>
        </w:rPr>
        <w:t>- призовава ОРС да преобразуват сегашната система за д</w:t>
      </w:r>
      <w:r>
        <w:rPr>
          <w:rFonts w:ascii="Times New Roman" w:hAnsi="Times New Roman"/>
          <w:i/>
          <w:noProof/>
          <w:sz w:val="24"/>
        </w:rPr>
        <w:t>еклариране в инструмент, който да осигурява по-актуална и точна информация за ПСЗС, и ще си сътрудничи с ОРС, за да улесни този процес;</w:t>
      </w:r>
    </w:p>
    <w:p w:rsidR="00B601D3" w:rsidRDefault="00D372FF">
      <w:pPr>
        <w:pBdr>
          <w:top w:val="single" w:sz="4" w:space="1" w:color="auto"/>
          <w:left w:val="single" w:sz="4" w:space="4" w:color="auto"/>
          <w:bottom w:val="single" w:sz="4" w:space="0" w:color="auto"/>
          <w:right w:val="single" w:sz="4" w:space="4" w:color="auto"/>
        </w:pBdr>
        <w:shd w:val="pct10" w:color="auto" w:fill="auto"/>
        <w:spacing w:before="120" w:after="120" w:line="240" w:lineRule="auto"/>
        <w:jc w:val="both"/>
        <w:rPr>
          <w:rFonts w:ascii="Times New Roman" w:eastAsia="Calibri" w:hAnsi="Times New Roman" w:cs="Times New Roman"/>
          <w:i/>
          <w:noProof/>
          <w:sz w:val="24"/>
          <w:szCs w:val="24"/>
        </w:rPr>
      </w:pPr>
      <w:r>
        <w:rPr>
          <w:rFonts w:ascii="Times New Roman" w:hAnsi="Times New Roman"/>
          <w:i/>
          <w:noProof/>
          <w:sz w:val="24"/>
        </w:rPr>
        <w:t xml:space="preserve">- счита, че декларираните ПСЗС следва да бъдат обект на надеждна проверка за същественото им значение за стандарт, и ще </w:t>
      </w:r>
      <w:r>
        <w:rPr>
          <w:rFonts w:ascii="Times New Roman" w:hAnsi="Times New Roman"/>
          <w:i/>
          <w:noProof/>
          <w:sz w:val="24"/>
        </w:rPr>
        <w:t xml:space="preserve">стартира пилотен проект за ПСЗС за избрани технологии с оглед улесняване на въвеждането на подходящ механизъм за контрол. </w:t>
      </w:r>
    </w:p>
    <w:p w:rsidR="00B601D3" w:rsidRDefault="00D372FF">
      <w:pPr>
        <w:pStyle w:val="ListParagraph"/>
        <w:numPr>
          <w:ilvl w:val="0"/>
          <w:numId w:val="3"/>
        </w:numPr>
        <w:spacing w:before="360" w:after="120" w:line="240" w:lineRule="auto"/>
        <w:ind w:left="357" w:hanging="357"/>
        <w:contextualSpacing w:val="0"/>
        <w:rPr>
          <w:rFonts w:ascii="Times New Roman" w:eastAsia="Times New Roman" w:hAnsi="Times New Roman" w:cs="Times New Roman"/>
          <w:b/>
          <w:bCs/>
          <w:smallCaps/>
          <w:noProof/>
          <w:sz w:val="24"/>
          <w:szCs w:val="24"/>
        </w:rPr>
      </w:pPr>
      <w:r>
        <w:rPr>
          <w:rFonts w:ascii="Times New Roman" w:hAnsi="Times New Roman"/>
          <w:b/>
          <w:smallCaps/>
          <w:noProof/>
          <w:sz w:val="24"/>
        </w:rPr>
        <w:t>Общи принципи за FRAND условия за лицензиране на ПСЗС</w:t>
      </w:r>
      <w:r>
        <w:rPr>
          <w:rFonts w:ascii="Times New Roman" w:hAnsi="Times New Roman"/>
          <w:noProof/>
          <w:sz w:val="24"/>
        </w:rPr>
        <w:t xml:space="preserve"> </w:t>
      </w:r>
    </w:p>
    <w:p w:rsidR="00B601D3" w:rsidRDefault="00D372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Комисията счита, че страните са в най-добра позиция да постигнат общо </w:t>
      </w:r>
      <w:r>
        <w:rPr>
          <w:rFonts w:ascii="Times New Roman" w:hAnsi="Times New Roman"/>
          <w:noProof/>
          <w:sz w:val="24"/>
        </w:rPr>
        <w:t xml:space="preserve">разбиране за това какво означава справедливи лицензионни условия и справедливи такси чрез добросъвестни преговори. Понастоящем лицензирането се възпрепятства от неясните и различаващи се тълкувания на смисъла на FRAND. Дебатът е особено разгорещен, когато </w:t>
      </w:r>
      <w:r>
        <w:rPr>
          <w:rFonts w:ascii="Times New Roman" w:hAnsi="Times New Roman"/>
          <w:noProof/>
          <w:sz w:val="24"/>
        </w:rPr>
        <w:t>става дума за принципите за оценка. Различните виждания и съдебните спорове във връзка с лицензирането при FRAND условия създават риск от забавяне на внедряването на нови технологии, на процесите на стандартизация и на разгръщането на ИП в Европа. Поради т</w:t>
      </w:r>
      <w:r>
        <w:rPr>
          <w:rFonts w:ascii="Times New Roman" w:hAnsi="Times New Roman"/>
          <w:noProof/>
          <w:sz w:val="24"/>
        </w:rPr>
        <w:t>ова Комисията счита, че е необходимо и полезно да се създаде първоначален набор от ключови ориентири за понятието за FRAND условия, за да се осигури по-стабилна среда за лицензиране, да се дадат насоки на страните за провеждането на преговори и да се намал</w:t>
      </w:r>
      <w:r>
        <w:rPr>
          <w:rFonts w:ascii="Times New Roman" w:hAnsi="Times New Roman"/>
          <w:noProof/>
          <w:sz w:val="24"/>
        </w:rPr>
        <w:t>и броят на съдебните спорове.</w:t>
      </w:r>
    </w:p>
    <w:p w:rsidR="00B601D3" w:rsidRDefault="00D372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Насоките, изложени по-долу, се основават на резултатите от обществена консултация</w:t>
      </w:r>
      <w:r>
        <w:rPr>
          <w:rStyle w:val="FootnoteReference"/>
          <w:rFonts w:ascii="Times New Roman" w:hAnsi="Times New Roman"/>
          <w:noProof/>
          <w:sz w:val="24"/>
        </w:rPr>
        <w:footnoteReference w:id="25"/>
      </w:r>
      <w:r>
        <w:rPr>
          <w:rFonts w:ascii="Times New Roman" w:hAnsi="Times New Roman"/>
          <w:noProof/>
          <w:sz w:val="24"/>
        </w:rPr>
        <w:t>, анализ на най-добрите практики</w:t>
      </w:r>
      <w:r>
        <w:rPr>
          <w:rStyle w:val="FootnoteReference"/>
          <w:rFonts w:ascii="Times New Roman" w:hAnsi="Times New Roman"/>
          <w:noProof/>
          <w:sz w:val="24"/>
        </w:rPr>
        <w:footnoteReference w:id="26"/>
      </w:r>
      <w:r>
        <w:rPr>
          <w:rFonts w:ascii="Times New Roman" w:hAnsi="Times New Roman"/>
          <w:noProof/>
          <w:sz w:val="24"/>
        </w:rPr>
        <w:t>, проучвания</w:t>
      </w:r>
      <w:r>
        <w:rPr>
          <w:rStyle w:val="FootnoteReference"/>
          <w:rFonts w:ascii="Times New Roman" w:hAnsi="Times New Roman"/>
          <w:noProof/>
          <w:sz w:val="24"/>
        </w:rPr>
        <w:footnoteReference w:id="27"/>
      </w:r>
      <w:r>
        <w:rPr>
          <w:rFonts w:ascii="Times New Roman" w:hAnsi="Times New Roman"/>
          <w:noProof/>
          <w:sz w:val="24"/>
        </w:rPr>
        <w:t>, както и националната съдебна практика</w:t>
      </w:r>
      <w:r>
        <w:rPr>
          <w:rStyle w:val="FootnoteReference"/>
          <w:rFonts w:ascii="Times New Roman" w:hAnsi="Times New Roman"/>
          <w:noProof/>
          <w:sz w:val="24"/>
        </w:rPr>
        <w:footnoteReference w:id="28"/>
      </w:r>
      <w:r>
        <w:rPr>
          <w:rFonts w:ascii="Times New Roman" w:hAnsi="Times New Roman"/>
          <w:noProof/>
          <w:sz w:val="24"/>
        </w:rPr>
        <w:t>. Комисията насърчава заинтересованите страни да встъпят в диалог помежду си и с Комисията с цел получаване на допълнителни разяснения и разработване на най-добри практики. Комисията ще следи постигнатия напредък и при нужда ще предприема допълнителни дейс</w:t>
      </w:r>
      <w:r>
        <w:rPr>
          <w:rFonts w:ascii="Times New Roman" w:hAnsi="Times New Roman"/>
          <w:noProof/>
          <w:sz w:val="24"/>
        </w:rPr>
        <w:t xml:space="preserve">твия във връзка с лицензирането при FRAND условия. </w:t>
      </w:r>
    </w:p>
    <w:p w:rsidR="00B601D3" w:rsidRDefault="00D372FF">
      <w:pPr>
        <w:pStyle w:val="ListParagraph"/>
        <w:keepNext/>
        <w:numPr>
          <w:ilvl w:val="1"/>
          <w:numId w:val="3"/>
        </w:numPr>
        <w:spacing w:before="240" w:after="120" w:line="240" w:lineRule="auto"/>
        <w:contextualSpacing w:val="0"/>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Принципи за лицензиране</w:t>
      </w:r>
    </w:p>
    <w:p w:rsidR="00B601D3" w:rsidRDefault="00D372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Както бе потвърдено от Съда на Европейския съюз, „поетото задължение за предоставяне на лицензии при FRAND условия създава у третите лица оправдани правни очаквания, че притежателя</w:t>
      </w:r>
      <w:r>
        <w:rPr>
          <w:rFonts w:ascii="Times New Roman" w:hAnsi="Times New Roman"/>
          <w:noProof/>
          <w:sz w:val="24"/>
        </w:rPr>
        <w:t>т на ПСЗС действително ще им предостави лицензиите при такива условия“</w:t>
      </w:r>
      <w:r>
        <w:rPr>
          <w:rStyle w:val="FootnoteReference"/>
          <w:rFonts w:ascii="Times New Roman" w:hAnsi="Times New Roman"/>
          <w:noProof/>
          <w:sz w:val="24"/>
        </w:rPr>
        <w:footnoteReference w:id="29"/>
      </w:r>
      <w:r>
        <w:rPr>
          <w:rFonts w:ascii="Times New Roman" w:hAnsi="Times New Roman"/>
          <w:noProof/>
          <w:sz w:val="24"/>
        </w:rPr>
        <w:t xml:space="preserve">. </w:t>
      </w:r>
    </w:p>
    <w:p w:rsidR="00B601D3" w:rsidRDefault="00D372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И двете страни трябва да бъдат готови да се включат добросъвестно в преговорите с оглед установяване на лицензионни условия, които са справедливи, разумни и недискриминационни. Стран</w:t>
      </w:r>
      <w:r>
        <w:rPr>
          <w:rFonts w:ascii="Times New Roman" w:hAnsi="Times New Roman"/>
          <w:noProof/>
          <w:sz w:val="24"/>
        </w:rPr>
        <w:t xml:space="preserve">ите по лицензионен договор за ПСЗС, които преговарят добросъвестно, са в състояние най-добре да определят FRAND условията, които са най-подходящи за тяхното конкретно положение. </w:t>
      </w:r>
    </w:p>
    <w:p w:rsidR="00B601D3" w:rsidRDefault="00D372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Следва да бъдат взети предвид съображенията за ефективност, разумните очакван</w:t>
      </w:r>
      <w:r>
        <w:rPr>
          <w:rFonts w:ascii="Times New Roman" w:hAnsi="Times New Roman"/>
          <w:noProof/>
          <w:sz w:val="24"/>
        </w:rPr>
        <w:t>ия и на двете страни относно лицензионните такси и улесняването на внедряването от страна на ползвателите, за да се насърчи широкото разпространение на стандарта. В това отношение следва да се подчертае, че не съществува еднозначен отговор на въпроса какво</w:t>
      </w:r>
      <w:r>
        <w:rPr>
          <w:rFonts w:ascii="Times New Roman" w:hAnsi="Times New Roman"/>
          <w:noProof/>
          <w:sz w:val="24"/>
        </w:rPr>
        <w:t xml:space="preserve"> представляват FRAND условията, тъй като това, което може да се счита за справедливо и разумно, варира между отделните сектори, а също така се променя и с течение на времето. Поради тази причина Комисията насърчава заинтересованите страни да продължат сект</w:t>
      </w:r>
      <w:r>
        <w:rPr>
          <w:rFonts w:ascii="Times New Roman" w:hAnsi="Times New Roman"/>
          <w:noProof/>
          <w:sz w:val="24"/>
        </w:rPr>
        <w:t>орните дискусии с оглед установяване на общи практики за лицензиране въз основа на принципите, изложени в настоящото съобщение.</w:t>
      </w:r>
    </w:p>
    <w:p w:rsidR="00B601D3" w:rsidRDefault="00D372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Комисията счита, че следва да бъдат взети предвид следните принципи за оценка на ИС:</w:t>
      </w:r>
    </w:p>
    <w:p w:rsidR="00B601D3" w:rsidRDefault="00D372FF">
      <w:pPr>
        <w:pStyle w:val="ListParagraph"/>
        <w:numPr>
          <w:ilvl w:val="0"/>
          <w:numId w:val="31"/>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Условията на лицензиране трябва да имат ясн</w:t>
      </w:r>
      <w:r>
        <w:rPr>
          <w:rFonts w:ascii="Times New Roman" w:hAnsi="Times New Roman"/>
          <w:noProof/>
          <w:sz w:val="24"/>
        </w:rPr>
        <w:t>а връзка с икономическата стойност на патентованата технология. Тази стойност преди всичко трябва да се съсредоточи върху самата технология и по принцип не следва да бъде обвързана с решението за включване на технологията в стандарта.</w:t>
      </w:r>
      <w:r>
        <w:rPr>
          <w:rFonts w:ascii="Times New Roman" w:hAnsi="Times New Roman"/>
          <w:noProof/>
        </w:rPr>
        <w:t xml:space="preserve"> </w:t>
      </w:r>
      <w:r>
        <w:rPr>
          <w:rFonts w:ascii="Times New Roman" w:hAnsi="Times New Roman"/>
          <w:noProof/>
          <w:sz w:val="24"/>
        </w:rPr>
        <w:t>В случаите, когато те</w:t>
      </w:r>
      <w:r>
        <w:rPr>
          <w:rFonts w:ascii="Times New Roman" w:hAnsi="Times New Roman"/>
          <w:noProof/>
          <w:sz w:val="24"/>
        </w:rPr>
        <w:t>хнологията се разработва преди всичко за стандарта и има малка пазарна стойност извън стандарта, следва да бъдат предвидени алтернативни методи за оценка, като например относителното значение на технологията в стандарта в сравнение с другите елементи в ста</w:t>
      </w:r>
      <w:r>
        <w:rPr>
          <w:rFonts w:ascii="Times New Roman" w:hAnsi="Times New Roman"/>
          <w:noProof/>
          <w:sz w:val="24"/>
        </w:rPr>
        <w:t>ндарта.</w:t>
      </w:r>
      <w:r>
        <w:rPr>
          <w:noProof/>
        </w:rPr>
        <w:t xml:space="preserve"> </w:t>
      </w:r>
    </w:p>
    <w:p w:rsidR="00B601D3" w:rsidRDefault="00D372FF">
      <w:pPr>
        <w:pStyle w:val="ListParagraph"/>
        <w:numPr>
          <w:ilvl w:val="0"/>
          <w:numId w:val="31"/>
        </w:numPr>
        <w:spacing w:after="0" w:line="240" w:lineRule="auto"/>
        <w:jc w:val="both"/>
        <w:rPr>
          <w:rFonts w:ascii="Times New Roman" w:hAnsi="Times New Roman" w:cs="Times New Roman"/>
          <w:noProof/>
          <w:sz w:val="24"/>
          <w:szCs w:val="24"/>
        </w:rPr>
      </w:pPr>
      <w:r>
        <w:rPr>
          <w:rFonts w:ascii="Times New Roman" w:hAnsi="Times New Roman"/>
          <w:noProof/>
          <w:sz w:val="24"/>
        </w:rPr>
        <w:t>Определянето на FRAND стойност следва да изисква отчитането на актуалната добавена стойност</w:t>
      </w:r>
      <w:r>
        <w:rPr>
          <w:rStyle w:val="FootnoteReference"/>
          <w:rFonts w:ascii="Times New Roman" w:hAnsi="Times New Roman"/>
          <w:noProof/>
          <w:sz w:val="24"/>
        </w:rPr>
        <w:footnoteReference w:id="30"/>
      </w:r>
      <w:r>
        <w:rPr>
          <w:rFonts w:ascii="Times New Roman" w:hAnsi="Times New Roman"/>
          <w:noProof/>
          <w:sz w:val="24"/>
        </w:rPr>
        <w:t xml:space="preserve"> на патентованата технология. Тази стойност не трябва да зависи от пазарния успех на продукта, който не е свързан с патентованата технология. </w:t>
      </w:r>
    </w:p>
    <w:p w:rsidR="00B601D3" w:rsidRDefault="00D372FF">
      <w:pPr>
        <w:pStyle w:val="ListParagraph"/>
        <w:numPr>
          <w:ilvl w:val="0"/>
          <w:numId w:val="31"/>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Оценката на </w:t>
      </w:r>
      <w:r>
        <w:rPr>
          <w:rFonts w:ascii="Times New Roman" w:hAnsi="Times New Roman"/>
          <w:noProof/>
          <w:sz w:val="24"/>
        </w:rPr>
        <w:t>FRAND условията следва да осигури непрекъснати стимули за притежателите на ПСЗС да допринасят със своите най-добри налични технологии за стандартите.</w:t>
      </w:r>
    </w:p>
    <w:p w:rsidR="00B601D3" w:rsidRDefault="00D372FF">
      <w:pPr>
        <w:pStyle w:val="ListParagraph"/>
        <w:numPr>
          <w:ilvl w:val="0"/>
          <w:numId w:val="31"/>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Накрая, за да се избегне натрупването на лицензионни възнаграждения, при определянето на FRAND стойността </w:t>
      </w:r>
      <w:r>
        <w:rPr>
          <w:rFonts w:ascii="Times New Roman" w:hAnsi="Times New Roman"/>
          <w:noProof/>
          <w:sz w:val="24"/>
        </w:rPr>
        <w:t>отделните ПСЗС не могат да се разглеждат изолирано. Страните трябва да вземат предвид разумна обща такса за стандарта, като оценят цялостната добавена стойност на технологията</w:t>
      </w:r>
      <w:r>
        <w:rPr>
          <w:rStyle w:val="FootnoteReference"/>
          <w:rFonts w:ascii="Times New Roman" w:hAnsi="Times New Roman"/>
          <w:noProof/>
          <w:sz w:val="24"/>
        </w:rPr>
        <w:footnoteReference w:id="31"/>
      </w:r>
      <w:r>
        <w:rPr>
          <w:rFonts w:ascii="Times New Roman" w:hAnsi="Times New Roman"/>
          <w:noProof/>
          <w:sz w:val="24"/>
        </w:rPr>
        <w:t>.</w:t>
      </w:r>
      <w:r>
        <w:rPr>
          <w:noProof/>
        </w:rPr>
        <w:t xml:space="preserve"> </w:t>
      </w:r>
      <w:r>
        <w:rPr>
          <w:rFonts w:ascii="Times New Roman" w:hAnsi="Times New Roman"/>
          <w:noProof/>
          <w:sz w:val="24"/>
        </w:rPr>
        <w:t>Прилагането на мерки по отношение на прозрачността на ПСЗС поначало може да по</w:t>
      </w:r>
      <w:r>
        <w:rPr>
          <w:rFonts w:ascii="Times New Roman" w:hAnsi="Times New Roman"/>
          <w:noProof/>
          <w:sz w:val="24"/>
        </w:rPr>
        <w:t>дкрепи тази цел. За нея може да се допринесе допълнително в рамките на приложното поле на правото на ЕС в областта на конкуренцията чрез създаването на платформи за промишлено лицензиране и обединения с цел предоставяне на кръстосани лицензии, или въз осно</w:t>
      </w:r>
      <w:r>
        <w:rPr>
          <w:rFonts w:ascii="Times New Roman" w:hAnsi="Times New Roman"/>
          <w:noProof/>
          <w:sz w:val="24"/>
        </w:rPr>
        <w:t>ва на указания от участниците в процеса по стандартизация относно максималната обща такса, която би могла да бъде разумно предвидена или очаквана.</w:t>
      </w:r>
    </w:p>
    <w:p w:rsidR="00B601D3" w:rsidRDefault="00D372FF">
      <w:pPr>
        <w:pStyle w:val="ListParagraph"/>
        <w:keepNext/>
        <w:numPr>
          <w:ilvl w:val="1"/>
          <w:numId w:val="3"/>
        </w:numPr>
        <w:spacing w:before="240" w:after="120" w:line="240" w:lineRule="auto"/>
        <w:ind w:left="788" w:hanging="431"/>
        <w:contextualSpacing w:val="0"/>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Ефективност и недискриминация</w:t>
      </w:r>
    </w:p>
    <w:p w:rsidR="00B601D3" w:rsidRDefault="00D372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Елементът на FRAND, свързан с недискриминацията, показва, че носителите на прав</w:t>
      </w:r>
      <w:r>
        <w:rPr>
          <w:rFonts w:ascii="Times New Roman" w:hAnsi="Times New Roman"/>
          <w:noProof/>
          <w:sz w:val="24"/>
        </w:rPr>
        <w:t>а не може да третират различно ползватели, които са „в сравнимо положение“</w:t>
      </w:r>
      <w:r>
        <w:rPr>
          <w:rStyle w:val="FootnoteReference"/>
          <w:rFonts w:ascii="Times New Roman" w:hAnsi="Times New Roman"/>
          <w:noProof/>
          <w:sz w:val="24"/>
        </w:rPr>
        <w:footnoteReference w:id="32"/>
      </w:r>
      <w:r>
        <w:rPr>
          <w:rFonts w:ascii="Times New Roman" w:hAnsi="Times New Roman"/>
          <w:noProof/>
          <w:sz w:val="24"/>
        </w:rPr>
        <w:t xml:space="preserve">. </w:t>
      </w:r>
    </w:p>
    <w:p w:rsidR="00B601D3" w:rsidRDefault="00D372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Като се има предвид, че понятието FRAND не е универсално, решенията може да се различават между различните сектори и в зависимост от съответните стопански модели. </w:t>
      </w:r>
    </w:p>
    <w:p w:rsidR="00B601D3" w:rsidRDefault="00D372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Както бе посоч</w:t>
      </w:r>
      <w:r>
        <w:rPr>
          <w:rFonts w:ascii="Times New Roman" w:hAnsi="Times New Roman"/>
          <w:noProof/>
          <w:sz w:val="24"/>
        </w:rPr>
        <w:t>ено по-горе, преговорите при FRAND условия предполагат добросъвестност и от двете страни. Съображенията за ефективност също могат да бъдат от значение. Разходите по сделките, свързани с договарянето на лицензия, трябва да бъдат сведени до необходимия миним</w:t>
      </w:r>
      <w:r>
        <w:rPr>
          <w:rFonts w:ascii="Times New Roman" w:hAnsi="Times New Roman"/>
          <w:noProof/>
          <w:sz w:val="24"/>
        </w:rPr>
        <w:t xml:space="preserve">ум. Освен това в секторите, в които са широко разпространени практиките на кръстосано лицензиране, следва да бъде взето под внимание повишаването на ефективността, свързано с тези практики. Тези аспекти трябва да бъдат отчетени, за да се определи за всеки </w:t>
      </w:r>
      <w:r>
        <w:rPr>
          <w:rFonts w:ascii="Times New Roman" w:hAnsi="Times New Roman"/>
          <w:noProof/>
          <w:sz w:val="24"/>
        </w:rPr>
        <w:t>отделен случай дали дадено предложение за лицензиране е съвместимо с FRAND условията.</w:t>
      </w:r>
    </w:p>
    <w:p w:rsidR="00B601D3" w:rsidRDefault="00D372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В съответствие с подхода, изложен по-горе, Комисията счита, че същите принципи на ефективност са приложими за практиката на портфейлно лицензиране на ПСЗС за продукти, тъ</w:t>
      </w:r>
      <w:r>
        <w:rPr>
          <w:rFonts w:ascii="Times New Roman" w:hAnsi="Times New Roman"/>
          <w:noProof/>
          <w:sz w:val="24"/>
        </w:rPr>
        <w:t>ргувани в световен мащаб</w:t>
      </w:r>
      <w:r>
        <w:rPr>
          <w:rStyle w:val="FootnoteReference"/>
          <w:rFonts w:ascii="Times New Roman" w:hAnsi="Times New Roman"/>
          <w:noProof/>
          <w:sz w:val="24"/>
        </w:rPr>
        <w:footnoteReference w:id="33"/>
      </w:r>
      <w:r>
        <w:rPr>
          <w:rFonts w:ascii="Times New Roman" w:hAnsi="Times New Roman"/>
          <w:noProof/>
          <w:sz w:val="24"/>
        </w:rPr>
        <w:t>. Както се отбелязва в неотдавнашно решение</w:t>
      </w:r>
      <w:r>
        <w:rPr>
          <w:rStyle w:val="FootnoteReference"/>
          <w:rFonts w:ascii="Times New Roman" w:hAnsi="Times New Roman"/>
          <w:noProof/>
          <w:sz w:val="24"/>
        </w:rPr>
        <w:footnoteReference w:id="34"/>
      </w:r>
      <w:r>
        <w:rPr>
          <w:rFonts w:ascii="Times New Roman" w:hAnsi="Times New Roman"/>
          <w:noProof/>
          <w:sz w:val="24"/>
        </w:rPr>
        <w:t xml:space="preserve">, подходът за отделно лицензиране във всяка държава може да не е ефективен и да не бъде в съответствие с призната търговска практика в сектора. </w:t>
      </w:r>
    </w:p>
    <w:p w:rsidR="00B601D3" w:rsidRDefault="00D372FF">
      <w:pPr>
        <w:pStyle w:val="ListParagraph"/>
        <w:keepNext/>
        <w:numPr>
          <w:ilvl w:val="1"/>
          <w:numId w:val="3"/>
        </w:numPr>
        <w:spacing w:before="240" w:after="120" w:line="240" w:lineRule="auto"/>
        <w:contextualSpacing w:val="0"/>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 xml:space="preserve">Обединения с цел предоставяне на </w:t>
      </w:r>
      <w:r>
        <w:rPr>
          <w:rFonts w:ascii="Times New Roman" w:hAnsi="Times New Roman"/>
          <w:b/>
          <w:smallCaps/>
          <w:noProof/>
          <w:sz w:val="24"/>
        </w:rPr>
        <w:t>кръстосани лицензии и платформи за лицензиране, за да се улесни лицензирането на ПСЗС</w:t>
      </w:r>
    </w:p>
    <w:p w:rsidR="00B601D3" w:rsidRDefault="00D372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Следва да се насърчава създаването на обединения с цел предоставяне на кръстосани лицензии или други платформи за лицензиране в рамките на приложното поле на правото на Е</w:t>
      </w:r>
      <w:r>
        <w:rPr>
          <w:rFonts w:ascii="Times New Roman" w:hAnsi="Times New Roman"/>
          <w:noProof/>
          <w:sz w:val="24"/>
        </w:rPr>
        <w:t>С в областта на конкуренцията. Те могат да дадат отговор на много от свързаните с лицензирането на ПСЗС предизвикателства чрез гарантиране на по-добър контрол върху съществения характер, повече яснота относно общите лицензионни такси и решения за обслужван</w:t>
      </w:r>
      <w:r>
        <w:rPr>
          <w:rFonts w:ascii="Times New Roman" w:hAnsi="Times New Roman"/>
          <w:noProof/>
          <w:sz w:val="24"/>
        </w:rPr>
        <w:t>е на едно гише. За предприятията в областта на ИП, и по-специално МСП, които тепърва се сблъскват със спорове във връзка с лицензирането на ПСЗС, това ще внесе повече яснота за лицензионните условия на притежателите на ПСЗС в конкретен сектор.</w:t>
      </w:r>
    </w:p>
    <w:p w:rsidR="00B601D3" w:rsidRDefault="00D372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Следва да се</w:t>
      </w:r>
      <w:r>
        <w:rPr>
          <w:rFonts w:ascii="Times New Roman" w:hAnsi="Times New Roman"/>
          <w:noProof/>
          <w:sz w:val="24"/>
        </w:rPr>
        <w:t xml:space="preserve"> стимулира </w:t>
      </w:r>
      <w:r>
        <w:rPr>
          <w:noProof/>
        </w:rPr>
        <w:t>създаването на обединения в областта на ключови стандартизирани технологии, например с цел улесняване на достъпа до предложения за управление на такива обединения и техническа помощ от ОРС</w:t>
      </w:r>
      <w:r>
        <w:rPr>
          <w:rStyle w:val="FootnoteReference"/>
          <w:rFonts w:ascii="Times New Roman" w:hAnsi="Times New Roman"/>
          <w:noProof/>
          <w:sz w:val="24"/>
        </w:rPr>
        <w:footnoteReference w:id="35"/>
      </w:r>
      <w:r>
        <w:rPr>
          <w:noProof/>
        </w:rPr>
        <w:t xml:space="preserve">. Комисията ще обмисли предприемането и на други мерки, </w:t>
      </w:r>
      <w:r>
        <w:rPr>
          <w:noProof/>
        </w:rPr>
        <w:t>в случай че тези усилия се окажат неефективни в секторите на ИП.</w:t>
      </w:r>
    </w:p>
    <w:p w:rsidR="00B601D3" w:rsidRDefault="00D372FF">
      <w:pPr>
        <w:pStyle w:val="ListParagraph"/>
        <w:keepNext/>
        <w:numPr>
          <w:ilvl w:val="1"/>
          <w:numId w:val="3"/>
        </w:numPr>
        <w:spacing w:before="240" w:after="120" w:line="240" w:lineRule="auto"/>
        <w:ind w:left="788" w:hanging="431"/>
        <w:contextualSpacing w:val="0"/>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 xml:space="preserve">Използване и задълбочаване на експертния опит във връзка с FRAND </w:t>
      </w:r>
    </w:p>
    <w:p w:rsidR="00B601D3" w:rsidRDefault="00D372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Налице е необходимост да се подобри достъпността на опита, експертните познания и притежаваното ноу-хау във връзка с </w:t>
      </w:r>
      <w:r>
        <w:rPr>
          <w:rFonts w:ascii="Times New Roman" w:hAnsi="Times New Roman"/>
          <w:noProof/>
          <w:sz w:val="24"/>
        </w:rPr>
        <w:t xml:space="preserve">определянето на FRAND. Лицензионните договори, медиацията, арбитражните и съдебните решения през годините спомогнаха за извличането на ценен опит и развитието на подходи. Значителни ресурси и усилия бяха посветени на изясняване, анализиране и оценяване на </w:t>
      </w:r>
      <w:r>
        <w:rPr>
          <w:rFonts w:ascii="Times New Roman" w:hAnsi="Times New Roman"/>
          <w:noProof/>
          <w:sz w:val="24"/>
        </w:rPr>
        <w:t>патентите и технологиите. Тъй като не съществува общ регистър за такива експертни познания, съществува риск работата и научните изследвания да бъдат дублирани излишно и това да доведе до сериозни разходи за засегнатите страни. По-достъпната информация отно</w:t>
      </w:r>
      <w:r>
        <w:rPr>
          <w:rFonts w:ascii="Times New Roman" w:hAnsi="Times New Roman"/>
          <w:noProof/>
          <w:sz w:val="24"/>
        </w:rPr>
        <w:t>сно FRAND би могла да увеличи предвидимостта за предприятията, като например тези, извършващи дейност в областта на ИП, да улесни процеса на лицензиране като цяло и да предостави подкрепа и ориентири при уреждането на спорове.</w:t>
      </w:r>
    </w:p>
    <w:p w:rsidR="00B601D3" w:rsidRDefault="00D372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Затова Комисията ще създаде е</w:t>
      </w:r>
      <w:r>
        <w:rPr>
          <w:rFonts w:ascii="Times New Roman" w:hAnsi="Times New Roman"/>
          <w:noProof/>
          <w:sz w:val="24"/>
        </w:rPr>
        <w:t>кспертна група с цел обобщаване на практиката в сектора и събиране на допълнителни експертни познания относно лицензирането при FRAND условия. Освен това Комисията ще използва всички подходящи налични инструменти за получаване на допълнителна информация, з</w:t>
      </w:r>
      <w:r>
        <w:rPr>
          <w:rFonts w:ascii="Times New Roman" w:hAnsi="Times New Roman"/>
          <w:noProof/>
          <w:sz w:val="24"/>
        </w:rPr>
        <w:t>а да подкрепи изготвянето на политиката си с достатъчно доказателства.</w:t>
      </w:r>
    </w:p>
    <w:p w:rsidR="00B601D3" w:rsidRDefault="00D372FF">
      <w:pPr>
        <w:pStyle w:val="gmail-m3155349479969081128msolistparagraph"/>
        <w:pBdr>
          <w:top w:val="single" w:sz="4" w:space="1" w:color="auto"/>
          <w:left w:val="single" w:sz="4" w:space="4" w:color="auto"/>
          <w:bottom w:val="single" w:sz="4" w:space="1" w:color="auto"/>
          <w:right w:val="single" w:sz="4" w:space="4" w:color="auto"/>
        </w:pBdr>
        <w:shd w:val="clear" w:color="auto" w:fill="CCCCCC"/>
        <w:spacing w:before="120" w:after="120"/>
        <w:jc w:val="both"/>
        <w:rPr>
          <w:i/>
          <w:noProof/>
          <w:color w:val="000000"/>
        </w:rPr>
      </w:pPr>
      <w:r>
        <w:rPr>
          <w:i/>
          <w:noProof/>
          <w:color w:val="000000"/>
        </w:rPr>
        <w:t>Предвид настоящата ситуация Комисията смята, че лицензирането на ПСЗС следва да се основава на следните принципи:</w:t>
      </w:r>
    </w:p>
    <w:p w:rsidR="00B601D3" w:rsidRDefault="00D372FF">
      <w:pPr>
        <w:pStyle w:val="gmail-m3155349479969081128msolistparagraph"/>
        <w:pBdr>
          <w:top w:val="single" w:sz="4" w:space="1" w:color="auto"/>
          <w:left w:val="single" w:sz="4" w:space="4" w:color="auto"/>
          <w:bottom w:val="single" w:sz="4" w:space="1" w:color="auto"/>
          <w:right w:val="single" w:sz="4" w:space="4" w:color="auto"/>
        </w:pBdr>
        <w:shd w:val="clear" w:color="auto" w:fill="CCCCCC"/>
        <w:spacing w:before="120" w:after="120"/>
        <w:jc w:val="both"/>
        <w:rPr>
          <w:i/>
          <w:noProof/>
          <w:color w:val="000000"/>
        </w:rPr>
      </w:pPr>
      <w:r>
        <w:rPr>
          <w:i/>
          <w:noProof/>
          <w:color w:val="000000"/>
        </w:rPr>
        <w:t>- Не съществува еднозначен отговор на въпроса какво представляват FRAND</w:t>
      </w:r>
      <w:r>
        <w:rPr>
          <w:i/>
          <w:noProof/>
          <w:color w:val="000000"/>
        </w:rPr>
        <w:t xml:space="preserve"> условията: това, което може да се счита за справедливо и разумно, варира между отделните сектори, а също така се променя с течение на времето. Следва да бъдат взети предвид съображенията за ефективност, разумните очаквания и на двете страни относно лиценз</w:t>
      </w:r>
      <w:r>
        <w:rPr>
          <w:i/>
          <w:noProof/>
          <w:color w:val="000000"/>
        </w:rPr>
        <w:t xml:space="preserve">ионните такси и улесняването на внедряването от страна на ползвателите, за да се насърчи широкото разпространение на стандарта. </w:t>
      </w:r>
    </w:p>
    <w:p w:rsidR="00B601D3" w:rsidRDefault="00D372FF">
      <w:pPr>
        <w:pStyle w:val="gmail-m3155349479969081128msolistparagraph"/>
        <w:pBdr>
          <w:top w:val="single" w:sz="4" w:space="1" w:color="auto"/>
          <w:left w:val="single" w:sz="4" w:space="4" w:color="auto"/>
          <w:bottom w:val="single" w:sz="4" w:space="1" w:color="auto"/>
          <w:right w:val="single" w:sz="4" w:space="4" w:color="auto"/>
        </w:pBdr>
        <w:shd w:val="clear" w:color="auto" w:fill="CCCCCC"/>
        <w:spacing w:before="120" w:after="120"/>
        <w:jc w:val="both"/>
        <w:rPr>
          <w:i/>
          <w:noProof/>
          <w:color w:val="000000"/>
        </w:rPr>
      </w:pPr>
      <w:r>
        <w:rPr>
          <w:i/>
          <w:noProof/>
          <w:color w:val="000000"/>
        </w:rPr>
        <w:t>- Определянето на FRAND стойност следва да изисква отчитането на настоящата добавена стойност на патентованата технология. Тази</w:t>
      </w:r>
      <w:r>
        <w:rPr>
          <w:i/>
          <w:noProof/>
          <w:color w:val="000000"/>
        </w:rPr>
        <w:t xml:space="preserve"> стойност не трябва да зависи от пазарния успех на продукта, който не е свързан със стойността на патентованата технология. </w:t>
      </w:r>
      <w:r>
        <w:rPr>
          <w:noProof/>
        </w:rPr>
        <w:t xml:space="preserve"> </w:t>
      </w:r>
    </w:p>
    <w:p w:rsidR="00B601D3" w:rsidRDefault="00D372FF">
      <w:pPr>
        <w:pStyle w:val="gmail-m3155349479969081128msolistparagraph"/>
        <w:pBdr>
          <w:top w:val="single" w:sz="4" w:space="1" w:color="auto"/>
          <w:left w:val="single" w:sz="4" w:space="4" w:color="auto"/>
          <w:bottom w:val="single" w:sz="4" w:space="1" w:color="auto"/>
          <w:right w:val="single" w:sz="4" w:space="4" w:color="auto"/>
        </w:pBdr>
        <w:shd w:val="clear" w:color="auto" w:fill="CCCCCC"/>
        <w:spacing w:before="120" w:after="120"/>
        <w:jc w:val="both"/>
        <w:rPr>
          <w:i/>
          <w:noProof/>
          <w:color w:val="000000"/>
        </w:rPr>
      </w:pPr>
      <w:r>
        <w:rPr>
          <w:i/>
          <w:noProof/>
          <w:color w:val="000000"/>
        </w:rPr>
        <w:t>- При определяне на FRAND стойност страните трябва да вземат предвид разумна обща такса за стандарта.</w:t>
      </w:r>
    </w:p>
    <w:p w:rsidR="00B601D3" w:rsidRDefault="00D372FF">
      <w:pPr>
        <w:pStyle w:val="gmail-m3155349479969081128msolistparagraph"/>
        <w:pBdr>
          <w:top w:val="single" w:sz="4" w:space="1" w:color="auto"/>
          <w:left w:val="single" w:sz="4" w:space="4" w:color="auto"/>
          <w:bottom w:val="single" w:sz="4" w:space="1" w:color="auto"/>
          <w:right w:val="single" w:sz="4" w:space="4" w:color="auto"/>
        </w:pBdr>
        <w:shd w:val="clear" w:color="auto" w:fill="CCCCCC"/>
        <w:spacing w:before="120" w:after="120"/>
        <w:jc w:val="both"/>
        <w:rPr>
          <w:i/>
          <w:noProof/>
          <w:color w:val="000000"/>
        </w:rPr>
      </w:pPr>
      <w:r>
        <w:rPr>
          <w:noProof/>
        </w:rPr>
        <w:t>-</w:t>
      </w:r>
      <w:r>
        <w:rPr>
          <w:i/>
          <w:noProof/>
          <w:color w:val="000000"/>
        </w:rPr>
        <w:t xml:space="preserve"> Елементът на FRAND, свърза</w:t>
      </w:r>
      <w:r>
        <w:rPr>
          <w:i/>
          <w:noProof/>
          <w:color w:val="000000"/>
        </w:rPr>
        <w:t xml:space="preserve">н с недискриминацията, показва, че носителите на права не може да третират различно ползватели, които са „в сравнимо положение“. </w:t>
      </w:r>
    </w:p>
    <w:p w:rsidR="00B601D3" w:rsidRDefault="00D372FF">
      <w:pPr>
        <w:pStyle w:val="gmail-m3155349479969081128msolistparagraph"/>
        <w:pBdr>
          <w:top w:val="single" w:sz="4" w:space="1" w:color="auto"/>
          <w:left w:val="single" w:sz="4" w:space="4" w:color="auto"/>
          <w:bottom w:val="single" w:sz="4" w:space="1" w:color="auto"/>
          <w:right w:val="single" w:sz="4" w:space="4" w:color="auto"/>
        </w:pBdr>
        <w:shd w:val="clear" w:color="auto" w:fill="CCCCCC"/>
        <w:spacing w:before="120" w:after="120"/>
        <w:jc w:val="both"/>
        <w:rPr>
          <w:i/>
          <w:noProof/>
          <w:color w:val="000000"/>
        </w:rPr>
      </w:pPr>
      <w:r>
        <w:rPr>
          <w:i/>
          <w:noProof/>
          <w:color w:val="000000"/>
        </w:rPr>
        <w:t>- За търгувани в световен мащаб продукти предоставянето на валидни в целия свят лицензии за ПСЗС може да допринесе за по-ефект</w:t>
      </w:r>
      <w:r>
        <w:rPr>
          <w:i/>
          <w:noProof/>
          <w:color w:val="000000"/>
        </w:rPr>
        <w:t>ивен подход и следователно може да бъде съвместимо с FRAND.</w:t>
      </w:r>
    </w:p>
    <w:p w:rsidR="00B601D3" w:rsidRDefault="00D372FF">
      <w:pPr>
        <w:pStyle w:val="gmail-m3155349479969081128msolistparagraph"/>
        <w:pBdr>
          <w:top w:val="single" w:sz="4" w:space="1" w:color="auto"/>
          <w:left w:val="single" w:sz="4" w:space="4" w:color="auto"/>
          <w:bottom w:val="single" w:sz="4" w:space="1" w:color="auto"/>
          <w:right w:val="single" w:sz="4" w:space="4" w:color="auto"/>
        </w:pBdr>
        <w:shd w:val="clear" w:color="auto" w:fill="CCCCCC"/>
        <w:spacing w:before="120" w:after="120"/>
        <w:jc w:val="both"/>
        <w:rPr>
          <w:i/>
          <w:noProof/>
          <w:color w:val="000000"/>
        </w:rPr>
      </w:pPr>
      <w:r>
        <w:rPr>
          <w:i/>
          <w:noProof/>
          <w:color w:val="000000"/>
        </w:rPr>
        <w:t xml:space="preserve">Комисията призовава ОРС и притежателите на ПСЗС да разработят ефективни решения, за да се улесни предоставянето на лицензии на голям брой ползватели в сферата на ИП (особено МСП), чрез обединения </w:t>
      </w:r>
      <w:r>
        <w:rPr>
          <w:i/>
          <w:noProof/>
          <w:color w:val="000000"/>
        </w:rPr>
        <w:t>с цел предоставяне на кръстосани лицензии или други лицензионни платформи, като същевременно се осигурява достатъчна прозрачност и предвидимост.</w:t>
      </w:r>
    </w:p>
    <w:p w:rsidR="00B601D3" w:rsidRDefault="00D372FF">
      <w:pPr>
        <w:pStyle w:val="gmail-m3155349479969081128msolistparagraph"/>
        <w:pBdr>
          <w:top w:val="single" w:sz="4" w:space="1" w:color="auto"/>
          <w:left w:val="single" w:sz="4" w:space="4" w:color="auto"/>
          <w:bottom w:val="single" w:sz="4" w:space="1" w:color="auto"/>
          <w:right w:val="single" w:sz="4" w:space="4" w:color="auto"/>
        </w:pBdr>
        <w:shd w:val="clear" w:color="auto" w:fill="CCCCCC"/>
        <w:spacing w:before="120" w:after="120"/>
        <w:jc w:val="both"/>
        <w:rPr>
          <w:i/>
          <w:noProof/>
          <w:color w:val="000000"/>
        </w:rPr>
      </w:pPr>
      <w:r>
        <w:rPr>
          <w:i/>
          <w:noProof/>
          <w:color w:val="000000"/>
        </w:rPr>
        <w:t>Комисията ще следи лицензионните практики, по-специално в сектора на ИП. Тя също така ще създаде експертна груп</w:t>
      </w:r>
      <w:r>
        <w:rPr>
          <w:i/>
          <w:noProof/>
          <w:color w:val="000000"/>
        </w:rPr>
        <w:t>а с цел задълбочаване на експертните познания относно практиките за промишлено лицензиране, правилното оценяване на ИС и определянето на FRAND.</w:t>
      </w:r>
    </w:p>
    <w:p w:rsidR="00B601D3" w:rsidRDefault="00D372FF">
      <w:pPr>
        <w:pStyle w:val="ListParagraph"/>
        <w:numPr>
          <w:ilvl w:val="0"/>
          <w:numId w:val="3"/>
        </w:numPr>
        <w:spacing w:before="360" w:after="120" w:line="240" w:lineRule="auto"/>
        <w:ind w:left="357" w:hanging="357"/>
        <w:contextualSpacing w:val="0"/>
        <w:rPr>
          <w:rFonts w:ascii="Times New Roman" w:eastAsia="Times New Roman" w:hAnsi="Times New Roman" w:cs="Times New Roman"/>
          <w:b/>
          <w:bCs/>
          <w:smallCaps/>
          <w:noProof/>
          <w:sz w:val="24"/>
          <w:szCs w:val="24"/>
        </w:rPr>
      </w:pPr>
      <w:r>
        <w:rPr>
          <w:rFonts w:ascii="Times New Roman" w:hAnsi="Times New Roman"/>
          <w:b/>
          <w:smallCaps/>
          <w:noProof/>
          <w:sz w:val="24"/>
        </w:rPr>
        <w:t>Предсказуема среда за прилагане на ПСЗС</w:t>
      </w:r>
    </w:p>
    <w:p w:rsidR="00B601D3" w:rsidRDefault="00D372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Споровете във връзка с ПСЗС са важен фактор в системата за лицензиране, </w:t>
      </w:r>
      <w:r>
        <w:rPr>
          <w:rFonts w:ascii="Times New Roman" w:hAnsi="Times New Roman"/>
          <w:noProof/>
          <w:sz w:val="24"/>
        </w:rPr>
        <w:t>когато преговорите са неуспешни. Наличието на балансирана и предсказуема среда за прилагане има особено положителен ефект върху поведението на страните по време на преговорите, което от своя страна може да доведе до ускоряване на разпространението на станд</w:t>
      </w:r>
      <w:r>
        <w:rPr>
          <w:rFonts w:ascii="Times New Roman" w:hAnsi="Times New Roman"/>
          <w:noProof/>
          <w:sz w:val="24"/>
        </w:rPr>
        <w:t>артизирани технологии. Заинтересованите страни в сферата на ИП обаче изтъкват факта, че несигурността и дисбалансът в системата за прилагане имат съществени последици за навлизането на пазара. По отношение на ПСЗС се наблюдава по-висок брой на съдебните сп</w:t>
      </w:r>
      <w:r>
        <w:rPr>
          <w:rFonts w:ascii="Times New Roman" w:hAnsi="Times New Roman"/>
          <w:noProof/>
          <w:sz w:val="24"/>
        </w:rPr>
        <w:t>орове, отколкото при другите патенти</w:t>
      </w:r>
      <w:r>
        <w:rPr>
          <w:rStyle w:val="FootnoteReference"/>
          <w:rFonts w:ascii="Times New Roman" w:hAnsi="Times New Roman"/>
          <w:noProof/>
          <w:sz w:val="24"/>
        </w:rPr>
        <w:footnoteReference w:id="36"/>
      </w:r>
      <w:r>
        <w:rPr>
          <w:rFonts w:ascii="Times New Roman" w:hAnsi="Times New Roman"/>
          <w:noProof/>
          <w:sz w:val="24"/>
        </w:rPr>
        <w:t xml:space="preserve">, което засилва необходимостта от ясна рамка за споровете в тази област. Докато с настоящото съобщение основно се цели да се дадат конкретни насоки относно патентите от съществено значение за стандарт, в </w:t>
      </w:r>
      <w:r>
        <w:rPr>
          <w:rFonts w:ascii="Times New Roman" w:hAnsi="Times New Roman"/>
          <w:i/>
          <w:noProof/>
          <w:sz w:val="24"/>
        </w:rPr>
        <w:t>Насоките относн</w:t>
      </w:r>
      <w:r>
        <w:rPr>
          <w:rFonts w:ascii="Times New Roman" w:hAnsi="Times New Roman"/>
          <w:i/>
          <w:noProof/>
          <w:sz w:val="24"/>
        </w:rPr>
        <w:t>о определени аспекти на Директива 2004/48/ЕО на Европейския парламент и на Съвета относно упражняването на права върху интелектуалната собственост</w:t>
      </w:r>
      <w:r>
        <w:rPr>
          <w:rStyle w:val="FootnoteReference"/>
          <w:rFonts w:ascii="Times New Roman" w:hAnsi="Times New Roman"/>
          <w:i/>
          <w:noProof/>
          <w:sz w:val="24"/>
        </w:rPr>
        <w:footnoteReference w:id="37"/>
      </w:r>
      <w:r>
        <w:rPr>
          <w:rFonts w:ascii="Times New Roman" w:hAnsi="Times New Roman"/>
          <w:noProof/>
          <w:sz w:val="24"/>
        </w:rPr>
        <w:t xml:space="preserve"> се изяснява в по-общ план режимът на Директивата относно упражняването на права върху интелектуалната собств</w:t>
      </w:r>
      <w:r>
        <w:rPr>
          <w:rFonts w:ascii="Times New Roman" w:hAnsi="Times New Roman"/>
          <w:noProof/>
          <w:sz w:val="24"/>
        </w:rPr>
        <w:t>еност.</w:t>
      </w:r>
      <w:r>
        <w:rPr>
          <w:rStyle w:val="FootnoteReference"/>
          <w:rFonts w:ascii="Times New Roman" w:hAnsi="Times New Roman"/>
          <w:noProof/>
          <w:sz w:val="24"/>
        </w:rPr>
        <w:t xml:space="preserve"> </w:t>
      </w:r>
      <w:r>
        <w:rPr>
          <w:rFonts w:ascii="Times New Roman" w:hAnsi="Times New Roman"/>
          <w:noProof/>
          <w:sz w:val="24"/>
        </w:rPr>
        <w:t>Възможността за гарантиране на спазването е един от ключовите аспекти на правата върху интелектуална собственост</w:t>
      </w:r>
      <w:r>
        <w:rPr>
          <w:rStyle w:val="FootnoteReference"/>
          <w:rFonts w:ascii="Times New Roman" w:hAnsi="Times New Roman"/>
          <w:noProof/>
          <w:sz w:val="24"/>
        </w:rPr>
        <w:footnoteReference w:id="38"/>
      </w:r>
      <w:r>
        <w:rPr>
          <w:rFonts w:ascii="Times New Roman" w:hAnsi="Times New Roman"/>
          <w:noProof/>
          <w:sz w:val="24"/>
        </w:rPr>
        <w:t>. Досега обсъжданията в областта на ПСЗС бяха съсредоточени главно върху наличието на възможност за предявяване на иск за преустановяван</w:t>
      </w:r>
      <w:r>
        <w:rPr>
          <w:rFonts w:ascii="Times New Roman" w:hAnsi="Times New Roman"/>
          <w:noProof/>
          <w:sz w:val="24"/>
        </w:rPr>
        <w:t>е на нарушения. Тази възможност има за цел да защити притежателите на ПСЗС срещу нарушителите, нежелаещи да сключат лицензия при FRAND условия. В същото време са необходими предпазни мерки срещу риска добросъвестни ползватели на технологии под заплахата от</w:t>
      </w:r>
      <w:r>
        <w:rPr>
          <w:rFonts w:ascii="Times New Roman" w:hAnsi="Times New Roman"/>
          <w:noProof/>
          <w:sz w:val="24"/>
        </w:rPr>
        <w:t xml:space="preserve"> предявяване на иск да приемат лицензионни условия, които не са FRAND, или в най-лошия случай да не са в състояние да пуснат на пазара продуктите си (поради прекомерно високи такси — положение „hold-up“).</w:t>
      </w:r>
    </w:p>
    <w:p w:rsidR="00B601D3" w:rsidRDefault="00D372FF">
      <w:pPr>
        <w:pStyle w:val="ListParagraph"/>
        <w:keepNext/>
        <w:numPr>
          <w:ilvl w:val="1"/>
          <w:numId w:val="3"/>
        </w:numPr>
        <w:spacing w:before="240" w:after="120" w:line="240" w:lineRule="auto"/>
        <w:ind w:left="788" w:hanging="431"/>
        <w:contextualSpacing w:val="0"/>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Наличие на възможност за предявяване на иск за преу</w:t>
      </w:r>
      <w:r>
        <w:rPr>
          <w:rFonts w:ascii="Times New Roman" w:hAnsi="Times New Roman"/>
          <w:b/>
          <w:smallCaps/>
          <w:noProof/>
          <w:sz w:val="24"/>
        </w:rPr>
        <w:t xml:space="preserve">становяване на нарушение съгласно съдебната практика по дело Huawei/ZTE </w:t>
      </w:r>
    </w:p>
    <w:p w:rsidR="00B601D3" w:rsidRDefault="00D372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В решението си по дело Huawei</w:t>
      </w:r>
      <w:r>
        <w:rPr>
          <w:rStyle w:val="FootnoteReference"/>
          <w:rFonts w:ascii="Times New Roman" w:hAnsi="Times New Roman"/>
          <w:noProof/>
          <w:sz w:val="24"/>
        </w:rPr>
        <w:footnoteReference w:id="39"/>
      </w:r>
      <w:r>
        <w:rPr>
          <w:rFonts w:ascii="Times New Roman" w:hAnsi="Times New Roman"/>
          <w:noProof/>
          <w:sz w:val="24"/>
        </w:rPr>
        <w:t xml:space="preserve"> при преценката дали притежателят на ПСЗС може да предяви иск за преустановяване на нарушение срещу потенциален лицензополучател, без да наруши член 102 ДФЕС, Съдът на ЕС установи задължения и за двете страни по договор за лицензиране на ПСЗС. Притежателит</w:t>
      </w:r>
      <w:r>
        <w:rPr>
          <w:rFonts w:ascii="Times New Roman" w:hAnsi="Times New Roman"/>
          <w:noProof/>
          <w:sz w:val="24"/>
        </w:rPr>
        <w:t>е на ПСЗС не може да предявяват подобни искове срещу ползватели, които желаят да сключат лицензионен договор при FRAND условия, и Съдът на ЕС установи поведенчески критерии за преценка на случаите, когато може да се счита, че потенциалните лицензополучател</w:t>
      </w:r>
      <w:r>
        <w:rPr>
          <w:rFonts w:ascii="Times New Roman" w:hAnsi="Times New Roman"/>
          <w:noProof/>
          <w:sz w:val="24"/>
        </w:rPr>
        <w:t>и желаят да сключат такъв договор.</w:t>
      </w:r>
    </w:p>
    <w:p w:rsidR="00B601D3" w:rsidRDefault="00D372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Комисията смята, че посочените по-долу елементи, които произтичат от националната съдебна практика по прилагането на решението по дело </w:t>
      </w:r>
      <w:r>
        <w:rPr>
          <w:rFonts w:ascii="Times New Roman" w:hAnsi="Times New Roman"/>
          <w:i/>
          <w:noProof/>
          <w:sz w:val="24"/>
        </w:rPr>
        <w:t>Huawei</w:t>
      </w:r>
      <w:r>
        <w:rPr>
          <w:rStyle w:val="FootnoteReference"/>
          <w:rFonts w:ascii="Times New Roman" w:hAnsi="Times New Roman"/>
          <w:noProof/>
          <w:sz w:val="24"/>
        </w:rPr>
        <w:footnoteReference w:id="40"/>
      </w:r>
      <w:r>
        <w:rPr>
          <w:rFonts w:ascii="Times New Roman" w:hAnsi="Times New Roman"/>
          <w:noProof/>
          <w:sz w:val="24"/>
        </w:rPr>
        <w:t>, предоставят полезни допълнителни насоки за заинтересованите страни.</w:t>
      </w:r>
    </w:p>
    <w:p w:rsidR="00B601D3" w:rsidRDefault="00D372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Няколко с</w:t>
      </w:r>
      <w:r>
        <w:rPr>
          <w:rFonts w:ascii="Times New Roman" w:hAnsi="Times New Roman"/>
          <w:noProof/>
          <w:sz w:val="24"/>
        </w:rPr>
        <w:t>ъдилища са подчертали, че потенциалният лицензополучател на ПСЗС трябва да получи достатъчно подробна и относима информация, за да определи относимостта на портфейла от ПСЗС и съответствието с FRAND условията</w:t>
      </w:r>
      <w:r>
        <w:rPr>
          <w:rStyle w:val="FootnoteReference"/>
          <w:rFonts w:ascii="Times New Roman" w:hAnsi="Times New Roman"/>
          <w:noProof/>
          <w:sz w:val="24"/>
        </w:rPr>
        <w:footnoteReference w:id="41"/>
      </w:r>
      <w:r>
        <w:rPr>
          <w:rFonts w:ascii="Times New Roman" w:hAnsi="Times New Roman"/>
          <w:noProof/>
          <w:sz w:val="24"/>
        </w:rPr>
        <w:t>. Конкретните изисквания може да варират в зави</w:t>
      </w:r>
      <w:r>
        <w:rPr>
          <w:rFonts w:ascii="Times New Roman" w:hAnsi="Times New Roman"/>
          <w:noProof/>
          <w:sz w:val="24"/>
        </w:rPr>
        <w:t>симост от всеки отделен случай, но Комисията счита, че за да се оцени дадено предложение при FRAND условия и да се направи подходящо насрещно предложение, са необходими ясни обяснения относно: същественото значение за стандарта, продуктите на ползвателя на</w:t>
      </w:r>
      <w:r>
        <w:rPr>
          <w:rFonts w:ascii="Times New Roman" w:hAnsi="Times New Roman"/>
          <w:noProof/>
          <w:sz w:val="24"/>
        </w:rPr>
        <w:t xml:space="preserve"> ПСЗС, за които се твърди, че представляват нарушение, предложеното изчисление на лицензионното възнаграждение и елементът на FRAND, свързан с недискриминацията.</w:t>
      </w:r>
    </w:p>
    <w:p w:rsidR="00B601D3" w:rsidRDefault="00D372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В решението по дело </w:t>
      </w:r>
      <w:r>
        <w:rPr>
          <w:rFonts w:ascii="Times New Roman" w:hAnsi="Times New Roman"/>
          <w:i/>
          <w:noProof/>
          <w:sz w:val="24"/>
        </w:rPr>
        <w:t>Huawei</w:t>
      </w:r>
      <w:r>
        <w:rPr>
          <w:rFonts w:ascii="Times New Roman" w:hAnsi="Times New Roman"/>
          <w:noProof/>
          <w:sz w:val="24"/>
        </w:rPr>
        <w:t xml:space="preserve"> бе постановено, че насрещното предложение следва да бъде конкретно и специфично, т.е. не може да се ограничава до оспорване на предложението на притежателя на ПСЗС и общо позоваване на определянето на лицензионното възнаграждение от трета страна. То следв</w:t>
      </w:r>
      <w:r>
        <w:rPr>
          <w:rFonts w:ascii="Times New Roman" w:hAnsi="Times New Roman"/>
          <w:noProof/>
          <w:sz w:val="24"/>
        </w:rPr>
        <w:t>а да съдържа също така информация относно точното използване на стандарта в конкретния продукт. Желанието на страните да се подчинят на направеното от трета страна обвързващо определяне в съответствие с FRAND условията, в случай че се установи, че предложе</w:t>
      </w:r>
      <w:r>
        <w:rPr>
          <w:rFonts w:ascii="Times New Roman" w:hAnsi="Times New Roman"/>
          <w:noProof/>
          <w:sz w:val="24"/>
        </w:rPr>
        <w:t>нието (насрещното предложение) не отговаря на FRAND условията, все пак свидетелства за поведение при FRAND условия.</w:t>
      </w:r>
    </w:p>
    <w:p w:rsidR="00B601D3" w:rsidRDefault="00D372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Не може да бъде определен общ ориентир за навременността на насрещното предложение от потенциалния лицензополучател, тъй като роля играят сп</w:t>
      </w:r>
      <w:r>
        <w:rPr>
          <w:rFonts w:ascii="Times New Roman" w:hAnsi="Times New Roman"/>
          <w:noProof/>
          <w:sz w:val="24"/>
        </w:rPr>
        <w:t>ецифичните за всеки конкретен случай обстоятелства. Те включват броя на потвърдените ПСЗС и данните, съдържащи се в иска за преустановяване на нарушение. Въпреки това съществува вероятен баланс между времето, считано за приемливо за отговор на предложениет</w:t>
      </w:r>
      <w:r>
        <w:rPr>
          <w:rFonts w:ascii="Times New Roman" w:hAnsi="Times New Roman"/>
          <w:noProof/>
          <w:sz w:val="24"/>
        </w:rPr>
        <w:t>о, и подробния характер и качеството на информацията, предоставена в първоначалното предложение на притежателя на ПСЗС. В това отношение мерки, които подобряват прозрачността нагоре по веригата на експозицията на ПСЗС</w:t>
      </w:r>
      <w:r>
        <w:rPr>
          <w:rStyle w:val="FootnoteReference"/>
          <w:rFonts w:ascii="Times New Roman" w:hAnsi="Times New Roman"/>
          <w:noProof/>
          <w:sz w:val="24"/>
        </w:rPr>
        <w:footnoteReference w:id="42"/>
      </w:r>
      <w:r>
        <w:rPr>
          <w:rFonts w:ascii="Times New Roman" w:hAnsi="Times New Roman"/>
          <w:noProof/>
          <w:sz w:val="24"/>
        </w:rPr>
        <w:t>, ще имат много положително въздействи</w:t>
      </w:r>
      <w:r>
        <w:rPr>
          <w:rFonts w:ascii="Times New Roman" w:hAnsi="Times New Roman"/>
          <w:noProof/>
          <w:sz w:val="24"/>
        </w:rPr>
        <w:t xml:space="preserve">е върху системата от мерки за прилагане. </w:t>
      </w:r>
    </w:p>
    <w:p w:rsidR="00B601D3" w:rsidRDefault="00D372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Ако предварително е на разположение по-надеждна информация за ПСЗС чрез системата за деклариране, както беше подчертано в раздел 1 по-горе, броят на декларираните ПСЗС би намалял значително. Това следва да се вземе</w:t>
      </w:r>
      <w:r>
        <w:rPr>
          <w:rFonts w:ascii="Times New Roman" w:hAnsi="Times New Roman"/>
          <w:noProof/>
          <w:sz w:val="24"/>
        </w:rPr>
        <w:t xml:space="preserve"> предвид при оценяването на приемливото време за отговор от ползвателите на ПСЗС на предложение при FRAND условия.</w:t>
      </w:r>
    </w:p>
    <w:p w:rsidR="00B601D3" w:rsidRDefault="00D372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По отношение на гаранцията, която следва да бъде предоставена от ползвателя на ПСЗС като защита срещу иск за преустановяване на нарушение, су</w:t>
      </w:r>
      <w:r>
        <w:rPr>
          <w:rFonts w:ascii="Times New Roman" w:hAnsi="Times New Roman"/>
          <w:noProof/>
          <w:sz w:val="24"/>
        </w:rPr>
        <w:t>мата следва да бъде фиксирана на ниво, което възпира евентуални стратегии за неспазване на предоставяните от патента права (т.нар. „patent hold-out“ стратегии). Подобни съображения могат да се прилагат при оценката на размера на обезщетението. Комисията ще</w:t>
      </w:r>
      <w:r>
        <w:rPr>
          <w:rFonts w:ascii="Times New Roman" w:hAnsi="Times New Roman"/>
          <w:noProof/>
          <w:sz w:val="24"/>
        </w:rPr>
        <w:t xml:space="preserve"> подкрепя обмена на най-добри практики с експерти и заинтересовани страни относно метода за изчисляване на обезщетението в случаи, свързани с ПСЗС.</w:t>
      </w:r>
    </w:p>
    <w:p w:rsidR="00B601D3" w:rsidRDefault="00D372FF">
      <w:pPr>
        <w:pStyle w:val="ListParagraph"/>
        <w:keepNext/>
        <w:numPr>
          <w:ilvl w:val="1"/>
          <w:numId w:val="3"/>
        </w:numPr>
        <w:spacing w:before="240" w:after="120" w:line="240" w:lineRule="auto"/>
        <w:ind w:left="788" w:hanging="431"/>
        <w:contextualSpacing w:val="0"/>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Съображения за пропорционалност</w:t>
      </w:r>
    </w:p>
    <w:p w:rsidR="00B601D3" w:rsidRDefault="00D372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При оценката за наличието на възможност за предявяване на иск за преустановя</w:t>
      </w:r>
      <w:r>
        <w:rPr>
          <w:rFonts w:ascii="Times New Roman" w:hAnsi="Times New Roman"/>
          <w:noProof/>
          <w:sz w:val="24"/>
        </w:rPr>
        <w:t>ване на нарушение, съдилищата са обвързани от член 3, параграф 2 от Директивата относно упражняването на ПИС</w:t>
      </w:r>
      <w:r>
        <w:rPr>
          <w:rStyle w:val="FootnoteReference"/>
          <w:rFonts w:ascii="Times New Roman" w:hAnsi="Times New Roman"/>
          <w:noProof/>
          <w:sz w:val="24"/>
        </w:rPr>
        <w:footnoteReference w:id="43"/>
      </w:r>
      <w:r>
        <w:rPr>
          <w:rFonts w:ascii="Times New Roman" w:hAnsi="Times New Roman"/>
          <w:noProof/>
          <w:sz w:val="24"/>
        </w:rPr>
        <w:t>, и по-специално от изискването да се гарантира, че мерките за преустановяване на нарушения са ефективни, пропорционални и имат възпиращ ефект. Кат</w:t>
      </w:r>
      <w:r>
        <w:rPr>
          <w:rFonts w:ascii="Times New Roman" w:hAnsi="Times New Roman"/>
          <w:noProof/>
          <w:sz w:val="24"/>
        </w:rPr>
        <w:t>о се има предвид широкото въздействие, което мерките за преустановяване на нарушения може да окажат върху предприятията, потребителите и обществения интерес, особено в контекста на цифровизираната икономика, оценката на пропорционалността трябва да се извъ</w:t>
      </w:r>
      <w:r>
        <w:rPr>
          <w:rFonts w:ascii="Times New Roman" w:hAnsi="Times New Roman"/>
          <w:noProof/>
          <w:sz w:val="24"/>
        </w:rPr>
        <w:t>ршва внимателно за всеки отделен случай. Комисията счита, че трябва да се обърне внимание на относителното значение на спорната технология в конкретния случай и на потенциалните странични ефекти на мерките за преустановяване на нарушения за трети страни.</w:t>
      </w:r>
    </w:p>
    <w:p w:rsidR="00B601D3" w:rsidRDefault="00D372FF">
      <w:pPr>
        <w:pStyle w:val="ListParagraph"/>
        <w:keepNext/>
        <w:numPr>
          <w:ilvl w:val="1"/>
          <w:numId w:val="3"/>
        </w:numPr>
        <w:spacing w:before="240" w:after="120" w:line="240" w:lineRule="auto"/>
        <w:ind w:left="788" w:hanging="431"/>
        <w:contextualSpacing w:val="0"/>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С</w:t>
      </w:r>
      <w:r>
        <w:rPr>
          <w:rFonts w:ascii="Times New Roman" w:hAnsi="Times New Roman"/>
          <w:b/>
          <w:smallCaps/>
          <w:noProof/>
          <w:sz w:val="24"/>
        </w:rPr>
        <w:t>ъдебни спорове въз основа на патентни портфейли</w:t>
      </w:r>
    </w:p>
    <w:p w:rsidR="00B601D3" w:rsidRDefault="00D372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В съответствие с решението по дело Huawei, което се позовава на </w:t>
      </w:r>
      <w:r>
        <w:rPr>
          <w:rFonts w:ascii="Times New Roman" w:hAnsi="Times New Roman"/>
          <w:i/>
          <w:noProof/>
          <w:sz w:val="24"/>
        </w:rPr>
        <w:t>установените в областта търговски практики</w:t>
      </w:r>
      <w:r>
        <w:rPr>
          <w:rStyle w:val="FootnoteReference"/>
          <w:rFonts w:ascii="Times New Roman" w:hAnsi="Times New Roman"/>
          <w:noProof/>
          <w:sz w:val="24"/>
        </w:rPr>
        <w:footnoteReference w:id="44"/>
      </w:r>
      <w:r>
        <w:rPr>
          <w:rFonts w:ascii="Times New Roman" w:hAnsi="Times New Roman"/>
          <w:noProof/>
          <w:sz w:val="24"/>
        </w:rPr>
        <w:t>, националните юрисдикции също вземат предвид портфейлните лицензии, предоставени в съответствие с FR</w:t>
      </w:r>
      <w:r>
        <w:rPr>
          <w:rFonts w:ascii="Times New Roman" w:hAnsi="Times New Roman"/>
          <w:noProof/>
          <w:sz w:val="24"/>
        </w:rPr>
        <w:t xml:space="preserve">AND условия извън националната територия, при условие че портфейлът се ограничава до всички ПСЗС, от които лицензополучателят има нужда, за да произвежда/пуска на пазара своя продукт (вж. раздел 2.2 по-горе). В този контекст притежателите на ПСЗС могат да </w:t>
      </w:r>
      <w:r>
        <w:rPr>
          <w:rFonts w:ascii="Times New Roman" w:hAnsi="Times New Roman"/>
          <w:noProof/>
          <w:sz w:val="24"/>
        </w:rPr>
        <w:t>предлагат повече патенти, включително такива, които не са от съществено значение за стандарт, но не може да изискват от лицензополучателя да приеме лицензия и за тези други патенти. Принципното нежелание или отказът да се предложат или да се приемат всички</w:t>
      </w:r>
      <w:r>
        <w:rPr>
          <w:rFonts w:ascii="Times New Roman" w:hAnsi="Times New Roman"/>
          <w:noProof/>
          <w:sz w:val="24"/>
        </w:rPr>
        <w:t xml:space="preserve"> ПСЗС, от които лицензополучателят може да има нужда, биха могли да бъдат признак за недобросъвестност. За да се счита за съобразено с FRAND условията, насрещното предложение трябва да се отнася до всички ПСЗС, от които лицензополучателят има нужда, и не м</w:t>
      </w:r>
      <w:r>
        <w:rPr>
          <w:rFonts w:ascii="Times New Roman" w:hAnsi="Times New Roman"/>
          <w:noProof/>
          <w:sz w:val="24"/>
        </w:rPr>
        <w:t>оже да се основава само на отделен(ни) патент(и). Портфейлите обаче не следва да включват конкурентни технологии, а само допълващи технологии, ако е необходимо</w:t>
      </w:r>
      <w:r>
        <w:rPr>
          <w:rStyle w:val="FootnoteReference"/>
          <w:rFonts w:ascii="Times New Roman" w:hAnsi="Times New Roman"/>
          <w:noProof/>
          <w:sz w:val="24"/>
        </w:rPr>
        <w:footnoteReference w:id="45"/>
      </w:r>
      <w:r>
        <w:rPr>
          <w:rFonts w:ascii="Times New Roman" w:hAnsi="Times New Roman"/>
          <w:noProof/>
          <w:sz w:val="24"/>
        </w:rPr>
        <w:t>. При все че евентуалните лицензополучатели може винаги да оспорят валидността/съществения харак</w:t>
      </w:r>
      <w:r>
        <w:rPr>
          <w:rFonts w:ascii="Times New Roman" w:hAnsi="Times New Roman"/>
          <w:noProof/>
          <w:sz w:val="24"/>
        </w:rPr>
        <w:t>тер на отделни патенти, лицензирането на всички патенти от съществено значение за стандарт, от които лицензополучателят има нужда, може да бъде особено ефективно. Затова Комисията ще работи съвместно със заинтересованите страни (включително, когато е умест</w:t>
      </w:r>
      <w:r>
        <w:rPr>
          <w:rFonts w:ascii="Times New Roman" w:hAnsi="Times New Roman"/>
          <w:noProof/>
          <w:sz w:val="24"/>
        </w:rPr>
        <w:t>но, съответните съдилища, арбитри и медиатори) за разработването и използването на съгласувани методологии, като например извадки, които дават възможност за ефикасно и ефективно разрешаване на спорове във връзка с ПСЗС, в съответствие с промишлената практи</w:t>
      </w:r>
      <w:r>
        <w:rPr>
          <w:rFonts w:ascii="Times New Roman" w:hAnsi="Times New Roman"/>
          <w:noProof/>
          <w:sz w:val="24"/>
        </w:rPr>
        <w:t>ка на портфейлно лицензиране.</w:t>
      </w:r>
    </w:p>
    <w:p w:rsidR="00B601D3" w:rsidRDefault="00D372FF">
      <w:pPr>
        <w:pStyle w:val="ListParagraph"/>
        <w:keepNext/>
        <w:numPr>
          <w:ilvl w:val="1"/>
          <w:numId w:val="3"/>
        </w:numPr>
        <w:spacing w:before="240" w:after="120" w:line="240" w:lineRule="auto"/>
        <w:ind w:left="788" w:hanging="431"/>
        <w:contextualSpacing w:val="0"/>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Алтернативно разрешаване на спорове</w:t>
      </w:r>
    </w:p>
    <w:p w:rsidR="00B601D3" w:rsidRDefault="00D372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Комисията е на мнение, че механизмите за алтернативно разрешаване на спорове (АРС), като например медиацията и арбитражът, могат да предложат по-бързо и по-евтино разрешаване на споровете</w:t>
      </w:r>
      <w:r>
        <w:rPr>
          <w:rStyle w:val="FootnoteReference"/>
          <w:rFonts w:ascii="Times New Roman" w:hAnsi="Times New Roman"/>
          <w:noProof/>
          <w:sz w:val="24"/>
        </w:rPr>
        <w:footnoteReference w:id="46"/>
      </w:r>
      <w:r>
        <w:rPr>
          <w:rFonts w:ascii="Times New Roman" w:hAnsi="Times New Roman"/>
          <w:noProof/>
          <w:sz w:val="24"/>
        </w:rPr>
        <w:t xml:space="preserve">. </w:t>
      </w:r>
      <w:r>
        <w:rPr>
          <w:rFonts w:ascii="Times New Roman" w:hAnsi="Times New Roman"/>
          <w:noProof/>
          <w:sz w:val="24"/>
        </w:rPr>
        <w:t>Въпреки че не може да има задължение за страните да прибягват до АРС, Комисията счита, че потенциалните ползи от този инструмент понастоящем не се използват пълноценно.</w:t>
      </w:r>
    </w:p>
    <w:p w:rsidR="00B601D3" w:rsidRDefault="00D372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Използването на АРС често е възпрепятствано поради наличието на непредвидимост и е крит</w:t>
      </w:r>
      <w:r>
        <w:rPr>
          <w:rFonts w:ascii="Times New Roman" w:hAnsi="Times New Roman"/>
          <w:noProof/>
          <w:sz w:val="24"/>
        </w:rPr>
        <w:t>икувано заради липсата на прозрачност при предходните решения. Успехът на тези механизми зависи не само от наличието на подходящи процедури, но също и от качеството на експертите. След като започне да функционира, Единният патентен съд следва да осигури сп</w:t>
      </w:r>
      <w:r>
        <w:rPr>
          <w:rFonts w:ascii="Times New Roman" w:hAnsi="Times New Roman"/>
          <w:noProof/>
          <w:sz w:val="24"/>
        </w:rPr>
        <w:t>ециален център по арбитраж и медиация, който ще разполага със специализирани съдии, като по този начин ще се гарантират висококачествени и ефективни процедури, съгласувани практики и ограничени възможности за търсене на най-благоприятната правна система. К</w:t>
      </w:r>
      <w:r>
        <w:rPr>
          <w:rFonts w:ascii="Times New Roman" w:hAnsi="Times New Roman"/>
          <w:noProof/>
          <w:sz w:val="24"/>
        </w:rPr>
        <w:t>акто Комисията обяви в стратегията си от ноември 2016 г. относно правата върху интелектуална собственост за МСП, понастоящем тя заедно със Службата на Европейския съюз за интелектуална собственост (EUIPO) прави преглед на инструментите за медиация и арбитр</w:t>
      </w:r>
      <w:r>
        <w:rPr>
          <w:rFonts w:ascii="Times New Roman" w:hAnsi="Times New Roman"/>
          <w:noProof/>
          <w:sz w:val="24"/>
        </w:rPr>
        <w:t>аж в областта на ИС с оглед улесняване на по-нататъшното разгръщане на услугите по медиация и арбитраж в областта на ИС, в частност за МСП</w:t>
      </w:r>
      <w:r>
        <w:rPr>
          <w:rStyle w:val="FootnoteReference"/>
          <w:rFonts w:ascii="Times New Roman" w:hAnsi="Times New Roman"/>
          <w:noProof/>
          <w:sz w:val="24"/>
        </w:rPr>
        <w:footnoteReference w:id="47"/>
      </w:r>
      <w:r>
        <w:rPr>
          <w:rFonts w:ascii="Times New Roman" w:hAnsi="Times New Roman"/>
          <w:noProof/>
          <w:sz w:val="24"/>
        </w:rPr>
        <w:t xml:space="preserve">. </w:t>
      </w:r>
    </w:p>
    <w:p w:rsidR="00B601D3" w:rsidRDefault="00D372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Комисията счита, че резултатите от споровете следва също да бъдат включени в базите данни на ОРС, както бе посочен</w:t>
      </w:r>
      <w:r>
        <w:rPr>
          <w:rFonts w:ascii="Times New Roman" w:hAnsi="Times New Roman"/>
          <w:noProof/>
          <w:sz w:val="24"/>
        </w:rPr>
        <w:t>о в главата относно прозрачността</w:t>
      </w:r>
      <w:r>
        <w:rPr>
          <w:rStyle w:val="FootnoteReference"/>
          <w:rFonts w:ascii="Times New Roman" w:hAnsi="Times New Roman"/>
          <w:noProof/>
          <w:sz w:val="24"/>
        </w:rPr>
        <w:footnoteReference w:id="48"/>
      </w:r>
      <w:r>
        <w:rPr>
          <w:rFonts w:ascii="Times New Roman" w:hAnsi="Times New Roman"/>
          <w:noProof/>
          <w:sz w:val="24"/>
        </w:rPr>
        <w:t>.</w:t>
      </w:r>
    </w:p>
    <w:p w:rsidR="00B601D3" w:rsidRDefault="00D372FF">
      <w:pPr>
        <w:pStyle w:val="ListParagraph"/>
        <w:keepNext/>
        <w:numPr>
          <w:ilvl w:val="1"/>
          <w:numId w:val="3"/>
        </w:numPr>
        <w:spacing w:before="240" w:after="120" w:line="240" w:lineRule="auto"/>
        <w:ind w:left="788" w:hanging="431"/>
        <w:contextualSpacing w:val="0"/>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Образувания за предявяване на патентни права (РАЕ) и ПСЗС</w:t>
      </w:r>
    </w:p>
    <w:p w:rsidR="00B601D3" w:rsidRDefault="00D372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РАЕ</w:t>
      </w:r>
      <w:r>
        <w:rPr>
          <w:rStyle w:val="FootnoteReference"/>
          <w:rFonts w:ascii="Times New Roman" w:hAnsi="Times New Roman"/>
          <w:noProof/>
          <w:sz w:val="24"/>
        </w:rPr>
        <w:footnoteReference w:id="49"/>
      </w:r>
      <w:r>
        <w:rPr>
          <w:rFonts w:ascii="Times New Roman" w:hAnsi="Times New Roman"/>
          <w:noProof/>
          <w:sz w:val="24"/>
        </w:rPr>
        <w:t xml:space="preserve"> имат все по-голямо участие на пазара за лицензиране на ПСЗС. Проучванията</w:t>
      </w:r>
      <w:r>
        <w:rPr>
          <w:rStyle w:val="FootnoteReference"/>
          <w:rFonts w:ascii="Times New Roman" w:hAnsi="Times New Roman"/>
          <w:noProof/>
          <w:sz w:val="24"/>
        </w:rPr>
        <w:footnoteReference w:id="50"/>
      </w:r>
      <w:r>
        <w:rPr>
          <w:rFonts w:ascii="Times New Roman" w:hAnsi="Times New Roman"/>
          <w:noProof/>
          <w:sz w:val="24"/>
        </w:rPr>
        <w:t xml:space="preserve"> сочат, че европейската система за разрешаване на патентни спорове, включително таз</w:t>
      </w:r>
      <w:r>
        <w:rPr>
          <w:rFonts w:ascii="Times New Roman" w:hAnsi="Times New Roman"/>
          <w:noProof/>
          <w:sz w:val="24"/>
        </w:rPr>
        <w:t>и, която предстои да бъде създадена във връзка с Единния патентен съд, предоставя достатъчна защита срещу потенциално вредните последици от действията на някои РАЕ в ЕС</w:t>
      </w:r>
      <w:r>
        <w:rPr>
          <w:rStyle w:val="FootnoteReference"/>
          <w:rFonts w:ascii="Times New Roman" w:hAnsi="Times New Roman"/>
          <w:noProof/>
          <w:sz w:val="24"/>
        </w:rPr>
        <w:footnoteReference w:id="51"/>
      </w:r>
      <w:r>
        <w:rPr>
          <w:rFonts w:ascii="Times New Roman" w:hAnsi="Times New Roman"/>
          <w:noProof/>
          <w:sz w:val="24"/>
        </w:rPr>
        <w:t>. РАЕ следва да се подчиняват на същите правила като всеки друг притежател на ПСЗС, вкл</w:t>
      </w:r>
      <w:r>
        <w:rPr>
          <w:rFonts w:ascii="Times New Roman" w:hAnsi="Times New Roman"/>
          <w:noProof/>
          <w:sz w:val="24"/>
        </w:rPr>
        <w:t>ючително след прехвърлянето на ПСЗС от патентопритежателите към РАЕ. По-голямата прозрачност и предвидимост следва допълнително да намалят възможностите за злоупотреба. Прилагането на принципа на пропорционалност от съдилищата е допълнителна предпазна мярк</w:t>
      </w:r>
      <w:r>
        <w:rPr>
          <w:rFonts w:ascii="Times New Roman" w:hAnsi="Times New Roman"/>
          <w:noProof/>
          <w:sz w:val="24"/>
        </w:rPr>
        <w:t>а. Комисията ще следи отблизо текущия ефект от действията на тези пазарни участници на пазара за лицензиране на ПСЗС в Европа, по-специално след като единният патент на ЕС започне да функционира.</w:t>
      </w:r>
    </w:p>
    <w:p w:rsidR="00B601D3" w:rsidRDefault="00D372FF">
      <w:pPr>
        <w:pStyle w:val="ListParagraph"/>
        <w:keepNext/>
        <w:numPr>
          <w:ilvl w:val="1"/>
          <w:numId w:val="3"/>
        </w:numPr>
        <w:spacing w:before="240" w:after="120" w:line="240" w:lineRule="auto"/>
        <w:ind w:left="788" w:hanging="431"/>
        <w:contextualSpacing w:val="0"/>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Повишаване на осведомеността</w:t>
      </w:r>
    </w:p>
    <w:p w:rsidR="00B601D3" w:rsidRDefault="00D372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Необходимо е съответните </w:t>
      </w:r>
      <w:r>
        <w:rPr>
          <w:rFonts w:ascii="Times New Roman" w:hAnsi="Times New Roman"/>
          <w:noProof/>
          <w:sz w:val="24"/>
        </w:rPr>
        <w:t>заинтересовани страни, по-специално ОРС и притежателите на ПСЗС, проактивно да повишават осведомеността за процеса на лицензиране при FRAND условия и последиците от него, по-специално за МСП (както притежателите на патенти, така и ползвателите на стандарти</w:t>
      </w:r>
      <w:r>
        <w:rPr>
          <w:rFonts w:ascii="Times New Roman" w:hAnsi="Times New Roman"/>
          <w:noProof/>
          <w:sz w:val="24"/>
        </w:rPr>
        <w:t>те). Комисията ще подкрепя действията за повишаване на осведомеността по този въпрос.</w:t>
      </w:r>
    </w:p>
    <w:p w:rsidR="00B601D3" w:rsidRDefault="00D372FF">
      <w:pPr>
        <w:pStyle w:val="gmail-m3155349479969081128msolistparagraph"/>
        <w:pBdr>
          <w:top w:val="single" w:sz="4" w:space="1" w:color="auto"/>
          <w:left w:val="single" w:sz="4" w:space="4" w:color="auto"/>
          <w:bottom w:val="single" w:sz="4" w:space="1" w:color="auto"/>
          <w:right w:val="single" w:sz="4" w:space="4" w:color="auto"/>
        </w:pBdr>
        <w:shd w:val="clear" w:color="auto" w:fill="CCCCCC"/>
        <w:spacing w:before="120" w:after="120"/>
        <w:jc w:val="both"/>
        <w:rPr>
          <w:i/>
          <w:noProof/>
          <w:color w:val="000000"/>
        </w:rPr>
      </w:pPr>
      <w:r>
        <w:rPr>
          <w:i/>
          <w:noProof/>
          <w:color w:val="000000"/>
        </w:rPr>
        <w:t>Комисията счита, че FRAND условията изискват и двете страни да преговарят добросъвестно, включително да реагират своевременно. Срещу недобросъвестните страни (т.е. страни</w:t>
      </w:r>
      <w:r>
        <w:rPr>
          <w:i/>
          <w:noProof/>
          <w:color w:val="000000"/>
        </w:rPr>
        <w:t>, които не желаят да договарят получаването на лицензия при FRAND условия) обаче може да се иска предприемането на мерки за преустановяване на нарушение, но те трябва да се използват пропорционално.</w:t>
      </w:r>
    </w:p>
    <w:p w:rsidR="00B601D3" w:rsidRDefault="00D372FF">
      <w:pPr>
        <w:pStyle w:val="gmail-m3155349479969081128msolistparagraph"/>
        <w:pBdr>
          <w:top w:val="single" w:sz="4" w:space="1" w:color="auto"/>
          <w:left w:val="single" w:sz="4" w:space="4" w:color="auto"/>
          <w:bottom w:val="single" w:sz="4" w:space="1" w:color="auto"/>
          <w:right w:val="single" w:sz="4" w:space="4" w:color="auto"/>
        </w:pBdr>
        <w:shd w:val="clear" w:color="auto" w:fill="CCCCCC"/>
        <w:spacing w:before="120" w:after="120"/>
        <w:jc w:val="both"/>
        <w:rPr>
          <w:i/>
          <w:noProof/>
          <w:color w:val="000000"/>
        </w:rPr>
      </w:pPr>
      <w:r>
        <w:rPr>
          <w:i/>
          <w:noProof/>
          <w:color w:val="000000"/>
        </w:rPr>
        <w:t>Комисията възнамерява:</w:t>
      </w:r>
    </w:p>
    <w:p w:rsidR="00B601D3" w:rsidRDefault="00D372FF">
      <w:pPr>
        <w:pStyle w:val="gmail-m3155349479969081128msolistparagraph"/>
        <w:pBdr>
          <w:top w:val="single" w:sz="4" w:space="1" w:color="auto"/>
          <w:left w:val="single" w:sz="4" w:space="4" w:color="auto"/>
          <w:bottom w:val="single" w:sz="4" w:space="1" w:color="auto"/>
          <w:right w:val="single" w:sz="4" w:space="4" w:color="auto"/>
        </w:pBdr>
        <w:shd w:val="clear" w:color="auto" w:fill="CCCCCC"/>
        <w:spacing w:before="120" w:after="120"/>
        <w:jc w:val="both"/>
        <w:rPr>
          <w:i/>
          <w:noProof/>
          <w:color w:val="000000"/>
        </w:rPr>
      </w:pPr>
      <w:r>
        <w:rPr>
          <w:i/>
          <w:noProof/>
          <w:color w:val="000000"/>
        </w:rPr>
        <w:t>- да работи съвместно със заинтере</w:t>
      </w:r>
      <w:r>
        <w:rPr>
          <w:i/>
          <w:noProof/>
          <w:color w:val="000000"/>
        </w:rPr>
        <w:t>сованите страни за разработването и използването на методологии, като например извадки, които дават възможност за ефикасно и ефективно разрешаване на съдебните спорове във връзка с ПСЗС, в съответствие с промишлената практика на портфейлно лицензиране;</w:t>
      </w:r>
    </w:p>
    <w:p w:rsidR="00B601D3" w:rsidRDefault="00D372FF">
      <w:pPr>
        <w:pStyle w:val="gmail-m3155349479969081128msolistparagraph"/>
        <w:pBdr>
          <w:top w:val="single" w:sz="4" w:space="1" w:color="auto"/>
          <w:left w:val="single" w:sz="4" w:space="4" w:color="auto"/>
          <w:bottom w:val="single" w:sz="4" w:space="1" w:color="auto"/>
          <w:right w:val="single" w:sz="4" w:space="4" w:color="auto"/>
        </w:pBdr>
        <w:shd w:val="clear" w:color="auto" w:fill="CCCCCC"/>
        <w:spacing w:before="120" w:after="120"/>
        <w:jc w:val="both"/>
        <w:rPr>
          <w:i/>
          <w:noProof/>
          <w:color w:val="000000"/>
        </w:rPr>
      </w:pPr>
      <w:r>
        <w:rPr>
          <w:i/>
          <w:noProof/>
          <w:color w:val="000000"/>
        </w:rPr>
        <w:t xml:space="preserve">- </w:t>
      </w:r>
      <w:r>
        <w:rPr>
          <w:i/>
          <w:noProof/>
          <w:color w:val="000000"/>
        </w:rPr>
        <w:t>допълнително да улесни въвеждането на инструменти за медиация и за алтернативно разрешаване на спорове, както и</w:t>
      </w:r>
    </w:p>
    <w:p w:rsidR="00B601D3" w:rsidRDefault="00D372FF">
      <w:pPr>
        <w:pStyle w:val="gmail-m3155349479969081128msolistparagraph"/>
        <w:pBdr>
          <w:top w:val="single" w:sz="4" w:space="1" w:color="auto"/>
          <w:left w:val="single" w:sz="4" w:space="4" w:color="auto"/>
          <w:bottom w:val="single" w:sz="4" w:space="1" w:color="auto"/>
          <w:right w:val="single" w:sz="4" w:space="4" w:color="auto"/>
        </w:pBdr>
        <w:shd w:val="clear" w:color="auto" w:fill="CCCCCC"/>
        <w:spacing w:before="120" w:after="120"/>
        <w:jc w:val="both"/>
        <w:rPr>
          <w:i/>
          <w:noProof/>
          <w:color w:val="000000"/>
        </w:rPr>
      </w:pPr>
      <w:r>
        <w:rPr>
          <w:i/>
          <w:noProof/>
          <w:color w:val="000000"/>
        </w:rPr>
        <w:t>- да следи ефекта от действията на РАЕ в Европа.</w:t>
      </w:r>
    </w:p>
    <w:p w:rsidR="00B601D3" w:rsidRDefault="00D372FF">
      <w:pPr>
        <w:keepNext/>
        <w:spacing w:before="240" w:after="120" w:line="240" w:lineRule="auto"/>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4. Отворен код и стандарти</w:t>
      </w:r>
    </w:p>
    <w:p w:rsidR="00B601D3" w:rsidRDefault="00D372FF">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В контекста на настоящите постижения в областта на технологиите въве</w:t>
      </w:r>
      <w:r>
        <w:rPr>
          <w:rFonts w:ascii="Times New Roman" w:hAnsi="Times New Roman"/>
          <w:noProof/>
          <w:sz w:val="24"/>
        </w:rPr>
        <w:t>ждането на софтуер с отворен код (OSS), в допълнение към стандартите, също е двигател на иновациите и става все по-широко разпространено, включително в областта на ИКТ стандартите. Интегрирането на проекти с отворен код и процесите на разработване на станд</w:t>
      </w:r>
      <w:r>
        <w:rPr>
          <w:rFonts w:ascii="Times New Roman" w:hAnsi="Times New Roman"/>
          <w:noProof/>
          <w:sz w:val="24"/>
        </w:rPr>
        <w:t>арти е от полза за всички: от една страна, привеждането в съответствие на отворения код и стандартизацията може да ускори процеса на разработване на стандарти и използването на стандарти в областта на ИКТ (особено за МСП), а от друга страна, стандартите мо</w:t>
      </w:r>
      <w:r>
        <w:rPr>
          <w:rFonts w:ascii="Times New Roman" w:hAnsi="Times New Roman"/>
          <w:noProof/>
          <w:sz w:val="24"/>
        </w:rPr>
        <w:t>гат да осигурят оперативната съвместимост на отделните приложения на софтуера с отворен код</w:t>
      </w:r>
      <w:r>
        <w:rPr>
          <w:rStyle w:val="FootnoteReference"/>
          <w:rFonts w:ascii="Times New Roman" w:hAnsi="Times New Roman"/>
          <w:noProof/>
          <w:sz w:val="24"/>
        </w:rPr>
        <w:footnoteReference w:id="52"/>
      </w:r>
      <w:r>
        <w:rPr>
          <w:rFonts w:ascii="Times New Roman" w:hAnsi="Times New Roman"/>
          <w:noProof/>
          <w:sz w:val="24"/>
        </w:rPr>
        <w:t>. Дейности в тази посока се осъществяват в рамките на различни ОРС</w:t>
      </w:r>
      <w:r>
        <w:rPr>
          <w:rStyle w:val="FootnoteReference"/>
          <w:rFonts w:ascii="Times New Roman" w:hAnsi="Times New Roman"/>
          <w:noProof/>
          <w:sz w:val="24"/>
        </w:rPr>
        <w:footnoteReference w:id="53"/>
      </w:r>
      <w:r>
        <w:rPr>
          <w:rFonts w:ascii="Times New Roman" w:hAnsi="Times New Roman"/>
          <w:noProof/>
          <w:sz w:val="24"/>
        </w:rPr>
        <w:t>.</w:t>
      </w:r>
    </w:p>
    <w:p w:rsidR="00B601D3" w:rsidRDefault="00D372FF">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Процесите с отворен код и процесите по стандартизация имат някои сходства (напр. открити процес</w:t>
      </w:r>
      <w:r>
        <w:rPr>
          <w:rFonts w:ascii="Times New Roman" w:hAnsi="Times New Roman"/>
          <w:noProof/>
          <w:sz w:val="24"/>
        </w:rPr>
        <w:t>и на сътрудничество, принос за иновациите) и различия (политики в областта на ПИС, гъвкавост, поддръжка, прозрачност, балансираност на процесите и т.н.). Поради това е необходимо да се обърне внимание на взаимодействието между проектите на общностите с отв</w:t>
      </w:r>
      <w:r>
        <w:rPr>
          <w:rFonts w:ascii="Times New Roman" w:hAnsi="Times New Roman"/>
          <w:noProof/>
          <w:sz w:val="24"/>
        </w:rPr>
        <w:t>орен код и процесите на ОРС.</w:t>
      </w:r>
    </w:p>
    <w:p w:rsidR="00B601D3" w:rsidRDefault="00D372FF">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Комисията подкрепя решенията с отворен код, напр. чрез проекти в областта на научните изследвания и иновациите, финансирани в рамките на „Хоризонт 2020“. Гъвкавите и ефективни взаимодействия между процесите на стандартизация и </w:t>
      </w:r>
      <w:r>
        <w:rPr>
          <w:rFonts w:ascii="Times New Roman" w:hAnsi="Times New Roman"/>
          <w:noProof/>
          <w:sz w:val="24"/>
        </w:rPr>
        <w:t>общностите с отворен код ще насърчат и ускорят внедряването на модерни технологични разработки.</w:t>
      </w:r>
    </w:p>
    <w:p w:rsidR="00B601D3" w:rsidRDefault="00D372FF">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Комисията ще продължи да си сътрудничи със заинтересованите страни, общностите с отворен код и ОРС за насърчаване на ефективното взаимодействие между процесите </w:t>
      </w:r>
      <w:r>
        <w:rPr>
          <w:rFonts w:ascii="Times New Roman" w:hAnsi="Times New Roman"/>
          <w:noProof/>
          <w:sz w:val="24"/>
        </w:rPr>
        <w:t>на стандартизация и процесите с отворен код. Тя също така ще финансира и проучвания, за да анализира взаимното допълване, начините на взаимодействие и различията между двата процеса, и ще препоръча решения за добро сътрудничество между двете общности.</w:t>
      </w:r>
    </w:p>
    <w:p w:rsidR="00B601D3" w:rsidRDefault="00D372FF">
      <w:pPr>
        <w:pStyle w:val="ListParagraph"/>
        <w:pBdr>
          <w:top w:val="single" w:sz="4" w:space="1" w:color="auto"/>
          <w:left w:val="single" w:sz="4" w:space="4" w:color="auto"/>
          <w:bottom w:val="single" w:sz="4" w:space="1" w:color="auto"/>
          <w:right w:val="single" w:sz="4" w:space="4" w:color="auto"/>
        </w:pBdr>
        <w:shd w:val="pct10" w:color="auto" w:fill="auto"/>
        <w:spacing w:before="120" w:after="120" w:line="240" w:lineRule="auto"/>
        <w:ind w:left="0"/>
        <w:jc w:val="both"/>
        <w:rPr>
          <w:rFonts w:ascii="Times New Roman" w:hAnsi="Times New Roman" w:cs="Times New Roman"/>
          <w:i/>
          <w:noProof/>
          <w:sz w:val="24"/>
          <w:szCs w:val="24"/>
        </w:rPr>
      </w:pPr>
      <w:r>
        <w:rPr>
          <w:rFonts w:ascii="Times New Roman" w:hAnsi="Times New Roman"/>
          <w:i/>
          <w:noProof/>
          <w:sz w:val="24"/>
        </w:rPr>
        <w:t>Коми</w:t>
      </w:r>
      <w:r>
        <w:rPr>
          <w:rFonts w:ascii="Times New Roman" w:hAnsi="Times New Roman"/>
          <w:i/>
          <w:noProof/>
          <w:sz w:val="24"/>
        </w:rPr>
        <w:t>сията ще работи съвместно със заинтересованите страни, общностите с отворен код и ОРС за успешното взаимодействие между отворения код и стандартизацията посредством научни изследвания и анализи.</w:t>
      </w:r>
    </w:p>
    <w:p w:rsidR="00B601D3" w:rsidRDefault="00D372FF">
      <w:pPr>
        <w:keepNext/>
        <w:spacing w:before="240" w:after="120" w:line="240" w:lineRule="auto"/>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5. Заключение</w:t>
      </w:r>
    </w:p>
    <w:p w:rsidR="00B601D3" w:rsidRDefault="00D372FF">
      <w:pPr>
        <w:spacing w:before="120" w:after="120" w:line="240" w:lineRule="auto"/>
        <w:jc w:val="both"/>
        <w:rPr>
          <w:rFonts w:ascii="Times New Roman" w:hAnsi="Times New Roman" w:cs="Times New Roman"/>
          <w:noProof/>
          <w:sz w:val="24"/>
          <w:szCs w:val="24"/>
        </w:rPr>
      </w:pPr>
      <w:r>
        <w:rPr>
          <w:rFonts w:ascii="Times New Roman" w:hAnsi="Times New Roman"/>
          <w:noProof/>
          <w:sz w:val="24"/>
        </w:rPr>
        <w:t>За да може Европа да се възползва пълноценно от</w:t>
      </w:r>
      <w:r>
        <w:rPr>
          <w:rFonts w:ascii="Times New Roman" w:hAnsi="Times New Roman"/>
          <w:noProof/>
          <w:sz w:val="24"/>
        </w:rPr>
        <w:t xml:space="preserve"> предимствата на единния пазар и на единния цифров пазар, е необходима балансирана рамка за правата върху интелектуална собственост, която поддържа устойчива и ефективна система за стандартизация и режим за лицензиране на ПСЗС.</w:t>
      </w:r>
    </w:p>
    <w:p w:rsidR="00B601D3" w:rsidRDefault="00D372FF">
      <w:pPr>
        <w:spacing w:before="120" w:after="120" w:line="240" w:lineRule="auto"/>
        <w:jc w:val="both"/>
        <w:rPr>
          <w:rFonts w:ascii="Times New Roman" w:hAnsi="Times New Roman" w:cs="Times New Roman"/>
          <w:noProof/>
          <w:sz w:val="24"/>
          <w:szCs w:val="24"/>
        </w:rPr>
      </w:pPr>
      <w:r>
        <w:rPr>
          <w:rFonts w:ascii="Times New Roman" w:hAnsi="Times New Roman"/>
          <w:noProof/>
          <w:sz w:val="24"/>
        </w:rPr>
        <w:t>В настоящото съобщение се пр</w:t>
      </w:r>
      <w:r>
        <w:rPr>
          <w:rFonts w:ascii="Times New Roman" w:hAnsi="Times New Roman"/>
          <w:noProof/>
          <w:sz w:val="24"/>
        </w:rPr>
        <w:t>едлага всеобхватен подход и се определят основните принципи за лицензиране на ПСЗС, като се отчита как са организирани промишлените сектори и се вземат предвид съображенията за ефективност. За успешното прилагане на принципите и за да се гарантира постиган</w:t>
      </w:r>
      <w:r>
        <w:rPr>
          <w:rFonts w:ascii="Times New Roman" w:hAnsi="Times New Roman"/>
          <w:noProof/>
          <w:sz w:val="24"/>
        </w:rPr>
        <w:t>ето на конкретни резултати от обявените действия, ще бъде необходима съвместна работа с всички заинтересовани страни, най-вече чрез засилване на участието на стартиращите предприятия и разгръщането на ИП. Поради това Комисията призовава всички заинтересова</w:t>
      </w:r>
      <w:r>
        <w:rPr>
          <w:rFonts w:ascii="Times New Roman" w:hAnsi="Times New Roman"/>
          <w:noProof/>
          <w:sz w:val="24"/>
        </w:rPr>
        <w:t>ни страни да участват активно в прилагането на тези принципи.</w:t>
      </w:r>
    </w:p>
    <w:p w:rsidR="00B601D3" w:rsidRDefault="00D372FF">
      <w:pPr>
        <w:spacing w:before="120" w:after="120" w:line="240" w:lineRule="auto"/>
        <w:jc w:val="both"/>
        <w:rPr>
          <w:rFonts w:ascii="Times New Roman" w:hAnsi="Times New Roman"/>
          <w:noProof/>
          <w:sz w:val="24"/>
        </w:rPr>
      </w:pPr>
      <w:r>
        <w:rPr>
          <w:rFonts w:ascii="Times New Roman" w:hAnsi="Times New Roman"/>
          <w:noProof/>
          <w:sz w:val="24"/>
        </w:rPr>
        <w:t xml:space="preserve">Комисията ще следи отблизо пазарите за лицензиране на ПСЗП и ще акцентира върху технологиите на ИП, като за целта ще бъде създадена експертна група и, ако е необходимо, ще бъдат осъществени </w:t>
      </w:r>
      <w:r>
        <w:rPr>
          <w:rFonts w:ascii="Times New Roman" w:hAnsi="Times New Roman"/>
          <w:noProof/>
          <w:sz w:val="24"/>
        </w:rPr>
        <w:t>допълнителни проучвания. На тази основа тя ще направи преглед на постигнатия напредък и ще прецени дали са необходими допълнителни мерки за осигуряване на балансирана рамка за плавно, ефикасно и ефективно лицензиране на ПСЗС.</w:t>
      </w:r>
    </w:p>
    <w:sectPr w:rsidR="00B601D3">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1D3" w:rsidRDefault="00D372FF">
      <w:pPr>
        <w:spacing w:after="0" w:line="240" w:lineRule="auto"/>
      </w:pPr>
      <w:r>
        <w:separator/>
      </w:r>
    </w:p>
  </w:endnote>
  <w:endnote w:type="continuationSeparator" w:id="0">
    <w:p w:rsidR="00B601D3" w:rsidRDefault="00D372FF">
      <w:pPr>
        <w:spacing w:after="0" w:line="240" w:lineRule="auto"/>
      </w:pPr>
      <w:r>
        <w:continuationSeparator/>
      </w:r>
    </w:p>
  </w:endnote>
  <w:endnote w:type="continuationNotice" w:id="1">
    <w:p w:rsidR="00B601D3" w:rsidRDefault="00B601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UAlbertina">
    <w:altName w:val="EU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QVHQCS+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2FF" w:rsidRPr="00D372FF" w:rsidRDefault="00D372FF" w:rsidP="00D372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2FF" w:rsidRPr="00D372FF" w:rsidRDefault="00D372FF" w:rsidP="00D372FF">
    <w:pPr>
      <w:pStyle w:val="FooterCoverPage"/>
      <w:rPr>
        <w:rFonts w:ascii="Arial" w:hAnsi="Arial" w:cs="Arial"/>
        <w:b/>
        <w:sz w:val="48"/>
      </w:rPr>
    </w:pPr>
    <w:r w:rsidRPr="00D372FF">
      <w:rPr>
        <w:rFonts w:ascii="Arial" w:hAnsi="Arial" w:cs="Arial"/>
        <w:b/>
        <w:sz w:val="48"/>
      </w:rPr>
      <w:t>BG</w:t>
    </w:r>
    <w:r w:rsidRPr="00D372FF">
      <w:rPr>
        <w:rFonts w:ascii="Arial" w:hAnsi="Arial" w:cs="Arial"/>
        <w:b/>
        <w:sz w:val="48"/>
      </w:rPr>
      <w:tab/>
    </w:r>
    <w:r w:rsidRPr="00D372FF">
      <w:rPr>
        <w:rFonts w:ascii="Arial" w:hAnsi="Arial" w:cs="Arial"/>
        <w:b/>
        <w:sz w:val="48"/>
      </w:rPr>
      <w:tab/>
    </w:r>
    <w:r w:rsidRPr="00D372FF">
      <w:tab/>
    </w:r>
    <w:r w:rsidRPr="00D372FF">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2FF" w:rsidRPr="00D372FF" w:rsidRDefault="00D372FF" w:rsidP="00D372FF">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1D3" w:rsidRDefault="00B601D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1D3" w:rsidRDefault="00D372FF">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1D3" w:rsidRDefault="00B601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1D3" w:rsidRDefault="00D372FF">
      <w:pPr>
        <w:spacing w:after="0" w:line="240" w:lineRule="auto"/>
      </w:pPr>
      <w:r>
        <w:separator/>
      </w:r>
    </w:p>
  </w:footnote>
  <w:footnote w:type="continuationSeparator" w:id="0">
    <w:p w:rsidR="00B601D3" w:rsidRDefault="00D372FF">
      <w:pPr>
        <w:spacing w:after="0" w:line="240" w:lineRule="auto"/>
      </w:pPr>
      <w:r>
        <w:continuationSeparator/>
      </w:r>
    </w:p>
  </w:footnote>
  <w:footnote w:type="continuationNotice" w:id="1">
    <w:p w:rsidR="00B601D3" w:rsidRDefault="00B601D3">
      <w:pPr>
        <w:spacing w:after="0" w:line="240" w:lineRule="auto"/>
      </w:pPr>
    </w:p>
  </w:footnote>
  <w:footnote w:id="2">
    <w:p w:rsidR="00B601D3" w:rsidRDefault="00D372FF">
      <w:pPr>
        <w:pStyle w:val="FootnoteText"/>
        <w:spacing w:after="0" w:line="240" w:lineRule="auto"/>
        <w:jc w:val="both"/>
      </w:pPr>
      <w:r>
        <w:rPr>
          <w:rStyle w:val="FootnoteReference"/>
        </w:rPr>
        <w:footnoteRef/>
      </w:r>
      <w:r>
        <w:t xml:space="preserve"> </w:t>
      </w:r>
      <w:r>
        <w:rPr>
          <w:rFonts w:ascii="Times New Roman" w:hAnsi="Times New Roman"/>
        </w:rPr>
        <w:t>Значението на термините „стандарт“ и „техническа спецификация“ е определено в Регламент (ЕС) № 1025/2012 относно европейската стандартизация. В настоящия документ за краткост терминът „стандарт“ се използва и с двете значения.</w:t>
      </w:r>
    </w:p>
  </w:footnote>
  <w:footnote w:id="3">
    <w:p w:rsidR="00B601D3" w:rsidRDefault="00D372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Например дружест</w:t>
      </w:r>
      <w:r>
        <w:rPr>
          <w:rFonts w:ascii="Times New Roman" w:hAnsi="Times New Roman"/>
        </w:rPr>
        <w:t>во X, предлагащо на пазара алармени системи за дома, свързани с интернет както чрез WiFi, така и чрез LTE, с цел обезпечаване на по-голяма сигурност на потребителите в случай на прекъсване на електрозахранването, ще има нужда от лицензия за тези стандартиз</w:t>
      </w:r>
      <w:r>
        <w:rPr>
          <w:rFonts w:ascii="Times New Roman" w:hAnsi="Times New Roman"/>
        </w:rPr>
        <w:t>ирани технологии.</w:t>
      </w:r>
    </w:p>
  </w:footnote>
  <w:footnote w:id="4">
    <w:p w:rsidR="00B601D3" w:rsidRDefault="00D372FF">
      <w:pPr>
        <w:pStyle w:val="FootnoteText"/>
        <w:spacing w:after="0" w:line="240" w:lineRule="auto"/>
        <w:jc w:val="both"/>
      </w:pPr>
      <w:r>
        <w:rPr>
          <w:rStyle w:val="FootnoteReference"/>
        </w:rPr>
        <w:footnoteRef/>
      </w:r>
      <w:r>
        <w:t xml:space="preserve"> </w:t>
      </w:r>
      <w:r>
        <w:rPr>
          <w:rFonts w:ascii="Times New Roman" w:hAnsi="Times New Roman"/>
        </w:rPr>
        <w:t>McKinsey, 2015 г. Вж. също така целта, заложена от председателя Юнкер за 5G и ИП в речта за състоянието на Съюза, 14.9.2016 г.</w:t>
      </w:r>
    </w:p>
  </w:footnote>
  <w:footnote w:id="5">
    <w:p w:rsidR="00B601D3" w:rsidRDefault="00D372FF">
      <w:pPr>
        <w:pStyle w:val="FootnoteText"/>
        <w:spacing w:after="0" w:line="240" w:lineRule="auto"/>
        <w:jc w:val="both"/>
        <w:rPr>
          <w:rFonts w:ascii="Times New Roman" w:hAnsi="Times New Roman"/>
        </w:rPr>
      </w:pPr>
      <w:r>
        <w:rPr>
          <w:rStyle w:val="FootnoteReference"/>
        </w:rPr>
        <w:footnoteRef/>
      </w:r>
      <w:r>
        <w:rPr>
          <w:rFonts w:ascii="Times New Roman" w:hAnsi="Times New Roman"/>
        </w:rPr>
        <w:t xml:space="preserve"> PricewaterhouseCoopers, 2015 г., и Boston Consulting Group, 2015 г. Вж. също: https://ec.europa.eu/digital-</w:t>
      </w:r>
      <w:r>
        <w:rPr>
          <w:rFonts w:ascii="Times New Roman" w:hAnsi="Times New Roman"/>
        </w:rPr>
        <w:t>single-market/en/digitising-european-industry#usefullinks</w:t>
      </w:r>
    </w:p>
  </w:footnote>
  <w:footnote w:id="6">
    <w:p w:rsidR="00B601D3" w:rsidRDefault="00D372FF">
      <w:pPr>
        <w:pStyle w:val="FootnoteText"/>
        <w:spacing w:after="0" w:line="240" w:lineRule="auto"/>
        <w:jc w:val="both"/>
        <w:rPr>
          <w:rFonts w:ascii="Times New Roman" w:hAnsi="Times New Roman"/>
        </w:rPr>
      </w:pPr>
      <w:r>
        <w:rPr>
          <w:rStyle w:val="FootnoteReference"/>
        </w:rPr>
        <w:footnoteRef/>
      </w:r>
      <w:r>
        <w:rPr>
          <w:rStyle w:val="FootnoteReference"/>
        </w:rPr>
        <w:t xml:space="preserve"> </w:t>
      </w:r>
      <w:r>
        <w:rPr>
          <w:rFonts w:ascii="Times New Roman" w:hAnsi="Times New Roman"/>
        </w:rPr>
        <w:t>Вж. McKinsey, 2015 г.</w:t>
      </w:r>
    </w:p>
  </w:footnote>
  <w:footnote w:id="7">
    <w:p w:rsidR="00B601D3" w:rsidRDefault="00D372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Икономическите интереси са много големи: например приходите от лицензионни възнаграждения за стандартите 2G, 3G и 4G възлизат на около 18 милиарда евро годишно (АКР, 2016 г</w:t>
      </w:r>
      <w:r>
        <w:rPr>
          <w:rFonts w:ascii="Times New Roman" w:hAnsi="Times New Roman"/>
        </w:rPr>
        <w:t>.).</w:t>
      </w:r>
    </w:p>
  </w:footnote>
  <w:footnote w:id="8">
    <w:p w:rsidR="00B601D3" w:rsidRDefault="00D372FF">
      <w:pPr>
        <w:pStyle w:val="FootnoteText"/>
        <w:spacing w:after="0" w:line="240" w:lineRule="auto"/>
        <w:jc w:val="both"/>
      </w:pPr>
      <w:r>
        <w:rPr>
          <w:rStyle w:val="FootnoteReference"/>
        </w:rPr>
        <w:footnoteRef/>
      </w:r>
      <w:r>
        <w:t xml:space="preserve"> </w:t>
      </w:r>
      <w:r>
        <w:rPr>
          <w:rFonts w:ascii="Times New Roman" w:hAnsi="Times New Roman"/>
        </w:rPr>
        <w:t xml:space="preserve">Обществената консултация, организирана от Комисията през 2014 г., показва ясно различаващите се мнения относно предизвикателствата и решенията относно средата за ПСЗС. Вж. </w:t>
      </w:r>
      <w:hyperlink r:id="rId1">
        <w:r>
          <w:rPr>
            <w:rStyle w:val="Hyperlink"/>
            <w:rFonts w:ascii="Times New Roman" w:hAnsi="Times New Roman"/>
          </w:rPr>
          <w:t>http://ec.europa.eu/growth/tools-databases/newsroom/cf/itemdetail.cfm?item_id=7833</w:t>
        </w:r>
      </w:hyperlink>
      <w:r>
        <w:rPr>
          <w:rFonts w:ascii="Times New Roman" w:hAnsi="Times New Roman"/>
        </w:rPr>
        <w:t xml:space="preserve">. </w:t>
      </w:r>
    </w:p>
  </w:footnote>
  <w:footnote w:id="9">
    <w:p w:rsidR="00B601D3" w:rsidRDefault="00D372FF">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Патентите, декларирани пред Европейския институт за стандарти в далекосъобщенията, представляват 70 % от ПСЗС в световен мащаб (IPlytics, 2017 г.</w:t>
      </w:r>
      <w:r>
        <w:rPr>
          <w:rFonts w:ascii="Times New Roman" w:hAnsi="Times New Roman"/>
        </w:rPr>
        <w:t xml:space="preserve">). </w:t>
      </w:r>
    </w:p>
  </w:footnote>
  <w:footnote w:id="10">
    <w:p w:rsidR="00B601D3" w:rsidRDefault="00D372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Така например повече от 23 500 патента са декларирани като патенти от съществено значение за стандарта GSM (глобална система за мобилни връзки) и за стандартите 3G или UMTS (универсална система за мобилни съобщения), разработени от Европейския инстит</w:t>
      </w:r>
      <w:r>
        <w:rPr>
          <w:rFonts w:ascii="Times New Roman" w:hAnsi="Times New Roman"/>
        </w:rPr>
        <w:t>ут за стандарти в далекосъобщенията (ETSI). Такъв стандарт се прилага за всички смартфони и устройства с мобилна връзка. За повече данни вж. „Landscaping study on SEPs“, IPlytics (2017 г.) и „Patents and Standards — A modern framework for IPR-based standar</w:t>
      </w:r>
      <w:r>
        <w:rPr>
          <w:rFonts w:ascii="Times New Roman" w:hAnsi="Times New Roman"/>
        </w:rPr>
        <w:t>dization“, ECSIP (2014 г.).</w:t>
      </w:r>
    </w:p>
  </w:footnote>
  <w:footnote w:id="11">
    <w:p w:rsidR="00B601D3" w:rsidRDefault="00D372FF">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Някои ОРС изискват оповестявания за конкретни патенти, тъй като признават ползата от тях, докато други позволяват общи декларации. Този раздел от съобщението се отнася за ОРС, изискващи оповестяване за конкретни патенти. </w:t>
      </w:r>
    </w:p>
  </w:footnote>
  <w:footnote w:id="12">
    <w:p w:rsidR="00B601D3" w:rsidRDefault="00D372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Вж</w:t>
      </w:r>
      <w:r>
        <w:rPr>
          <w:rFonts w:ascii="Times New Roman" w:hAnsi="Times New Roman"/>
        </w:rPr>
        <w:t>. например продължаващия от дълго време проект „DARE“ за подобряване на базата данни на ETSI.</w:t>
      </w:r>
    </w:p>
  </w:footnote>
  <w:footnote w:id="13">
    <w:p w:rsidR="00B601D3" w:rsidRDefault="00D372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За повече информация вж. обобщения доклад от обществената консултация, организирана от ГД „Вътрешен пазар, промишленост, предприемачество и МСП“ през 2015 г., н</w:t>
      </w:r>
      <w:r>
        <w:rPr>
          <w:rFonts w:ascii="Times New Roman" w:hAnsi="Times New Roman"/>
        </w:rPr>
        <w:t>а следния адрес: http://ec.europa.eu/DocsRoom/documents/14482/attachments/1/translations/en/renditions/native.</w:t>
      </w:r>
    </w:p>
  </w:footnote>
  <w:footnote w:id="14">
    <w:p w:rsidR="00B601D3" w:rsidRDefault="00D372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Вж. АКР, 2016 г.</w:t>
      </w:r>
    </w:p>
  </w:footnote>
  <w:footnote w:id="15">
    <w:p w:rsidR="00B601D3" w:rsidRDefault="00D372FF">
      <w:pPr>
        <w:pStyle w:val="FootnoteText"/>
        <w:spacing w:after="0" w:line="240" w:lineRule="auto"/>
        <w:jc w:val="both"/>
        <w:rPr>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rPr>
        <w:t>Вж. раздел 3 по-долу във връзка с ефективното прилагане.</w:t>
      </w:r>
    </w:p>
  </w:footnote>
  <w:footnote w:id="16">
    <w:p w:rsidR="00B601D3" w:rsidRDefault="00D372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Например евентуален патент или заявка за патент, първоначално дек</w:t>
      </w:r>
      <w:r>
        <w:rPr>
          <w:rFonts w:ascii="Times New Roman" w:hAnsi="Times New Roman"/>
        </w:rPr>
        <w:t>ларирани за дадена технология, може да не бъдат запазени в публикувания стандарт, или декларираната заявка за патент може да бъде преразгледана по време на процедурата за издаване.</w:t>
      </w:r>
    </w:p>
  </w:footnote>
  <w:footnote w:id="17">
    <w:p w:rsidR="00B601D3" w:rsidRDefault="00D372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Например 71 % от ПСЗС, декларирани пред големите ОРС (73 % пред ETSI), се издават едва след приемането на стандарта (IPlytics, 2017 г.).</w:t>
      </w:r>
    </w:p>
  </w:footnote>
  <w:footnote w:id="18">
    <w:p w:rsidR="00B601D3" w:rsidRDefault="00D372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Вж. ECSIP, 2014 г.</w:t>
      </w:r>
    </w:p>
  </w:footnote>
  <w:footnote w:id="19">
    <w:p w:rsidR="00B601D3" w:rsidRDefault="00D372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Вж. IPlytics (2017 г.) и АКР (2016 г.) и обобщението на обществената консултация относно ПСЗС, </w:t>
      </w:r>
      <w:r>
        <w:rPr>
          <w:rFonts w:ascii="Times New Roman" w:hAnsi="Times New Roman"/>
        </w:rPr>
        <w:t>проведена през 2015 г. от ГД „Вътрешен пазар, промишленост, предприемачество и МСП“.</w:t>
      </w:r>
    </w:p>
  </w:footnote>
  <w:footnote w:id="20">
    <w:p w:rsidR="00B601D3" w:rsidRDefault="00D372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Редица проучвания относно различни ключови технологии сочат, че при внимателни проверки се оказва, че само между 10 % и 50 % от декларираните патенти са от съществено зн</w:t>
      </w:r>
      <w:r>
        <w:rPr>
          <w:rFonts w:ascii="Times New Roman" w:hAnsi="Times New Roman"/>
        </w:rPr>
        <w:t>ачение (АКР, 2016 г. и IPlytics, 2017 г.).</w:t>
      </w:r>
    </w:p>
  </w:footnote>
  <w:footnote w:id="21">
    <w:p w:rsidR="00B601D3" w:rsidRDefault="00D372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Разходите за проверките за наличието на съществен характер може да бъдат пренебрежимо малки в сравнение с приходите от лицензиите за ключови технологии (вж. АКР, 2016 г.).</w:t>
      </w:r>
    </w:p>
  </w:footnote>
  <w:footnote w:id="22">
    <w:p w:rsidR="00B601D3" w:rsidRDefault="00D372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За анализ на разходите и ползите, вж.</w:t>
      </w:r>
      <w:r>
        <w:rPr>
          <w:rFonts w:ascii="Times New Roman" w:hAnsi="Times New Roman"/>
        </w:rPr>
        <w:t xml:space="preserve"> IPlytics (2017 г.).</w:t>
      </w:r>
    </w:p>
  </w:footnote>
  <w:footnote w:id="23">
    <w:p w:rsidR="00B601D3" w:rsidRDefault="00D372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Вж. АКР, 2016 г.</w:t>
      </w:r>
    </w:p>
  </w:footnote>
  <w:footnote w:id="24">
    <w:p w:rsidR="00B601D3" w:rsidRDefault="00D372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Вж. IPlytics, 2017 г.</w:t>
      </w:r>
    </w:p>
  </w:footnote>
  <w:footnote w:id="25">
    <w:p w:rsidR="00B601D3" w:rsidRDefault="00D372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Обществена консултация относно патентите и стандартите: Модерна рамка за стандартизация, включваща права върху интелектуална собственост.</w:t>
      </w:r>
    </w:p>
  </w:footnote>
  <w:footnote w:id="26">
    <w:p w:rsidR="00B601D3" w:rsidRDefault="00D372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Условия за лицензиране на патентите от съществено </w:t>
      </w:r>
      <w:r>
        <w:rPr>
          <w:rFonts w:ascii="Times New Roman" w:hAnsi="Times New Roman"/>
        </w:rPr>
        <w:t>значение за стандарт: Всеобхватен анализ на конкретни казуси, JRC, 2017 г.</w:t>
      </w:r>
    </w:p>
  </w:footnote>
  <w:footnote w:id="27">
    <w:p w:rsidR="00B601D3" w:rsidRDefault="00D372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Проучване относно прозрачността, предсказуемостта и ефективността на извършваните в рамките на ОРС стандартизация и лицензиране на ПСЗС, публикувано на 12.12.2016 г. (проучване на</w:t>
      </w:r>
      <w:r>
        <w:rPr>
          <w:rFonts w:ascii="Times New Roman" w:hAnsi="Times New Roman"/>
        </w:rPr>
        <w:t xml:space="preserve"> АКР).</w:t>
      </w:r>
    </w:p>
  </w:footnote>
  <w:footnote w:id="28">
    <w:p w:rsidR="00B601D3" w:rsidRDefault="00D372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Вж. по-специално решение по дело Unwired Planet/Huaweï [2017 г.] EWHC 711 (Pat).</w:t>
      </w:r>
    </w:p>
  </w:footnote>
  <w:footnote w:id="29">
    <w:p w:rsidR="00B601D3" w:rsidRDefault="00D372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Решение по дело Huawei Technologies, C-170/13, EU:C:2015:477, т. 53.</w:t>
      </w:r>
    </w:p>
  </w:footnote>
  <w:footnote w:id="30">
    <w:p w:rsidR="00B601D3" w:rsidRDefault="00D372FF">
      <w:pPr>
        <w:pStyle w:val="FootnoteText"/>
        <w:spacing w:after="0" w:line="240" w:lineRule="auto"/>
        <w:jc w:val="both"/>
      </w:pPr>
      <w:r>
        <w:rPr>
          <w:rStyle w:val="FootnoteReference"/>
        </w:rPr>
        <w:footnoteRef/>
      </w:r>
      <w:r>
        <w:t xml:space="preserve"> </w:t>
      </w:r>
      <w:r>
        <w:rPr>
          <w:i/>
        </w:rPr>
        <w:t>Актуалната стойност</w:t>
      </w:r>
      <w:r>
        <w:t xml:space="preserve"> е стойността, дисконтирана към момента на сключване на лицензионния догов</w:t>
      </w:r>
      <w:r>
        <w:t>ор. Възможността за дисконтиране с течение на времето е важна на фона на сроковете на лицензионните договори, които обхващат няколко години в стопанска среда, която понякога се променя бързо в технологично отношение.</w:t>
      </w:r>
    </w:p>
  </w:footnote>
  <w:footnote w:id="31">
    <w:p w:rsidR="00B601D3" w:rsidRDefault="00D372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Относно натрупването на лицензионни в</w:t>
      </w:r>
      <w:r>
        <w:rPr>
          <w:rFonts w:ascii="Times New Roman" w:hAnsi="Times New Roman"/>
        </w:rPr>
        <w:t>ъзнаграждения вж. проучването на АКР.</w:t>
      </w:r>
    </w:p>
  </w:footnote>
  <w:footnote w:id="32">
    <w:p w:rsidR="00B601D3" w:rsidRDefault="00D372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Решение по дело Unwired Planet/Huaweï [2017 г.] EWHC 711 (Pat).</w:t>
      </w:r>
    </w:p>
  </w:footnote>
  <w:footnote w:id="33">
    <w:p w:rsidR="00B601D3" w:rsidRDefault="00D372FF">
      <w:pPr>
        <w:pStyle w:val="FootnoteText"/>
        <w:spacing w:after="0" w:line="240" w:lineRule="auto"/>
        <w:jc w:val="both"/>
      </w:pPr>
      <w:r>
        <w:rPr>
          <w:rStyle w:val="FootnoteReference"/>
        </w:rPr>
        <w:footnoteRef/>
      </w:r>
      <w:r>
        <w:t xml:space="preserve"> </w:t>
      </w:r>
      <w:r>
        <w:rPr>
          <w:rFonts w:ascii="Times New Roman" w:hAnsi="Times New Roman"/>
        </w:rPr>
        <w:t>Въпреки това лицензирането при FRAND условия изисква лицензионното възнаграждение да се изчислява по такъв начин, че ползвателите, които желаят да раз</w:t>
      </w:r>
      <w:r>
        <w:rPr>
          <w:rFonts w:ascii="Times New Roman" w:hAnsi="Times New Roman"/>
        </w:rPr>
        <w:t xml:space="preserve">виват даден продукт за конкретна ограничена географска област, да не бъдат поставени в неизгодно положение. </w:t>
      </w:r>
    </w:p>
  </w:footnote>
  <w:footnote w:id="34">
    <w:p w:rsidR="00B601D3" w:rsidRDefault="00D372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Решение по дело Unwired Planet/Huaweï [2017 г.] EWHC 711 (Pat).</w:t>
      </w:r>
    </w:p>
  </w:footnote>
  <w:footnote w:id="35">
    <w:p w:rsidR="00B601D3" w:rsidRDefault="00D372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Например създаването на обединения може да бъде насърчено чрез мерки като засил</w:t>
      </w:r>
      <w:r>
        <w:rPr>
          <w:rFonts w:ascii="Times New Roman" w:hAnsi="Times New Roman"/>
        </w:rPr>
        <w:t>ване на връзката между ОРС и обединенията, предоставяне на стимули за участие и по-обстойно запознаване на университетите и МСП с предимствата за лицензодателя от предоставяне на лиценз за такова обединение (ECSIP, 2015 г.).</w:t>
      </w:r>
    </w:p>
  </w:footnote>
  <w:footnote w:id="36">
    <w:p w:rsidR="00B601D3" w:rsidRDefault="00D372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ECSIP, 2014 г.</w:t>
      </w:r>
    </w:p>
  </w:footnote>
  <w:footnote w:id="37">
    <w:p w:rsidR="00B601D3" w:rsidRDefault="00D372FF">
      <w:pPr>
        <w:pStyle w:val="FootnoteText"/>
        <w:spacing w:after="0"/>
        <w:rPr>
          <w:rFonts w:ascii="Times New Roman" w:hAnsi="Times New Roman"/>
        </w:rPr>
      </w:pPr>
      <w:r>
        <w:rPr>
          <w:rStyle w:val="FootnoteReference"/>
        </w:rPr>
        <w:footnoteRef/>
      </w:r>
      <w:r>
        <w:t xml:space="preserve"> </w:t>
      </w:r>
      <w:r>
        <w:rPr>
          <w:rFonts w:ascii="Times New Roman" w:hAnsi="Times New Roman"/>
        </w:rPr>
        <w:t>COM(2017) 70</w:t>
      </w:r>
      <w:r>
        <w:rPr>
          <w:rFonts w:ascii="Times New Roman" w:hAnsi="Times New Roman"/>
        </w:rPr>
        <w:t>8.</w:t>
      </w:r>
    </w:p>
  </w:footnote>
  <w:footnote w:id="38">
    <w:p w:rsidR="00B601D3" w:rsidRDefault="00D372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Директива 2004/48/ЕО от 29.4.2004 г. относно упражняването на права върху интелектуалната собственост, публикувана в ОВ L 195, 2.6.2004 г., съображение 3.</w:t>
      </w:r>
    </w:p>
  </w:footnote>
  <w:footnote w:id="39">
    <w:p w:rsidR="00B601D3" w:rsidRDefault="00D372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Решение по дело </w:t>
      </w:r>
      <w:r>
        <w:rPr>
          <w:rFonts w:ascii="Times New Roman" w:hAnsi="Times New Roman"/>
          <w:i/>
        </w:rPr>
        <w:t>Huawei Technologies</w:t>
      </w:r>
      <w:r>
        <w:rPr>
          <w:rFonts w:ascii="Times New Roman" w:hAnsi="Times New Roman"/>
        </w:rPr>
        <w:t>, C-170/13, EU:C:2015:477.</w:t>
      </w:r>
    </w:p>
  </w:footnote>
  <w:footnote w:id="40">
    <w:p w:rsidR="00B601D3" w:rsidRDefault="00D372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Съдът на ЕС постанови, че член</w:t>
      </w:r>
      <w:r>
        <w:rPr>
          <w:rFonts w:ascii="Times New Roman" w:hAnsi="Times New Roman"/>
        </w:rPr>
        <w:t xml:space="preserve"> 102 ДФЕС трябва да се тълкува в смисъл, че притежателят на патент от съществено значение за стандарт, разработен от организация по стандартизация, който е поел пред нея неотменимо задължение да предостави на трети лица лицензия при справедливи, разумни и </w:t>
      </w:r>
      <w:r>
        <w:rPr>
          <w:rFonts w:ascii="Times New Roman" w:hAnsi="Times New Roman"/>
        </w:rPr>
        <w:t>недискриминационни (FRAND) условия, не злоупотребява с господстващото си положение по смисъла на този член, когато предявява иск за преустановяване на нарушението на неговия патент или за изтегляне на стоките, за производството на които той е бил използван</w:t>
      </w:r>
      <w:r>
        <w:rPr>
          <w:rFonts w:ascii="Times New Roman" w:hAnsi="Times New Roman"/>
        </w:rPr>
        <w:t xml:space="preserve">, при положение че: </w:t>
      </w:r>
    </w:p>
    <w:p w:rsidR="00B601D3" w:rsidRDefault="00D372FF">
      <w:pPr>
        <w:pStyle w:val="FootnoteText"/>
        <w:spacing w:after="0" w:line="240" w:lineRule="auto"/>
        <w:jc w:val="both"/>
        <w:rPr>
          <w:rFonts w:ascii="Times New Roman" w:hAnsi="Times New Roman"/>
        </w:rPr>
      </w:pPr>
      <w:r>
        <w:rPr>
          <w:rFonts w:ascii="Times New Roman" w:hAnsi="Times New Roman"/>
        </w:rPr>
        <w:t>1) преди да предяви този иск, от една страна, той е предупредил предполагаемия нарушител за нарушението, в което го обвинява, като същевременно е обозначил този патент и е уточнил начина, по-който е бил нарушен, а от друга страна, след</w:t>
      </w:r>
      <w:r>
        <w:rPr>
          <w:rFonts w:ascii="Times New Roman" w:hAnsi="Times New Roman"/>
        </w:rPr>
        <w:t xml:space="preserve"> като предполагаемият нарушител е изразил желанието си да сключи лицензионен договор при FRAND условия, притежателят на въпросния патент е представил на нарушителя конкретно писмено предложение за лицензия при такива условия, като по-специално е уточнил та</w:t>
      </w:r>
      <w:r>
        <w:rPr>
          <w:rFonts w:ascii="Times New Roman" w:hAnsi="Times New Roman"/>
        </w:rPr>
        <w:t xml:space="preserve">ксата и начина на изчисляването ѝ, и </w:t>
      </w:r>
    </w:p>
    <w:p w:rsidR="00B601D3" w:rsidRDefault="00D372FF">
      <w:pPr>
        <w:pStyle w:val="FootnoteText"/>
        <w:spacing w:after="0" w:line="240" w:lineRule="auto"/>
        <w:jc w:val="both"/>
        <w:rPr>
          <w:rFonts w:ascii="Times New Roman" w:hAnsi="Times New Roman"/>
        </w:rPr>
      </w:pPr>
      <w:r>
        <w:rPr>
          <w:rFonts w:ascii="Times New Roman" w:hAnsi="Times New Roman"/>
        </w:rPr>
        <w:t>2) този нарушител, който продължава да използва разглеждания патент, не отговори надлежно на това предложение, в съответствие с установените в областта търговски практики и правилата за добросъвестност, което трябва да</w:t>
      </w:r>
      <w:r>
        <w:rPr>
          <w:rFonts w:ascii="Times New Roman" w:hAnsi="Times New Roman"/>
        </w:rPr>
        <w:t xml:space="preserve"> се определи въз основа на обективни фактори и което по-специално предполага, че липсва каквото и да било протакане.</w:t>
      </w:r>
    </w:p>
  </w:footnote>
  <w:footnote w:id="41">
    <w:p w:rsidR="00B601D3" w:rsidRDefault="00D372FF">
      <w:pPr>
        <w:spacing w:after="0" w:line="240" w:lineRule="auto"/>
        <w:rPr>
          <w:rFonts w:ascii="Times New Roman" w:hAnsi="Times New Roman"/>
          <w:sz w:val="20"/>
          <w:szCs w:val="20"/>
        </w:rPr>
      </w:pPr>
      <w:r>
        <w:rPr>
          <w:rStyle w:val="FootnoteReference"/>
          <w:rFonts w:ascii="Times New Roman" w:hAnsi="Times New Roman"/>
          <w:sz w:val="20"/>
        </w:rPr>
        <w:footnoteRef/>
      </w:r>
      <w:r>
        <w:rPr>
          <w:rFonts w:ascii="Times New Roman" w:hAnsi="Times New Roman"/>
          <w:sz w:val="20"/>
        </w:rPr>
        <w:t xml:space="preserve"> OLG Düsseldorf, дело I-15 U 66/15, определение от 17 ноември 2016 г. и OLG Karlsruhe, дело 6 U 58/16, определение от 8 септември 2016 г.</w:t>
      </w:r>
    </w:p>
  </w:footnote>
  <w:footnote w:id="42">
    <w:p w:rsidR="00B601D3" w:rsidRDefault="00D372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Вж. раздел 1 по-горе.</w:t>
      </w:r>
    </w:p>
  </w:footnote>
  <w:footnote w:id="43">
    <w:p w:rsidR="00B601D3" w:rsidRDefault="00D372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Директива 2004/48/ЕО от 29.4.2004 г. относно упражняването на права върху интелектуалната собственост, OВ L 195, 2.6.2004 г., стр. 16.</w:t>
      </w:r>
    </w:p>
  </w:footnote>
  <w:footnote w:id="44">
    <w:p w:rsidR="00B601D3" w:rsidRDefault="00D372FF">
      <w:pPr>
        <w:pStyle w:val="FootnoteText"/>
        <w:spacing w:after="0" w:line="240" w:lineRule="auto"/>
        <w:rPr>
          <w:rFonts w:ascii="Times New Roman" w:hAnsi="Times New Roman"/>
          <w:highlight w:val="yellow"/>
        </w:rPr>
      </w:pPr>
      <w:r>
        <w:rPr>
          <w:rStyle w:val="FootnoteReference"/>
          <w:rFonts w:ascii="Times New Roman" w:hAnsi="Times New Roman"/>
        </w:rPr>
        <w:footnoteRef/>
      </w:r>
      <w:r>
        <w:rPr>
          <w:rFonts w:ascii="Times New Roman" w:hAnsi="Times New Roman"/>
        </w:rPr>
        <w:t xml:space="preserve"> Решение по дело </w:t>
      </w:r>
      <w:r>
        <w:rPr>
          <w:rFonts w:ascii="Times New Roman" w:hAnsi="Times New Roman"/>
          <w:i/>
        </w:rPr>
        <w:t>Huawei Technologies</w:t>
      </w:r>
      <w:r>
        <w:rPr>
          <w:rFonts w:ascii="Times New Roman" w:hAnsi="Times New Roman"/>
        </w:rPr>
        <w:t>, C-170/13, EU:C:2015:477, т. 65.</w:t>
      </w:r>
    </w:p>
  </w:footnote>
  <w:footnote w:id="45">
    <w:p w:rsidR="00B601D3" w:rsidRDefault="00D372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Вж. </w:t>
      </w:r>
      <w:r>
        <w:rPr>
          <w:rFonts w:ascii="Times New Roman" w:hAnsi="Times New Roman"/>
          <w:i/>
        </w:rPr>
        <w:t>mutatis mutandis</w:t>
      </w:r>
      <w:r>
        <w:rPr>
          <w:rFonts w:ascii="Times New Roman" w:hAnsi="Times New Roman"/>
        </w:rPr>
        <w:t xml:space="preserve"> Н</w:t>
      </w:r>
      <w:r>
        <w:rPr>
          <w:rFonts w:ascii="Times New Roman" w:hAnsi="Times New Roman"/>
        </w:rPr>
        <w:t>асоки за прилагането на член 101 от Договора за функционирането на Европейския съюз към споразумения за трансфер на технологии, ОВ C 89, 28.3.2014 г., стр. 3, точки 250—255.</w:t>
      </w:r>
    </w:p>
  </w:footnote>
  <w:footnote w:id="46">
    <w:p w:rsidR="00B601D3" w:rsidRDefault="00D372FF">
      <w:pPr>
        <w:pStyle w:val="FootnoteText"/>
        <w:spacing w:after="0" w:line="240" w:lineRule="auto"/>
        <w:jc w:val="both"/>
      </w:pPr>
      <w:r>
        <w:rPr>
          <w:rStyle w:val="FootnoteReference"/>
        </w:rPr>
        <w:footnoteRef/>
      </w:r>
      <w:r>
        <w:t xml:space="preserve"> </w:t>
      </w:r>
      <w:r>
        <w:rPr>
          <w:rFonts w:ascii="Times New Roman" w:hAnsi="Times New Roman"/>
        </w:rPr>
        <w:t xml:space="preserve">Вече съществуват различни механизми за АРС, като Центъра за арбитраж и медиация </w:t>
      </w:r>
      <w:r>
        <w:rPr>
          <w:rFonts w:ascii="Times New Roman" w:hAnsi="Times New Roman"/>
        </w:rPr>
        <w:t>към Световната организация за интелектуална собственост.</w:t>
      </w:r>
    </w:p>
  </w:footnote>
  <w:footnote w:id="47">
    <w:p w:rsidR="00B601D3" w:rsidRDefault="00D372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Работен документ на службите на Комисията „Прилагане на правата върху интелектуална собственост в услуга на МСП за насърчаване на иновациите и растежа“, SWD(2016) 373, 22.11.2016 г.</w:t>
      </w:r>
    </w:p>
  </w:footnote>
  <w:footnote w:id="48">
    <w:p w:rsidR="00B601D3" w:rsidRDefault="00D372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Вж. раздел 1.</w:t>
      </w:r>
      <w:r>
        <w:rPr>
          <w:rFonts w:ascii="Times New Roman" w:hAnsi="Times New Roman"/>
        </w:rPr>
        <w:t>2.1 по-горе.</w:t>
      </w:r>
    </w:p>
  </w:footnote>
  <w:footnote w:id="49">
    <w:p w:rsidR="00B601D3" w:rsidRDefault="00D372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Във връзка с направен опит за определение вж. проучването на JRC, озаглавено „Образувания за предявяване на патентни права в Европа“, глава 3. </w:t>
      </w:r>
      <w:hyperlink r:id="rId2">
        <w:r>
          <w:rPr>
            <w:rStyle w:val="Hyperlink"/>
            <w:rFonts w:ascii="Times New Roman" w:hAnsi="Times New Roman"/>
          </w:rPr>
          <w:t>http://publications.jrc.ec.europa.eu/repository/bitstream/JRC103321/lfna28145enn.pdf</w:t>
        </w:r>
      </w:hyperlink>
      <w:r>
        <w:rPr>
          <w:rFonts w:ascii="Times New Roman" w:hAnsi="Times New Roman"/>
        </w:rPr>
        <w:t xml:space="preserve"> </w:t>
      </w:r>
    </w:p>
  </w:footnote>
  <w:footnote w:id="50">
    <w:p w:rsidR="00B601D3" w:rsidRDefault="00D372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3">
        <w:r>
          <w:rPr>
            <w:rStyle w:val="Hyperlink"/>
            <w:rFonts w:ascii="Times New Roman" w:hAnsi="Times New Roman"/>
          </w:rPr>
          <w:t>http://publications.jrc.ec.europa.eu/repository/bitstream/</w:t>
        </w:r>
        <w:r>
          <w:rPr>
            <w:rStyle w:val="Hyperlink"/>
            <w:rFonts w:ascii="Times New Roman" w:hAnsi="Times New Roman"/>
          </w:rPr>
          <w:t>JRC103321/lfna28145enn.pdf</w:t>
        </w:r>
      </w:hyperlink>
      <w:r>
        <w:rPr>
          <w:rFonts w:ascii="Times New Roman" w:hAnsi="Times New Roman"/>
        </w:rPr>
        <w:t xml:space="preserve"> </w:t>
      </w:r>
    </w:p>
  </w:footnote>
  <w:footnote w:id="51">
    <w:p w:rsidR="00B601D3" w:rsidRDefault="00D372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Вж. горепосоченото проучване на JRC.</w:t>
      </w:r>
    </w:p>
  </w:footnote>
  <w:footnote w:id="52">
    <w:p w:rsidR="00B601D3" w:rsidRDefault="00D372FF">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По отношение на изчисленията в облак вж. доклада относно стандартите и отворения код: преодоляването на различията.</w:t>
      </w:r>
    </w:p>
  </w:footnote>
  <w:footnote w:id="53">
    <w:p w:rsidR="00B601D3" w:rsidRDefault="00D372FF">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OASIS, ECMA, ITU-T, ETSI и др.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2FF" w:rsidRPr="00D372FF" w:rsidRDefault="00D372FF" w:rsidP="00D372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2FF" w:rsidRPr="00D372FF" w:rsidRDefault="00D372FF" w:rsidP="00D372FF">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2FF" w:rsidRPr="00D372FF" w:rsidRDefault="00D372FF" w:rsidP="00D372FF">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1D3" w:rsidRDefault="00B601D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1D3" w:rsidRDefault="00B601D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1D3" w:rsidRDefault="00B601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7404"/>
    <w:multiLevelType w:val="hybridMultilevel"/>
    <w:tmpl w:val="FF8E9A7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1A82BAB"/>
    <w:multiLevelType w:val="hybridMultilevel"/>
    <w:tmpl w:val="EB4C5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A839D3"/>
    <w:multiLevelType w:val="multilevel"/>
    <w:tmpl w:val="E58253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53E411F"/>
    <w:multiLevelType w:val="hybridMultilevel"/>
    <w:tmpl w:val="27FA2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1C35E3"/>
    <w:multiLevelType w:val="multilevel"/>
    <w:tmpl w:val="FAE851D0"/>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6C35984"/>
    <w:multiLevelType w:val="hybridMultilevel"/>
    <w:tmpl w:val="BCD82516"/>
    <w:lvl w:ilvl="0" w:tplc="88B29398">
      <w:numFmt w:val="bullet"/>
      <w:lvlText w:val="•"/>
      <w:lvlJc w:val="left"/>
      <w:pPr>
        <w:ind w:left="1080" w:hanging="72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3E3E4E"/>
    <w:multiLevelType w:val="hybridMultilevel"/>
    <w:tmpl w:val="1BD2C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D8513B"/>
    <w:multiLevelType w:val="multilevel"/>
    <w:tmpl w:val="358A5884"/>
    <w:lvl w:ilvl="0">
      <w:start w:val="4"/>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C966A13"/>
    <w:multiLevelType w:val="hybridMultilevel"/>
    <w:tmpl w:val="3466B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5C0BDD"/>
    <w:multiLevelType w:val="multilevel"/>
    <w:tmpl w:val="E58253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5E2FC7"/>
    <w:multiLevelType w:val="hybridMultilevel"/>
    <w:tmpl w:val="239EC042"/>
    <w:lvl w:ilvl="0" w:tplc="AE904630">
      <w:numFmt w:val="bullet"/>
      <w:lvlText w:val="-"/>
      <w:lvlJc w:val="left"/>
      <w:pPr>
        <w:ind w:left="360" w:hanging="360"/>
      </w:pPr>
      <w:rPr>
        <w:rFonts w:ascii="Times New Roman" w:eastAsia="Calibri" w:hAnsi="Times New Roman" w:cs="Times New Roman"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2A6B7484"/>
    <w:multiLevelType w:val="multilevel"/>
    <w:tmpl w:val="FAE851D0"/>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DC925FA"/>
    <w:multiLevelType w:val="hybridMultilevel"/>
    <w:tmpl w:val="351E4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2E1634D6"/>
    <w:multiLevelType w:val="hybridMultilevel"/>
    <w:tmpl w:val="5C7C6720"/>
    <w:lvl w:ilvl="0" w:tplc="A4BC683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841626"/>
    <w:multiLevelType w:val="hybridMultilevel"/>
    <w:tmpl w:val="F6C68CA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3EED4F89"/>
    <w:multiLevelType w:val="multilevel"/>
    <w:tmpl w:val="E58253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F1D7A8B"/>
    <w:multiLevelType w:val="hybridMultilevel"/>
    <w:tmpl w:val="098203EE"/>
    <w:lvl w:ilvl="0" w:tplc="88B29398">
      <w:numFmt w:val="bullet"/>
      <w:lvlText w:val="•"/>
      <w:lvlJc w:val="left"/>
      <w:pPr>
        <w:ind w:left="1080" w:hanging="72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23F1EA0"/>
    <w:multiLevelType w:val="hybridMultilevel"/>
    <w:tmpl w:val="43627D1C"/>
    <w:lvl w:ilvl="0" w:tplc="07E8B5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408225B"/>
    <w:multiLevelType w:val="hybridMultilevel"/>
    <w:tmpl w:val="110C5F5E"/>
    <w:lvl w:ilvl="0" w:tplc="256C1648">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9">
    <w:nsid w:val="44A40D04"/>
    <w:multiLevelType w:val="hybridMultilevel"/>
    <w:tmpl w:val="CDF6FA74"/>
    <w:lvl w:ilvl="0" w:tplc="A69055A8">
      <w:start w:val="4"/>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0">
    <w:nsid w:val="4ADD344E"/>
    <w:multiLevelType w:val="hybridMultilevel"/>
    <w:tmpl w:val="8B92F954"/>
    <w:lvl w:ilvl="0" w:tplc="A4BC683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076168B"/>
    <w:multiLevelType w:val="hybridMultilevel"/>
    <w:tmpl w:val="104C8DAA"/>
    <w:lvl w:ilvl="0" w:tplc="A4BC68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C0033F0"/>
    <w:multiLevelType w:val="multilevel"/>
    <w:tmpl w:val="0A6E74B2"/>
    <w:lvl w:ilvl="0">
      <w:start w:val="2"/>
      <w:numFmt w:val="decimal"/>
      <w:lvlText w:val="%1."/>
      <w:lvlJc w:val="left"/>
      <w:pPr>
        <w:ind w:left="1080" w:hanging="360"/>
      </w:pPr>
      <w:rPr>
        <w:rFonts w:hint="default"/>
      </w:rPr>
    </w:lvl>
    <w:lvl w:ilvl="1">
      <w:start w:val="2"/>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3">
    <w:nsid w:val="5F8B1D0C"/>
    <w:multiLevelType w:val="multilevel"/>
    <w:tmpl w:val="5B82F84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FD95023"/>
    <w:multiLevelType w:val="hybridMultilevel"/>
    <w:tmpl w:val="17905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29B1612"/>
    <w:multiLevelType w:val="hybridMultilevel"/>
    <w:tmpl w:val="57386032"/>
    <w:lvl w:ilvl="0" w:tplc="62467D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F8230C2"/>
    <w:multiLevelType w:val="multilevel"/>
    <w:tmpl w:val="E58253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062257B"/>
    <w:multiLevelType w:val="multilevel"/>
    <w:tmpl w:val="E58253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47D27CA"/>
    <w:multiLevelType w:val="hybridMultilevel"/>
    <w:tmpl w:val="49F49A88"/>
    <w:lvl w:ilvl="0" w:tplc="62467D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9D35A64"/>
    <w:multiLevelType w:val="hybridMultilevel"/>
    <w:tmpl w:val="F5627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BED13B9"/>
    <w:multiLevelType w:val="hybridMultilevel"/>
    <w:tmpl w:val="CBE8220C"/>
    <w:lvl w:ilvl="0" w:tplc="A4BC68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9"/>
  </w:num>
  <w:num w:numId="3">
    <w:abstractNumId w:val="26"/>
  </w:num>
  <w:num w:numId="4">
    <w:abstractNumId w:val="4"/>
  </w:num>
  <w:num w:numId="5">
    <w:abstractNumId w:val="23"/>
  </w:num>
  <w:num w:numId="6">
    <w:abstractNumId w:val="22"/>
  </w:num>
  <w:num w:numId="7">
    <w:abstractNumId w:val="7"/>
  </w:num>
  <w:num w:numId="8">
    <w:abstractNumId w:val="11"/>
  </w:num>
  <w:num w:numId="9">
    <w:abstractNumId w:val="9"/>
  </w:num>
  <w:num w:numId="10">
    <w:abstractNumId w:val="21"/>
  </w:num>
  <w:num w:numId="11">
    <w:abstractNumId w:val="30"/>
  </w:num>
  <w:num w:numId="12">
    <w:abstractNumId w:val="20"/>
  </w:num>
  <w:num w:numId="13">
    <w:abstractNumId w:val="13"/>
  </w:num>
  <w:num w:numId="14">
    <w:abstractNumId w:val="2"/>
  </w:num>
  <w:num w:numId="15">
    <w:abstractNumId w:val="0"/>
  </w:num>
  <w:num w:numId="16">
    <w:abstractNumId w:val="8"/>
  </w:num>
  <w:num w:numId="17">
    <w:abstractNumId w:val="5"/>
  </w:num>
  <w:num w:numId="18">
    <w:abstractNumId w:val="16"/>
  </w:num>
  <w:num w:numId="19">
    <w:abstractNumId w:val="14"/>
  </w:num>
  <w:num w:numId="20">
    <w:abstractNumId w:val="19"/>
  </w:num>
  <w:num w:numId="21">
    <w:abstractNumId w:val="18"/>
  </w:num>
  <w:num w:numId="22">
    <w:abstractNumId w:val="1"/>
  </w:num>
  <w:num w:numId="23">
    <w:abstractNumId w:val="10"/>
  </w:num>
  <w:num w:numId="24">
    <w:abstractNumId w:val="12"/>
  </w:num>
  <w:num w:numId="25">
    <w:abstractNumId w:val="24"/>
  </w:num>
  <w:num w:numId="26">
    <w:abstractNumId w:val="15"/>
  </w:num>
  <w:num w:numId="27">
    <w:abstractNumId w:val="27"/>
  </w:num>
  <w:num w:numId="28">
    <w:abstractNumId w:val="28"/>
  </w:num>
  <w:num w:numId="29">
    <w:abstractNumId w:val="25"/>
  </w:num>
  <w:num w:numId="30">
    <w:abstractNumId w:val="17"/>
  </w:num>
  <w:num w:numId="3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8F869CF-E316-40C6-8A66-C8F667F9B5A3"/>
    <w:docVar w:name="LW_COVERPAGE_TYPE" w:val="1"/>
    <w:docVar w:name="LW_CROSSREFERENCE" w:val="&lt;UNUSED&gt;"/>
    <w:docVar w:name="LW_DocType" w:val="NORMAL"/>
    <w:docVar w:name="LW_EMISSION" w:val="29.11.2017"/>
    <w:docVar w:name="LW_EMISSION_ISODATE" w:val="2017-11-29"/>
    <w:docVar w:name="LW_EMISSION_LOCATION" w:val="BRX"/>
    <w:docVar w:name="LW_EMISSION_PREFIX" w:val="\u1041?\u1088?\u1102?\u1082?\u1089?\u1077?\u1083?,"/>
    <w:docVar w:name="LW_EMISSION_SUFFIX" w:val="\u1075?."/>
    <w:docVar w:name="LW_ID_DOCTYPE_NONLW" w:val="CP-01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7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 w:val="How the European patent with unitary effect will work together with national patents and national supplementary protection certificates"/>
    <w:docVar w:name="LW_SOUS.TITRE.OBJ.CP" w:val="&lt;UNUSED&gt;"/>
    <w:docVar w:name="LW_SUPERTITRE" w:val="&lt;UNUSED&gt;"/>
    <w:docVar w:name="LW_TITRE.OBJ.CP" w:val="&lt;FMT:Font=Calibri Cyr&gt;\u1054?\u1087?\u1088?\u1077?\u1076?\u1077?\u1083?\u1103?\u1085?\u1077? \u1085?\u1072? \u1087?\u1086?\u1076?\u1093?\u1086?\u1076?\u1072? \u1085?\u1072? \u1045?\u1057? \u1087?\u1086? \u1086?\u1090?\u1085?\u1086?\u1096?\u1077?\u1085?\u1080?\u1077? \u1085?\u1072? \u1087?\u1072?\u1090?\u1077?\u1085?\u1090?\u1080?\u1090?\u1077? \u1086?\u1090? \u1089?\u1098?\u1097?\u1077?\u1089?\u1090?\u1074?\u1077?\u1085?\u1086? \u1079?\u1085?\u1072?\u1095?\u1077?\u1085?\u1080?\u1077? \u1079?\u1072? \u1089?\u1090?\u1072?\u1085?\u1076?\u1072?\u1088?\u1090?&lt;/FMT&gt;"/>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8? \u1045?\u1042?\u1056?\u1054?\u1055?\u1045?\u1049?\u1057?\u1050?\u1048?\u1071? \u1048?\u1050?\u1054?\u1053?\u1054?\u1052?\u1048?\u1063?\u1045?\u1057?\u1050?\u1048? \u1048? \u1057?\u1054?\u1062?\u1048?\u1040?\u1051?\u1045?\u1053? \u1050?\u1054?\u1052?\u1048?\u1058?\u1045?\u1058?"/>
    <w:docVar w:name="LW_TYPE.DOC.CP.USERTEXT" w:val="&lt;EMPTY&gt;"/>
  </w:docVars>
  <w:rsids>
    <w:rsidRoot w:val="00B601D3"/>
    <w:rsid w:val="00B601D3"/>
    <w:rsid w:val="00D372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ußnote,Carattere,fn,ft"/>
    <w:basedOn w:val="Normal"/>
    <w:link w:val="FootnoteTextChar"/>
    <w:uiPriority w:val="99"/>
    <w:unhideWhenUsed/>
    <w:qFormat/>
    <w:rPr>
      <w:rFonts w:ascii="Calibri" w:eastAsia="Calibri" w:hAnsi="Calibri" w:cs="Times New Roman"/>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ußnote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1">
    <w:name w:val="CM1"/>
    <w:basedOn w:val="Default"/>
    <w:next w:val="Default"/>
    <w:uiPriority w:val="99"/>
    <w:rPr>
      <w:rFonts w:eastAsiaTheme="minorHAnsi" w:cstheme="minorBidi"/>
      <w:color w:val="auto"/>
    </w:rPr>
  </w:style>
  <w:style w:type="paragraph" w:customStyle="1" w:styleId="CM3">
    <w:name w:val="CM3"/>
    <w:basedOn w:val="Default"/>
    <w:next w:val="Default"/>
    <w:uiPriority w:val="99"/>
    <w:rPr>
      <w:rFonts w:eastAsiaTheme="minorHAnsi" w:cstheme="minorBidi"/>
      <w:color w:val="auto"/>
    </w:rPr>
  </w:style>
  <w:style w:type="paragraph" w:styleId="CommentSubject">
    <w:name w:val="annotation subject"/>
    <w:basedOn w:val="CommentText"/>
    <w:next w:val="CommentText"/>
    <w:link w:val="CommentSubjectChar"/>
    <w:uiPriority w:val="99"/>
    <w:semiHidden/>
    <w:unhideWhenUsed/>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hvr">
    <w:name w:val="hvr"/>
    <w:basedOn w:val="DefaultParagraphFont"/>
  </w:style>
  <w:style w:type="character" w:styleId="Emphasis">
    <w:name w:val="Emphasis"/>
    <w:basedOn w:val="DefaultParagraphFont"/>
    <w:uiPriority w:val="20"/>
    <w:qFormat/>
    <w:rPr>
      <w:i/>
      <w:iCs/>
    </w:rPr>
  </w:style>
  <w:style w:type="paragraph" w:customStyle="1" w:styleId="c01pointnumerotealtn">
    <w:name w:val="c01pointnumerotealtn"/>
    <w:basedOn w:val="Normal"/>
    <w:pPr>
      <w:spacing w:before="100" w:beforeAutospacing="1" w:after="240" w:line="240" w:lineRule="auto"/>
      <w:ind w:left="567" w:hanging="539"/>
      <w:jc w:val="both"/>
    </w:pPr>
    <w:rPr>
      <w:rFonts w:ascii="Times New Roman" w:eastAsia="Times New Roman" w:hAnsi="Times New Roman" w:cs="Times New Roman"/>
      <w:sz w:val="24"/>
      <w:szCs w:val="24"/>
    </w:rPr>
  </w:style>
  <w:style w:type="paragraph" w:customStyle="1" w:styleId="CM54">
    <w:name w:val="CM54"/>
    <w:basedOn w:val="Default"/>
    <w:next w:val="Default"/>
    <w:uiPriority w:val="99"/>
    <w:rPr>
      <w:rFonts w:ascii="QVHQCS+TimesNewRoman" w:eastAsiaTheme="minorHAnsi" w:hAnsi="QVHQCS+TimesNewRoman" w:cstheme="minorBidi"/>
      <w:color w:val="auto"/>
    </w:rPr>
  </w:style>
  <w:style w:type="character" w:customStyle="1" w:styleId="affairetitle">
    <w:name w:val="affaire_title"/>
    <w:basedOn w:val="DefaultParagraphFont"/>
  </w:style>
  <w:style w:type="character" w:styleId="Strong">
    <w:name w:val="Strong"/>
    <w:basedOn w:val="DefaultParagraphFont"/>
    <w:uiPriority w:val="22"/>
    <w:qFormat/>
    <w:rPr>
      <w:b/>
      <w:bCs/>
    </w:rPr>
  </w:style>
  <w:style w:type="paragraph" w:customStyle="1" w:styleId="gmail-m3155349479969081128msolistparagraph">
    <w:name w:val="gmail-m_3155349479969081128msolistparagraph"/>
    <w:basedOn w:val="Normal"/>
    <w:uiPriority w:val="99"/>
    <w:pPr>
      <w:spacing w:after="0" w:line="240" w:lineRule="auto"/>
    </w:pPr>
    <w:rPr>
      <w:rFonts w:ascii="Times New Roman" w:eastAsia="Times New Roman" w:hAnsi="Times New Roman" w:cs="Times New Roman"/>
      <w:sz w:val="24"/>
      <w:szCs w:val="24"/>
    </w:rPr>
  </w:style>
  <w:style w:type="character" w:customStyle="1" w:styleId="outputecli">
    <w:name w:val="outputecli"/>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ußnote,Carattere,fn,ft"/>
    <w:basedOn w:val="Normal"/>
    <w:link w:val="FootnoteTextChar"/>
    <w:uiPriority w:val="99"/>
    <w:unhideWhenUsed/>
    <w:qFormat/>
    <w:rPr>
      <w:rFonts w:ascii="Calibri" w:eastAsia="Calibri" w:hAnsi="Calibri" w:cs="Times New Roman"/>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ußnote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1">
    <w:name w:val="CM1"/>
    <w:basedOn w:val="Default"/>
    <w:next w:val="Default"/>
    <w:uiPriority w:val="99"/>
    <w:rPr>
      <w:rFonts w:eastAsiaTheme="minorHAnsi" w:cstheme="minorBidi"/>
      <w:color w:val="auto"/>
    </w:rPr>
  </w:style>
  <w:style w:type="paragraph" w:customStyle="1" w:styleId="CM3">
    <w:name w:val="CM3"/>
    <w:basedOn w:val="Default"/>
    <w:next w:val="Default"/>
    <w:uiPriority w:val="99"/>
    <w:rPr>
      <w:rFonts w:eastAsiaTheme="minorHAnsi" w:cstheme="minorBidi"/>
      <w:color w:val="auto"/>
    </w:rPr>
  </w:style>
  <w:style w:type="paragraph" w:styleId="CommentSubject">
    <w:name w:val="annotation subject"/>
    <w:basedOn w:val="CommentText"/>
    <w:next w:val="CommentText"/>
    <w:link w:val="CommentSubjectChar"/>
    <w:uiPriority w:val="99"/>
    <w:semiHidden/>
    <w:unhideWhenUsed/>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hvr">
    <w:name w:val="hvr"/>
    <w:basedOn w:val="DefaultParagraphFont"/>
  </w:style>
  <w:style w:type="character" w:styleId="Emphasis">
    <w:name w:val="Emphasis"/>
    <w:basedOn w:val="DefaultParagraphFont"/>
    <w:uiPriority w:val="20"/>
    <w:qFormat/>
    <w:rPr>
      <w:i/>
      <w:iCs/>
    </w:rPr>
  </w:style>
  <w:style w:type="paragraph" w:customStyle="1" w:styleId="c01pointnumerotealtn">
    <w:name w:val="c01pointnumerotealtn"/>
    <w:basedOn w:val="Normal"/>
    <w:pPr>
      <w:spacing w:before="100" w:beforeAutospacing="1" w:after="240" w:line="240" w:lineRule="auto"/>
      <w:ind w:left="567" w:hanging="539"/>
      <w:jc w:val="both"/>
    </w:pPr>
    <w:rPr>
      <w:rFonts w:ascii="Times New Roman" w:eastAsia="Times New Roman" w:hAnsi="Times New Roman" w:cs="Times New Roman"/>
      <w:sz w:val="24"/>
      <w:szCs w:val="24"/>
    </w:rPr>
  </w:style>
  <w:style w:type="paragraph" w:customStyle="1" w:styleId="CM54">
    <w:name w:val="CM54"/>
    <w:basedOn w:val="Default"/>
    <w:next w:val="Default"/>
    <w:uiPriority w:val="99"/>
    <w:rPr>
      <w:rFonts w:ascii="QVHQCS+TimesNewRoman" w:eastAsiaTheme="minorHAnsi" w:hAnsi="QVHQCS+TimesNewRoman" w:cstheme="minorBidi"/>
      <w:color w:val="auto"/>
    </w:rPr>
  </w:style>
  <w:style w:type="character" w:customStyle="1" w:styleId="affairetitle">
    <w:name w:val="affaire_title"/>
    <w:basedOn w:val="DefaultParagraphFont"/>
  </w:style>
  <w:style w:type="character" w:styleId="Strong">
    <w:name w:val="Strong"/>
    <w:basedOn w:val="DefaultParagraphFont"/>
    <w:uiPriority w:val="22"/>
    <w:qFormat/>
    <w:rPr>
      <w:b/>
      <w:bCs/>
    </w:rPr>
  </w:style>
  <w:style w:type="paragraph" w:customStyle="1" w:styleId="gmail-m3155349479969081128msolistparagraph">
    <w:name w:val="gmail-m_3155349479969081128msolistparagraph"/>
    <w:basedOn w:val="Normal"/>
    <w:uiPriority w:val="99"/>
    <w:pPr>
      <w:spacing w:after="0" w:line="240" w:lineRule="auto"/>
    </w:pPr>
    <w:rPr>
      <w:rFonts w:ascii="Times New Roman" w:eastAsia="Times New Roman" w:hAnsi="Times New Roman" w:cs="Times New Roman"/>
      <w:sz w:val="24"/>
      <w:szCs w:val="24"/>
    </w:rPr>
  </w:style>
  <w:style w:type="character" w:customStyle="1" w:styleId="outputecli">
    <w:name w:val="outputecli"/>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790">
      <w:bodyDiv w:val="1"/>
      <w:marLeft w:val="0"/>
      <w:marRight w:val="0"/>
      <w:marTop w:val="0"/>
      <w:marBottom w:val="0"/>
      <w:divBdr>
        <w:top w:val="none" w:sz="0" w:space="0" w:color="auto"/>
        <w:left w:val="none" w:sz="0" w:space="0" w:color="auto"/>
        <w:bottom w:val="none" w:sz="0" w:space="0" w:color="auto"/>
        <w:right w:val="none" w:sz="0" w:space="0" w:color="auto"/>
      </w:divBdr>
    </w:div>
    <w:div w:id="184372464">
      <w:bodyDiv w:val="1"/>
      <w:marLeft w:val="0"/>
      <w:marRight w:val="0"/>
      <w:marTop w:val="0"/>
      <w:marBottom w:val="0"/>
      <w:divBdr>
        <w:top w:val="none" w:sz="0" w:space="0" w:color="auto"/>
        <w:left w:val="none" w:sz="0" w:space="0" w:color="auto"/>
        <w:bottom w:val="none" w:sz="0" w:space="0" w:color="auto"/>
        <w:right w:val="none" w:sz="0" w:space="0" w:color="auto"/>
      </w:divBdr>
      <w:divsChild>
        <w:div w:id="1395469068">
          <w:marLeft w:val="0"/>
          <w:marRight w:val="0"/>
          <w:marTop w:val="0"/>
          <w:marBottom w:val="0"/>
          <w:divBdr>
            <w:top w:val="none" w:sz="0" w:space="0" w:color="auto"/>
            <w:left w:val="none" w:sz="0" w:space="0" w:color="auto"/>
            <w:bottom w:val="none" w:sz="0" w:space="0" w:color="auto"/>
            <w:right w:val="none" w:sz="0" w:space="0" w:color="auto"/>
          </w:divBdr>
          <w:divsChild>
            <w:div w:id="1132360968">
              <w:marLeft w:val="0"/>
              <w:marRight w:val="0"/>
              <w:marTop w:val="0"/>
              <w:marBottom w:val="0"/>
              <w:divBdr>
                <w:top w:val="none" w:sz="0" w:space="0" w:color="auto"/>
                <w:left w:val="none" w:sz="0" w:space="0" w:color="auto"/>
                <w:bottom w:val="none" w:sz="0" w:space="0" w:color="auto"/>
                <w:right w:val="none" w:sz="0" w:space="0" w:color="auto"/>
              </w:divBdr>
              <w:divsChild>
                <w:div w:id="1876844402">
                  <w:marLeft w:val="0"/>
                  <w:marRight w:val="0"/>
                  <w:marTop w:val="0"/>
                  <w:marBottom w:val="0"/>
                  <w:divBdr>
                    <w:top w:val="none" w:sz="0" w:space="0" w:color="auto"/>
                    <w:left w:val="none" w:sz="0" w:space="0" w:color="auto"/>
                    <w:bottom w:val="none" w:sz="0" w:space="0" w:color="auto"/>
                    <w:right w:val="none" w:sz="0" w:space="0" w:color="auto"/>
                  </w:divBdr>
                  <w:divsChild>
                    <w:div w:id="98647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399785">
      <w:bodyDiv w:val="1"/>
      <w:marLeft w:val="0"/>
      <w:marRight w:val="0"/>
      <w:marTop w:val="0"/>
      <w:marBottom w:val="0"/>
      <w:divBdr>
        <w:top w:val="none" w:sz="0" w:space="0" w:color="auto"/>
        <w:left w:val="none" w:sz="0" w:space="0" w:color="auto"/>
        <w:bottom w:val="none" w:sz="0" w:space="0" w:color="auto"/>
        <w:right w:val="none" w:sz="0" w:space="0" w:color="auto"/>
      </w:divBdr>
    </w:div>
    <w:div w:id="1251964175">
      <w:bodyDiv w:val="1"/>
      <w:marLeft w:val="0"/>
      <w:marRight w:val="0"/>
      <w:marTop w:val="0"/>
      <w:marBottom w:val="0"/>
      <w:divBdr>
        <w:top w:val="none" w:sz="0" w:space="0" w:color="auto"/>
        <w:left w:val="none" w:sz="0" w:space="0" w:color="auto"/>
        <w:bottom w:val="none" w:sz="0" w:space="0" w:color="auto"/>
        <w:right w:val="none" w:sz="0" w:space="0" w:color="auto"/>
      </w:divBdr>
    </w:div>
    <w:div w:id="1276522179">
      <w:bodyDiv w:val="1"/>
      <w:marLeft w:val="0"/>
      <w:marRight w:val="0"/>
      <w:marTop w:val="0"/>
      <w:marBottom w:val="0"/>
      <w:divBdr>
        <w:top w:val="none" w:sz="0" w:space="0" w:color="auto"/>
        <w:left w:val="none" w:sz="0" w:space="0" w:color="auto"/>
        <w:bottom w:val="none" w:sz="0" w:space="0" w:color="auto"/>
        <w:right w:val="none" w:sz="0" w:space="0" w:color="auto"/>
      </w:divBdr>
    </w:div>
    <w:div w:id="1781874342">
      <w:bodyDiv w:val="1"/>
      <w:marLeft w:val="0"/>
      <w:marRight w:val="0"/>
      <w:marTop w:val="0"/>
      <w:marBottom w:val="0"/>
      <w:divBdr>
        <w:top w:val="none" w:sz="0" w:space="0" w:color="auto"/>
        <w:left w:val="none" w:sz="0" w:space="0" w:color="auto"/>
        <w:bottom w:val="none" w:sz="0" w:space="0" w:color="auto"/>
        <w:right w:val="none" w:sz="0" w:space="0" w:color="auto"/>
      </w:divBdr>
      <w:divsChild>
        <w:div w:id="1481774675">
          <w:marLeft w:val="0"/>
          <w:marRight w:val="0"/>
          <w:marTop w:val="0"/>
          <w:marBottom w:val="0"/>
          <w:divBdr>
            <w:top w:val="none" w:sz="0" w:space="0" w:color="auto"/>
            <w:left w:val="none" w:sz="0" w:space="0" w:color="auto"/>
            <w:bottom w:val="none" w:sz="0" w:space="0" w:color="auto"/>
            <w:right w:val="none" w:sz="0" w:space="0" w:color="auto"/>
          </w:divBdr>
        </w:div>
      </w:divsChild>
    </w:div>
    <w:div w:id="2025011159">
      <w:bodyDiv w:val="1"/>
      <w:marLeft w:val="0"/>
      <w:marRight w:val="0"/>
      <w:marTop w:val="0"/>
      <w:marBottom w:val="0"/>
      <w:divBdr>
        <w:top w:val="none" w:sz="0" w:space="0" w:color="auto"/>
        <w:left w:val="none" w:sz="0" w:space="0" w:color="auto"/>
        <w:bottom w:val="none" w:sz="0" w:space="0" w:color="auto"/>
        <w:right w:val="none" w:sz="0" w:space="0" w:color="auto"/>
      </w:divBdr>
    </w:div>
    <w:div w:id="21132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publications.jrc.ec.europa.eu/repository/bitstream/JRC103321/lfna28145enn.pdf" TargetMode="External"/><Relationship Id="rId2" Type="http://schemas.openxmlformats.org/officeDocument/2006/relationships/hyperlink" Target="http://publications.jrc.ec.europa.eu/repository/bitstream/JRC103321/lfna28145enn.pdf" TargetMode="External"/><Relationship Id="rId1" Type="http://schemas.openxmlformats.org/officeDocument/2006/relationships/hyperlink" Target="http://ec.europa.eu/growth/tools-databases/newsroom/cf/itemdetail.cfm?item_id=78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DCF21-D56F-4E64-A8CE-B7F330624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6230</Words>
  <Characters>36935</Characters>
  <Application>Microsoft Office Word</Application>
  <DocSecurity>0</DocSecurity>
  <Lines>604</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43055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2017-11-28T10:53:00Z</dcterms:created>
  <dcterms:modified xsi:type="dcterms:W3CDTF">2017-12-05T19:36:00Z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Classification">
    <vt:lpwstr> </vt:lpwstr>
  </property>
</Properties>
</file>