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AB02B9F-AE5D-4DE8-924E-144E5851CBBA" style="width:450.75pt;height:420.7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before="0" w:after="0"/>
        <w:rPr>
          <w:noProof/>
        </w:rPr>
      </w:pPr>
      <w:bookmarkStart w:id="1" w:name="_GoBack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.7pt;width:506.25pt;height:62.4pt;z-index:251657728" strokeweight="3pt">
            <v:stroke linestyle="thinThin"/>
            <v:textbox style="mso-next-textbox:#_x0000_s1031">
              <w:txbxContent>
                <w:p>
                  <w:pPr>
                    <w:spacing w:before="240" w:after="0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Статистически данни относно прилагането на Регламент (ЕО) № 1049/2001</w:t>
                  </w:r>
                </w:p>
              </w:txbxContent>
            </v:textbox>
            <w10:wrap type="square"/>
          </v:shape>
        </w:pict>
      </w:r>
    </w:p>
    <w:p>
      <w:pPr>
        <w:pStyle w:val="Heading1"/>
        <w:numPr>
          <w:ilvl w:val="0"/>
          <w:numId w:val="31"/>
        </w:numPr>
        <w:tabs>
          <w:tab w:val="clear" w:pos="850"/>
          <w:tab w:val="num" w:pos="992"/>
        </w:tabs>
        <w:spacing w:before="600" w:after="240"/>
        <w:ind w:left="851" w:hanging="851"/>
        <w:rPr>
          <w:noProof/>
        </w:rPr>
      </w:pPr>
      <w:r>
        <w:rPr>
          <w:noProof/>
        </w:rPr>
        <w:t>Брой документи, вписани в регистъра</w:t>
      </w:r>
    </w:p>
    <w:tbl>
      <w:tblPr>
        <w:tblW w:w="5001" w:type="pct"/>
        <w:tblInd w:w="-176" w:type="dxa"/>
        <w:tblLook w:val="01E0" w:firstRow="1" w:lastRow="1" w:firstColumn="1" w:lastColumn="1" w:noHBand="0" w:noVBand="0"/>
      </w:tblPr>
      <w:tblGrid>
        <w:gridCol w:w="1252"/>
        <w:gridCol w:w="1069"/>
        <w:gridCol w:w="1073"/>
        <w:gridCol w:w="1073"/>
        <w:gridCol w:w="1073"/>
        <w:gridCol w:w="1073"/>
        <w:gridCol w:w="1073"/>
        <w:gridCol w:w="1072"/>
        <w:gridCol w:w="1206"/>
      </w:tblGrid>
      <w:tr>
        <w:trPr>
          <w:trHeight w:val="170"/>
        </w:trPr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2"/>
              <w:ind w:left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COM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JOIN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OJ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PV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SEC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SWD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</w:tr>
      <w:tr>
        <w:trPr>
          <w:trHeight w:val="1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15 558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1 488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1 293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18 945</w:t>
            </w:r>
          </w:p>
        </w:tc>
      </w:tr>
      <w:tr>
        <w:trPr>
          <w:trHeight w:val="1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14 458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1 931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18 523</w:t>
            </w:r>
          </w:p>
        </w:tc>
      </w:tr>
    </w:tbl>
    <w:p>
      <w:pPr>
        <w:pStyle w:val="Heading1"/>
        <w:numPr>
          <w:ilvl w:val="0"/>
          <w:numId w:val="31"/>
        </w:numPr>
        <w:tabs>
          <w:tab w:val="clear" w:pos="850"/>
          <w:tab w:val="num" w:pos="992"/>
        </w:tabs>
        <w:spacing w:before="840" w:after="240"/>
        <w:ind w:left="851" w:hanging="851"/>
        <w:rPr>
          <w:noProof/>
        </w:rPr>
      </w:pPr>
      <w:r>
        <w:rPr>
          <w:noProof/>
        </w:rPr>
        <w:t>Посещаемост на страницата „Достъп до документи“ на уебсайта Europa</w:t>
      </w:r>
    </w:p>
    <w:tbl>
      <w:tblPr>
        <w:tblW w:w="998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9"/>
        <w:gridCol w:w="1207"/>
        <w:gridCol w:w="1207"/>
        <w:gridCol w:w="1206"/>
        <w:gridCol w:w="1206"/>
        <w:gridCol w:w="1206"/>
        <w:gridCol w:w="1206"/>
      </w:tblGrid>
      <w:tr>
        <w:trPr>
          <w:trHeight w:val="170"/>
        </w:trPr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Отделни посетители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Посещения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Отваряни страници</w:t>
            </w:r>
          </w:p>
        </w:tc>
      </w:tr>
      <w:tr>
        <w:trPr>
          <w:trHeight w:val="17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Text1"/>
              <w:spacing w:after="0"/>
              <w:ind w:left="10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Средно на месец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1 294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1 291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1 578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1 599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1 944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1 941</w:t>
            </w:r>
          </w:p>
        </w:tc>
      </w:tr>
      <w:tr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02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15 525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15 496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18 939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19 191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23 324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23 290</w:t>
            </w:r>
          </w:p>
        </w:tc>
      </w:tr>
    </w:tbl>
    <w:p>
      <w:pPr>
        <w:pStyle w:val="Heading1"/>
        <w:numPr>
          <w:ilvl w:val="0"/>
          <w:numId w:val="31"/>
        </w:numPr>
        <w:tabs>
          <w:tab w:val="clear" w:pos="850"/>
          <w:tab w:val="num" w:pos="992"/>
        </w:tabs>
        <w:spacing w:before="840" w:after="240"/>
        <w:ind w:left="851" w:hanging="851"/>
        <w:rPr>
          <w:noProof/>
        </w:rPr>
      </w:pPr>
      <w:r>
        <w:rPr>
          <w:noProof/>
        </w:rPr>
        <w:t>Брой на получените и обработените първоначални заявления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138"/>
        <w:gridCol w:w="1138"/>
        <w:gridCol w:w="1138"/>
        <w:gridCol w:w="1138"/>
        <w:gridCol w:w="1138"/>
      </w:tblGrid>
      <w:tr>
        <w:trPr>
          <w:trHeight w:val="170"/>
        </w:trPr>
        <w:tc>
          <w:tcPr>
            <w:tcW w:w="4255" w:type="dxa"/>
            <w:shd w:val="clear" w:color="auto" w:fill="C6D9F1"/>
          </w:tcPr>
          <w:p>
            <w:pPr>
              <w:pStyle w:val="Text1"/>
              <w:tabs>
                <w:tab w:val="left" w:pos="1170"/>
                <w:tab w:val="left" w:pos="1485"/>
              </w:tabs>
              <w:spacing w:after="0" w:line="360" w:lineRule="auto"/>
              <w:ind w:left="0"/>
              <w:rPr>
                <w:noProof/>
                <w:sz w:val="22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2012 г.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 г.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 г.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170"/>
        </w:trPr>
        <w:tc>
          <w:tcPr>
            <w:tcW w:w="4255" w:type="dxa"/>
          </w:tcPr>
          <w:p>
            <w:pPr>
              <w:pStyle w:val="Text1"/>
              <w:ind w:left="1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Регистрирани заявления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6 014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6 525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6 227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6 752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6 077</w:t>
            </w:r>
          </w:p>
        </w:tc>
      </w:tr>
      <w:tr>
        <w:trPr>
          <w:trHeight w:val="170"/>
        </w:trPr>
        <w:tc>
          <w:tcPr>
            <w:tcW w:w="4255" w:type="dxa"/>
            <w:shd w:val="clear" w:color="auto" w:fill="C6D9F1"/>
          </w:tcPr>
          <w:p>
            <w:pPr>
              <w:pStyle w:val="Text1"/>
              <w:ind w:left="1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Дадени отговори</w:t>
            </w:r>
            <w:r>
              <w:rPr>
                <w:rStyle w:val="FootnoteReference"/>
                <w:noProof/>
                <w:sz w:val="20"/>
              </w:rPr>
              <w:footnoteReference w:id="1"/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6 334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7 659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7 156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7 684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7 137</w:t>
            </w:r>
          </w:p>
        </w:tc>
      </w:tr>
      <w:tr>
        <w:trPr>
          <w:trHeight w:val="170"/>
        </w:trPr>
        <w:tc>
          <w:tcPr>
            <w:tcW w:w="4255" w:type="dxa"/>
          </w:tcPr>
          <w:p>
            <w:pPr>
              <w:pStyle w:val="Text1"/>
              <w:ind w:left="1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Отговори на основание Регламент (ЕО) № 1049/2001</w:t>
            </w:r>
            <w:r>
              <w:rPr>
                <w:rStyle w:val="FootnoteReference"/>
                <w:noProof/>
                <w:sz w:val="20"/>
              </w:rPr>
              <w:footnoteReference w:id="2"/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5 274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5 906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5 637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5 819</w:t>
            </w:r>
          </w:p>
        </w:tc>
        <w:tc>
          <w:tcPr>
            <w:tcW w:w="1134" w:type="dxa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5 944</w:t>
            </w:r>
          </w:p>
        </w:tc>
      </w:tr>
    </w:tbl>
    <w:p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0" w:after="240"/>
        <w:ind w:left="851" w:hanging="851"/>
        <w:rPr>
          <w:noProof/>
        </w:rPr>
      </w:pPr>
      <w:r>
        <w:rPr>
          <w:noProof/>
        </w:rPr>
        <w:lastRenderedPageBreak/>
        <w:t>Отговори, дадени на етапа на първоначалните заявления</w:t>
      </w:r>
    </w:p>
    <w:tbl>
      <w:tblPr>
        <w:tblW w:w="5094" w:type="pct"/>
        <w:tblInd w:w="-176" w:type="dxa"/>
        <w:tblLook w:val="0000" w:firstRow="0" w:lastRow="0" w:firstColumn="0" w:lastColumn="0" w:noHBand="0" w:noVBand="0"/>
      </w:tblPr>
      <w:tblGrid>
        <w:gridCol w:w="2614"/>
        <w:gridCol w:w="764"/>
        <w:gridCol w:w="764"/>
        <w:gridCol w:w="764"/>
        <w:gridCol w:w="764"/>
        <w:gridCol w:w="764"/>
        <w:gridCol w:w="764"/>
        <w:gridCol w:w="764"/>
        <w:gridCol w:w="764"/>
        <w:gridCol w:w="712"/>
        <w:gridCol w:w="711"/>
      </w:tblGrid>
      <w:tr>
        <w:trPr>
          <w:trHeight w:val="267"/>
        </w:trPr>
        <w:tc>
          <w:tcPr>
            <w:tcW w:w="2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2012 г.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 г.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 г.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267"/>
        </w:trPr>
        <w:tc>
          <w:tcPr>
            <w:tcW w:w="2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</w:tr>
      <w:tr>
        <w:trPr>
          <w:trHeight w:val="267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пълен достъп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3 928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74,48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4 400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73,43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4 096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72,77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4 003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68,79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3 622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60,94</w:t>
            </w:r>
          </w:p>
        </w:tc>
      </w:tr>
      <w:tr>
        <w:trPr>
          <w:trHeight w:val="267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частичен достъп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16,91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866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14,45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11,87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1 213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20,41</w:t>
            </w:r>
          </w:p>
        </w:tc>
      </w:tr>
      <w:tr>
        <w:trPr>
          <w:trHeight w:val="267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Отказ на достъп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8,61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10,68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866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15,36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15,29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1 109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18,66</w:t>
            </w:r>
          </w:p>
        </w:tc>
      </w:tr>
      <w:tr>
        <w:trPr>
          <w:trHeight w:val="283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Text1"/>
              <w:spacing w:after="0"/>
              <w:ind w:left="11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5 274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5 906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5 630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5 819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5 944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840" w:after="240"/>
        <w:ind w:left="851" w:hanging="851"/>
        <w:rPr>
          <w:noProof/>
        </w:rPr>
      </w:pPr>
      <w:r>
        <w:rPr>
          <w:noProof/>
        </w:rPr>
        <w:t>Брой на получените и обработените потвърдителни заявления</w:t>
      </w:r>
    </w:p>
    <w:tbl>
      <w:tblPr>
        <w:tblW w:w="5208" w:type="pct"/>
        <w:tblInd w:w="-176" w:type="dxa"/>
        <w:tblLook w:val="01E0" w:firstRow="1" w:lastRow="1" w:firstColumn="1" w:lastColumn="1" w:noHBand="0" w:noVBand="0"/>
      </w:tblPr>
      <w:tblGrid>
        <w:gridCol w:w="4191"/>
        <w:gridCol w:w="1237"/>
        <w:gridCol w:w="1237"/>
        <w:gridCol w:w="1237"/>
        <w:gridCol w:w="1237"/>
        <w:gridCol w:w="1237"/>
      </w:tblGrid>
      <w:tr>
        <w:trPr>
          <w:trHeight w:val="362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pStyle w:val="Text1"/>
              <w:tabs>
                <w:tab w:val="left" w:pos="187"/>
              </w:tabs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2012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398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Регистрирани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295</w:t>
            </w:r>
          </w:p>
        </w:tc>
      </w:tr>
      <w:tr>
        <w:trPr>
          <w:trHeight w:val="311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pStyle w:val="Text1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Дадени отговори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257</w:t>
            </w:r>
          </w:p>
        </w:tc>
      </w:tr>
      <w:t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Отговори на основание Регламент (ЕО) № 1049/2001</w:t>
            </w:r>
            <w:r>
              <w:rPr>
                <w:rStyle w:val="FootnoteReference"/>
                <w:noProof/>
                <w:sz w:val="20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219</w:t>
            </w:r>
          </w:p>
        </w:tc>
      </w:tr>
    </w:tbl>
    <w:p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840" w:after="240"/>
        <w:ind w:left="851" w:hanging="851"/>
        <w:rPr>
          <w:noProof/>
        </w:rPr>
      </w:pPr>
      <w:r>
        <w:rPr>
          <w:noProof/>
        </w:rPr>
        <w:t>Отговори, дадени на етапа на потвърждаване на заявленията</w:t>
      </w:r>
    </w:p>
    <w:tbl>
      <w:tblPr>
        <w:tblW w:w="513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88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1"/>
      </w:tblGrid>
      <w:tr>
        <w:trPr>
          <w:trHeight w:val="255"/>
        </w:trPr>
        <w:tc>
          <w:tcPr>
            <w:tcW w:w="1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1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2012 г.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 г.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 г.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255"/>
        </w:trPr>
        <w:tc>
          <w:tcPr>
            <w:tcW w:w="14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>
            <w:pPr>
              <w:spacing w:after="0" w:line="360" w:lineRule="auto"/>
              <w:jc w:val="left"/>
              <w:rPr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</w:tr>
      <w:tr>
        <w:trPr>
          <w:trHeight w:val="255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Пълно преразглеждане —</w:t>
            </w:r>
          </w:p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пълен достъп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18,75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18,75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9,57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5,02</w:t>
            </w:r>
          </w:p>
        </w:tc>
      </w:tr>
      <w:tr>
        <w:trPr>
          <w:trHeight w:val="255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Частично преразглеждане — </w:t>
            </w:r>
          </w:p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частичен достъп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24,38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23,81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24,63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31,74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47,03</w:t>
            </w:r>
          </w:p>
        </w:tc>
      </w:tr>
      <w:tr>
        <w:trPr>
          <w:trHeight w:val="255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Потвърждаване на първоначалния отговор —</w:t>
            </w:r>
          </w:p>
          <w:p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отказ на достъп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56,88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56,08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154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56,62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58,70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47,95</w:t>
            </w:r>
          </w:p>
        </w:tc>
      </w:tr>
      <w:tr>
        <w:trPr>
          <w:trHeight w:val="270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ind w:left="11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160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189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272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230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840" w:after="240"/>
        <w:ind w:left="851" w:hanging="851"/>
        <w:rPr>
          <w:noProof/>
        </w:rPr>
      </w:pPr>
      <w:r>
        <w:rPr>
          <w:noProof/>
        </w:rPr>
        <w:t>Отказ на достъп според използваното основание за изключение (%)</w:t>
      </w:r>
    </w:p>
    <w:tbl>
      <w:tblPr>
        <w:tblW w:w="9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12"/>
        <w:gridCol w:w="1305"/>
        <w:gridCol w:w="1305"/>
        <w:gridCol w:w="283"/>
        <w:gridCol w:w="1305"/>
        <w:gridCol w:w="1305"/>
      </w:tblGrid>
      <w:tr>
        <w:trPr>
          <w:trHeight w:val="567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Изключенията са определени в член 4 от Регламент № 1049/2001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>
        <w:trPr>
          <w:trHeight w:val="567"/>
        </w:trPr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bookmarkStart w:id="2" w:name="_CopyToNewDocument_"/>
            <w:bookmarkEnd w:id="2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spacing w:after="0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spacing w:after="0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първо тире — защита на обществения интерес по отношение на обществената сигурност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2,43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7,29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2,05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2,39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второ тире — защита на обществения интерес по отношение на отбраната и военните въпроси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трето тире — защита на обществения интерес по отношение на международните отношения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4,92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2,39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четвърто тире — защита на обществения интерес по отношение на финансовата, валутната или икономическата политика на ЕС или на държава членка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2,87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2,79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б) — защита на частния живот и личната неприкосновеност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29,40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29,76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15,57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28,29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2, първо тире — защита на търговските интереси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14,75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13,71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15,94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2, второ тире — защита на съдебните процедури и правните становища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4,51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4,92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5,58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2, трето тире — защита на целите на дейности по инспектиране, разследване и одит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20,88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20,32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3, първа алинея — процес на вземане на решения, когато решение все още не е взето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17,69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18,78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13,93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20,32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3, втора алинея — процес на вземане на решения, когато решение вече е взето (становища за вътрешно ползване в рамките на предварителни обсъждания и консултации)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2,58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2,46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1,99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параграфи 4 и 5 — отказ на държава членка или на трета страна</w:t>
            </w:r>
            <w:r>
              <w:rPr>
                <w:rStyle w:val="FootnoteReference"/>
                <w:noProof/>
                <w:sz w:val="20"/>
              </w:rPr>
              <w:footnoteReference w:id="5"/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/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/</w:t>
            </w:r>
          </w:p>
        </w:tc>
      </w:tr>
      <w:tr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0" w:after="240"/>
        <w:ind w:left="851" w:hanging="851"/>
        <w:rPr>
          <w:noProof/>
        </w:rPr>
      </w:pPr>
      <w:r>
        <w:rPr>
          <w:noProof/>
        </w:rPr>
        <w:t>Социално-професионална категория на заявителите (%)</w:t>
      </w:r>
      <w:r>
        <w:rPr>
          <w:rStyle w:val="FootnoteReference"/>
          <w:noProof/>
        </w:rPr>
        <w:footnoteReference w:id="6"/>
      </w:r>
    </w:p>
    <w:tbl>
      <w:tblPr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13"/>
        <w:gridCol w:w="1524"/>
        <w:gridCol w:w="1524"/>
        <w:gridCol w:w="273"/>
        <w:gridCol w:w="1562"/>
        <w:gridCol w:w="1562"/>
      </w:tblGrid>
      <w:tr>
        <w:trPr>
          <w:trHeight w:val="528"/>
        </w:trPr>
        <w:tc>
          <w:tcPr>
            <w:tcW w:w="3513" w:type="dxa"/>
            <w:vMerge w:val="restart"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single" w:sz="8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>
        <w:trPr>
          <w:trHeight w:val="60"/>
        </w:trPr>
        <w:tc>
          <w:tcPr>
            <w:tcW w:w="3513" w:type="dxa"/>
            <w:vMerge/>
          </w:tcPr>
          <w:p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524" w:type="dxa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524" w:type="dxa"/>
            <w:tcBorders>
              <w:right w:val="single" w:sz="8" w:space="0" w:color="auto"/>
            </w:tcBorders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315"/>
        </w:trPr>
        <w:tc>
          <w:tcPr>
            <w:tcW w:w="3513" w:type="dxa"/>
            <w:shd w:val="clear" w:color="auto" w:fill="C6D9F1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Академична институция/мозъчен тръст</w:t>
            </w:r>
          </w:p>
        </w:tc>
        <w:tc>
          <w:tcPr>
            <w:tcW w:w="1524" w:type="dxa"/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21,33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15,96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5,63</w:t>
            </w:r>
          </w:p>
        </w:tc>
        <w:tc>
          <w:tcPr>
            <w:tcW w:w="1562" w:type="dxa"/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4,41</w:t>
            </w:r>
          </w:p>
        </w:tc>
      </w:tr>
      <w:tr>
        <w:trPr>
          <w:trHeight w:val="292"/>
        </w:trPr>
        <w:tc>
          <w:tcPr>
            <w:tcW w:w="3513" w:type="dxa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Дружество/стопанско сдружение </w:t>
            </w:r>
          </w:p>
        </w:tc>
        <w:tc>
          <w:tcPr>
            <w:tcW w:w="1524" w:type="dxa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2,03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9,73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62" w:type="dxa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3,05</w:t>
            </w:r>
          </w:p>
        </w:tc>
      </w:tr>
      <w:tr>
        <w:trPr>
          <w:trHeight w:val="520"/>
        </w:trPr>
        <w:tc>
          <w:tcPr>
            <w:tcW w:w="3513" w:type="dxa"/>
            <w:shd w:val="clear" w:color="auto" w:fill="C6D9F1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Журналист </w:t>
            </w:r>
          </w:p>
        </w:tc>
        <w:tc>
          <w:tcPr>
            <w:tcW w:w="1524" w:type="dxa"/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7,08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5,89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13,03</w:t>
            </w:r>
          </w:p>
        </w:tc>
        <w:tc>
          <w:tcPr>
            <w:tcW w:w="1562" w:type="dxa"/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8,14</w:t>
            </w:r>
          </w:p>
        </w:tc>
      </w:tr>
      <w:tr>
        <w:trPr>
          <w:trHeight w:val="463"/>
        </w:trPr>
        <w:tc>
          <w:tcPr>
            <w:tcW w:w="3513" w:type="dxa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Адвокатска кантора/самостоятелно зает адвокат</w:t>
            </w:r>
          </w:p>
        </w:tc>
        <w:tc>
          <w:tcPr>
            <w:tcW w:w="1524" w:type="dxa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12,74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13,46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27,82</w:t>
            </w:r>
          </w:p>
        </w:tc>
        <w:tc>
          <w:tcPr>
            <w:tcW w:w="1562" w:type="dxa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26,44</w:t>
            </w:r>
          </w:p>
        </w:tc>
      </w:tr>
      <w:tr>
        <w:trPr>
          <w:trHeight w:val="343"/>
        </w:trPr>
        <w:tc>
          <w:tcPr>
            <w:tcW w:w="3513" w:type="dxa"/>
            <w:shd w:val="clear" w:color="auto" w:fill="C6D9F1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на ЕП/административен асистент на член на ЕП</w:t>
            </w:r>
          </w:p>
        </w:tc>
        <w:tc>
          <w:tcPr>
            <w:tcW w:w="1524" w:type="dxa"/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10,63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4,77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3,17</w:t>
            </w:r>
          </w:p>
        </w:tc>
        <w:tc>
          <w:tcPr>
            <w:tcW w:w="1562" w:type="dxa"/>
            <w:shd w:val="clear" w:color="auto" w:fill="C6D9F1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3,05</w:t>
            </w:r>
          </w:p>
        </w:tc>
      </w:tr>
      <w:tr>
        <w:trPr>
          <w:trHeight w:val="339"/>
        </w:trPr>
        <w:tc>
          <w:tcPr>
            <w:tcW w:w="3513" w:type="dxa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Неправителствена организация (НПО)</w:t>
            </w:r>
          </w:p>
        </w:tc>
        <w:tc>
          <w:tcPr>
            <w:tcW w:w="1524" w:type="dxa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15,18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11,88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24,65</w:t>
            </w:r>
          </w:p>
        </w:tc>
        <w:tc>
          <w:tcPr>
            <w:tcW w:w="1562" w:type="dxa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24,75</w:t>
            </w:r>
          </w:p>
        </w:tc>
      </w:tr>
      <w:tr>
        <w:trPr>
          <w:trHeight w:val="339"/>
        </w:trPr>
        <w:tc>
          <w:tcPr>
            <w:tcW w:w="3513" w:type="dxa"/>
            <w:shd w:val="clear" w:color="auto" w:fill="B8CCE4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Органи на национално/поднационално равнище</w:t>
            </w:r>
            <w:r>
              <w:rPr>
                <w:rStyle w:val="FootnoteReference"/>
                <w:noProof/>
                <w:sz w:val="20"/>
              </w:rPr>
              <w:footnoteReference w:id="7"/>
            </w:r>
          </w:p>
        </w:tc>
        <w:tc>
          <w:tcPr>
            <w:tcW w:w="1524" w:type="dxa"/>
            <w:shd w:val="clear" w:color="auto" w:fill="B8CCE4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6,26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B8CCE4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1,41</w:t>
            </w:r>
          </w:p>
        </w:tc>
        <w:tc>
          <w:tcPr>
            <w:tcW w:w="1562" w:type="dxa"/>
            <w:shd w:val="clear" w:color="auto" w:fill="B8CCE4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54"/>
        </w:trPr>
        <w:tc>
          <w:tcPr>
            <w:tcW w:w="3513" w:type="dxa"/>
            <w:shd w:val="clear" w:color="auto" w:fill="auto"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е посочено (граждани)</w:t>
            </w:r>
          </w:p>
        </w:tc>
        <w:tc>
          <w:tcPr>
            <w:tcW w:w="1524" w:type="dxa"/>
            <w:shd w:val="clear" w:color="auto" w:fill="auto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24,75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38,3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24,29</w:t>
            </w:r>
          </w:p>
        </w:tc>
        <w:tc>
          <w:tcPr>
            <w:tcW w:w="1562" w:type="dxa"/>
            <w:shd w:val="clear" w:color="auto" w:fill="auto"/>
            <w:vAlign w:val="bottom"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30,17</w:t>
            </w:r>
          </w:p>
        </w:tc>
      </w:tr>
      <w:tr>
        <w:trPr>
          <w:trHeight w:val="515"/>
        </w:trPr>
        <w:tc>
          <w:tcPr>
            <w:tcW w:w="3513" w:type="dxa"/>
            <w:shd w:val="clear" w:color="auto" w:fill="B8CCE4"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524" w:type="dxa"/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  <w:highlight w:val="green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  <w:highlight w:val="green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62" w:type="dxa"/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840" w:after="240"/>
        <w:ind w:left="851" w:hanging="851"/>
        <w:rPr>
          <w:noProof/>
        </w:rPr>
      </w:pPr>
      <w:r>
        <w:rPr>
          <w:noProof/>
        </w:rPr>
        <w:t>Географски произход на заявителите (%)</w:t>
      </w:r>
    </w:p>
    <w:tbl>
      <w:tblPr>
        <w:tblW w:w="4996" w:type="pct"/>
        <w:tblLook w:val="0000" w:firstRow="0" w:lastRow="0" w:firstColumn="0" w:lastColumn="0" w:noHBand="0" w:noVBand="0"/>
      </w:tblPr>
      <w:tblGrid>
        <w:gridCol w:w="3439"/>
        <w:gridCol w:w="1544"/>
        <w:gridCol w:w="1544"/>
        <w:gridCol w:w="274"/>
        <w:gridCol w:w="1554"/>
        <w:gridCol w:w="1599"/>
      </w:tblGrid>
      <w:tr>
        <w:trPr>
          <w:trHeight w:val="578"/>
        </w:trPr>
        <w:tc>
          <w:tcPr>
            <w:tcW w:w="3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 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>
        <w:trPr>
          <w:trHeight w:val="300"/>
        </w:trPr>
        <w:tc>
          <w:tcPr>
            <w:tcW w:w="3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Австрия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1,35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1,02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Белгия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26,78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27,23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30,28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33,22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1,36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Кипър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Хърватия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0,68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Чешка република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1,69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1,65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1,02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1,05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Франция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7,57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7,95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5,99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5,08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11,74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12,56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15,14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13,22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Гърция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2,46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1,69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Унгария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1,36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Ирландия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1,76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1,36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Италия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7,26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6,70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4,23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9,83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Люксембург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Малта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Нидерландия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5,48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5,20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6,44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5,99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2,03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Португалия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0,58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Словакия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0,28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Испания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9,91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7,54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2,46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8,81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2,22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Обединено кралство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7,63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10,04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10,21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5,76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Европейски държави извън ЕС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1,81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1,65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1,76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3,05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Северна Америка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Австралия и Нова Зеландия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Африка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Южна Америка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Азия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3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е посочено</w:t>
            </w:r>
            <w:r>
              <w:rPr>
                <w:rStyle w:val="FootnoteReference"/>
                <w:noProof/>
                <w:sz w:val="20"/>
              </w:rPr>
              <w:footnoteReference w:id="8"/>
            </w:r>
            <w:r>
              <w:rPr>
                <w:noProof/>
                <w:sz w:val="20"/>
              </w:rPr>
              <w:t>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418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0"/>
        </w:numPr>
        <w:spacing w:before="840" w:after="240"/>
        <w:ind w:left="850" w:hanging="850"/>
        <w:rPr>
          <w:noProof/>
        </w:rPr>
      </w:pPr>
    </w:p>
    <w:p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0" w:after="240"/>
        <w:ind w:left="851" w:hanging="851"/>
        <w:rPr>
          <w:noProof/>
        </w:rPr>
      </w:pPr>
      <w:r>
        <w:rPr>
          <w:noProof/>
        </w:rPr>
        <w:br w:type="page"/>
        <w:t>Заявления според службите на Комисията (%)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7"/>
        <w:gridCol w:w="1093"/>
        <w:gridCol w:w="1093"/>
        <w:gridCol w:w="278"/>
        <w:gridCol w:w="1116"/>
        <w:gridCol w:w="1116"/>
      </w:tblGrid>
      <w:tr>
        <w:trPr>
          <w:trHeight w:val="311"/>
        </w:trPr>
        <w:tc>
          <w:tcPr>
            <w:tcW w:w="5117" w:type="dxa"/>
          </w:tcPr>
          <w:p>
            <w:pPr>
              <w:pStyle w:val="Text1"/>
              <w:spacing w:after="0"/>
              <w:ind w:left="12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>
        <w:trPr>
          <w:trHeight w:val="311"/>
        </w:trPr>
        <w:tc>
          <w:tcPr>
            <w:tcW w:w="5117" w:type="dxa"/>
          </w:tcPr>
          <w:p>
            <w:pPr>
              <w:pStyle w:val="Text1"/>
              <w:spacing w:after="0"/>
              <w:ind w:left="12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 г.</w:t>
            </w: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 г.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AGRI — Земеделие и развитие на селските райони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3,97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3,21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3,52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1,69</w:t>
            </w:r>
          </w:p>
        </w:tc>
      </w:tr>
      <w:tr>
        <w:trPr>
          <w:trHeight w:val="300"/>
        </w:trPr>
        <w:tc>
          <w:tcPr>
            <w:tcW w:w="5117" w:type="dxa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BUDG — Бюджет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0,47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0,72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CLIMA — Действия по климата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1,87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1,28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1,76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1,36</w:t>
            </w:r>
          </w:p>
        </w:tc>
      </w:tr>
      <w:tr>
        <w:trPr>
          <w:trHeight w:val="300"/>
        </w:trPr>
        <w:tc>
          <w:tcPr>
            <w:tcW w:w="5117" w:type="dxa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CNECT — Съобщителни мрежи, съдържание и технологии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2,65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2,19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2,11</w:t>
            </w:r>
          </w:p>
        </w:tc>
        <w:tc>
          <w:tcPr>
            <w:tcW w:w="1116" w:type="dxa"/>
          </w:tcPr>
          <w:p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2,71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COMM — Комуникация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1,02</w:t>
            </w:r>
          </w:p>
        </w:tc>
      </w:tr>
      <w:tr>
        <w:trPr>
          <w:trHeight w:val="300"/>
        </w:trPr>
        <w:tc>
          <w:tcPr>
            <w:tcW w:w="5117" w:type="dxa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COMP — Конкуренция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5,81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7,22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16,20</w:t>
            </w: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15,93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DEVCO — Международно сътрудничество и развитие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5,35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3,51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1,06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1,36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DGT — Писмени преводи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0,06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0,10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DIGIT — Информатика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0,10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0,54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EAC — Образование, младеж, спорт и култура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0,71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0,72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ECFIN — Икономически и финансови въпроси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1,26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1,25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ECHO — Европейска гражданска защита и европейски операции за хуманитарна помощ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0,56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1,02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EMPL — Трудова заетост, социални въпроси и приобщаване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2,68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3,16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2,11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4,07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ENER — Енергетика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3,47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2,86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2,82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2,03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ENV — Околна среда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5,79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4,02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3,52</w:t>
            </w: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3,73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EPSC — Европейски център за политическа стратегия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0,10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0,05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EPSO — Европейска служба за подбор на персонал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0,09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0,89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5,42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ESTAT — Евростат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0,44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0,28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B8CCE4"/>
          </w:tcPr>
          <w:p>
            <w:pPr>
              <w:pStyle w:val="Text1"/>
              <w:spacing w:after="0"/>
              <w:ind w:left="12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FISMA — Финансова стабилност, финансови услуги и съюз на капиталовите пазари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2,59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5,63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1,06</w:t>
            </w: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1,36</w:t>
            </w:r>
          </w:p>
        </w:tc>
      </w:tr>
      <w:tr>
        <w:trPr>
          <w:trHeight w:val="300"/>
        </w:trPr>
        <w:tc>
          <w:tcPr>
            <w:tcW w:w="5117" w:type="dxa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FPI — Служба за инструментите в областта на външната политика</w:t>
            </w:r>
            <w:r>
              <w:rPr>
                <w:rStyle w:val="FootnoteReference"/>
                <w:noProof/>
                <w:sz w:val="18"/>
              </w:rPr>
              <w:footnoteReference w:id="9"/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0,86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1,35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GROW — Вътрешен пазар, промишленост, предприемачество и МСП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8,58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7,57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10,56</w:t>
            </w: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5,76</w:t>
            </w:r>
          </w:p>
        </w:tc>
      </w:tr>
      <w:tr>
        <w:trPr>
          <w:trHeight w:val="300"/>
        </w:trPr>
        <w:tc>
          <w:tcPr>
            <w:tcW w:w="5117" w:type="dxa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HOME — Миграция и вътрешни работи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4,21</w:t>
            </w:r>
          </w:p>
        </w:tc>
        <w:tc>
          <w:tcPr>
            <w:tcW w:w="1093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4,29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3,87</w:t>
            </w:r>
          </w:p>
        </w:tc>
        <w:tc>
          <w:tcPr>
            <w:tcW w:w="1116" w:type="dxa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3,39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B8CCE4"/>
          </w:tcPr>
          <w:p>
            <w:pPr>
              <w:pStyle w:val="Text1"/>
              <w:spacing w:after="0"/>
              <w:ind w:left="12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HR — Човешки ресурси и сигурност (включително OIL (Служба за инфраструктура и логистика в Люксембург) + PMO (Служба за управление и плащане по индивидуални права)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2,31</w:t>
            </w:r>
          </w:p>
        </w:tc>
        <w:tc>
          <w:tcPr>
            <w:tcW w:w="1093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3,01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3,87</w:t>
            </w:r>
          </w:p>
        </w:tc>
        <w:tc>
          <w:tcPr>
            <w:tcW w:w="1116" w:type="dxa"/>
            <w:shd w:val="clear" w:color="auto" w:fill="B8CCE4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1,69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IAS — Служба за вътрешен одит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0,09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0,05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JRC — Съвместен изследователски център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0,24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0,25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JUST — Правосъдие и потребители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2,77</w:t>
            </w:r>
          </w:p>
        </w:tc>
        <w:tc>
          <w:tcPr>
            <w:tcW w:w="1093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3,26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7,39</w:t>
            </w:r>
          </w:p>
        </w:tc>
        <w:tc>
          <w:tcPr>
            <w:tcW w:w="1116" w:type="dxa"/>
            <w:shd w:val="clear" w:color="auto" w:fill="FFFFFF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6,10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MARE — Морско дело и рибарство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1,04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MOVE — Мобилност и транспорт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3,76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4,67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1,41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3,05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NEAR — Политика за съседство и преговори за разширяване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1,38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2,19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1,76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2,71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OIB — Служба за инфраструктура и логистика в Брюксел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0,06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0,08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18"/>
              </w:rPr>
              <w:t>OLAF — Европейска служба за борба с измамите</w:t>
            </w:r>
            <w:r>
              <w:rPr>
                <w:rStyle w:val="FootnoteReference"/>
                <w:noProof/>
                <w:sz w:val="20"/>
              </w:rPr>
              <w:footnoteReference w:id="10"/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0,25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OP — Служба за публикации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0,10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0,70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REGIO — Регионална и селищна политика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3,92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3,34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1,36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RTD — Научни изследвания и иновации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1,16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1,43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1,06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2,37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SANTE — Здравеопазване и безопасност на храните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9,18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8,01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7,04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10,17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SCIC </w:t>
            </w:r>
            <w:r>
              <w:rPr>
                <w:noProof/>
                <w:sz w:val="18"/>
              </w:rPr>
              <w:t>— Устни преводи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0,01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0,07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SG — Генерален секретариат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8,74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8,62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10,21</w:t>
            </w:r>
          </w:p>
        </w:tc>
        <w:tc>
          <w:tcPr>
            <w:tcW w:w="1116" w:type="dxa"/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6,78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SJ — Правна служба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3,17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3,65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4,58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4,41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TAXUD — Данъчно облагане и митнически съюз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5,67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4,18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6,34</w:t>
            </w:r>
          </w:p>
        </w:tc>
        <w:tc>
          <w:tcPr>
            <w:tcW w:w="1116" w:type="dxa"/>
            <w:shd w:val="clear" w:color="auto" w:fill="C6D9F1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6,10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auto"/>
          </w:tcPr>
          <w:p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TRADE — Търговия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4,38</w:t>
            </w:r>
          </w:p>
        </w:tc>
        <w:tc>
          <w:tcPr>
            <w:tcW w:w="1093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4,03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2,46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2,03</w:t>
            </w:r>
          </w:p>
        </w:tc>
      </w:tr>
      <w:tr>
        <w:trPr>
          <w:trHeight w:val="300"/>
        </w:trPr>
        <w:tc>
          <w:tcPr>
            <w:tcW w:w="5117" w:type="dxa"/>
            <w:shd w:val="clear" w:color="auto" w:fill="C6D9F1"/>
          </w:tcPr>
          <w:p>
            <w:pPr>
              <w:pStyle w:val="Text1"/>
              <w:ind w:left="11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093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116" w:type="dxa"/>
            <w:shd w:val="clear" w:color="auto" w:fill="C6D9F1"/>
          </w:tcPr>
          <w:p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pStyle w:val="Annexetitre"/>
        <w:spacing w:before="0" w:after="0"/>
        <w:rPr>
          <w:rFonts w:ascii="Arial" w:hAnsi="Arial" w:cs="Arial"/>
          <w:b w:val="0"/>
          <w:noProof/>
          <w:sz w:val="22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Едно заявление може да се отнася до няколко документа и съответно може да доведе до няколко различни отговора. От друга страна, в някои случаи няколко заявления могат да бъдат групирани заедно и да доведат до само един отговор.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Тази категория включва само отговори, с които се дава или (частично) се отказва достъп до документи, заявени съгласно Регламент № 1049/2001. Тя не включва отговорите, в които Комисията посочва, че не разполага със заявените документи. Освен това тя не включва отговорите на заявления за достъп до документи, за които е счетено, че попадат извън приложното поле на Регламент № 1049/2001 (например отговори, предоставени в съответствие с принципа на лоялно сътрудничество с държавите членки или други институции, отговори въз основа на Кодекса за добро поведение на администрацията и др.).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Вж. обяснението в бележка под линия 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Вж. обяснението в бележка под линия 2.</w:t>
      </w:r>
    </w:p>
  </w:footnote>
  <w:footnote w:id="5">
    <w:p>
      <w:pPr>
        <w:pStyle w:val="FootnoteText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ab/>
        <w:t>Тази категория вече не се използва, тъй като не представлява изключение по смисъла на член 4 от Регламент 1049/2001. Категорията все още се посочва, тъй като необработените данни не дават във всички случаи възможност за разглеждане в съответствие с изключенията по член 4 от Регламент № 1049/2001.</w:t>
      </w:r>
    </w:p>
  </w:footnote>
  <w:footnote w:id="6">
    <w:p>
      <w:pPr>
        <w:pStyle w:val="FootnoteText"/>
      </w:pPr>
      <w:r>
        <w:rPr>
          <w:vertAlign w:val="superscript"/>
        </w:rPr>
        <w:footnoteRef/>
      </w:r>
      <w:r>
        <w:t xml:space="preserve"> </w:t>
      </w:r>
      <w:r>
        <w:tab/>
        <w:t>През 2016 г. видовете социално-професионални категории на заявителите бяха преработени и вече не съответстват на категориите, посочени в годишния доклад за 2015 г. Вследствие на това в годишния доклад за 2016 г. статистическите данни за 2015 г. са преработени в съответствие с новите категории, въведени през 2016 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През 2015 г. заявленията от органи на национално/поднационално равнище бяха регистрирани като заявления съгласно Регламент № 1049/2001. През 2016 г. те вече не са регистрирани като такива, тъй като се считат за заявления, подадени в съответствие с принципа за лоялно сътрудничество между Комисията и държавите членки.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Тази категория се появява в статистическите данни, тъй като в случаите, когато първоначалното заявление не е било подадено чрез онлайн инструмента, кодът му е бил въведен ръчно и в някои случаи поради техническа грешка държавата на заявителя не е била посочена в информационната система, използвана за управление на достъпа до преписките с документи (GestDem).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След създаването на Европейската служба за външна дейност (ЕСВД) единствено документите на FPI останаха в рамките на Комисията.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Данните за Европейската служба за борба с измамите (OLAF) се отнасят до заявленията за достъп до документи във връзка с нейните административни дейности, които са регистрирани в същата информационна система, използвана и от други служби на Комисията (GestDem). Заявленията за достъп до документи, свързани с дейностите по разследване на OLAF, не са предмет на настоящия доклад.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107007B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7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>
    <w:nsid w:val="64A12FA4"/>
    <w:multiLevelType w:val="multilevel"/>
    <w:tmpl w:val="D8BC42BC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5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5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6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>
    <w:nsid w:val="79C96D36"/>
    <w:multiLevelType w:val="multilevel"/>
    <w:tmpl w:val="BE983CE4"/>
    <w:name w:val="0,948844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0lett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1lett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7"/>
  </w:num>
  <w:num w:numId="5">
    <w:abstractNumId w:val="13"/>
  </w:num>
  <w:num w:numId="6">
    <w:abstractNumId w:val="23"/>
  </w:num>
  <w:num w:numId="7">
    <w:abstractNumId w:val="27"/>
  </w:num>
  <w:num w:numId="8">
    <w:abstractNumId w:val="26"/>
  </w:num>
  <w:num w:numId="9">
    <w:abstractNumId w:val="30"/>
  </w:num>
  <w:num w:numId="10">
    <w:abstractNumId w:val="8"/>
  </w:num>
  <w:num w:numId="11">
    <w:abstractNumId w:val="7"/>
  </w:num>
  <w:num w:numId="12">
    <w:abstractNumId w:val="20"/>
  </w:num>
  <w:num w:numId="13">
    <w:abstractNumId w:val="9"/>
  </w:num>
  <w:num w:numId="14">
    <w:abstractNumId w:val="15"/>
  </w:num>
  <w:num w:numId="15">
    <w:abstractNumId w:val="18"/>
  </w:num>
  <w:num w:numId="16">
    <w:abstractNumId w:val="29"/>
  </w:num>
  <w:num w:numId="17">
    <w:abstractNumId w:val="5"/>
  </w:num>
  <w:num w:numId="18">
    <w:abstractNumId w:val="1"/>
  </w:num>
  <w:num w:numId="19">
    <w:abstractNumId w:val="0"/>
  </w:num>
  <w:num w:numId="20">
    <w:abstractNumId w:val="25"/>
  </w:num>
  <w:num w:numId="21">
    <w:abstractNumId w:val="24"/>
  </w:num>
  <w:num w:numId="22">
    <w:abstractNumId w:val="2"/>
  </w:num>
  <w:num w:numId="23">
    <w:abstractNumId w:val="10"/>
  </w:num>
  <w:num w:numId="24">
    <w:abstractNumId w:val="32"/>
  </w:num>
  <w:num w:numId="25">
    <w:abstractNumId w:val="11"/>
  </w:num>
  <w:num w:numId="26">
    <w:abstractNumId w:val="21"/>
  </w:num>
  <w:num w:numId="27">
    <w:abstractNumId w:val="16"/>
  </w:num>
  <w:num w:numId="28">
    <w:abstractNumId w:val="28"/>
  </w:num>
  <w:num w:numId="29">
    <w:abstractNumId w:val="31"/>
  </w:num>
  <w:num w:numId="30">
    <w:abstractNumId w:val="12"/>
    <w:lvlOverride w:ilvl="0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4"/>
  </w:num>
  <w:num w:numId="34">
    <w:abstractNumId w:val="2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9AB02B9F-AE5D-4DE8-924E-144E5851CBBA"/>
    <w:docVar w:name="LW_COVERPAGE_TYPE" w:val="1"/>
    <w:docVar w:name="LW_CROSSREFERENCE" w:val="&lt;UNUSED&gt;"/>
    <w:docVar w:name="LW_DocType" w:val="NORMAL"/>
    <w:docVar w:name="LW_EMISSION" w:val="6.12.2017"/>
    <w:docVar w:name="LW_EMISSION_ISODATE" w:val="2017-12-0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86?\u1090?\u1085?\u1086?\u1089?\u1085?\u1086? \u1087?\u1088?\u1080?\u1083?\u1072?\u1075?\u1072?\u1085?\u1077?\u1090?\u1086? \u1087?\u1088?\u1077?\u1079? 2016 \u1075?. \u1085?\u1072? \u1056?\u1077?\u1075?\u1083?\u1072?\u1084?\u1077?\u1085?\u1090? (\u1045?\u1054?) \u8470? 1049/2001 \u1086?\u1090?\u1085?\u1086?\u1089?\u1085?\u1086? \u1087?\u1091?\u1073?\u1083?\u1080?\u1095?\u1085?\u1080?\u1103? \u1076?\u1086?\u1089?\u1090?\u1098?\u1087? \u1076?\u1086? \u1076?\u1086?\u1082?\u1091?\u1084?\u1077?\u1085?\u1090?\u1080? \u1085?\u1072? \u1045?\u1074?\u1088?\u1086?\u1087?\u1077?\u1081?\u1089?\u1082?\u1080?\u1103? \u1087?\u1072?\u1088?\u1083?\u1072?\u1084?\u1077?\u1085?\u1090?, \u1085?\u1072? \u1057?\u1098?\u1074?\u1077?\u1090?\u1072? \u1080? \u1085?\u1072? \u1050?\u1086?\u1084?\u1080?\u1089?\u1080?\u1103?\u1090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7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Table Grid 8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bg-BG"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szCs w:val="22"/>
      <w:lang w:eastAsia="en-US" w:bidi="ar-SA"/>
    </w:rPr>
  </w:style>
  <w:style w:type="character" w:customStyle="1" w:styleId="FooterChar">
    <w:name w:val="Footer Char"/>
    <w:link w:val="Footer"/>
    <w:uiPriority w:val="99"/>
    <w:rPr>
      <w:rFonts w:eastAsia="Calibri"/>
      <w:sz w:val="24"/>
      <w:szCs w:val="22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 w:bidi="ar-SA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="Calibri"/>
      <w:szCs w:val="22"/>
      <w:lang w:eastAsia="en-US" w:bidi="ar-SA"/>
    </w:rPr>
  </w:style>
  <w:style w:type="character" w:customStyle="1" w:styleId="HeaderChar">
    <w:name w:val="Header Char"/>
    <w:link w:val="Header"/>
    <w:uiPriority w:val="99"/>
    <w:rPr>
      <w:rFonts w:eastAsia="Calibri"/>
      <w:sz w:val="24"/>
      <w:szCs w:val="22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 w:bidi="ar-SA"/>
    </w:r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tabs>
        <w:tab w:val="num" w:pos="1984"/>
      </w:tabs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tabs>
        <w:tab w:val="num" w:pos="2551"/>
      </w:tabs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uiPriority w:val="99"/>
    <w:pPr>
      <w:numPr>
        <w:numId w:val="20"/>
      </w:numPr>
    </w:pPr>
    <w:rPr>
      <w:szCs w:val="22"/>
    </w:rPr>
  </w:style>
  <w:style w:type="paragraph" w:styleId="ListBullet2">
    <w:name w:val="List Bullet 2"/>
    <w:basedOn w:val="Normal"/>
    <w:uiPriority w:val="99"/>
    <w:pPr>
      <w:numPr>
        <w:numId w:val="22"/>
      </w:numPr>
    </w:pPr>
    <w:rPr>
      <w:szCs w:val="22"/>
    </w:rPr>
  </w:style>
  <w:style w:type="paragraph" w:styleId="ListBullet3">
    <w:name w:val="List Bullet 3"/>
    <w:basedOn w:val="Normal"/>
    <w:uiPriority w:val="99"/>
    <w:pPr>
      <w:numPr>
        <w:numId w:val="23"/>
      </w:numPr>
    </w:pPr>
    <w:rPr>
      <w:szCs w:val="22"/>
    </w:rPr>
  </w:style>
  <w:style w:type="paragraph" w:styleId="ListBullet4">
    <w:name w:val="List Bullet 4"/>
    <w:basedOn w:val="Normal"/>
    <w:uiPriority w:val="99"/>
    <w:pPr>
      <w:numPr>
        <w:numId w:val="24"/>
      </w:numPr>
    </w:pPr>
    <w:rPr>
      <w:szCs w:val="22"/>
    </w:rPr>
  </w:style>
  <w:style w:type="paragraph" w:styleId="ListNumber">
    <w:name w:val="List Number"/>
    <w:basedOn w:val="Normal"/>
    <w:uiPriority w:val="99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uiPriority w:val="99"/>
    <w:pPr>
      <w:numPr>
        <w:numId w:val="17"/>
      </w:numPr>
    </w:pPr>
    <w:rPr>
      <w:szCs w:val="22"/>
    </w:rPr>
  </w:style>
  <w:style w:type="paragraph" w:styleId="ListNumber3">
    <w:name w:val="List Number 3"/>
    <w:basedOn w:val="Normal"/>
    <w:uiPriority w:val="99"/>
    <w:pPr>
      <w:numPr>
        <w:numId w:val="18"/>
      </w:numPr>
    </w:pPr>
    <w:rPr>
      <w:szCs w:val="22"/>
    </w:rPr>
  </w:style>
  <w:style w:type="paragraph" w:styleId="ListNumber4">
    <w:name w:val="List Number 4"/>
    <w:basedOn w:val="Normal"/>
    <w:uiPriority w:val="99"/>
    <w:pPr>
      <w:numPr>
        <w:numId w:val="19"/>
      </w:numPr>
    </w:pPr>
    <w:rPr>
      <w:szCs w:val="22"/>
    </w:rPr>
  </w:style>
  <w:style w:type="paragraph" w:customStyle="1" w:styleId="ListBullet1">
    <w:name w:val="List Bullet 1"/>
    <w:basedOn w:val="Normal"/>
    <w:pPr>
      <w:numPr>
        <w:numId w:val="21"/>
      </w:numPr>
    </w:pPr>
    <w:rPr>
      <w:szCs w:val="22"/>
    </w:rPr>
  </w:style>
  <w:style w:type="paragraph" w:customStyle="1" w:styleId="ListDash">
    <w:name w:val="List Dash"/>
    <w:basedOn w:val="Normal"/>
    <w:pPr>
      <w:numPr>
        <w:numId w:val="25"/>
      </w:numPr>
    </w:pPr>
    <w:rPr>
      <w:szCs w:val="22"/>
    </w:rPr>
  </w:style>
  <w:style w:type="paragraph" w:customStyle="1" w:styleId="ListDash1">
    <w:name w:val="List Dash 1"/>
    <w:basedOn w:val="Normal"/>
    <w:pPr>
      <w:numPr>
        <w:numId w:val="26"/>
      </w:numPr>
    </w:pPr>
    <w:rPr>
      <w:szCs w:val="22"/>
    </w:rPr>
  </w:style>
  <w:style w:type="paragraph" w:customStyle="1" w:styleId="ListDash2">
    <w:name w:val="List Dash 2"/>
    <w:basedOn w:val="Normal"/>
    <w:pPr>
      <w:numPr>
        <w:numId w:val="27"/>
      </w:numPr>
    </w:pPr>
    <w:rPr>
      <w:szCs w:val="22"/>
    </w:rPr>
  </w:style>
  <w:style w:type="paragraph" w:customStyle="1" w:styleId="ListDash3">
    <w:name w:val="List Dash 3"/>
    <w:basedOn w:val="Normal"/>
    <w:pPr>
      <w:numPr>
        <w:numId w:val="28"/>
      </w:numPr>
    </w:pPr>
    <w:rPr>
      <w:szCs w:val="22"/>
    </w:rPr>
  </w:style>
  <w:style w:type="paragraph" w:customStyle="1" w:styleId="ListDash4">
    <w:name w:val="List Dash 4"/>
    <w:basedOn w:val="Normal"/>
    <w:pPr>
      <w:numPr>
        <w:numId w:val="29"/>
      </w:numPr>
    </w:pPr>
    <w:rPr>
      <w:szCs w:val="22"/>
    </w:rPr>
  </w:style>
  <w:style w:type="paragraph" w:customStyle="1" w:styleId="ListNumber1">
    <w:name w:val="List Number 1"/>
    <w:basedOn w:val="Text1"/>
    <w:pPr>
      <w:numPr>
        <w:numId w:val="16"/>
      </w:numPr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szCs w:val="22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szCs w:val="22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szCs w:val="22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szCs w:val="22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szCs w:val="22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szCs w:val="22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szCs w:val="22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szCs w:val="22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  <w:szCs w:val="20"/>
    </w:rPr>
  </w:style>
  <w:style w:type="paragraph" w:styleId="BlockText">
    <w:name w:val="Block Text"/>
    <w:basedOn w:val="Normal"/>
    <w:uiPriority w:val="99"/>
    <w:pPr>
      <w:spacing w:before="0"/>
      <w:ind w:left="1440" w:righ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hd w:val="clear" w:color="auto" w:fill="auto"/>
      <w:lang w:eastAsia="bg-BG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shd w:val="clear" w:color="auto" w:fill="auto"/>
      <w:lang w:eastAsia="bg-BG"/>
    </w:rPr>
  </w:style>
  <w:style w:type="paragraph" w:customStyle="1" w:styleId="text20">
    <w:name w:val="text2"/>
    <w:basedOn w:val="Normal"/>
    <w:pPr>
      <w:spacing w:before="100" w:beforeAutospacing="1" w:after="100" w:afterAutospacing="1"/>
      <w:jc w:val="left"/>
    </w:pPr>
    <w:rPr>
      <w:szCs w:val="22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Pr>
      <w:szCs w:val="22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szCs w:val="22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hd w:val="clear" w:color="auto" w:fill="auto"/>
    </w:rPr>
  </w:style>
  <w:style w:type="character" w:styleId="EndnoteReference">
    <w:name w:val="endnote reference"/>
    <w:rPr>
      <w:vertAlign w:val="superscrip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link w:val="HeaderCoverPag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shd w:val="clear" w:color="auto" w:fill="auto"/>
      <w:lang w:eastAsia="bg-BG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25FC-245C-4FA8-BD1E-FC309D65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1421</Words>
  <Characters>6684</Characters>
  <Application>Microsoft Office Word</Application>
  <DocSecurity>0</DocSecurity>
  <Lines>1114</Lines>
  <Paragraphs>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BLURIOT-PUEBLA Madeleine (SG)</dc:creator>
  <cp:keywords/>
  <cp:lastModifiedBy>DIGIT/A3</cp:lastModifiedBy>
  <cp:revision>10</cp:revision>
  <cp:lastPrinted>2017-05-22T10:27:00Z</cp:lastPrinted>
  <dcterms:created xsi:type="dcterms:W3CDTF">2017-10-23T14:10:00Z</dcterms:created>
  <dcterms:modified xsi:type="dcterms:W3CDTF">2017-11-29T07:19:00Z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</Properties>
</file>