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9A93DF0-3F89-486D-8349-36D5AFCA25C6" style="width:450.75pt;height:333.75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istParagraph"/>
        <w:numPr>
          <w:ilvl w:val="0"/>
          <w:numId w:val="8"/>
        </w:numPr>
        <w:spacing w:after="60"/>
        <w:ind w:left="0" w:firstLine="0"/>
        <w:jc w:val="both"/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Въведение</w:t>
      </w:r>
    </w:p>
    <w:p>
      <w:pPr>
        <w:pStyle w:val="Default"/>
        <w:jc w:val="both"/>
        <w:rPr>
          <w:noProof/>
        </w:rPr>
      </w:pPr>
    </w:p>
    <w:p>
      <w:pPr>
        <w:pStyle w:val="Default"/>
        <w:jc w:val="both"/>
        <w:rPr>
          <w:rFonts w:eastAsia="Times New Roman"/>
          <w:noProof/>
          <w:color w:val="auto"/>
        </w:rPr>
      </w:pPr>
      <w:r>
        <w:rPr>
          <w:noProof/>
          <w:color w:val="auto"/>
        </w:rPr>
        <w:t>Програмата „Перикъл 2020“ (наричана по-долу „Програмата“) е създадена с Регламент (ЕС) № 331/2014 на Европейския парламент и на Съвета от 11 март 2014 г. (наричан по-долу „Регламентът“)</w:t>
      </w:r>
      <w:r>
        <w:rPr>
          <w:noProof/>
          <w:color w:val="auto"/>
          <w:vertAlign w:val="superscript"/>
        </w:rPr>
        <w:footnoteReference w:id="1"/>
      </w:r>
      <w:r>
        <w:rPr>
          <w:noProof/>
          <w:color w:val="auto"/>
        </w:rPr>
        <w:t xml:space="preserve"> за периода от 1 януари 2014 г. до 31 декември 2020 г.</w:t>
      </w:r>
      <w:r>
        <w:rPr>
          <w:noProof/>
          <w:color w:val="auto"/>
          <w:vertAlign w:val="superscript"/>
        </w:rPr>
        <w:footnoteReference w:id="2"/>
      </w:r>
      <w:r>
        <w:rPr>
          <w:noProof/>
          <w:color w:val="auto"/>
        </w:rPr>
        <w:t xml:space="preserve"> „Перикъл 2020“ е програма за обмен, помощ и обучение с цел насърчаване на действия за защита на еврото срещу фалшифициране. Бюджетът за изпълнение на настоящата програма е приблизително 1 милион eврo годишно.</w:t>
      </w:r>
    </w:p>
    <w:p>
      <w:pPr>
        <w:pStyle w:val="Default"/>
        <w:jc w:val="both"/>
        <w:rPr>
          <w:rFonts w:eastAsia="Times New Roman"/>
          <w:noProof/>
          <w:color w:val="auto"/>
        </w:rPr>
      </w:pPr>
    </w:p>
    <w:p>
      <w:pPr>
        <w:pStyle w:val="Default"/>
        <w:jc w:val="both"/>
        <w:rPr>
          <w:rFonts w:eastAsia="Times New Roman"/>
          <w:noProof/>
          <w:color w:val="auto"/>
        </w:rPr>
      </w:pPr>
      <w:r>
        <w:rPr>
          <w:noProof/>
          <w:color w:val="auto"/>
        </w:rPr>
        <w:t>Програмата „Перикъл 2020“ замени програмата „Перикъл“. Първата програма беше създадена с Решение 2001/923/ЕО на Съвета от 17 декември 2001 г. за период от четири години (от 1 януари 2002 г. до 31 декември 2005 г.) и с Решение 2006/849/ЕО на Съвета от 20 ноември 2006 г. беше продължена до 31 декември 2013 г.</w:t>
      </w:r>
    </w:p>
    <w:p>
      <w:pPr>
        <w:pStyle w:val="Default"/>
        <w:jc w:val="both"/>
        <w:rPr>
          <w:rFonts w:eastAsia="Times New Roman"/>
          <w:noProof/>
          <w:color w:val="auto"/>
        </w:rPr>
      </w:pPr>
    </w:p>
    <w:p>
      <w:pPr>
        <w:pStyle w:val="Default"/>
        <w:jc w:val="both"/>
        <w:rPr>
          <w:rFonts w:eastAsia="Times New Roman"/>
          <w:noProof/>
          <w:color w:val="auto"/>
        </w:rPr>
      </w:pPr>
      <w:r>
        <w:rPr>
          <w:noProof/>
          <w:color w:val="auto"/>
        </w:rPr>
        <w:t>Общата цел на настоящата програма е предотвратяване и борба с фалшифицирането и свързаните с това измами, като по този начин се повиши конкурентоспособността на икономиката на ЕС и се осигури устойчивост на публичните финанси</w:t>
      </w:r>
      <w:r>
        <w:rPr>
          <w:noProof/>
          <w:color w:val="auto"/>
          <w:vertAlign w:val="superscript"/>
        </w:rPr>
        <w:footnoteReference w:id="3"/>
      </w:r>
      <w:r>
        <w:rPr>
          <w:noProof/>
          <w:color w:val="auto"/>
        </w:rPr>
        <w:t>. Специфичната цел на Програмата е да защитава евробанкнотите и монетите от фалшифициране и свързаните с него измами чрез подпомагане и допълване на мерките, предприемани от държавите членки, и оказване на съдействие на компетентните национални и европейски органи в усилията им да развиват помежду си и с Комисията тясно и редовно сътрудничество и да обменят най-добри практики, като в него бъдат включени по целесъобразност и трети държави и международни организации</w:t>
      </w:r>
      <w:r>
        <w:rPr>
          <w:noProof/>
          <w:color w:val="auto"/>
          <w:vertAlign w:val="superscript"/>
        </w:rPr>
        <w:footnoteReference w:id="4"/>
      </w:r>
      <w:r>
        <w:rPr>
          <w:noProof/>
          <w:color w:val="auto"/>
        </w:rPr>
        <w:t>.</w:t>
      </w:r>
    </w:p>
    <w:p>
      <w:pPr>
        <w:pStyle w:val="Default"/>
        <w:jc w:val="both"/>
        <w:rPr>
          <w:rFonts w:eastAsia="Times New Roman"/>
          <w:noProof/>
          <w:color w:val="auto"/>
        </w:rPr>
      </w:pPr>
    </w:p>
    <w:p>
      <w:pPr>
        <w:pStyle w:val="Default"/>
        <w:jc w:val="both"/>
        <w:rPr>
          <w:noProof/>
        </w:rPr>
      </w:pPr>
      <w:r>
        <w:rPr>
          <w:noProof/>
        </w:rPr>
        <w:t xml:space="preserve">Съгласно член 13, параграф 4 от Регламента Комисията извършва независима междинна оценка (наричана по-долу „оценката“) на Програмата, която представя на Европейския парламент и на Съвета до 31 декември 2017 г. Оценката беше извършена от външен изпълнител в рамките на съществуващ рамков договор на Комисията. Извършващият оценката се подпомагаше от междуведомствена работна група, създадена от ГД „Икономически и финансови въпроси“, която група отговаряше за контрола на качеството. </w:t>
      </w:r>
    </w:p>
    <w:p>
      <w:pPr>
        <w:pStyle w:val="Default"/>
        <w:jc w:val="both"/>
        <w:rPr>
          <w:noProof/>
        </w:rPr>
      </w:pPr>
    </w:p>
    <w:p>
      <w:pPr>
        <w:pStyle w:val="Default"/>
        <w:jc w:val="both"/>
        <w:rPr>
          <w:noProof/>
        </w:rPr>
      </w:pPr>
      <w:r>
        <w:rPr>
          <w:noProof/>
        </w:rPr>
        <w:t xml:space="preserve">Настоящото съобщение придружава работен документ на службите и доклада на изпълнителя относно оценката. </w:t>
      </w:r>
    </w:p>
    <w:p>
      <w:pPr>
        <w:pStyle w:val="Default"/>
        <w:jc w:val="both"/>
        <w:rPr>
          <w:rFonts w:eastAsia="Times New Roman"/>
          <w:noProof/>
          <w:color w:val="auto"/>
        </w:rPr>
      </w:pPr>
    </w:p>
    <w:p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Оценката обхваща различните видове действия, за които е бил поет ангажимент или които са били осъществени по линия на Програмата през 2014 г., 2015 г. и 1-вата половина на 2016 г.</w:t>
      </w: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Съгласно член 13, параграф 4 от Регламента в оценката се засягат, наред с другото, постигането на целите по всички действия, уместността, ефективността, ефикасността, устойчивостта, добавената стойност и съгласуваността, като се вземат предвид всички елементи, необходими за подпомагане на вземането на решение за подновяване, изменяне или преустановяване на мерките/видовете действия, финансирани по линия на Програмата. От оценката става ясно, че всички констатации сочат към недвусмислено положителна цялостна оценка. По-специално, оценката</w:t>
      </w:r>
      <w:r>
        <w:rPr>
          <w:noProof/>
        </w:rPr>
        <w:t xml:space="preserve"> показва, че Програмата е постигнала много добри резултати </w:t>
      </w:r>
      <w:r>
        <w:rPr>
          <w:rFonts w:ascii="Times New Roman" w:hAnsi="Times New Roman"/>
          <w:noProof/>
        </w:rPr>
        <w:t>по отношение на всички горепосочени критерии за оценка</w:t>
      </w:r>
      <w:r>
        <w:rPr>
          <w:noProof/>
        </w:rPr>
        <w:t>, като същевременно се отчитат някои възможности за подобрение.</w:t>
      </w:r>
      <w:r>
        <w:rPr>
          <w:rFonts w:ascii="Times New Roman" w:hAnsi="Times New Roman"/>
          <w:noProof/>
        </w:rPr>
        <w:t xml:space="preserve"> </w:t>
      </w: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pStyle w:val="ListParagraph"/>
        <w:spacing w:after="60"/>
        <w:ind w:left="0"/>
        <w:jc w:val="both"/>
        <w:rPr>
          <w:rFonts w:ascii="Times New Roman" w:hAnsi="Times New Roman"/>
          <w:b/>
          <w:noProof/>
        </w:rPr>
      </w:pPr>
    </w:p>
    <w:p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>Оценка във връзка с евентуалното подновяване, изменяне или преустановяване на Програмата</w:t>
      </w:r>
    </w:p>
    <w:p>
      <w:pPr>
        <w:jc w:val="both"/>
        <w:rPr>
          <w:rStyle w:val="Style10pt"/>
          <w:rFonts w:ascii="Times New Roman" w:hAnsi="Times New Roman" w:cs="Times New Roman"/>
          <w:i/>
          <w:noProof/>
          <w:sz w:val="24"/>
          <w:u w:val="single"/>
        </w:rPr>
      </w:pPr>
    </w:p>
    <w:p>
      <w:pPr>
        <w:jc w:val="both"/>
        <w:rPr>
          <w:rStyle w:val="Style10pt"/>
          <w:rFonts w:ascii="Times New Roman" w:hAnsi="Times New Roman" w:cs="Times New Roman"/>
          <w:i/>
          <w:noProof/>
          <w:sz w:val="24"/>
          <w:u w:val="single"/>
        </w:rPr>
      </w:pPr>
      <w:r>
        <w:rPr>
          <w:rStyle w:val="Style10pt"/>
          <w:rFonts w:ascii="Times New Roman" w:hAnsi="Times New Roman"/>
          <w:i/>
          <w:noProof/>
          <w:sz w:val="24"/>
          <w:u w:val="single"/>
        </w:rPr>
        <w:t>Продължаване на настоящата програма</w:t>
      </w:r>
    </w:p>
    <w:p>
      <w:pPr>
        <w:jc w:val="both"/>
        <w:rPr>
          <w:rStyle w:val="Style10pt"/>
          <w:rFonts w:ascii="Times New Roman" w:hAnsi="Times New Roman" w:cs="Times New Roman"/>
          <w:i/>
          <w:noProof/>
          <w:sz w:val="24"/>
        </w:rPr>
      </w:pPr>
    </w:p>
    <w:p>
      <w:pPr>
        <w:jc w:val="both"/>
        <w:rPr>
          <w:rFonts w:ascii="Times New Roman" w:eastAsia="Calibri" w:hAnsi="Times New Roman" w:cs="Times New Roman"/>
          <w:bCs/>
          <w:noProof/>
        </w:rPr>
      </w:pPr>
      <w:r>
        <w:rPr>
          <w:rFonts w:ascii="Times New Roman" w:hAnsi="Times New Roman"/>
          <w:noProof/>
        </w:rPr>
        <w:t>Комисията е на мнение</w:t>
      </w:r>
      <w:r>
        <w:rPr>
          <w:rStyle w:val="FootnoteReference"/>
          <w:rFonts w:ascii="Times New Roman" w:hAnsi="Times New Roman"/>
          <w:noProof/>
        </w:rPr>
        <w:footnoteReference w:id="5"/>
      </w:r>
      <w:r>
        <w:rPr>
          <w:rFonts w:ascii="Times New Roman" w:hAnsi="Times New Roman"/>
          <w:noProof/>
        </w:rPr>
        <w:t>, че Програмата следва да продължи до естественото ѝ изтичане през 2020 г. въз основа на следните аргументи, които са подчертани в оценката:</w:t>
      </w:r>
    </w:p>
    <w:p>
      <w:pPr>
        <w:jc w:val="both"/>
        <w:rPr>
          <w:rFonts w:ascii="Times New Roman" w:eastAsia="Calibri" w:hAnsi="Times New Roman" w:cs="Times New Roman"/>
          <w:bCs/>
          <w:noProof/>
        </w:rPr>
      </w:pPr>
    </w:p>
    <w:p>
      <w:pPr>
        <w:pStyle w:val="Briefingtext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noProof/>
          <w:color w:val="FFFFFF" w:themeColor="background1"/>
          <w:sz w:val="24"/>
        </w:rPr>
      </w:pPr>
      <w:r>
        <w:rPr>
          <w:rFonts w:ascii="Times New Roman" w:hAnsi="Times New Roman"/>
          <w:noProof/>
          <w:sz w:val="24"/>
        </w:rPr>
        <w:t>Всички налични доказателства сочат, че общите и специфичните цели са релевантни и ще продължат да бъдат релевантни през периода на Програмата.</w:t>
      </w:r>
    </w:p>
    <w:p>
      <w:pPr>
        <w:pStyle w:val="Briefingtext"/>
        <w:numPr>
          <w:ilvl w:val="0"/>
          <w:numId w:val="10"/>
        </w:numPr>
        <w:tabs>
          <w:tab w:val="left" w:pos="0"/>
        </w:tabs>
        <w:rPr>
          <w:rFonts w:ascii="Times New Roman" w:eastAsia="Calibri" w:hAnsi="Times New Roman" w:cs="Times New Roman"/>
          <w:bCs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Предприетите в рамките на Програмата мерки се характеризират като цяло с изпълнение, планиране и постигане на очакваните резултати с пряк осезаем ефект върху оперативните дейности, свързани със защитата на еврото. </w:t>
      </w:r>
    </w:p>
    <w:p>
      <w:pPr>
        <w:pStyle w:val="Briefingtext"/>
        <w:numPr>
          <w:ilvl w:val="0"/>
          <w:numId w:val="10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bCs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Прекъсването на Програмата би имало сериозни отрицателни последици, като </w:t>
      </w:r>
      <w:r>
        <w:rPr>
          <w:rFonts w:ascii="Times New Roman" w:hAnsi="Times New Roman"/>
          <w:i/>
          <w:noProof/>
          <w:sz w:val="24"/>
        </w:rPr>
        <w:t>de facto</w:t>
      </w:r>
      <w:r>
        <w:rPr>
          <w:rFonts w:ascii="Times New Roman" w:hAnsi="Times New Roman"/>
          <w:noProof/>
          <w:sz w:val="24"/>
        </w:rPr>
        <w:t xml:space="preserve"> то ще направи невъзможно изпълнението на същите транснационални дейности в сравним мащаб, тъй като добавената стойност на Програмата се крие главно в нейната способност да подпомага форми на международно и транснационално сътрудничество, които са извън обсега на националните органи. Така например, всички заинтересовани страни от ЕС са единодушни, че инициативи като например установяването на диалог (макар да е първоначален и предварителен) с китайските органи или създаването на звена за борба с фалшифицирането в Латинска Америка не биха били възможни без подкрепата, получена по линия на Програмата. </w:t>
      </w:r>
    </w:p>
    <w:p>
      <w:pPr>
        <w:pStyle w:val="Briefingtext"/>
        <w:tabs>
          <w:tab w:val="left" w:pos="0"/>
        </w:tabs>
        <w:spacing w:after="0"/>
        <w:ind w:left="720"/>
        <w:rPr>
          <w:rFonts w:ascii="Times New Roman" w:eastAsia="Calibri" w:hAnsi="Times New Roman" w:cs="Times New Roman"/>
          <w:bCs/>
          <w:noProof/>
          <w:sz w:val="24"/>
        </w:rPr>
      </w:pPr>
    </w:p>
    <w:p>
      <w:pPr>
        <w:pStyle w:val="Briefingtext"/>
        <w:spacing w:after="0"/>
        <w:rPr>
          <w:rFonts w:ascii="Times New Roman" w:hAnsi="Times New Roman" w:cs="Times New Roman"/>
          <w:bCs/>
          <w:i/>
          <w:noProof/>
          <w:color w:val="000000"/>
          <w:sz w:val="24"/>
          <w:u w:val="single"/>
        </w:rPr>
      </w:pPr>
      <w:r>
        <w:rPr>
          <w:rStyle w:val="Style10pt"/>
          <w:rFonts w:ascii="Times New Roman" w:hAnsi="Times New Roman"/>
          <w:i/>
          <w:noProof/>
          <w:sz w:val="24"/>
          <w:u w:val="single"/>
        </w:rPr>
        <w:t xml:space="preserve">Продължаване на </w:t>
      </w:r>
      <w:r>
        <w:rPr>
          <w:rFonts w:ascii="Times New Roman" w:hAnsi="Times New Roman"/>
          <w:i/>
          <w:noProof/>
          <w:color w:val="000000"/>
          <w:sz w:val="24"/>
          <w:u w:val="single"/>
        </w:rPr>
        <w:t>Програмата след 2020 г.</w:t>
      </w:r>
    </w:p>
    <w:p>
      <w:pPr>
        <w:pStyle w:val="Briefingtext"/>
        <w:spacing w:after="0"/>
        <w:rPr>
          <w:rFonts w:ascii="Times New Roman" w:hAnsi="Times New Roman" w:cs="Times New Roman"/>
          <w:bCs/>
          <w:i/>
          <w:noProof/>
          <w:color w:val="000000"/>
        </w:rPr>
      </w:pPr>
    </w:p>
    <w:p>
      <w:pPr>
        <w:pStyle w:val="Briefingtext"/>
        <w:spacing w:after="0"/>
        <w:rPr>
          <w:rFonts w:ascii="Times New Roman" w:eastAsia="Calibri" w:hAnsi="Times New Roman" w:cs="Times New Roman"/>
          <w:bCs/>
          <w:noProof/>
          <w:sz w:val="24"/>
        </w:rPr>
      </w:pPr>
      <w:r>
        <w:rPr>
          <w:rFonts w:ascii="Times New Roman" w:hAnsi="Times New Roman"/>
          <w:noProof/>
          <w:sz w:val="24"/>
        </w:rPr>
        <w:t>Въз основа на резултатите от извършената оценка Комисията продължава да подкрепя</w:t>
      </w:r>
      <w:r>
        <w:rPr>
          <w:rFonts w:ascii="Times New Roman" w:hAnsi="Times New Roman"/>
          <w:noProof/>
          <w:sz w:val="24"/>
          <w:vertAlign w:val="superscript"/>
        </w:rPr>
        <w:footnoteReference w:id="6"/>
      </w:r>
      <w:r>
        <w:rPr>
          <w:rFonts w:ascii="Times New Roman" w:hAnsi="Times New Roman"/>
          <w:noProof/>
          <w:sz w:val="24"/>
          <w:vertAlign w:val="superscript"/>
        </w:rPr>
        <w:t xml:space="preserve"> </w:t>
      </w:r>
      <w:r>
        <w:rPr>
          <w:rFonts w:ascii="Times New Roman" w:hAnsi="Times New Roman"/>
          <w:noProof/>
          <w:sz w:val="24"/>
        </w:rPr>
        <w:t>продължаването на Програмата след 2020 г. предвид нейната добавена стойност за ЕС, нейния дългосрочен ефект и нейната устойчивост:</w:t>
      </w:r>
    </w:p>
    <w:p>
      <w:pPr>
        <w:pStyle w:val="Briefingtext"/>
        <w:spacing w:after="0"/>
        <w:rPr>
          <w:rFonts w:ascii="Times New Roman" w:eastAsia="Calibri" w:hAnsi="Times New Roman" w:cs="Times New Roman"/>
          <w:bCs/>
          <w:noProof/>
          <w:sz w:val="24"/>
        </w:rPr>
      </w:pPr>
    </w:p>
    <w:p>
      <w:pPr>
        <w:pStyle w:val="Briefingtext"/>
        <w:numPr>
          <w:ilvl w:val="0"/>
          <w:numId w:val="10"/>
        </w:numPr>
        <w:tabs>
          <w:tab w:val="left" w:pos="0"/>
        </w:tabs>
        <w:rPr>
          <w:rFonts w:ascii="Times New Roman" w:eastAsia="Calibri" w:hAnsi="Times New Roman" w:cs="Times New Roman"/>
          <w:bCs/>
          <w:noProof/>
          <w:sz w:val="24"/>
        </w:rPr>
      </w:pPr>
      <w:r>
        <w:rPr>
          <w:rFonts w:ascii="Times New Roman" w:hAnsi="Times New Roman"/>
          <w:noProof/>
          <w:sz w:val="24"/>
        </w:rPr>
        <w:t>Защитата на европейската единна валута като обществено благо, използвано от 19 държави — членки на ЕС, и извън тях, има ясно транснационално измерение. Следователно защитата на еврото надхвърля интереса и отговорността на отделните държави — членки на ЕС, и по дефиниция трябва да бъде гарантирана на равнището на ЕС. Добавената стойност за ЕС на Програмата се състои в нейния акцент върху подпомагането на транснационалното и мултидисциплинарното сътрудничество между ограничен кръг високоспециализирани компетентни национални органи, като например национални централни банки, полицейски и съдебни органи и технически лаборатории, които иначе биха били извън обсега на тези национални органи.</w:t>
      </w:r>
    </w:p>
    <w:p>
      <w:pPr>
        <w:pStyle w:val="Briefingtext"/>
        <w:numPr>
          <w:ilvl w:val="0"/>
          <w:numId w:val="10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bCs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Устойчивостта на постигнатите резултати ще зависи в значителна степен от продължаването на Програмата до естественото ѝ изтичане и след 2020 г. Заинтересованите лица потвърждават, че не биха били в състояние да предприемат изпълнените транснационални действия без помощта по линия на Програмата и не биха могли да изпълнят подобни действия в бъдеще, ако Програмата бъде преустановена. В допълнение, прекратяването на Програмата би оказало неблагоприятно въздействие върху укрепването на институционалния капацитет на националните органи, което представлява „основната дейност“ на Програмата. </w:t>
      </w:r>
    </w:p>
    <w:p>
      <w:pPr>
        <w:pStyle w:val="Briefingtext"/>
        <w:tabs>
          <w:tab w:val="left" w:pos="0"/>
        </w:tabs>
        <w:spacing w:after="0"/>
        <w:ind w:left="720"/>
        <w:rPr>
          <w:rFonts w:ascii="Times New Roman" w:eastAsia="Calibri" w:hAnsi="Times New Roman" w:cs="Times New Roman"/>
          <w:bCs/>
          <w:noProof/>
          <w:sz w:val="24"/>
        </w:rPr>
      </w:pPr>
    </w:p>
    <w:p>
      <w:pPr>
        <w:pStyle w:val="Briefingtext"/>
        <w:spacing w:after="0"/>
        <w:rPr>
          <w:rFonts w:ascii="Times New Roman" w:hAnsi="Times New Roman" w:cs="Times New Roman"/>
          <w:i/>
          <w:noProof/>
          <w:sz w:val="24"/>
          <w:u w:val="single"/>
        </w:rPr>
      </w:pPr>
      <w:r>
        <w:rPr>
          <w:rStyle w:val="Style10pt"/>
          <w:rFonts w:ascii="Times New Roman" w:hAnsi="Times New Roman"/>
          <w:i/>
          <w:noProof/>
          <w:sz w:val="24"/>
          <w:u w:val="single"/>
        </w:rPr>
        <w:t xml:space="preserve">Продължаване на </w:t>
      </w:r>
      <w:r>
        <w:rPr>
          <w:rFonts w:ascii="Times New Roman" w:hAnsi="Times New Roman"/>
          <w:i/>
          <w:noProof/>
          <w:color w:val="000000"/>
          <w:sz w:val="24"/>
          <w:u w:val="single"/>
        </w:rPr>
        <w:t>Програмата след 2020 г.</w:t>
      </w:r>
      <w:r>
        <w:rPr>
          <w:rFonts w:ascii="Times New Roman" w:hAnsi="Times New Roman"/>
          <w:i/>
          <w:noProof/>
          <w:sz w:val="24"/>
          <w:u w:val="single"/>
        </w:rPr>
        <w:t xml:space="preserve"> като самостоятелна програма </w:t>
      </w:r>
    </w:p>
    <w:p>
      <w:pPr>
        <w:pStyle w:val="Briefingtext"/>
        <w:spacing w:after="0"/>
        <w:rPr>
          <w:rFonts w:ascii="Times New Roman" w:hAnsi="Times New Roman" w:cs="Times New Roman"/>
          <w:bCs/>
          <w:i/>
          <w:noProof/>
          <w:color w:val="000000"/>
          <w:sz w:val="24"/>
        </w:rPr>
      </w:pPr>
    </w:p>
    <w:p>
      <w:pPr>
        <w:pStyle w:val="Briefingtex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Комисията е съгласна с резултатите от проведената оценка във връзка с продължаването на Програмата като самостоятелна програма след 2020 г. </w:t>
      </w:r>
    </w:p>
    <w:p>
      <w:pPr>
        <w:pStyle w:val="Briefingtext"/>
        <w:rPr>
          <w:rFonts w:ascii="Times New Roman" w:eastAsia="Calibri" w:hAnsi="Times New Roman" w:cs="Times New Roman"/>
          <w:bCs/>
          <w:noProof/>
          <w:sz w:val="24"/>
        </w:rPr>
      </w:pPr>
      <w:r>
        <w:rPr>
          <w:rFonts w:ascii="Times New Roman" w:hAnsi="Times New Roman"/>
          <w:noProof/>
          <w:sz w:val="24"/>
        </w:rPr>
        <w:t>Заличаването на „Перикъл 2020“ като самостоятелна програма или евентуалното ѝ сливане с други програми на ЕС с цел постигане на икономии от мащаба ще доведе до загуба на специфичността и, което е по-важно, до значителна загуба на експертен опит във високоефективната рамка за защита на еврото. Потенциалните финансови икономии биха били реализирани в ущърб на настоящото равнище на защита на еврото и способността на Комисията и заинтересованите страни бързо да реагират на възникващи заплахи. От друга страна, икономии се постигат във всички случаи чрез колективно организираните действия по линия на Програмата, в сравнение с (потенциални) самостоятелни национални инициативи.</w:t>
      </w:r>
    </w:p>
    <w:p>
      <w:pPr>
        <w:pStyle w:val="Briefingtex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Освен това синергията между управлението на Програмата, от една страна, и разработването и изпълнението на политиката и законодателството на ЕС в областта на защитата на еврото (относно предотвратяването, прилагането и сътрудничеството), от друга страна, е оптимална, тъй като една служба на Комисията отговаря за всички въпроси, свързани с еврото. </w:t>
      </w: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Предстоящи стъпки</w:t>
      </w:r>
    </w:p>
    <w:p>
      <w:pPr>
        <w:rPr>
          <w:rStyle w:val="Style10pt"/>
          <w:rFonts w:ascii="Times New Roman" w:hAnsi="Times New Roman" w:cs="Times New Roman"/>
          <w:b/>
          <w:noProof/>
          <w:sz w:val="24"/>
        </w:rPr>
      </w:pPr>
    </w:p>
    <w:p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Комисията е съгласна с констатациите от направената оценка, че малък брой компетентни национални органи кандидатстват за финансиране по програмата. По-специално, Италия, Франция и Испания са най-често срещаните изпълнители на действията по линия на Програмата. </w:t>
      </w:r>
    </w:p>
    <w:p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 </w:t>
      </w:r>
    </w:p>
    <w:p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В това отношение Комисията също така отбелязва, че на Италия, Франция и Испания, заедно с Германия, се падат около три четвърти от всички фалшиви евробанкноти и евромонети в обращение. Следователно споед тях фалшифицирането на еврото буди по-голяма загриженост в сравнение с останалите държави членки. Заявленията за финансиране по линия на Програмата от компетентни национални органи на други държави членки понякога са малко на брой поради недостиг на персонал или по-ниско приоритизиране. Освен това в оценката се отбелязва, че някои компетентни национални органи вече не функционират или участват само проформа в дейности за защита на еврото.</w:t>
      </w: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Комисията вече предприе стъпки за насърчаване на по-голямото участие на компетентните национални органи чрез по-стимулиращ подход. През последните две години това доведе до нарастване на броя на компетентните национални органи, които кандидатстват за финансиране за първи път, в това число компетентни национални органи от България, Австрия, Португалия и Румъния.</w:t>
      </w:r>
    </w:p>
    <w:p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Комисията споделя становището, изразено в оценката, че показателите за изпълнение, които се използват понастоящем, не са напълно съгласувани с естествотона дейностите по линия на Програмата, насочени към изграждане на капацитет. Поради това следва да се обмисли заместването или поне допълването на сегашните показатели с качествени показатели, които да отразяват по-добре резултатите от действията по линия на Програмата. </w:t>
      </w: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bCs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 xml:space="preserve">По отношение на </w:t>
      </w:r>
      <w:r>
        <w:rPr>
          <w:rFonts w:ascii="Times New Roman" w:hAnsi="Times New Roman"/>
          <w:noProof/>
        </w:rPr>
        <w:t>показателите за изпълнение</w:t>
      </w:r>
      <w:r>
        <w:rPr>
          <w:rFonts w:ascii="Times New Roman" w:hAnsi="Times New Roman"/>
          <w:noProof/>
          <w:color w:val="000000"/>
        </w:rPr>
        <w:t xml:space="preserve"> Комисията ще оцени препоръката за изменение при изготвянето на оценката на въздействието за евентуална програма от ново поколение в контекста на следващата многогодишна финансова рамка. </w:t>
      </w:r>
    </w:p>
    <w:p>
      <w:pPr>
        <w:jc w:val="both"/>
        <w:rPr>
          <w:rFonts w:ascii="Times New Roman" w:hAnsi="Times New Roman" w:cs="Times New Roman"/>
          <w:bCs/>
          <w:noProof/>
          <w:color w:val="000000"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bCs/>
          <w:noProof/>
          <w:color w:val="000000"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b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45297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Defaul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 xml:space="preserve">Регламент (ЕС) № 331/2014 на Европейския парламент и на Съвета от 11 март 2014 г. за създаване на програма за обмен, помощ и обучение за защита на еврото срещу фалшифициране (програма „Перикъл 2020“) и за отмяна на решения на Съвета 2001/923/ЕО, 2001/924/ЕО, 2006/75/ЕО, 2006/76/ЕО, 2006/849/ЕО и 2006/850/ЕО (ОВ L 103, 5.4.2014 г., стр. 1). </w:t>
      </w:r>
    </w:p>
  </w:footnote>
  <w:footnote w:id="2">
    <w:p>
      <w:pPr>
        <w:pStyle w:val="Defaul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 xml:space="preserve">Регламент (ЕС) 2015/768 на Съвета от 11 май 2015 г. разшири обхвата на прилагане на Регламент (ЕС) № 331/2014 по отношение на неучастващите държави членки. </w:t>
      </w:r>
    </w:p>
  </w:footnote>
  <w:footnote w:id="3">
    <w:p>
      <w:pPr>
        <w:pStyle w:val="Defaul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Член 3 от Регламента.</w:t>
      </w:r>
      <w:r>
        <w:t xml:space="preserve"> </w:t>
      </w:r>
    </w:p>
  </w:footnote>
  <w:footnote w:id="4">
    <w:p>
      <w:pPr>
        <w:pStyle w:val="Defaul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Член 4 от Регламента.</w:t>
      </w:r>
      <w:r>
        <w:t xml:space="preserve"> </w:t>
      </w:r>
    </w:p>
  </w:footnote>
  <w:footnote w:id="5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съответствие </w:t>
      </w:r>
      <w:r>
        <w:rPr>
          <w:rFonts w:ascii="Times New Roman" w:hAnsi="Times New Roman"/>
          <w:noProof/>
        </w:rPr>
        <w:t>с член 13, параграф 4 от Регламента в оценката се разглеждат всички елементи, които са необходими за подпомагане на вземането на решение за подновяване, изменяне или преустановяване на мерките/видовете действия, финансирани по линия на Програмата.</w:t>
      </w:r>
    </w:p>
  </w:footnote>
  <w:footnote w:id="6">
    <w:p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В съответствие с член 13, параграф 5 от Регламента оценката съдържа и оценка на въздействието в дългосрочен план и на трайността на ефекта от Програмата с цел да спомогне за вземането на решение за евентуално подновяване, изменение или преустановяване на последваща програма.</w:t>
      </w:r>
    </w:p>
    <w:p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18BF"/>
    <w:multiLevelType w:val="hybridMultilevel"/>
    <w:tmpl w:val="18F02E62"/>
    <w:lvl w:ilvl="0" w:tplc="FCE6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B3F90"/>
    <w:multiLevelType w:val="hybridMultilevel"/>
    <w:tmpl w:val="BF4697F8"/>
    <w:lvl w:ilvl="0" w:tplc="B28C3BD0">
      <w:start w:val="1"/>
      <w:numFmt w:val="decimal"/>
      <w:pStyle w:val="HeaderSensitivity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6B31"/>
    <w:multiLevelType w:val="hybridMultilevel"/>
    <w:tmpl w:val="40B2626C"/>
    <w:lvl w:ilvl="0" w:tplc="977E5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24678"/>
    <w:multiLevelType w:val="hybridMultilevel"/>
    <w:tmpl w:val="0002CA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02996"/>
    <w:multiLevelType w:val="hybridMultilevel"/>
    <w:tmpl w:val="D9065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27CEE"/>
    <w:multiLevelType w:val="hybridMultilevel"/>
    <w:tmpl w:val="7B4A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F4E19"/>
    <w:multiLevelType w:val="hybridMultilevel"/>
    <w:tmpl w:val="A0B481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E725A"/>
    <w:multiLevelType w:val="hybridMultilevel"/>
    <w:tmpl w:val="18CE11F2"/>
    <w:lvl w:ilvl="0" w:tplc="FCE6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65CCB"/>
    <w:multiLevelType w:val="hybridMultilevel"/>
    <w:tmpl w:val="C20A6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F0967"/>
    <w:multiLevelType w:val="hybridMultilevel"/>
    <w:tmpl w:val="BA88921C"/>
    <w:lvl w:ilvl="0" w:tplc="FCE6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revisionView w:markup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19A93DF0-3F89-486D-8349-36D5AFCA25C6"/>
    <w:docVar w:name="LW_COVERPAGE_TYPE" w:val="1"/>
    <w:docVar w:name="LW_CROSSREFERENCE" w:val="{SWD(2017) 443 final}_x000b_{SWD(2017) 444 final}"/>
    <w:docVar w:name="LW_DocType" w:val="NORMAL"/>
    <w:docVar w:name="LW_EMISSION" w:val="6.12.2017"/>
    <w:docVar w:name="LW_EMISSION_ISODATE" w:val="2017-12-06"/>
    <w:docVar w:name="LW_EMISSION_LOCATION" w:val="BRX"/>
    <w:docVar w:name="LW_EMISSION_PREFIX" w:val="Брюксел, "/>
    <w:docVar w:name="LW_EMISSION_SUFFIX" w:val="\u1075?."/>
    <w:docVar w:name="LW_ID_DOCTYPE_NONLW" w:val="CP-011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7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\u1086?\u1090?\u1085?\u1086?\u1089?\u1085?\u1086? \u1084?\u1077?\u1078?\u1076?\u1080?\u1085?\u1085?\u1072?\u1090?\u1072? \u1086?\u1094?\u1077?\u1085?\u1082?\u1072? \u1085?\u1072? \u1055?\u1088?\u1086?\u1075?\u1088?\u1072?\u1084?\u1072?\u1090?\u1072? \u1079?\u1072? \u1086?\u1073?\u1084?\u1077?\u1085?, \u1087?\u1086?\u1084?\u1086?\u1097? \u1080? \u1086?\u1073?\u1091?\u1095?\u1077?\u1085?\u1080?\u1077? \u1079?\u1072? \u1079?\u1072?\u1097?\u1080?\u1090?\u1072? \u1085?\u1072? \u1077?\u1074?\u1088?\u1086?\u1090?\u1086? \u1089?\u1088?\u1077?\u1097?\u1091? \u1092?\u1072?\u1083?\u1096?\u1080?\u1092?\u1080?\u1094?\u1080?\u1088?\u1072?\u1085?\u1077? (\u1087?\u1088?\u1086?\u1075?\u1088?\u1072?\u1084?\u1072?\u1090?\u1072? \u8222?\u1055?\u1077?\u1088?\u1080?\u1082?\u1098?\u1083? 2020\u8220?)"/>
    <w:docVar w:name="LW_TYPE.DOC.CP" w:val="\u1057?\u1066?\u1054?\u1041?\u1065?\u1045?\u1053?\u1048?\u1045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Pr>
      <w:rFonts w:cs="Times New Roman"/>
    </w:rPr>
  </w:style>
  <w:style w:type="character" w:customStyle="1" w:styleId="Style1Char">
    <w:name w:val="Style1 Char"/>
    <w:basedOn w:val="DefaultParagraphFont"/>
    <w:link w:val="Style1"/>
    <w:rPr>
      <w:rFonts w:ascii="Cambria" w:eastAsia="Cambria" w:hAnsi="Cambria" w:cs="Times New Roman"/>
      <w:sz w:val="24"/>
      <w:szCs w:val="24"/>
      <w:lang w:val="bg-BG"/>
    </w:rPr>
  </w:style>
  <w:style w:type="paragraph" w:styleId="ListParagraph">
    <w:name w:val="List Paragraph"/>
    <w:aliases w:val="List Paragraph (numbered (a)),Bullet list,IFCL - List Paragraph,Table/Figure Heading,Lapis Bulleted List,Dot pt,F5 List Paragraph,No Spacing1,List Paragraph Char Char Char,Indicator Text,Numbered Para 1,Bullet 1,List Paragraph12"/>
    <w:basedOn w:val="Normal"/>
    <w:link w:val="ListParagraphChar"/>
    <w:uiPriority w:val="34"/>
    <w:qFormat/>
    <w:pPr>
      <w:ind w:left="720"/>
      <w:contextualSpacing/>
    </w:pPr>
    <w:rPr>
      <w:rFonts w:cs="Times New Roman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utoRedefine/>
    <w:uiPriority w:val="33"/>
    <w:qFormat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rPr>
      <w:shd w:val="clear" w:color="auto" w:fill="auto"/>
      <w:vertAlign w:val="superscript"/>
    </w:rPr>
  </w:style>
  <w:style w:type="character" w:customStyle="1" w:styleId="Style10pt">
    <w:name w:val="Style 10 pt"/>
    <w:rPr>
      <w:rFonts w:ascii="Verdana" w:hAnsi="Verdana"/>
      <w:sz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 w:cs="Times New Roman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 w:cs="Times New Roman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 w:cs="Times New Roman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mbria" w:hAnsi="Cambria"/>
      <w:b/>
      <w:bCs/>
      <w:sz w:val="20"/>
      <w:szCs w:val="20"/>
    </w:rPr>
  </w:style>
  <w:style w:type="paragraph" w:customStyle="1" w:styleId="Briefingtext">
    <w:name w:val="Briefing text"/>
    <w:basedOn w:val="Normal"/>
    <w:link w:val="BriefingtextChar"/>
    <w:pPr>
      <w:spacing w:after="240"/>
      <w:jc w:val="both"/>
    </w:pPr>
    <w:rPr>
      <w:rFonts w:ascii="Arial" w:eastAsia="Times New Roman" w:hAnsi="Arial" w:cs="Arial"/>
      <w:sz w:val="22"/>
    </w:rPr>
  </w:style>
  <w:style w:type="character" w:customStyle="1" w:styleId="BriefingtextChar">
    <w:name w:val="Briefing text Char"/>
    <w:link w:val="Briefingtext"/>
    <w:rPr>
      <w:rFonts w:ascii="Arial" w:eastAsia="Times New Roman" w:hAnsi="Arial" w:cs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mbria" w:hAnsi="Cambria"/>
      <w:sz w:val="20"/>
      <w:szCs w:val="20"/>
    </w:rPr>
  </w:style>
  <w:style w:type="paragraph" w:styleId="TOC1">
    <w:name w:val="toc 1"/>
    <w:basedOn w:val="Normal"/>
    <w:next w:val="Normal"/>
    <w:link w:val="TOC1Char"/>
    <w:uiPriority w:val="39"/>
    <w:qFormat/>
    <w:pPr>
      <w:tabs>
        <w:tab w:val="right" w:leader="dot" w:pos="9071"/>
      </w:tabs>
      <w:spacing w:before="60" w:after="120"/>
      <w:ind w:left="850" w:hanging="850"/>
      <w:jc w:val="both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uiPriority w:val="3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 list Char,IFCL - List Paragraph Char,Table/Figure Heading Char,Lapis Bulleted List Char,Dot pt Char,F5 List Paragraph Char,No Spacing1 Char,List Paragraph Char Char Char Char,Bullet 1 Char"/>
    <w:link w:val="ListParagraph"/>
    <w:uiPriority w:val="34"/>
    <w:rPr>
      <w:rFonts w:ascii="Cambria" w:hAnsi="Cambria" w:cs="Times New Roman"/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ListParagraphChar"/>
    <w:link w:val="FooterSensitivity"/>
    <w:rPr>
      <w:rFonts w:ascii="Times New Roman" w:hAnsi="Times New Roman" w:cs="Times New Roman"/>
      <w:b/>
      <w:sz w:val="32"/>
      <w:szCs w:val="24"/>
    </w:rPr>
  </w:style>
  <w:style w:type="paragraph" w:customStyle="1" w:styleId="HeaderSensitivity">
    <w:name w:val="Header Sensitivity"/>
    <w:basedOn w:val="Normal"/>
    <w:link w:val="HeaderSensitivityChar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 w:firstLine="0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ListParagraphChar"/>
    <w:link w:val="HeaderSensitivity"/>
    <w:rPr>
      <w:rFonts w:ascii="Times New Roman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Pr>
      <w:rFonts w:cs="Times New Roman"/>
    </w:rPr>
  </w:style>
  <w:style w:type="character" w:customStyle="1" w:styleId="Style1Char">
    <w:name w:val="Style1 Char"/>
    <w:basedOn w:val="DefaultParagraphFont"/>
    <w:link w:val="Style1"/>
    <w:rPr>
      <w:rFonts w:ascii="Cambria" w:eastAsia="Cambria" w:hAnsi="Cambria" w:cs="Times New Roman"/>
      <w:sz w:val="24"/>
      <w:szCs w:val="24"/>
      <w:lang w:val="bg-BG"/>
    </w:rPr>
  </w:style>
  <w:style w:type="paragraph" w:styleId="ListParagraph">
    <w:name w:val="List Paragraph"/>
    <w:aliases w:val="List Paragraph (numbered (a)),Bullet list,IFCL - List Paragraph,Table/Figure Heading,Lapis Bulleted List,Dot pt,F5 List Paragraph,No Spacing1,List Paragraph Char Char Char,Indicator Text,Numbered Para 1,Bullet 1,List Paragraph12"/>
    <w:basedOn w:val="Normal"/>
    <w:link w:val="ListParagraphChar"/>
    <w:uiPriority w:val="34"/>
    <w:qFormat/>
    <w:pPr>
      <w:ind w:left="720"/>
      <w:contextualSpacing/>
    </w:pPr>
    <w:rPr>
      <w:rFonts w:cs="Times New Roman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utoRedefine/>
    <w:uiPriority w:val="33"/>
    <w:qFormat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rPr>
      <w:shd w:val="clear" w:color="auto" w:fill="auto"/>
      <w:vertAlign w:val="superscript"/>
    </w:rPr>
  </w:style>
  <w:style w:type="character" w:customStyle="1" w:styleId="Style10pt">
    <w:name w:val="Style 10 pt"/>
    <w:rPr>
      <w:rFonts w:ascii="Verdana" w:hAnsi="Verdana"/>
      <w:sz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 w:cs="Times New Roman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 w:cs="Times New Roman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 w:cs="Times New Roman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mbria" w:hAnsi="Cambria"/>
      <w:b/>
      <w:bCs/>
      <w:sz w:val="20"/>
      <w:szCs w:val="20"/>
    </w:rPr>
  </w:style>
  <w:style w:type="paragraph" w:customStyle="1" w:styleId="Briefingtext">
    <w:name w:val="Briefing text"/>
    <w:basedOn w:val="Normal"/>
    <w:link w:val="BriefingtextChar"/>
    <w:pPr>
      <w:spacing w:after="240"/>
      <w:jc w:val="both"/>
    </w:pPr>
    <w:rPr>
      <w:rFonts w:ascii="Arial" w:eastAsia="Times New Roman" w:hAnsi="Arial" w:cs="Arial"/>
      <w:sz w:val="22"/>
    </w:rPr>
  </w:style>
  <w:style w:type="character" w:customStyle="1" w:styleId="BriefingtextChar">
    <w:name w:val="Briefing text Char"/>
    <w:link w:val="Briefingtext"/>
    <w:rPr>
      <w:rFonts w:ascii="Arial" w:eastAsia="Times New Roman" w:hAnsi="Arial" w:cs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mbria" w:hAnsi="Cambria"/>
      <w:sz w:val="20"/>
      <w:szCs w:val="20"/>
    </w:rPr>
  </w:style>
  <w:style w:type="paragraph" w:styleId="TOC1">
    <w:name w:val="toc 1"/>
    <w:basedOn w:val="Normal"/>
    <w:next w:val="Normal"/>
    <w:link w:val="TOC1Char"/>
    <w:uiPriority w:val="39"/>
    <w:qFormat/>
    <w:pPr>
      <w:tabs>
        <w:tab w:val="right" w:leader="dot" w:pos="9071"/>
      </w:tabs>
      <w:spacing w:before="60" w:after="120"/>
      <w:ind w:left="850" w:hanging="850"/>
      <w:jc w:val="both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uiPriority w:val="3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 list Char,IFCL - List Paragraph Char,Table/Figure Heading Char,Lapis Bulleted List Char,Dot pt Char,F5 List Paragraph Char,No Spacing1 Char,List Paragraph Char Char Char Char,Bullet 1 Char"/>
    <w:link w:val="ListParagraph"/>
    <w:uiPriority w:val="34"/>
    <w:rPr>
      <w:rFonts w:ascii="Cambria" w:hAnsi="Cambria" w:cs="Times New Roman"/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ListParagraphChar"/>
    <w:link w:val="FooterSensitivity"/>
    <w:rPr>
      <w:rFonts w:ascii="Times New Roman" w:hAnsi="Times New Roman" w:cs="Times New Roman"/>
      <w:b/>
      <w:sz w:val="32"/>
      <w:szCs w:val="24"/>
    </w:rPr>
  </w:style>
  <w:style w:type="paragraph" w:customStyle="1" w:styleId="HeaderSensitivity">
    <w:name w:val="Header Sensitivity"/>
    <w:basedOn w:val="Normal"/>
    <w:link w:val="HeaderSensitivityChar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 w:firstLine="0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ListParagraphChar"/>
    <w:link w:val="HeaderSensitivity"/>
    <w:rPr>
      <w:rFonts w:ascii="Times New Roman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8103-6AAC-4DD3-9087-2D667B87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1281</Words>
  <Characters>7769</Characters>
  <Application>Microsoft Office Word</Application>
  <DocSecurity>0</DocSecurity>
  <Lines>161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2017-10-04T15:07:00Z</cp:lastPrinted>
  <dcterms:created xsi:type="dcterms:W3CDTF">2017-10-26T12:47:00Z</dcterms:created>
  <dcterms:modified xsi:type="dcterms:W3CDTF">2017-11-29T15:20:00Z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</Properties>
</file>