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4E" w:rsidRDefault="007F0E4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D8B5B4B-967C-4FC4-9B4B-B4367403F4D9" style="width:450.4pt;height:348.3pt">
            <v:imagedata r:id="rId9" o:title=""/>
          </v:shape>
        </w:pict>
      </w:r>
    </w:p>
    <w:bookmarkEnd w:id="0"/>
    <w:p w:rsidR="004D184E" w:rsidRDefault="004D184E">
      <w:pPr>
        <w:pStyle w:val="Pagedecouverture"/>
        <w:rPr>
          <w:noProof/>
        </w:rPr>
        <w:sectPr w:rsidR="004D184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D184E" w:rsidRDefault="007F0E45">
      <w:pPr>
        <w:pStyle w:val="ListParagraph"/>
        <w:numPr>
          <w:ilvl w:val="0"/>
          <w:numId w:val="34"/>
        </w:numPr>
        <w:ind w:hanging="720"/>
        <w:rPr>
          <w:rFonts w:ascii="Times New Roman" w:hAnsi="Times New Roman" w:cs="Times New Roman"/>
          <w:b/>
          <w:noProof/>
          <w:u w:val="single"/>
        </w:rPr>
      </w:pPr>
      <w:r>
        <w:rPr>
          <w:rFonts w:ascii="Times New Roman" w:hAnsi="Times New Roman"/>
          <w:b/>
          <w:noProof/>
          <w:u w:val="single"/>
        </w:rPr>
        <w:lastRenderedPageBreak/>
        <w:t>INTRODUCTION</w:t>
      </w:r>
    </w:p>
    <w:p w:rsidR="004D184E" w:rsidRDefault="004D184E">
      <w:pPr>
        <w:pStyle w:val="ListParagraph"/>
        <w:jc w:val="both"/>
        <w:rPr>
          <w:rFonts w:ascii="Times New Roman" w:hAnsi="Times New Roman" w:cs="Times New Roman"/>
          <w:b/>
          <w:noProof/>
        </w:rPr>
      </w:pPr>
    </w:p>
    <w:p w:rsidR="004D184E" w:rsidRDefault="007F0E45">
      <w:pPr>
        <w:jc w:val="both"/>
        <w:rPr>
          <w:rFonts w:ascii="Times New Roman" w:hAnsi="Times New Roman"/>
          <w:noProof/>
          <w:lang w:val="fr-BE"/>
        </w:rPr>
      </w:pPr>
      <w:r>
        <w:rPr>
          <w:rFonts w:ascii="Times New Roman" w:hAnsi="Times New Roman"/>
          <w:b/>
          <w:noProof/>
          <w:lang w:val="fr-BE"/>
        </w:rPr>
        <w:t xml:space="preserve">Dans son discours sur l’état de l’Union 2017 et dans la lettre d’intention qui l’accompagne, le président Juncker a annoncé </w:t>
      </w:r>
      <w:r>
        <w:rPr>
          <w:rFonts w:ascii="Times New Roman" w:hAnsi="Times New Roman"/>
          <w:b/>
          <w:noProof/>
          <w:lang w:val="fr-BE"/>
        </w:rPr>
        <w:t>l’intention de la Commission de formuler des propositions concrètes en vue de créer, dans le budget de l'Union, une ligne budgétaire consacrée à la zone euro</w:t>
      </w:r>
      <w:r>
        <w:rPr>
          <w:noProof/>
          <w:lang w:val="fr-BE"/>
        </w:rPr>
        <w:t xml:space="preserve"> </w:t>
      </w:r>
      <w:r>
        <w:rPr>
          <w:rFonts w:ascii="Times New Roman" w:hAnsi="Times New Roman"/>
          <w:noProof/>
          <w:lang w:val="fr-BE"/>
        </w:rPr>
        <w:t>et prévoyant: 1) une aide aux réformes structurelles s’appuyant sur le programme d’appui à la réfo</w:t>
      </w:r>
      <w:r>
        <w:rPr>
          <w:rFonts w:ascii="Times New Roman" w:hAnsi="Times New Roman"/>
          <w:noProof/>
          <w:lang w:val="fr-BE"/>
        </w:rPr>
        <w:t xml:space="preserve">rme structurelle de la Commission, 2) un mécanisme de stabilisation, 3) un filet de sécurité pour l’union bancaire et 4) un mécanisme de soutien à la convergence destiné à apporter une aide de préadhésion aux États membres désireux d’adopter l’euro. </w:t>
      </w:r>
    </w:p>
    <w:p w:rsidR="004D184E" w:rsidRDefault="007F0E45">
      <w:pPr>
        <w:jc w:val="both"/>
        <w:rPr>
          <w:rFonts w:ascii="Times New Roman" w:hAnsi="Times New Roman"/>
          <w:noProof/>
          <w:lang w:val="fr-BE"/>
        </w:rPr>
      </w:pPr>
      <w:r>
        <w:rPr>
          <w:rFonts w:ascii="Times New Roman" w:hAnsi="Times New Roman"/>
          <w:b/>
          <w:noProof/>
          <w:lang w:val="fr-BE"/>
        </w:rPr>
        <w:t>Ces i</w:t>
      </w:r>
      <w:r>
        <w:rPr>
          <w:rFonts w:ascii="Times New Roman" w:hAnsi="Times New Roman"/>
          <w:b/>
          <w:noProof/>
          <w:lang w:val="fr-BE"/>
        </w:rPr>
        <w:t>dées sont exposées plus en détail dans la présente communication, qui fait partie d’un ensemble d’initiatives visant à approfondir l’Union économique et monétaire de l’Europe</w:t>
      </w:r>
      <w:r>
        <w:rPr>
          <w:rStyle w:val="FootnoteReference"/>
          <w:rFonts w:ascii="Times New Roman" w:hAnsi="Times New Roman"/>
          <w:noProof/>
        </w:rPr>
        <w:footnoteReference w:id="2"/>
      </w:r>
      <w:r>
        <w:rPr>
          <w:noProof/>
          <w:lang w:val="fr-BE"/>
        </w:rPr>
        <w:t>.</w:t>
      </w:r>
      <w:r>
        <w:rPr>
          <w:rFonts w:ascii="Times New Roman" w:hAnsi="Times New Roman"/>
          <w:noProof/>
          <w:lang w:val="fr-BE"/>
        </w:rPr>
        <w:t xml:space="preserve"> Cet ensemble s’appuie, en particulier, sur le rapport des cinq présidents du 22</w:t>
      </w:r>
      <w:r>
        <w:rPr>
          <w:rFonts w:ascii="Times New Roman" w:hAnsi="Times New Roman"/>
          <w:noProof/>
          <w:lang w:val="fr-BE"/>
        </w:rPr>
        <w:t> juin 2015 intitulé «Compléter l'Union économique et monétaire européenne»</w:t>
      </w:r>
      <w:r>
        <w:rPr>
          <w:rStyle w:val="FootnoteReference"/>
          <w:rFonts w:ascii="Times New Roman" w:hAnsi="Times New Roman"/>
          <w:noProof/>
        </w:rPr>
        <w:footnoteReference w:id="3"/>
      </w:r>
      <w:r>
        <w:rPr>
          <w:rFonts w:ascii="Times New Roman" w:hAnsi="Times New Roman"/>
          <w:noProof/>
          <w:lang w:val="fr-BE"/>
        </w:rPr>
        <w:t xml:space="preserve"> et sur le document de réflexion sur l’approfondissement de l’Union économique et monétaire présenté par la Commission le 31 mai 2017</w:t>
      </w:r>
      <w:r>
        <w:rPr>
          <w:rStyle w:val="FootnoteReference"/>
          <w:rFonts w:ascii="Times New Roman" w:hAnsi="Times New Roman"/>
          <w:noProof/>
        </w:rPr>
        <w:footnoteReference w:id="4"/>
      </w:r>
      <w:r>
        <w:rPr>
          <w:rFonts w:ascii="Times New Roman" w:hAnsi="Times New Roman"/>
          <w:noProof/>
          <w:lang w:val="fr-BE"/>
        </w:rPr>
        <w:t>.</w:t>
      </w:r>
    </w:p>
    <w:p w:rsidR="004D184E" w:rsidRDefault="007F0E45">
      <w:pPr>
        <w:jc w:val="both"/>
        <w:rPr>
          <w:rFonts w:ascii="Times New Roman" w:hAnsi="Times New Roman"/>
          <w:noProof/>
          <w:lang w:val="fr-BE"/>
        </w:rPr>
      </w:pPr>
      <w:r>
        <w:rPr>
          <w:rFonts w:ascii="Times New Roman" w:hAnsi="Times New Roman"/>
          <w:b/>
          <w:noProof/>
          <w:lang w:val="fr-BE"/>
        </w:rPr>
        <w:t xml:space="preserve">L’approfondissement de l’Union économique et </w:t>
      </w:r>
      <w:r>
        <w:rPr>
          <w:rFonts w:ascii="Times New Roman" w:hAnsi="Times New Roman"/>
          <w:b/>
          <w:noProof/>
          <w:lang w:val="fr-BE"/>
        </w:rPr>
        <w:t>monétaire et la modernisation des finances publiques de l’UE constituent deux axes essentiels dans le débat sur l’avenir de l’Europe initié par le livre blanc de la Commission du 1</w:t>
      </w:r>
      <w:r>
        <w:rPr>
          <w:rFonts w:ascii="Times New Roman" w:hAnsi="Times New Roman"/>
          <w:b/>
          <w:noProof/>
          <w:vertAlign w:val="superscript"/>
          <w:lang w:val="fr-BE"/>
        </w:rPr>
        <w:t>er</w:t>
      </w:r>
      <w:r>
        <w:rPr>
          <w:rFonts w:ascii="Times New Roman" w:hAnsi="Times New Roman"/>
          <w:b/>
          <w:noProof/>
          <w:lang w:val="fr-BE"/>
        </w:rPr>
        <w:t> mars 2017</w:t>
      </w:r>
      <w:r>
        <w:rPr>
          <w:rStyle w:val="FootnoteReference"/>
          <w:rFonts w:ascii="Times New Roman" w:hAnsi="Times New Roman"/>
          <w:noProof/>
        </w:rPr>
        <w:footnoteReference w:id="5"/>
      </w:r>
      <w:r>
        <w:rPr>
          <w:noProof/>
          <w:lang w:val="fr-BE"/>
        </w:rPr>
        <w:t>.</w:t>
      </w:r>
      <w:r>
        <w:rPr>
          <w:rFonts w:ascii="Times New Roman" w:hAnsi="Times New Roman"/>
          <w:b/>
          <w:noProof/>
          <w:lang w:val="fr-BE"/>
        </w:rPr>
        <w:t xml:space="preserve"> </w:t>
      </w:r>
      <w:r>
        <w:rPr>
          <w:rFonts w:ascii="Times New Roman" w:hAnsi="Times New Roman"/>
          <w:noProof/>
          <w:lang w:val="fr-BE"/>
        </w:rPr>
        <w:t>C’est ce qu’a également souligné le document de réflexion sur</w:t>
      </w:r>
      <w:r>
        <w:rPr>
          <w:rFonts w:ascii="Times New Roman" w:hAnsi="Times New Roman"/>
          <w:noProof/>
          <w:lang w:val="fr-BE"/>
        </w:rPr>
        <w:t xml:space="preserve"> l’avenir des finances de l’UE du 28 juin 2017</w:t>
      </w:r>
      <w:r>
        <w:rPr>
          <w:rStyle w:val="FootnoteReference"/>
          <w:rFonts w:ascii="Times New Roman" w:hAnsi="Times New Roman"/>
          <w:noProof/>
        </w:rPr>
        <w:footnoteReference w:id="6"/>
      </w:r>
      <w:r>
        <w:rPr>
          <w:noProof/>
          <w:lang w:val="fr-BE"/>
        </w:rPr>
        <w:t>.</w:t>
      </w:r>
      <w:r>
        <w:rPr>
          <w:rFonts w:ascii="Times New Roman" w:hAnsi="Times New Roman"/>
          <w:noProof/>
          <w:lang w:val="fr-BE"/>
        </w:rPr>
        <w:t xml:space="preserve"> Les circonstances actuelles offrent une occasion de lancer des propositions novatrices concrètes concernant tant l’avenir de l’Union économique et monétaire que la manière dont les futures finances publiques</w:t>
      </w:r>
      <w:r>
        <w:rPr>
          <w:rFonts w:ascii="Times New Roman" w:hAnsi="Times New Roman"/>
          <w:noProof/>
          <w:lang w:val="fr-BE"/>
        </w:rPr>
        <w:t xml:space="preserve"> de l’UE peuvent aider à relever les défis recensés. </w:t>
      </w:r>
    </w:p>
    <w:p w:rsidR="004D184E" w:rsidRDefault="007F0E45">
      <w:pPr>
        <w:jc w:val="both"/>
        <w:rPr>
          <w:rFonts w:ascii="Times New Roman" w:hAnsi="Times New Roman"/>
          <w:noProof/>
          <w:lang w:val="fr-BE"/>
        </w:rPr>
      </w:pPr>
      <w:r>
        <w:rPr>
          <w:rFonts w:ascii="Times New Roman" w:hAnsi="Times New Roman"/>
          <w:b/>
          <w:noProof/>
          <w:lang w:val="fr-BE"/>
        </w:rPr>
        <w:t xml:space="preserve">La valeur ajoutée européenne est au cœur du débat sur les finances publiques européennes. </w:t>
      </w:r>
      <w:r>
        <w:rPr>
          <w:rFonts w:ascii="Times New Roman" w:hAnsi="Times New Roman"/>
          <w:noProof/>
          <w:lang w:val="fr-BE"/>
        </w:rPr>
        <w:t xml:space="preserve">Les ressources de l’UE devraient servir à financer les biens publics européens. Ces biens profitent à l’UE dans </w:t>
      </w:r>
      <w:r>
        <w:rPr>
          <w:rFonts w:ascii="Times New Roman" w:hAnsi="Times New Roman"/>
          <w:noProof/>
          <w:lang w:val="fr-BE"/>
        </w:rPr>
        <w:t>son ensemble et aucun État membre ne saurait, à lui seul, en garantir la fourniture de manière efficiente. Conformément aux principes de subsidiarité et de proportionnalité, l’UE devrait intervenir lorsque son action représente une utilisation plus efficie</w:t>
      </w:r>
      <w:r>
        <w:rPr>
          <w:rFonts w:ascii="Times New Roman" w:hAnsi="Times New Roman"/>
          <w:noProof/>
          <w:lang w:val="fr-BE"/>
        </w:rPr>
        <w:t>nte de l’argent du contribuable que des actions menées au seul niveau national, régional ou local.</w:t>
      </w:r>
    </w:p>
    <w:p w:rsidR="004D184E" w:rsidRDefault="007F0E45">
      <w:pPr>
        <w:jc w:val="both"/>
        <w:rPr>
          <w:rFonts w:ascii="Times New Roman" w:hAnsi="Times New Roman"/>
          <w:noProof/>
          <w:lang w:val="fr-BE"/>
        </w:rPr>
      </w:pPr>
      <w:r>
        <w:rPr>
          <w:rFonts w:ascii="Times New Roman" w:hAnsi="Times New Roman"/>
          <w:b/>
          <w:noProof/>
          <w:lang w:val="fr-BE"/>
        </w:rPr>
        <w:t>L’approfondissement de l’Union économique et monétaire a des effets positifs tant pour la zone euro que pour l’UE dans son ensemble.</w:t>
      </w:r>
      <w:r>
        <w:rPr>
          <w:rFonts w:ascii="Times New Roman" w:hAnsi="Times New Roman"/>
          <w:noProof/>
          <w:lang w:val="fr-BE"/>
        </w:rPr>
        <w:t xml:space="preserve"> Une zone euro plus intég</w:t>
      </w:r>
      <w:r>
        <w:rPr>
          <w:rFonts w:ascii="Times New Roman" w:hAnsi="Times New Roman"/>
          <w:noProof/>
          <w:lang w:val="fr-BE"/>
        </w:rPr>
        <w:t>rée et fonctionnant mieux apporterait davantage de stabilité et de prospérité à tous dans l’UE, tout en permettant à l’Europe de mieux faire entendre sa voix au niveau économique sur la scène internationale. Les nouveaux instruments budgétaires décrits dan</w:t>
      </w:r>
      <w:r>
        <w:rPr>
          <w:rFonts w:ascii="Times New Roman" w:hAnsi="Times New Roman"/>
          <w:noProof/>
          <w:lang w:val="fr-BE"/>
        </w:rPr>
        <w:t>s la présente communication visent à répondre à certains des besoins spécifiques des États membres participant à la zone euro ou désireux d’adopter la monnaie unique, sans perdre de vue les besoins et les aspirations plus larges qu'ils ont en tant qu’États</w:t>
      </w:r>
      <w:r>
        <w:rPr>
          <w:rFonts w:ascii="Times New Roman" w:hAnsi="Times New Roman"/>
          <w:noProof/>
          <w:lang w:val="fr-BE"/>
        </w:rPr>
        <w:t xml:space="preserve"> membres de l’UE. Ce faisant, il convient également de chercher à maximiser les synergies entre les instruments existants et à venir, que la </w:t>
      </w:r>
      <w:r>
        <w:rPr>
          <w:rFonts w:ascii="Times New Roman" w:hAnsi="Times New Roman"/>
          <w:noProof/>
          <w:lang w:val="fr-BE"/>
        </w:rPr>
        <w:lastRenderedPageBreak/>
        <w:t xml:space="preserve">Commission présentera en mai 2018 dans le cadre de ses propositions concernant le cadre financier pluriannuel pour </w:t>
      </w:r>
      <w:r>
        <w:rPr>
          <w:rFonts w:ascii="Times New Roman" w:hAnsi="Times New Roman"/>
          <w:noProof/>
          <w:lang w:val="fr-BE"/>
        </w:rPr>
        <w:t>l'après-2020.</w:t>
      </w:r>
    </w:p>
    <w:p w:rsidR="004D184E" w:rsidRDefault="004D184E">
      <w:pPr>
        <w:jc w:val="both"/>
        <w:rPr>
          <w:rFonts w:ascii="Times New Roman" w:hAnsi="Times New Roman"/>
          <w:noProof/>
          <w:lang w:val="fr-BE"/>
        </w:rPr>
      </w:pPr>
    </w:p>
    <w:p w:rsidR="004D184E" w:rsidRDefault="007F0E45">
      <w:pPr>
        <w:pStyle w:val="ListParagraph"/>
        <w:numPr>
          <w:ilvl w:val="0"/>
          <w:numId w:val="34"/>
        </w:numPr>
        <w:ind w:hanging="720"/>
        <w:rPr>
          <w:rFonts w:ascii="Times New Roman" w:hAnsi="Times New Roman" w:cs="Times New Roman"/>
          <w:b/>
          <w:noProof/>
          <w:u w:val="single"/>
          <w:lang w:val="fr-BE"/>
        </w:rPr>
      </w:pPr>
      <w:r>
        <w:rPr>
          <w:rFonts w:ascii="Times New Roman" w:hAnsi="Times New Roman"/>
          <w:b/>
          <w:noProof/>
          <w:u w:val="single"/>
          <w:lang w:val="fr-BE"/>
        </w:rPr>
        <w:t>LES FINANCES PUBLIQUES DE L’UE AUJOURD’HUI</w:t>
      </w:r>
    </w:p>
    <w:p w:rsidR="004D184E" w:rsidRDefault="004D184E">
      <w:pPr>
        <w:pStyle w:val="ListParagraph"/>
        <w:ind w:left="0"/>
        <w:jc w:val="both"/>
        <w:rPr>
          <w:rFonts w:ascii="Times New Roman" w:hAnsi="Times New Roman" w:cs="Times New Roman"/>
          <w:noProof/>
          <w:lang w:val="fr-BE"/>
        </w:rPr>
      </w:pPr>
    </w:p>
    <w:p w:rsidR="004D184E" w:rsidRDefault="007F0E45">
      <w:pPr>
        <w:jc w:val="both"/>
        <w:rPr>
          <w:rFonts w:ascii="Times New Roman" w:hAnsi="Times New Roman"/>
          <w:noProof/>
          <w:lang w:val="fr-BE"/>
        </w:rPr>
      </w:pPr>
      <w:r>
        <w:rPr>
          <w:rFonts w:ascii="Times New Roman" w:hAnsi="Times New Roman"/>
          <w:b/>
          <w:noProof/>
          <w:lang w:val="fr-BE"/>
        </w:rPr>
        <w:t>Les finances publiques de l’UE englobent le budget de l’UE et plusieurs autres instruments de financement et mécanismes européens et propres à la zone euro.</w:t>
      </w:r>
      <w:r>
        <w:rPr>
          <w:rFonts w:ascii="Times New Roman" w:hAnsi="Times New Roman"/>
          <w:noProof/>
          <w:lang w:val="fr-BE"/>
        </w:rPr>
        <w:t xml:space="preserve"> Elles contribuent au développement économique et social des États membres et soutiennent des priorités partagées au niveau de l’UE (voir l’annexe pour un aperçu). </w:t>
      </w:r>
    </w:p>
    <w:p w:rsidR="004D184E" w:rsidRDefault="007F0E45">
      <w:pPr>
        <w:jc w:val="both"/>
        <w:rPr>
          <w:rFonts w:ascii="Times New Roman" w:hAnsi="Times New Roman"/>
          <w:noProof/>
          <w:lang w:val="fr-BE"/>
        </w:rPr>
      </w:pPr>
      <w:r>
        <w:rPr>
          <w:rFonts w:ascii="Times New Roman" w:hAnsi="Times New Roman"/>
          <w:b/>
          <w:noProof/>
          <w:lang w:val="fr-BE"/>
        </w:rPr>
        <w:t>L’approfondissement de l’Union économique et monétaire s’inscrit au nombre de ces priorités</w:t>
      </w:r>
      <w:r>
        <w:rPr>
          <w:rFonts w:ascii="Times New Roman" w:hAnsi="Times New Roman"/>
          <w:b/>
          <w:noProof/>
          <w:lang w:val="fr-BE"/>
        </w:rPr>
        <w:t xml:space="preserve"> communes</w:t>
      </w:r>
      <w:r>
        <w:rPr>
          <w:rFonts w:ascii="Times New Roman" w:hAnsi="Times New Roman"/>
          <w:noProof/>
          <w:lang w:val="fr-BE"/>
        </w:rPr>
        <w:t>. Il nécessite des actions résolues de la part de chaque État membre et un soutien adéquat fourni par les instruments budgétaires et de coordination des politiques disponibles au niveau de l’UE. La présente communication expose des propositions et</w:t>
      </w:r>
      <w:r>
        <w:rPr>
          <w:rFonts w:ascii="Times New Roman" w:hAnsi="Times New Roman"/>
          <w:noProof/>
          <w:lang w:val="fr-BE"/>
        </w:rPr>
        <w:t xml:space="preserve"> des idées sur la manière de mieux utiliser le budget de l’UE pour renforcer la résilience de nos économies interdépendantes. Les progrès réalisés, aussi bien par les pays participant à la zone euro que par ceux n’y participant pas, dans la mise en œuvre d</w:t>
      </w:r>
      <w:r>
        <w:rPr>
          <w:rFonts w:ascii="Times New Roman" w:hAnsi="Times New Roman"/>
          <w:noProof/>
          <w:lang w:val="fr-BE"/>
        </w:rPr>
        <w:t>es réformes et la réalisation d'une convergence ascendante seront bénéfiques pour tous.</w:t>
      </w:r>
    </w:p>
    <w:p w:rsidR="004D184E" w:rsidRDefault="007F0E45">
      <w:pPr>
        <w:jc w:val="both"/>
        <w:rPr>
          <w:rFonts w:ascii="Times New Roman" w:hAnsi="Times New Roman"/>
          <w:noProof/>
          <w:lang w:val="fr-BE"/>
        </w:rPr>
      </w:pPr>
      <w:r>
        <w:rPr>
          <w:rFonts w:ascii="Times New Roman" w:hAnsi="Times New Roman"/>
          <w:b/>
          <w:noProof/>
          <w:lang w:val="fr-BE"/>
        </w:rPr>
        <w:t>Le budget de l’UE s'appuie déjà sur un large éventail d’instruments à l’incidence significative, allant des subventions aux instruments financiers, mais il reste relati</w:t>
      </w:r>
      <w:r>
        <w:rPr>
          <w:rFonts w:ascii="Times New Roman" w:hAnsi="Times New Roman"/>
          <w:b/>
          <w:noProof/>
          <w:lang w:val="fr-BE"/>
        </w:rPr>
        <w:t xml:space="preserve">vement modeste. </w:t>
      </w:r>
      <w:r>
        <w:rPr>
          <w:rFonts w:ascii="Times New Roman" w:hAnsi="Times New Roman"/>
          <w:noProof/>
          <w:lang w:val="fr-BE"/>
        </w:rPr>
        <w:t>Représentant environ 1 % du produit intérieur brut total de l'UE, le budget de l’UE est limité par rapport aux budgets nationaux et est en outre soumis à la contrainte de devoir présenter un solde annuel à l’équilibre. Néanmoins, les instru</w:t>
      </w:r>
      <w:r>
        <w:rPr>
          <w:rFonts w:ascii="Times New Roman" w:hAnsi="Times New Roman"/>
          <w:noProof/>
          <w:lang w:val="fr-BE"/>
        </w:rPr>
        <w:t>ments de l’UE ont une incidence stratégique et économique importante dans plusieurs États membres et secteurs. À l’heure actuelle, le budget de l’UE intervient principalement au moyen de subventions octroyées aux acteurs économiques ou aux autorités publiq</w:t>
      </w:r>
      <w:r>
        <w:rPr>
          <w:rFonts w:ascii="Times New Roman" w:hAnsi="Times New Roman"/>
          <w:noProof/>
          <w:lang w:val="fr-BE"/>
        </w:rPr>
        <w:t xml:space="preserve">ues, soit directement par les institutions européennes soit conjointement avec les États membres. Plus précisément, dans certains États membres, les Fonds structurels et d'investissement européens ont, ces dernières années, représenté plus de la moitié du </w:t>
      </w:r>
      <w:r>
        <w:rPr>
          <w:rFonts w:ascii="Times New Roman" w:hAnsi="Times New Roman"/>
          <w:noProof/>
          <w:lang w:val="fr-BE"/>
        </w:rPr>
        <w:t>total des investissements publics, contribuant fortement au processus de rattrapage économique et social de plusieurs régions et pays en Europe. En outre, compte tenu du fait que le soutien qu’il apporte s’étale sur plusieurs années, le budget de l’UE a au</w:t>
      </w:r>
      <w:r>
        <w:rPr>
          <w:rFonts w:ascii="Times New Roman" w:hAnsi="Times New Roman"/>
          <w:noProof/>
          <w:lang w:val="fr-BE"/>
        </w:rPr>
        <w:t>ssi un certain effet stabilisateur sur le niveau des investissements publics au fil du temps, et, comme le montre l’aide apportée à l’économie grecque, il peut jouer un rôle stabilisateur en cas de difficultés économiques</w:t>
      </w:r>
      <w:r>
        <w:rPr>
          <w:rStyle w:val="FootnoteReference"/>
          <w:rFonts w:ascii="Times New Roman" w:hAnsi="Times New Roman"/>
          <w:noProof/>
        </w:rPr>
        <w:footnoteReference w:id="7"/>
      </w:r>
      <w:r>
        <w:rPr>
          <w:noProof/>
          <w:lang w:val="fr-BE"/>
        </w:rPr>
        <w:t>.</w:t>
      </w:r>
      <w:r>
        <w:rPr>
          <w:rFonts w:ascii="Times New Roman" w:hAnsi="Times New Roman"/>
          <w:noProof/>
          <w:lang w:val="fr-BE"/>
        </w:rPr>
        <w:t xml:space="preserve"> Bien que de taille limitée, un c</w:t>
      </w:r>
      <w:r>
        <w:rPr>
          <w:rFonts w:ascii="Times New Roman" w:hAnsi="Times New Roman"/>
          <w:noProof/>
          <w:lang w:val="fr-BE"/>
        </w:rPr>
        <w:t>ertain nombre d'autres instruments disponibles au niveau de l’UE peuvent spécifiquement contribuer à atténuer les chocs économiques au niveau national ou local</w:t>
      </w:r>
      <w:r>
        <w:rPr>
          <w:rStyle w:val="FootnoteReference"/>
          <w:rFonts w:ascii="Times New Roman" w:hAnsi="Times New Roman"/>
          <w:noProof/>
        </w:rPr>
        <w:footnoteReference w:id="8"/>
      </w:r>
      <w:r>
        <w:rPr>
          <w:noProof/>
          <w:lang w:val="fr-BE"/>
        </w:rPr>
        <w:t>.</w:t>
      </w:r>
      <w:r>
        <w:rPr>
          <w:rFonts w:ascii="Times New Roman" w:hAnsi="Times New Roman"/>
          <w:noProof/>
          <w:lang w:val="fr-BE"/>
        </w:rPr>
        <w:t xml:space="preserve"> </w:t>
      </w:r>
    </w:p>
    <w:p w:rsidR="004D184E" w:rsidRDefault="007F0E45">
      <w:pPr>
        <w:jc w:val="both"/>
        <w:rPr>
          <w:rStyle w:val="FootnoteCharacters"/>
          <w:rFonts w:ascii="Times New Roman" w:hAnsi="Times New Roman"/>
          <w:noProof/>
          <w:lang w:val="fr-BE"/>
        </w:rPr>
      </w:pPr>
      <w:r>
        <w:rPr>
          <w:rFonts w:ascii="Times New Roman" w:hAnsi="Times New Roman"/>
          <w:b/>
          <w:noProof/>
          <w:lang w:val="fr-BE"/>
        </w:rPr>
        <w:t>Depuis le début du mandat de l’actuelle Commission, les Fonds structurels et d'investissement</w:t>
      </w:r>
      <w:r>
        <w:rPr>
          <w:rFonts w:ascii="Times New Roman" w:hAnsi="Times New Roman"/>
          <w:b/>
          <w:noProof/>
          <w:lang w:val="fr-BE"/>
        </w:rPr>
        <w:t xml:space="preserve"> européens et d'autres programmes importants ont été complétés par le </w:t>
      </w:r>
      <w:r>
        <w:rPr>
          <w:rStyle w:val="FootnoteCharacters"/>
          <w:rFonts w:ascii="Times New Roman" w:hAnsi="Times New Roman"/>
          <w:b/>
          <w:noProof/>
          <w:lang w:val="fr-BE"/>
        </w:rPr>
        <w:t>Fonds européen pour les investissements stratégiques</w:t>
      </w:r>
      <w:r>
        <w:rPr>
          <w:rFonts w:ascii="Times New Roman" w:hAnsi="Times New Roman"/>
          <w:b/>
          <w:noProof/>
          <w:lang w:val="fr-BE"/>
        </w:rPr>
        <w:t>.</w:t>
      </w:r>
      <w:r>
        <w:rPr>
          <w:rStyle w:val="FootnoteCharacters"/>
          <w:rFonts w:ascii="Times New Roman" w:hAnsi="Times New Roman"/>
          <w:noProof/>
          <w:lang w:val="fr-BE"/>
        </w:rPr>
        <w:t xml:space="preserve"> Le «plan Juncker» a soutenu l’investissement privé dans toute l’Europe et a permis d’amplifier de manière flexible les effets de fon</w:t>
      </w:r>
      <w:r>
        <w:rPr>
          <w:rStyle w:val="FootnoteCharacters"/>
          <w:rFonts w:ascii="Times New Roman" w:hAnsi="Times New Roman"/>
          <w:noProof/>
          <w:lang w:val="fr-BE"/>
        </w:rPr>
        <w:t>ds publics limités, en stimulant l'investissement privé</w:t>
      </w:r>
      <w:r>
        <w:rPr>
          <w:rStyle w:val="FootnoteReference"/>
          <w:rFonts w:ascii="Times New Roman" w:hAnsi="Times New Roman"/>
          <w:noProof/>
        </w:rPr>
        <w:footnoteReference w:id="9"/>
      </w:r>
      <w:r>
        <w:rPr>
          <w:rStyle w:val="FootnoteCharacters"/>
          <w:rFonts w:ascii="Times New Roman" w:hAnsi="Times New Roman"/>
          <w:noProof/>
          <w:lang w:val="fr-BE"/>
        </w:rPr>
        <w:t>.</w:t>
      </w:r>
    </w:p>
    <w:p w:rsidR="004D184E" w:rsidRDefault="007F0E45">
      <w:pPr>
        <w:jc w:val="both"/>
        <w:rPr>
          <w:rFonts w:ascii="Times New Roman" w:hAnsi="Times New Roman"/>
          <w:b/>
          <w:noProof/>
          <w:lang w:val="fr-BE"/>
        </w:rPr>
      </w:pPr>
      <w:r>
        <w:rPr>
          <w:rFonts w:ascii="Times New Roman" w:hAnsi="Times New Roman"/>
          <w:b/>
          <w:noProof/>
          <w:lang w:val="fr-BE"/>
        </w:rPr>
        <w:t>Dans des cas bien spécifiques, l’UE est autorisée à emprunter et à accorder des prêts</w:t>
      </w:r>
      <w:r>
        <w:rPr>
          <w:rFonts w:ascii="Times New Roman" w:hAnsi="Times New Roman"/>
          <w:noProof/>
          <w:lang w:val="fr-BE"/>
        </w:rPr>
        <w:t>. C’est notamment le cas pour la gestion des prêts accordés au titre du mécanisme de soutien à la balance des pai</w:t>
      </w:r>
      <w:r>
        <w:rPr>
          <w:rFonts w:ascii="Times New Roman" w:hAnsi="Times New Roman"/>
          <w:noProof/>
          <w:lang w:val="fr-BE"/>
        </w:rPr>
        <w:t>ements</w:t>
      </w:r>
      <w:r>
        <w:rPr>
          <w:rFonts w:ascii="Times New Roman" w:hAnsi="Times New Roman"/>
          <w:noProof/>
          <w:vertAlign w:val="superscript"/>
        </w:rPr>
        <w:footnoteReference w:id="10"/>
      </w:r>
      <w:r>
        <w:rPr>
          <w:rFonts w:ascii="Times New Roman" w:hAnsi="Times New Roman"/>
          <w:noProof/>
          <w:lang w:val="fr-BE"/>
        </w:rPr>
        <w:t>, qui vise à soutenir les États membres ne participant pas à la zone euro qui rencontrent des difficultés dans leur balance des paiements. C’est également le cas pour les prêts accordés au titre du mécanisme européen de stabilisation financière</w:t>
      </w:r>
      <w:r>
        <w:rPr>
          <w:rStyle w:val="FootnoteReference"/>
          <w:rFonts w:ascii="Times New Roman" w:hAnsi="Times New Roman"/>
          <w:noProof/>
        </w:rPr>
        <w:footnoteReference w:id="11"/>
      </w:r>
      <w:r>
        <w:rPr>
          <w:noProof/>
          <w:lang w:val="fr-BE"/>
        </w:rPr>
        <w:t>.</w:t>
      </w:r>
      <w:r>
        <w:rPr>
          <w:rFonts w:ascii="Times New Roman" w:hAnsi="Times New Roman"/>
          <w:noProof/>
          <w:lang w:val="fr-BE"/>
        </w:rPr>
        <w:t xml:space="preserve"> Les fonds levés et les prêts correspondants étant adossés, ces opérations n’ont aucune incidence sur le budget de l’UE tant que les États membres bénéficiaires honorent leurs obligations. </w:t>
      </w:r>
    </w:p>
    <w:p w:rsidR="004D184E" w:rsidRDefault="007F0E45">
      <w:pPr>
        <w:jc w:val="both"/>
        <w:rPr>
          <w:rFonts w:ascii="Times New Roman" w:hAnsi="Times New Roman"/>
          <w:b/>
          <w:noProof/>
          <w:lang w:val="fr-BE"/>
        </w:rPr>
      </w:pPr>
      <w:r>
        <w:rPr>
          <w:rFonts w:ascii="Times New Roman" w:hAnsi="Times New Roman"/>
          <w:b/>
          <w:noProof/>
          <w:lang w:val="fr-BE"/>
        </w:rPr>
        <w:t>En plus des subventions et des prêts, le soutien de l’UE a aussi d</w:t>
      </w:r>
      <w:r>
        <w:rPr>
          <w:rFonts w:ascii="Times New Roman" w:hAnsi="Times New Roman"/>
          <w:b/>
          <w:noProof/>
          <w:lang w:val="fr-BE"/>
        </w:rPr>
        <w:t xml:space="preserve">e plus en plus souvent pris la forme d’un appui technique. </w:t>
      </w:r>
      <w:r>
        <w:rPr>
          <w:rFonts w:ascii="Times New Roman" w:hAnsi="Times New Roman"/>
          <w:noProof/>
          <w:lang w:val="fr-BE"/>
        </w:rPr>
        <w:t>Avec la mise en place du service d’appui à la réforme structurelle en 2015, la Commission a développé son assistance technique et aide les États membres, à leur demande, à mener des réformes dans d</w:t>
      </w:r>
      <w:r>
        <w:rPr>
          <w:rFonts w:ascii="Times New Roman" w:hAnsi="Times New Roman"/>
          <w:noProof/>
          <w:lang w:val="fr-BE"/>
        </w:rPr>
        <w:t>es domaines d’action essentiels et à renforcer leurs administrations publiques.</w:t>
      </w:r>
    </w:p>
    <w:p w:rsidR="004D184E" w:rsidRDefault="007F0E45">
      <w:pPr>
        <w:jc w:val="both"/>
        <w:rPr>
          <w:rFonts w:ascii="Times New Roman" w:hAnsi="Times New Roman"/>
          <w:noProof/>
          <w:lang w:val="fr-BE"/>
        </w:rPr>
      </w:pPr>
      <w:r>
        <w:rPr>
          <w:rFonts w:ascii="Times New Roman" w:hAnsi="Times New Roman"/>
          <w:b/>
          <w:noProof/>
          <w:lang w:val="fr-BE"/>
        </w:rPr>
        <w:t>Les actions soutenues directement par le budget de l’UE sont complétées par un certain nombre d’outils et d’organes européens ou propres à la zone euro.</w:t>
      </w:r>
      <w:r>
        <w:rPr>
          <w:rFonts w:ascii="Times New Roman" w:hAnsi="Times New Roman"/>
          <w:noProof/>
          <w:lang w:val="fr-BE"/>
        </w:rPr>
        <w:t xml:space="preserve"> Certains agissent dans </w:t>
      </w:r>
      <w:r>
        <w:rPr>
          <w:rFonts w:ascii="Times New Roman" w:hAnsi="Times New Roman"/>
          <w:noProof/>
          <w:lang w:val="fr-BE"/>
        </w:rPr>
        <w:t>le cadre institutionnel de l'UE, mais en dehors du budget de l’UE, comme la Banque européenne d’investissement. D’autres ne relèvent pas du cadre juridique de l’Union, comme le Mécanisme européen de stabilité. La Banque européenne d’investissement soutient</w:t>
      </w:r>
      <w:r>
        <w:rPr>
          <w:rFonts w:ascii="Times New Roman" w:hAnsi="Times New Roman"/>
          <w:noProof/>
          <w:lang w:val="fr-BE"/>
        </w:rPr>
        <w:t xml:space="preserve"> des projets qui contribuent à l'emploi et à la croissance en Europe et ailleurs dans le monde, tandis que le Mécanisme européen de stabilité apporte un soutien financier aux États membres de la zone euro qui connaissent de graves difficultés financières. </w:t>
      </w:r>
    </w:p>
    <w:p w:rsidR="004D184E" w:rsidRDefault="007F0E45">
      <w:pPr>
        <w:keepNext/>
        <w:spacing w:after="0"/>
        <w:jc w:val="both"/>
        <w:rPr>
          <w:rFonts w:ascii="Times New Roman" w:hAnsi="Times New Roman"/>
          <w:i/>
          <w:noProof/>
          <w:lang w:val="fr-BE"/>
        </w:rPr>
      </w:pPr>
      <w:r>
        <w:rPr>
          <w:rFonts w:ascii="Times New Roman" w:hAnsi="Times New Roman"/>
          <w:b/>
          <w:noProof/>
          <w:lang w:val="fr-BE"/>
        </w:rPr>
        <w:t>Les fonds et les instruments financiers disponibles au niveau de l’UE aujourd’hui</w:t>
      </w:r>
    </w:p>
    <w:p w:rsidR="004D184E" w:rsidRDefault="007F0E45">
      <w:pPr>
        <w:spacing w:after="320"/>
        <w:rPr>
          <w:rFonts w:ascii="Times New Roman" w:hAnsi="Times New Roman"/>
          <w:noProof/>
          <w:sz w:val="20"/>
          <w:szCs w:val="20"/>
          <w:lang w:val="fr-BE"/>
        </w:rPr>
      </w:pPr>
      <w:r>
        <w:rPr>
          <w:noProof/>
          <w:lang w:eastAsia="zh-CN"/>
        </w:rPr>
        <w:drawing>
          <wp:inline distT="0" distB="0" distL="0" distR="0">
            <wp:extent cx="6084000" cy="279798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5152" b="19697"/>
                    <a:stretch/>
                  </pic:blipFill>
                  <pic:spPr bwMode="auto">
                    <a:xfrm>
                      <a:off x="0" y="0"/>
                      <a:ext cx="6084000" cy="279798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i/>
          <w:noProof/>
          <w:lang w:val="fr-BE"/>
        </w:rPr>
        <w:t xml:space="preserve">Source: Commission européenne. </w:t>
      </w:r>
      <w:r>
        <w:rPr>
          <w:rFonts w:ascii="Times New Roman" w:hAnsi="Times New Roman"/>
          <w:i/>
          <w:noProof/>
          <w:sz w:val="20"/>
          <w:lang w:val="fr-BE"/>
        </w:rPr>
        <w:t>MESF: mécanisme européen de stabilisation financière. BdP: balance des paiements.</w:t>
      </w:r>
    </w:p>
    <w:p w:rsidR="004D184E" w:rsidRDefault="007F0E45">
      <w:pPr>
        <w:jc w:val="both"/>
        <w:rPr>
          <w:rFonts w:ascii="Times New Roman" w:hAnsi="Times New Roman"/>
          <w:noProof/>
          <w:lang w:val="fr-BE"/>
        </w:rPr>
      </w:pPr>
      <w:r>
        <w:rPr>
          <w:rFonts w:ascii="Times New Roman" w:hAnsi="Times New Roman"/>
          <w:b/>
          <w:noProof/>
          <w:lang w:val="fr-BE"/>
        </w:rPr>
        <w:t>Si le budget de l’UE a toujours encouragé la convergence so</w:t>
      </w:r>
      <w:r>
        <w:rPr>
          <w:rFonts w:ascii="Times New Roman" w:hAnsi="Times New Roman"/>
          <w:b/>
          <w:noProof/>
          <w:lang w:val="fr-BE"/>
        </w:rPr>
        <w:t>ciale et économique vers le haut et si la capacité de prêt disponible au niveau de l’UE a été augmentée ces dernières années pour pouvoir réagir à des circonstances extrêmes, la stabilisation macroéconomique n’a jusqu’ici pas été un objectif explicite du b</w:t>
      </w:r>
      <w:r>
        <w:rPr>
          <w:rFonts w:ascii="Times New Roman" w:hAnsi="Times New Roman"/>
          <w:b/>
          <w:noProof/>
          <w:lang w:val="fr-BE"/>
        </w:rPr>
        <w:t xml:space="preserve">udget de l’UE. </w:t>
      </w:r>
      <w:r>
        <w:rPr>
          <w:rFonts w:ascii="Times New Roman" w:hAnsi="Times New Roman"/>
          <w:noProof/>
          <w:lang w:val="fr-BE"/>
        </w:rPr>
        <w:t>L’expérience des années de crise a aussi montré que la structure et le champ d'action des finances publiques de l’UE ne sont pas encore complètement adaptés aux besoins spécifiques de l’Union économique et monétaire - ni pour les États membr</w:t>
      </w:r>
      <w:r>
        <w:rPr>
          <w:rFonts w:ascii="Times New Roman" w:hAnsi="Times New Roman"/>
          <w:noProof/>
          <w:lang w:val="fr-BE"/>
        </w:rPr>
        <w:t xml:space="preserve">es participant à la zone euro, ni pour ceux désireux d’y adhérer. </w:t>
      </w:r>
    </w:p>
    <w:p w:rsidR="004D184E" w:rsidRDefault="007F0E45">
      <w:pPr>
        <w:jc w:val="both"/>
        <w:rPr>
          <w:rFonts w:ascii="Times New Roman" w:hAnsi="Times New Roman"/>
          <w:noProof/>
          <w:lang w:val="fr-BE"/>
        </w:rPr>
      </w:pPr>
      <w:r>
        <w:rPr>
          <w:rFonts w:ascii="Times New Roman" w:hAnsi="Times New Roman"/>
          <w:b/>
          <w:noProof/>
          <w:lang w:val="fr-BE"/>
        </w:rPr>
        <w:t>La solution à ces problèmes n'est pas nécessairement financière avant tout</w:t>
      </w:r>
      <w:r>
        <w:rPr>
          <w:rFonts w:ascii="Times New Roman" w:hAnsi="Times New Roman"/>
          <w:noProof/>
          <w:lang w:val="fr-BE"/>
        </w:rPr>
        <w:t>.</w:t>
      </w:r>
      <w:r>
        <w:rPr>
          <w:rFonts w:ascii="Times New Roman" w:hAnsi="Times New Roman"/>
          <w:b/>
          <w:noProof/>
          <w:lang w:val="fr-BE"/>
        </w:rPr>
        <w:t xml:space="preserve"> </w:t>
      </w:r>
      <w:r>
        <w:rPr>
          <w:rFonts w:ascii="Times New Roman" w:hAnsi="Times New Roman"/>
          <w:noProof/>
          <w:lang w:val="fr-BE"/>
        </w:rPr>
        <w:t xml:space="preserve">D’importants progrès ont déjà été accomplis et des efforts plus soutenus devraient être consentis pour améliorer </w:t>
      </w:r>
      <w:r>
        <w:rPr>
          <w:rFonts w:ascii="Times New Roman" w:hAnsi="Times New Roman"/>
          <w:noProof/>
          <w:lang w:val="fr-BE"/>
        </w:rPr>
        <w:t>le cadre réglementaire et le cadre d’action tant au niveau de l’UE qu’au niveau national. La série d'initiatives présentée aujourd’hui contient une feuille de route concernant les efforts supplémentaires à fournir</w:t>
      </w:r>
      <w:r>
        <w:rPr>
          <w:rStyle w:val="FootnoteReference"/>
          <w:rFonts w:ascii="Times New Roman" w:hAnsi="Times New Roman"/>
          <w:noProof/>
        </w:rPr>
        <w:footnoteReference w:id="12"/>
      </w:r>
      <w:r>
        <w:rPr>
          <w:noProof/>
          <w:lang w:val="fr-BE"/>
        </w:rPr>
        <w:t>.</w:t>
      </w:r>
      <w:r>
        <w:rPr>
          <w:rFonts w:ascii="Times New Roman" w:hAnsi="Times New Roman"/>
          <w:noProof/>
          <w:lang w:val="fr-BE"/>
        </w:rPr>
        <w:t xml:space="preserve"> </w:t>
      </w:r>
    </w:p>
    <w:p w:rsidR="004D184E" w:rsidRDefault="007F0E45">
      <w:pPr>
        <w:jc w:val="both"/>
        <w:rPr>
          <w:rFonts w:ascii="Times New Roman" w:hAnsi="Times New Roman"/>
          <w:noProof/>
          <w:lang w:val="fr-BE"/>
        </w:rPr>
      </w:pPr>
      <w:r>
        <w:rPr>
          <w:rFonts w:ascii="Times New Roman" w:hAnsi="Times New Roman"/>
          <w:noProof/>
          <w:lang w:val="fr-BE"/>
        </w:rPr>
        <w:t>Toutefois, parmi les enseignements tiré</w:t>
      </w:r>
      <w:r>
        <w:rPr>
          <w:rFonts w:ascii="Times New Roman" w:hAnsi="Times New Roman"/>
          <w:noProof/>
          <w:lang w:val="fr-BE"/>
        </w:rPr>
        <w:t xml:space="preserve">s au fil des années, on notera que les finances publiques de l'UE doivent permettre de mieux s'attaquer à trois problèmes liés et bien identifiés: </w:t>
      </w:r>
    </w:p>
    <w:p w:rsidR="004D184E" w:rsidRDefault="007F0E45">
      <w:pPr>
        <w:ind w:left="426" w:hanging="426"/>
        <w:jc w:val="both"/>
        <w:rPr>
          <w:rFonts w:ascii="Times New Roman" w:hAnsi="Times New Roman"/>
          <w:noProof/>
          <w:lang w:val="fr-BE"/>
        </w:rPr>
      </w:pPr>
      <w:r>
        <w:rPr>
          <w:rFonts w:ascii="Times New Roman" w:hAnsi="Times New Roman"/>
          <w:b/>
          <w:noProof/>
          <w:lang w:val="fr-BE"/>
        </w:rPr>
        <w:t>1)</w:t>
      </w:r>
      <w:r>
        <w:rPr>
          <w:noProof/>
          <w:lang w:val="fr-BE"/>
        </w:rPr>
        <w:tab/>
      </w:r>
      <w:r>
        <w:rPr>
          <w:rFonts w:ascii="Times New Roman" w:hAnsi="Times New Roman"/>
          <w:b/>
          <w:noProof/>
          <w:lang w:val="fr-BE"/>
        </w:rPr>
        <w:t xml:space="preserve">Promouvoir et soutenir les réformes structurelles dans les États membres afin de renforcer la résilience </w:t>
      </w:r>
      <w:r>
        <w:rPr>
          <w:rFonts w:ascii="Times New Roman" w:hAnsi="Times New Roman"/>
          <w:b/>
          <w:noProof/>
          <w:lang w:val="fr-BE"/>
        </w:rPr>
        <w:t xml:space="preserve">des structures économiques et d’améliorer la convergence des performances. </w:t>
      </w:r>
      <w:r>
        <w:rPr>
          <w:rFonts w:ascii="Times New Roman" w:hAnsi="Times New Roman"/>
          <w:noProof/>
          <w:lang w:val="fr-BE"/>
        </w:rPr>
        <w:t>C’est notamment le cas pour les pays qui partagent la monnaie unique, mais également pour les États membres désireux d’adopter celle-ci, car des structures résilientes sont essentie</w:t>
      </w:r>
      <w:r>
        <w:rPr>
          <w:rFonts w:ascii="Times New Roman" w:hAnsi="Times New Roman"/>
          <w:noProof/>
          <w:lang w:val="fr-BE"/>
        </w:rPr>
        <w:t>lles pour une participation sans heurts à la zone euro. Les années de crise ont clairement montré l’importance de disposer de structures sociales et économiques modernes capables de réagir rapidement aux chocs afin d’éviter d'aggraver les tensions économiq</w:t>
      </w:r>
      <w:r>
        <w:rPr>
          <w:rFonts w:ascii="Times New Roman" w:hAnsi="Times New Roman"/>
          <w:noProof/>
          <w:lang w:val="fr-BE"/>
        </w:rPr>
        <w:t>ues ou sociales. Elles ont aussi eu une incidence significative, exacerbée dans certaines parties de l’Europe, en termes de production économique, de chômage, d’investissements et d’opérations de sauvetage de banques. Ce n’est qu’aujourd’hui, presque dix a</w:t>
      </w:r>
      <w:r>
        <w:rPr>
          <w:rFonts w:ascii="Times New Roman" w:hAnsi="Times New Roman"/>
          <w:noProof/>
          <w:lang w:val="fr-BE"/>
        </w:rPr>
        <w:t>ns après l’éclatement de la crise, que des signes indiquent que le processus à long terme de convergence des niveaux de vie a repris.</w:t>
      </w:r>
    </w:p>
    <w:p w:rsidR="004D184E" w:rsidRDefault="007F0E45">
      <w:pPr>
        <w:ind w:left="426" w:hanging="426"/>
        <w:jc w:val="both"/>
        <w:rPr>
          <w:rFonts w:ascii="Times New Roman" w:hAnsi="Times New Roman"/>
          <w:noProof/>
          <w:lang w:val="fr-BE"/>
        </w:rPr>
      </w:pPr>
      <w:r>
        <w:rPr>
          <w:rFonts w:ascii="Times New Roman" w:hAnsi="Times New Roman"/>
          <w:b/>
          <w:noProof/>
          <w:lang w:val="fr-BE"/>
        </w:rPr>
        <w:t>2)</w:t>
      </w:r>
      <w:r>
        <w:rPr>
          <w:noProof/>
          <w:lang w:val="fr-BE"/>
        </w:rPr>
        <w:tab/>
      </w:r>
      <w:r>
        <w:rPr>
          <w:rFonts w:ascii="Times New Roman" w:hAnsi="Times New Roman"/>
          <w:b/>
          <w:noProof/>
          <w:lang w:val="fr-BE"/>
        </w:rPr>
        <w:t>Aider les États membres de la zone euro à mieux s'adapter à l'évolution rapide de la situation économique et à stabilis</w:t>
      </w:r>
      <w:r>
        <w:rPr>
          <w:rFonts w:ascii="Times New Roman" w:hAnsi="Times New Roman"/>
          <w:b/>
          <w:noProof/>
          <w:lang w:val="fr-BE"/>
        </w:rPr>
        <w:t>er leur économie en cas de chocs asymétriques de grande ampleur.</w:t>
      </w:r>
      <w:r>
        <w:rPr>
          <w:rFonts w:ascii="Times New Roman" w:hAnsi="Times New Roman"/>
          <w:noProof/>
          <w:lang w:val="fr-BE"/>
        </w:rPr>
        <w:t xml:space="preserve"> Du fait de l’unification de la politique monétaire dans une zone à monnaie unique, les instruments de politique macroéconomique dont disposent les États membres participants ne sont plus les </w:t>
      </w:r>
      <w:r>
        <w:rPr>
          <w:rFonts w:ascii="Times New Roman" w:hAnsi="Times New Roman"/>
          <w:noProof/>
          <w:lang w:val="fr-BE"/>
        </w:rPr>
        <w:t>mêmes. Alors que chaque pays est différent et que la taille et la structure de son économie sont des facteurs déterminants en ce qui concerne la probabilité qu’il soit exposé aux chocs, la crise a mis en évidence les limites des moyens dont les États membr</w:t>
      </w:r>
      <w:r>
        <w:rPr>
          <w:rFonts w:ascii="Times New Roman" w:hAnsi="Times New Roman"/>
          <w:noProof/>
          <w:lang w:val="fr-BE"/>
        </w:rPr>
        <w:t>es de la zone euro disposent individuellement pour absorber les effets de chocs asymétriques de grande ampleur, certains perdant l’accès aux marchés pour se financer. Dans plusieurs cas, il en est résulté des récessions prolongées et des retombées négative</w:t>
      </w:r>
      <w:r>
        <w:rPr>
          <w:rFonts w:ascii="Times New Roman" w:hAnsi="Times New Roman"/>
          <w:noProof/>
          <w:lang w:val="fr-BE"/>
        </w:rPr>
        <w:t>s sur d’autres États membres.</w:t>
      </w:r>
    </w:p>
    <w:p w:rsidR="004D184E" w:rsidRDefault="007F0E45">
      <w:pPr>
        <w:spacing w:after="240"/>
        <w:ind w:left="426" w:hanging="426"/>
        <w:jc w:val="both"/>
        <w:rPr>
          <w:rFonts w:ascii="Times New Roman" w:hAnsi="Times New Roman"/>
          <w:noProof/>
          <w:lang w:val="fr-BE"/>
        </w:rPr>
      </w:pPr>
      <w:r>
        <w:rPr>
          <w:rFonts w:ascii="Times New Roman" w:hAnsi="Times New Roman"/>
          <w:b/>
          <w:noProof/>
          <w:lang w:val="fr-BE"/>
        </w:rPr>
        <w:t>3)</w:t>
      </w:r>
      <w:r>
        <w:rPr>
          <w:noProof/>
          <w:lang w:val="fr-BE"/>
        </w:rPr>
        <w:tab/>
      </w:r>
      <w:r>
        <w:rPr>
          <w:rFonts w:ascii="Times New Roman" w:hAnsi="Times New Roman"/>
          <w:b/>
          <w:noProof/>
          <w:lang w:val="fr-BE"/>
        </w:rPr>
        <w:t>Briser le lien entre la dette souveraine et la situation des banques, réduire les risques systémiques et renforcer la capacité de réaction collective à de possibles défaillances bancaires majeures</w:t>
      </w:r>
      <w:r>
        <w:rPr>
          <w:rFonts w:ascii="Times New Roman" w:hAnsi="Times New Roman"/>
          <w:noProof/>
          <w:lang w:val="fr-BE"/>
        </w:rPr>
        <w:t>, mais aussi</w:t>
      </w:r>
      <w:r>
        <w:rPr>
          <w:rFonts w:ascii="Times New Roman" w:hAnsi="Times New Roman"/>
          <w:b/>
          <w:noProof/>
          <w:lang w:val="fr-BE"/>
        </w:rPr>
        <w:t xml:space="preserve"> </w:t>
      </w:r>
      <w:r>
        <w:rPr>
          <w:rFonts w:ascii="Times New Roman" w:hAnsi="Times New Roman"/>
          <w:noProof/>
          <w:lang w:val="fr-BE"/>
        </w:rPr>
        <w:t>prévenir la co</w:t>
      </w:r>
      <w:r>
        <w:rPr>
          <w:rFonts w:ascii="Times New Roman" w:hAnsi="Times New Roman"/>
          <w:noProof/>
          <w:lang w:val="fr-BE"/>
        </w:rPr>
        <w:t>ntagion. Le principe d’un filet de sécurité pour améliorer la capacité du Fonds de résolution unique à faire face aux résolutions bancaires a déjà été approuvé en 2013. Ce filet de sécurité est censé agir en tant qu’assurance de dernier recours et est impo</w:t>
      </w:r>
      <w:r>
        <w:rPr>
          <w:rFonts w:ascii="Times New Roman" w:hAnsi="Times New Roman"/>
          <w:noProof/>
          <w:lang w:val="fr-BE"/>
        </w:rPr>
        <w:t>rtant pour renforcer encore la confiance dans le système bancaire européen.</w:t>
      </w:r>
    </w:p>
    <w:p w:rsidR="004D184E" w:rsidRDefault="007F0E45">
      <w:pPr>
        <w:jc w:val="both"/>
        <w:rPr>
          <w:rFonts w:ascii="Times New Roman" w:hAnsi="Times New Roman"/>
          <w:noProof/>
          <w:lang w:val="fr-BE"/>
        </w:rPr>
      </w:pPr>
      <w:r>
        <w:rPr>
          <w:rFonts w:ascii="Times New Roman" w:hAnsi="Times New Roman"/>
          <w:b/>
          <w:noProof/>
          <w:sz w:val="12"/>
          <w:szCs w:val="12"/>
          <w:lang w:val="fr-BE"/>
        </w:rPr>
        <w:br/>
      </w:r>
      <w:r>
        <w:rPr>
          <w:rFonts w:ascii="Times New Roman" w:hAnsi="Times New Roman"/>
          <w:b/>
          <w:noProof/>
          <w:lang w:val="fr-BE"/>
        </w:rPr>
        <w:t>Dans ce contexte, il est possible d’élaborer au niveau de l’UE des instruments budgétaires partagés susceptibles de contribuer à la stabilité de la zone euro,</w:t>
      </w:r>
      <w:r>
        <w:rPr>
          <w:rFonts w:ascii="Times New Roman" w:hAnsi="Times New Roman"/>
          <w:noProof/>
          <w:lang w:val="fr-BE"/>
        </w:rPr>
        <w:t xml:space="preserve"> </w:t>
      </w:r>
      <w:r>
        <w:rPr>
          <w:rFonts w:ascii="Times New Roman" w:hAnsi="Times New Roman"/>
          <w:b/>
          <w:noProof/>
          <w:lang w:val="fr-BE"/>
        </w:rPr>
        <w:t xml:space="preserve">mais aussi de </w:t>
      </w:r>
      <w:r>
        <w:rPr>
          <w:rFonts w:ascii="Times New Roman" w:hAnsi="Times New Roman"/>
          <w:b/>
          <w:noProof/>
          <w:lang w:val="fr-BE"/>
        </w:rPr>
        <w:t>profiter à l’UE dans son ensemble.</w:t>
      </w:r>
      <w:r>
        <w:rPr>
          <w:rFonts w:ascii="Times New Roman" w:hAnsi="Times New Roman"/>
          <w:noProof/>
          <w:lang w:val="fr-BE"/>
        </w:rPr>
        <w:t xml:space="preserve"> Pour garantir leur succès et leur efficacité, et maximiser leur efficience pour le contribuable, ces instruments doivent être conçus en pleine synergie avec d’autres instruments budgétaires existant dans le cadre plus lar</w:t>
      </w:r>
      <w:r>
        <w:rPr>
          <w:rFonts w:ascii="Times New Roman" w:hAnsi="Times New Roman"/>
          <w:noProof/>
          <w:lang w:val="fr-BE"/>
        </w:rPr>
        <w:t>ge de l’Union. La modernisation des finances publiques de l’UE, pour laquelle des propositions de la Commission suivront en mai 2018, sera une occasion unique pour l’UE et pour la zone euro de se doter des moyens dont elle a besoin.</w:t>
      </w:r>
    </w:p>
    <w:p w:rsidR="004D184E" w:rsidRDefault="004D184E">
      <w:pPr>
        <w:jc w:val="both"/>
        <w:rPr>
          <w:rFonts w:ascii="Times New Roman" w:hAnsi="Times New Roman"/>
          <w:noProof/>
          <w:lang w:val="fr-BE"/>
        </w:rPr>
      </w:pPr>
    </w:p>
    <w:p w:rsidR="004D184E" w:rsidRDefault="007F0E45">
      <w:pPr>
        <w:pStyle w:val="ListParagraph"/>
        <w:numPr>
          <w:ilvl w:val="0"/>
          <w:numId w:val="34"/>
        </w:numPr>
        <w:ind w:hanging="720"/>
        <w:rPr>
          <w:rFonts w:ascii="Times New Roman" w:hAnsi="Times New Roman" w:cs="Times New Roman"/>
          <w:b/>
          <w:noProof/>
          <w:u w:val="single"/>
          <w:lang w:val="fr-BE"/>
        </w:rPr>
      </w:pPr>
      <w:r>
        <w:rPr>
          <w:rFonts w:ascii="Times New Roman" w:hAnsi="Times New Roman"/>
          <w:b/>
          <w:noProof/>
          <w:u w:val="single"/>
          <w:lang w:val="fr-BE"/>
        </w:rPr>
        <w:t>DES FINANCES PUBLIQUES</w:t>
      </w:r>
      <w:r>
        <w:rPr>
          <w:rFonts w:ascii="Times New Roman" w:hAnsi="Times New Roman"/>
          <w:b/>
          <w:noProof/>
          <w:u w:val="single"/>
          <w:lang w:val="fr-BE"/>
        </w:rPr>
        <w:t xml:space="preserve"> EUROPÉENNES PLUS MODERNES ET TOURNÉES VERS L’AVENIR </w:t>
      </w:r>
    </w:p>
    <w:p w:rsidR="004D184E" w:rsidRDefault="004D184E">
      <w:pPr>
        <w:pStyle w:val="ListParagraph"/>
        <w:ind w:left="0"/>
        <w:jc w:val="both"/>
        <w:rPr>
          <w:rFonts w:ascii="Times New Roman" w:hAnsi="Times New Roman" w:cs="Times New Roman"/>
          <w:noProof/>
          <w:lang w:val="fr-BE"/>
        </w:rPr>
      </w:pPr>
    </w:p>
    <w:p w:rsidR="004D184E" w:rsidRDefault="007F0E45">
      <w:pPr>
        <w:jc w:val="both"/>
        <w:rPr>
          <w:rFonts w:ascii="Times New Roman" w:hAnsi="Times New Roman"/>
          <w:noProof/>
          <w:lang w:val="fr-BE"/>
        </w:rPr>
      </w:pPr>
      <w:r>
        <w:rPr>
          <w:rFonts w:ascii="Times New Roman" w:hAnsi="Times New Roman"/>
          <w:noProof/>
          <w:lang w:val="fr-BE"/>
        </w:rPr>
        <w:t>Le document de réflexion sur l’avenir des finances de l’UE a jeté les bases d’un cadre budgétaire moderne et tourné vers l’avenir pour l’après-2020. Dans le prolongement du discours du président Juncke</w:t>
      </w:r>
      <w:r>
        <w:rPr>
          <w:rFonts w:ascii="Times New Roman" w:hAnsi="Times New Roman"/>
          <w:noProof/>
          <w:lang w:val="fr-BE"/>
        </w:rPr>
        <w:t>r sur l’état de l’Union, cette communication se concentre sur quatre mécanismes spécifiques:</w:t>
      </w:r>
    </w:p>
    <w:p w:rsidR="004D184E" w:rsidRDefault="007F0E45">
      <w:pPr>
        <w:numPr>
          <w:ilvl w:val="0"/>
          <w:numId w:val="12"/>
        </w:numPr>
        <w:jc w:val="both"/>
        <w:rPr>
          <w:rFonts w:ascii="Times New Roman" w:hAnsi="Times New Roman"/>
          <w:noProof/>
          <w:lang w:val="fr-BE"/>
        </w:rPr>
      </w:pPr>
      <w:r>
        <w:rPr>
          <w:rFonts w:ascii="Times New Roman" w:hAnsi="Times New Roman"/>
          <w:b/>
          <w:noProof/>
          <w:lang w:val="fr-BE"/>
        </w:rPr>
        <w:t xml:space="preserve">La présente communication propose une nouvelle forme d'appui aux réformes nationales recensées dans le cadre du Semestre européen pour la coordination des </w:t>
      </w:r>
      <w:r>
        <w:rPr>
          <w:rFonts w:ascii="Times New Roman" w:hAnsi="Times New Roman"/>
          <w:b/>
          <w:noProof/>
          <w:lang w:val="fr-BE"/>
        </w:rPr>
        <w:t>politiques économiques, fondée sur l'appui tant budgétaire que technique</w:t>
      </w:r>
      <w:r>
        <w:rPr>
          <w:rFonts w:ascii="Times New Roman" w:hAnsi="Times New Roman"/>
          <w:noProof/>
          <w:lang w:val="fr-BE"/>
        </w:rPr>
        <w:t>. Des premières mesures sont proposées pour la période 2018-2020 sous la forme de modifications ciblées du règlement portant dispositions communes régissant les Fonds structurels et d'</w:t>
      </w:r>
      <w:r>
        <w:rPr>
          <w:rFonts w:ascii="Times New Roman" w:hAnsi="Times New Roman"/>
          <w:noProof/>
          <w:lang w:val="fr-BE"/>
        </w:rPr>
        <w:t>investissement européens et d’un renforcement de l’actuel programme d'appui à la réforme structurelle. S’agissant du cadre financier pluriannuel pour l’après-2020, la Commission a l’intention de présenter un nouvel outil d’aide à la mise en place des réfor</w:t>
      </w:r>
      <w:r>
        <w:rPr>
          <w:rFonts w:ascii="Times New Roman" w:hAnsi="Times New Roman"/>
          <w:noProof/>
          <w:lang w:val="fr-BE"/>
        </w:rPr>
        <w:t>mes destiné à soutenir financièrement les engagements pris par les États membres en matière de réformes. En outre, elle proposera de renforcer l’appui technique pour la période de l’après-2020, en s’appuyant sur l’expérience du programme d'appui à la réfor</w:t>
      </w:r>
      <w:r>
        <w:rPr>
          <w:rFonts w:ascii="Times New Roman" w:hAnsi="Times New Roman"/>
          <w:noProof/>
          <w:lang w:val="fr-BE"/>
        </w:rPr>
        <w:t xml:space="preserve">me structurelle. </w:t>
      </w:r>
    </w:p>
    <w:p w:rsidR="004D184E" w:rsidRDefault="007F0E45">
      <w:pPr>
        <w:numPr>
          <w:ilvl w:val="0"/>
          <w:numId w:val="12"/>
        </w:numPr>
        <w:jc w:val="both"/>
        <w:rPr>
          <w:rFonts w:ascii="Times New Roman" w:hAnsi="Times New Roman"/>
          <w:noProof/>
          <w:lang w:val="fr-BE"/>
        </w:rPr>
      </w:pPr>
      <w:r>
        <w:rPr>
          <w:rFonts w:ascii="Times New Roman" w:hAnsi="Times New Roman"/>
          <w:b/>
          <w:noProof/>
          <w:lang w:val="fr-BE"/>
        </w:rPr>
        <w:t>La présente communication propose la mise en place d’un mécanisme spécifique de soutien à la convergence pour aider les États membres sur la voie menant à l’adoption de l’euro</w:t>
      </w:r>
      <w:r>
        <w:rPr>
          <w:rFonts w:ascii="Times New Roman" w:hAnsi="Times New Roman"/>
          <w:noProof/>
          <w:lang w:val="fr-BE"/>
        </w:rPr>
        <w:t>. Pour la période 2018-2020, la Commission propose de mettre en</w:t>
      </w:r>
      <w:r>
        <w:rPr>
          <w:rFonts w:ascii="Times New Roman" w:hAnsi="Times New Roman"/>
          <w:noProof/>
          <w:lang w:val="fr-BE"/>
        </w:rPr>
        <w:t xml:space="preserve"> place un axe de travail spécifique dans le cadre du programme d’appui à la réforme structurelle. Pour la période de l’après-2020, cet axe devrait se muer en mécanisme spécifique. Le choix des réformes prioritaires sera examiné et fera l’objet d’un suivi d</w:t>
      </w:r>
      <w:r>
        <w:rPr>
          <w:rFonts w:ascii="Times New Roman" w:hAnsi="Times New Roman"/>
          <w:noProof/>
          <w:lang w:val="fr-BE"/>
        </w:rPr>
        <w:t>ans le cadre du Semestre européen.</w:t>
      </w:r>
    </w:p>
    <w:p w:rsidR="004D184E" w:rsidRDefault="007F0E45">
      <w:pPr>
        <w:numPr>
          <w:ilvl w:val="0"/>
          <w:numId w:val="12"/>
        </w:numPr>
        <w:jc w:val="both"/>
        <w:rPr>
          <w:rFonts w:ascii="Times New Roman" w:hAnsi="Times New Roman"/>
          <w:noProof/>
          <w:lang w:val="fr-BE"/>
        </w:rPr>
      </w:pPr>
      <w:r>
        <w:rPr>
          <w:rFonts w:ascii="Times New Roman" w:hAnsi="Times New Roman"/>
          <w:b/>
          <w:noProof/>
          <w:lang w:val="fr-BE"/>
        </w:rPr>
        <w:t xml:space="preserve">La présente communication fixe les principales caractéristiques d’un filet de sécurité de l’union bancaire. </w:t>
      </w:r>
      <w:r>
        <w:rPr>
          <w:rFonts w:ascii="Times New Roman" w:hAnsi="Times New Roman"/>
          <w:noProof/>
          <w:lang w:val="fr-BE"/>
        </w:rPr>
        <w:t>Ce dispositif consiste en l’octroi d’une ligne de crédit ou de garanties par l’intermédiaire du mécanisme europée</w:t>
      </w:r>
      <w:r>
        <w:rPr>
          <w:rFonts w:ascii="Times New Roman" w:hAnsi="Times New Roman"/>
          <w:noProof/>
          <w:lang w:val="fr-BE"/>
        </w:rPr>
        <w:t xml:space="preserve">n de stabilité/Fonds monétaire européen, à mettre directement à la disposition du Fonds de résolution unique. </w:t>
      </w:r>
    </w:p>
    <w:p w:rsidR="004D184E" w:rsidRDefault="007F0E45">
      <w:pPr>
        <w:numPr>
          <w:ilvl w:val="0"/>
          <w:numId w:val="12"/>
        </w:numPr>
        <w:jc w:val="both"/>
        <w:rPr>
          <w:rFonts w:ascii="Times New Roman" w:hAnsi="Times New Roman"/>
          <w:noProof/>
          <w:lang w:val="fr-BE"/>
        </w:rPr>
      </w:pPr>
      <w:r>
        <w:rPr>
          <w:rFonts w:ascii="Times New Roman" w:hAnsi="Times New Roman"/>
          <w:b/>
          <w:noProof/>
          <w:lang w:val="fr-BE"/>
        </w:rPr>
        <w:t>La présente communication expose certaines caractéristiques essentielles du déploiement d’un mécanisme de stabilisation</w:t>
      </w:r>
      <w:r>
        <w:rPr>
          <w:noProof/>
          <w:lang w:val="fr-BE"/>
        </w:rPr>
        <w:t xml:space="preserve"> </w:t>
      </w:r>
      <w:r>
        <w:rPr>
          <w:rFonts w:ascii="Times New Roman" w:hAnsi="Times New Roman"/>
          <w:noProof/>
          <w:lang w:val="fr-BE"/>
        </w:rPr>
        <w:t>visant à préserver les ni</w:t>
      </w:r>
      <w:r>
        <w:rPr>
          <w:rFonts w:ascii="Times New Roman" w:hAnsi="Times New Roman"/>
          <w:noProof/>
          <w:lang w:val="fr-BE"/>
        </w:rPr>
        <w:t>veaux d’investissement en cas de chocs asymétriques de grande ampleur.</w:t>
      </w:r>
      <w:r>
        <w:rPr>
          <w:rFonts w:ascii="Times New Roman" w:hAnsi="Times New Roman"/>
          <w:b/>
          <w:noProof/>
          <w:lang w:val="fr-BE"/>
        </w:rPr>
        <w:t xml:space="preserve"> </w:t>
      </w:r>
      <w:r>
        <w:rPr>
          <w:rFonts w:ascii="Times New Roman" w:hAnsi="Times New Roman"/>
          <w:noProof/>
          <w:lang w:val="fr-BE"/>
        </w:rPr>
        <w:t>Le mécanisme de stabilisation est conçu pour les États membres de la zone euro et devrait être ouvert aux autres États membres de l’UE. Il conviendrait d’en tenir compte dans le montage</w:t>
      </w:r>
      <w:r>
        <w:rPr>
          <w:rFonts w:ascii="Times New Roman" w:hAnsi="Times New Roman"/>
          <w:noProof/>
          <w:lang w:val="fr-BE"/>
        </w:rPr>
        <w:t xml:space="preserve"> financier final.</w:t>
      </w:r>
    </w:p>
    <w:p w:rsidR="004D184E" w:rsidRDefault="007F0E45">
      <w:pPr>
        <w:jc w:val="both"/>
        <w:rPr>
          <w:rFonts w:ascii="Times New Roman" w:hAnsi="Times New Roman"/>
          <w:b/>
          <w:noProof/>
          <w:lang w:val="fr-BE"/>
        </w:rPr>
      </w:pPr>
      <w:r>
        <w:rPr>
          <w:rFonts w:ascii="Times New Roman" w:hAnsi="Times New Roman"/>
          <w:noProof/>
          <w:lang w:val="fr-BE"/>
        </w:rPr>
        <w:t xml:space="preserve">Ces mécanismes sont décrits de manière plus détaillée dans les sections qui suivent. Toutefois, avant d’entrer dans les détails, il convient de garder à l’esprit un certain nombre de principes fondamentaux. </w:t>
      </w:r>
    </w:p>
    <w:p w:rsidR="004D184E" w:rsidRDefault="007F0E45">
      <w:pPr>
        <w:numPr>
          <w:ilvl w:val="0"/>
          <w:numId w:val="12"/>
        </w:numPr>
        <w:jc w:val="both"/>
        <w:rPr>
          <w:rFonts w:ascii="Times New Roman" w:hAnsi="Times New Roman"/>
          <w:noProof/>
          <w:lang w:val="fr-BE"/>
        </w:rPr>
      </w:pPr>
      <w:r>
        <w:rPr>
          <w:rFonts w:ascii="Times New Roman" w:hAnsi="Times New Roman"/>
          <w:b/>
          <w:noProof/>
          <w:lang w:val="fr-BE"/>
        </w:rPr>
        <w:t>Premièrement, si certains méca</w:t>
      </w:r>
      <w:r>
        <w:rPr>
          <w:rFonts w:ascii="Times New Roman" w:hAnsi="Times New Roman"/>
          <w:b/>
          <w:noProof/>
          <w:lang w:val="fr-BE"/>
        </w:rPr>
        <w:t>nismes sont axés sur les besoins plus spécifiques des États membres de la zone euro, d’une part, et des États membres n’appartenant pas à cette zone, d’autre part, ils sont néanmoins tous ancrés dans une démarche commune de l’UE et une vision du cadre plus</w:t>
      </w:r>
      <w:r>
        <w:rPr>
          <w:rFonts w:ascii="Times New Roman" w:hAnsi="Times New Roman"/>
          <w:b/>
          <w:noProof/>
          <w:lang w:val="fr-BE"/>
        </w:rPr>
        <w:t xml:space="preserve"> large de l’UE. </w:t>
      </w:r>
      <w:r>
        <w:rPr>
          <w:rFonts w:ascii="Times New Roman" w:hAnsi="Times New Roman"/>
          <w:noProof/>
          <w:lang w:val="fr-BE"/>
        </w:rPr>
        <w:t>Il sera essentiel, lorsque ces instruments seront conçus, d’avoir une idée claire des finances publiques globales de l’UE - d’aujourd’hui et de demain: cela permettra de renforcer les synergies entre tous les acteurs et les instruments de f</w:t>
      </w:r>
      <w:r>
        <w:rPr>
          <w:rFonts w:ascii="Times New Roman" w:hAnsi="Times New Roman"/>
          <w:noProof/>
          <w:lang w:val="fr-BE"/>
        </w:rPr>
        <w:t>inancement, d’éviter les doubles emplois et, en fin de compte, de garantir un meilleur retour sur investissement pour chaque euro dépensé collectivement. Cela est d’autant plus nécessaire que, comme le rappellent l'ensemble des initiatives présentées aujou</w:t>
      </w:r>
      <w:r>
        <w:rPr>
          <w:rFonts w:ascii="Times New Roman" w:hAnsi="Times New Roman"/>
          <w:noProof/>
          <w:lang w:val="fr-BE"/>
        </w:rPr>
        <w:t xml:space="preserve">rd’hui, l’avenir des États membres de la zone euro et celui de ceux qui n’en font pas partie sont étroitement liés et que la distinction entre eux a tendance à s’estomper avec le temps. </w:t>
      </w:r>
    </w:p>
    <w:p w:rsidR="004D184E" w:rsidRDefault="007F0E45">
      <w:pPr>
        <w:numPr>
          <w:ilvl w:val="0"/>
          <w:numId w:val="12"/>
        </w:numPr>
        <w:jc w:val="both"/>
        <w:rPr>
          <w:rFonts w:ascii="Times New Roman" w:hAnsi="Times New Roman"/>
          <w:noProof/>
        </w:rPr>
      </w:pPr>
      <w:r>
        <w:rPr>
          <w:rFonts w:ascii="Times New Roman" w:hAnsi="Times New Roman"/>
          <w:b/>
          <w:noProof/>
          <w:lang w:val="fr-BE"/>
        </w:rPr>
        <w:t>Deuxièmement, si le reste du présent document porte principalement su</w:t>
      </w:r>
      <w:r>
        <w:rPr>
          <w:rFonts w:ascii="Times New Roman" w:hAnsi="Times New Roman"/>
          <w:b/>
          <w:noProof/>
          <w:lang w:val="fr-BE"/>
        </w:rPr>
        <w:t xml:space="preserve">r le volet «dépenses» des finances publiques de l’UE, un système de ressources propres plus moderne pourrait aussi être d’une grande utilité à l’avenir. </w:t>
      </w:r>
      <w:r>
        <w:rPr>
          <w:rFonts w:ascii="Times New Roman" w:hAnsi="Times New Roman"/>
          <w:noProof/>
          <w:lang w:val="fr-BE"/>
        </w:rPr>
        <w:t>Par exemple, le volet «recettes» du budget de l’UE offre déjà un certain degré de stabilisation économi</w:t>
      </w:r>
      <w:r>
        <w:rPr>
          <w:rFonts w:ascii="Times New Roman" w:hAnsi="Times New Roman"/>
          <w:noProof/>
          <w:lang w:val="fr-BE"/>
        </w:rPr>
        <w:t>que, en particulier au moyen de la ressource propre fondée sur le revenu national brut, qui représente près de 75 % du total des ressources propres et qui reflète les performances économiques relatives</w:t>
      </w:r>
      <w:r>
        <w:rPr>
          <w:rFonts w:ascii="Times New Roman" w:hAnsi="Times New Roman"/>
          <w:noProof/>
          <w:vertAlign w:val="superscript"/>
        </w:rPr>
        <w:footnoteReference w:id="13"/>
      </w:r>
      <w:r>
        <w:rPr>
          <w:rFonts w:ascii="Times New Roman" w:hAnsi="Times New Roman"/>
          <w:noProof/>
          <w:lang w:val="fr-BE"/>
        </w:rPr>
        <w:t>.</w:t>
      </w:r>
      <w:r>
        <w:rPr>
          <w:rFonts w:ascii="Times New Roman" w:hAnsi="Times New Roman"/>
          <w:noProof/>
          <w:vertAlign w:val="superscript"/>
          <w:lang w:val="fr-BE"/>
        </w:rPr>
        <w:t xml:space="preserve"> </w:t>
      </w:r>
      <w:r>
        <w:rPr>
          <w:rFonts w:ascii="Times New Roman" w:hAnsi="Times New Roman"/>
          <w:noProof/>
          <w:lang w:val="fr-BE"/>
        </w:rPr>
        <w:t>Cela signifie que, de même que le volet «dépenses» d</w:t>
      </w:r>
      <w:r>
        <w:rPr>
          <w:rFonts w:ascii="Times New Roman" w:hAnsi="Times New Roman"/>
          <w:noProof/>
          <w:lang w:val="fr-BE"/>
        </w:rPr>
        <w:t>u budget de l’UE a évolué avec le temps, de nouvelles améliorations devraient aussi être envisagées du côté des recettes</w:t>
      </w:r>
      <w:r>
        <w:rPr>
          <w:rFonts w:ascii="Times New Roman" w:hAnsi="Times New Roman"/>
          <w:noProof/>
          <w:vertAlign w:val="superscript"/>
        </w:rPr>
        <w:footnoteReference w:id="14"/>
      </w:r>
      <w:r>
        <w:rPr>
          <w:rFonts w:ascii="Times New Roman" w:hAnsi="Times New Roman"/>
          <w:noProof/>
          <w:lang w:val="fr-BE"/>
        </w:rPr>
        <w:t>. Des sources possibles de recettes supplémentaires ont par exemple été recensées par le groupe de haut niveau sur les ressources propr</w:t>
      </w:r>
      <w:r>
        <w:rPr>
          <w:rFonts w:ascii="Times New Roman" w:hAnsi="Times New Roman"/>
          <w:noProof/>
          <w:lang w:val="fr-BE"/>
        </w:rPr>
        <w:t>es</w:t>
      </w:r>
      <w:r>
        <w:rPr>
          <w:rFonts w:ascii="Times New Roman" w:hAnsi="Times New Roman"/>
          <w:noProof/>
          <w:vertAlign w:val="superscript"/>
        </w:rPr>
        <w:footnoteReference w:id="15"/>
      </w:r>
      <w:r>
        <w:rPr>
          <w:rFonts w:ascii="Times New Roman" w:hAnsi="Times New Roman"/>
          <w:noProof/>
          <w:lang w:val="fr-BE"/>
        </w:rPr>
        <w:t>.</w:t>
      </w:r>
      <w:r>
        <w:rPr>
          <w:rFonts w:ascii="Times New Roman" w:hAnsi="Times New Roman"/>
          <w:noProof/>
          <w:vertAlign w:val="superscript"/>
          <w:lang w:val="fr-BE"/>
        </w:rPr>
        <w:t xml:space="preserve"> </w:t>
      </w:r>
      <w:r>
        <w:rPr>
          <w:rFonts w:ascii="Times New Roman" w:hAnsi="Times New Roman"/>
          <w:noProof/>
          <w:lang w:val="fr-BE"/>
        </w:rPr>
        <w:t xml:space="preserve">Ces considérations ne sont pas développées dans le présent texte, mais seront approfondies dans la perspective du cadre financier pluriannuel pour l’après-2020. </w:t>
      </w:r>
      <w:r>
        <w:rPr>
          <w:rFonts w:ascii="Times New Roman" w:hAnsi="Times New Roman"/>
          <w:noProof/>
        </w:rPr>
        <w:t>Elles peuvent compléter les idées présentées ci-dessous.</w:t>
      </w:r>
    </w:p>
    <w:p w:rsidR="004D184E" w:rsidRDefault="007F0E45">
      <w:pPr>
        <w:numPr>
          <w:ilvl w:val="0"/>
          <w:numId w:val="12"/>
        </w:numPr>
        <w:jc w:val="both"/>
        <w:rPr>
          <w:rFonts w:ascii="Times New Roman" w:hAnsi="Times New Roman"/>
          <w:noProof/>
          <w:lang w:val="fr-BE"/>
        </w:rPr>
      </w:pPr>
      <w:r>
        <w:rPr>
          <w:rFonts w:ascii="Times New Roman" w:hAnsi="Times New Roman"/>
          <w:b/>
          <w:noProof/>
          <w:lang w:val="fr-BE"/>
        </w:rPr>
        <w:t xml:space="preserve">Troisièmement, ces mécanismes </w:t>
      </w:r>
      <w:r>
        <w:rPr>
          <w:rFonts w:ascii="Times New Roman" w:hAnsi="Times New Roman"/>
          <w:b/>
          <w:noProof/>
          <w:lang w:val="fr-BE"/>
        </w:rPr>
        <w:t>doivent opérer en interaction avec le cadre d’action prévu par le Semestre européen pour la coordination des politiques économiques</w:t>
      </w:r>
      <w:r>
        <w:rPr>
          <w:rFonts w:ascii="Times New Roman" w:hAnsi="Times New Roman"/>
          <w:noProof/>
          <w:lang w:val="fr-BE"/>
        </w:rPr>
        <w:t>, et notamment avec le pacte de stabilité et de croissance.</w:t>
      </w:r>
      <w:r>
        <w:rPr>
          <w:rFonts w:ascii="Times New Roman" w:hAnsi="Times New Roman"/>
          <w:b/>
          <w:noProof/>
          <w:lang w:val="fr-BE"/>
        </w:rPr>
        <w:t xml:space="preserve"> </w:t>
      </w:r>
      <w:r>
        <w:rPr>
          <w:rFonts w:ascii="Times New Roman" w:hAnsi="Times New Roman"/>
          <w:noProof/>
          <w:lang w:val="fr-BE"/>
        </w:rPr>
        <w:t>Le Semestre européen est le principal outil de coordination des p</w:t>
      </w:r>
      <w:r>
        <w:rPr>
          <w:rFonts w:ascii="Times New Roman" w:hAnsi="Times New Roman"/>
          <w:noProof/>
          <w:lang w:val="fr-BE"/>
        </w:rPr>
        <w:t>olitiques économiques des États membres au niveau de l’UE. Il permet aux États membres de débattre de leurs priorités économiques, sociales et budgétaires et de suivre les progrès réalisés à des moments précis de l’année. Dans le cadre du Semestre européen</w:t>
      </w:r>
      <w:r>
        <w:rPr>
          <w:rFonts w:ascii="Times New Roman" w:hAnsi="Times New Roman"/>
          <w:noProof/>
          <w:lang w:val="fr-BE"/>
        </w:rPr>
        <w:t xml:space="preserve">, le pacte de stabilité et de croissance et la procédure concernant les déséquilibres macroéconomiques servent à garantir des finances publiques saines et à prévenir les risques de déséquilibres. Des progrès ont également été accomplis en vue d’établir un </w:t>
      </w:r>
      <w:r>
        <w:rPr>
          <w:rFonts w:ascii="Times New Roman" w:hAnsi="Times New Roman"/>
          <w:noProof/>
          <w:lang w:val="fr-BE"/>
        </w:rPr>
        <w:t>lien plus étroit entre les priorités du Semestre européen et celles des Fonds structurels et d’investissement européens, et ce en instaurant des conditions ex ante et macroéconomiques</w:t>
      </w:r>
      <w:r>
        <w:rPr>
          <w:rStyle w:val="FootnoteReference"/>
          <w:rFonts w:ascii="Times New Roman" w:hAnsi="Times New Roman"/>
          <w:noProof/>
        </w:rPr>
        <w:footnoteReference w:id="16"/>
      </w:r>
      <w:r>
        <w:rPr>
          <w:rFonts w:ascii="Times New Roman" w:hAnsi="Times New Roman"/>
          <w:noProof/>
          <w:lang w:val="fr-BE"/>
        </w:rPr>
        <w:t>. En outre, en tirant le meilleur parti de la flexibilité offerte par le</w:t>
      </w:r>
      <w:r>
        <w:rPr>
          <w:rFonts w:ascii="Times New Roman" w:hAnsi="Times New Roman"/>
          <w:noProof/>
          <w:lang w:val="fr-BE"/>
        </w:rPr>
        <w:t>s règles existantes du pacte de stabilité et de croissance, la Commission actuelle a renforcé le lien entre les investissements, les réformes structurelles et la responsabilité budgétaire, tout en tenant mieux compte des conditions économiques cycliques au</w:t>
      </w:r>
      <w:r>
        <w:rPr>
          <w:rFonts w:ascii="Times New Roman" w:hAnsi="Times New Roman"/>
          <w:noProof/>
          <w:lang w:val="fr-BE"/>
        </w:rPr>
        <w:t>xquelles sont confrontés les États membres</w:t>
      </w:r>
      <w:r>
        <w:rPr>
          <w:rFonts w:ascii="Times New Roman" w:hAnsi="Times New Roman"/>
          <w:noProof/>
          <w:vertAlign w:val="superscript"/>
        </w:rPr>
        <w:footnoteReference w:id="17"/>
      </w:r>
      <w:r>
        <w:rPr>
          <w:rFonts w:ascii="Times New Roman" w:hAnsi="Times New Roman"/>
          <w:noProof/>
          <w:lang w:val="fr-BE"/>
        </w:rPr>
        <w:t xml:space="preserve">. À l’avenir, il sera essentiel de continuer à renforcer la cohérence et les effets de tous ces instruments. </w:t>
      </w:r>
    </w:p>
    <w:p w:rsidR="004D184E" w:rsidRDefault="007F0E45">
      <w:pPr>
        <w:numPr>
          <w:ilvl w:val="0"/>
          <w:numId w:val="36"/>
        </w:numPr>
        <w:jc w:val="both"/>
        <w:rPr>
          <w:rFonts w:ascii="Times New Roman" w:hAnsi="Times New Roman"/>
          <w:b/>
          <w:noProof/>
          <w:lang w:val="fr-BE"/>
        </w:rPr>
      </w:pPr>
      <w:r>
        <w:rPr>
          <w:rFonts w:ascii="Times New Roman" w:hAnsi="Times New Roman"/>
          <w:b/>
          <w:noProof/>
          <w:lang w:val="fr-BE"/>
        </w:rPr>
        <w:t xml:space="preserve">Quatrièmement, les quatre mécanismes examinés ici sont étroitement liés entre eux. </w:t>
      </w:r>
      <w:r>
        <w:rPr>
          <w:rFonts w:ascii="Times New Roman" w:hAnsi="Times New Roman"/>
          <w:noProof/>
          <w:lang w:val="fr-BE"/>
        </w:rPr>
        <w:t>Ils peuvent opérer d</w:t>
      </w:r>
      <w:r>
        <w:rPr>
          <w:rFonts w:ascii="Times New Roman" w:hAnsi="Times New Roman"/>
          <w:noProof/>
          <w:lang w:val="fr-BE"/>
        </w:rPr>
        <w:t>ans le cadre de la démarche globale visant à moderniser le cadre de l’UE. Compte tenu de l’accent mis sur l’Union économique et monétaire, les explications renvoient naturellement aux priorités et aux instruments de financement de l’UE liés à l’emploi, à l</w:t>
      </w:r>
      <w:r>
        <w:rPr>
          <w:rFonts w:ascii="Times New Roman" w:hAnsi="Times New Roman"/>
          <w:noProof/>
          <w:lang w:val="fr-BE"/>
        </w:rPr>
        <w:t>a croissance, aux investissements et à la stabilité macroéconomique. Toutefois, cela ne préjuge en rien d’autres éléments des propositions concernant le cadre financier pluriannuel qui suivront en mai 2018.</w:t>
      </w:r>
    </w:p>
    <w:p w:rsidR="004D184E" w:rsidRDefault="007F0E45">
      <w:pPr>
        <w:jc w:val="both"/>
        <w:rPr>
          <w:rFonts w:ascii="Times New Roman" w:hAnsi="Times New Roman"/>
          <w:noProof/>
          <w:lang w:val="fr-BE"/>
        </w:rPr>
      </w:pPr>
      <w:r>
        <w:rPr>
          <w:rFonts w:ascii="Times New Roman" w:hAnsi="Times New Roman"/>
          <w:b/>
          <w:noProof/>
          <w:lang w:val="fr-BE"/>
        </w:rPr>
        <w:t xml:space="preserve">Pour la période de l’après-2020, il est possible </w:t>
      </w:r>
      <w:r>
        <w:rPr>
          <w:rFonts w:ascii="Times New Roman" w:hAnsi="Times New Roman"/>
          <w:b/>
          <w:noProof/>
          <w:lang w:val="fr-BE"/>
        </w:rPr>
        <w:t xml:space="preserve">de définir une marche à suivre qui maximise les effets des finances publiques de l’UE. </w:t>
      </w:r>
      <w:r>
        <w:rPr>
          <w:rFonts w:ascii="Times New Roman" w:hAnsi="Times New Roman"/>
          <w:noProof/>
          <w:lang w:val="fr-BE"/>
        </w:rPr>
        <w:t>Cette marche à suivre est résumée dans le graphique ci-dessous. De nombreux éléments sont bien connus: comme c’est le cas aujourd’hui, un certain nombre de Fonds de l’UE</w:t>
      </w:r>
      <w:r>
        <w:rPr>
          <w:rFonts w:ascii="Times New Roman" w:hAnsi="Times New Roman"/>
          <w:noProof/>
          <w:lang w:val="fr-BE"/>
        </w:rPr>
        <w:t xml:space="preserve"> et, en particulier, les Fonds structurels et d’investissement européens, continueront d'être utilisés pour favoriser la convergence réelle, parallèlement à d’autres sources de financement telles que celles prévues dans le cadre du «plan Juncker» et d’autr</w:t>
      </w:r>
      <w:r>
        <w:rPr>
          <w:rFonts w:ascii="Times New Roman" w:hAnsi="Times New Roman"/>
          <w:noProof/>
          <w:lang w:val="fr-BE"/>
        </w:rPr>
        <w:t>es instruments disponibles au niveau de l’UE. Quelle que soit la source de financement utilisée, l'appui prendra toujours une des trois formes de base suivantes: assistance technique, subventions ou prêts.</w:t>
      </w:r>
    </w:p>
    <w:p w:rsidR="004D184E" w:rsidRDefault="007F0E45">
      <w:pPr>
        <w:jc w:val="both"/>
        <w:rPr>
          <w:rFonts w:ascii="Times New Roman" w:hAnsi="Times New Roman"/>
          <w:noProof/>
          <w:lang w:val="fr-BE"/>
        </w:rPr>
      </w:pPr>
      <w:r>
        <w:rPr>
          <w:rFonts w:ascii="Times New Roman" w:hAnsi="Times New Roman"/>
          <w:b/>
          <w:noProof/>
          <w:lang w:val="fr-BE"/>
        </w:rPr>
        <w:t>Les priorités nationales en matière de réformes se</w:t>
      </w:r>
      <w:r>
        <w:rPr>
          <w:rFonts w:ascii="Times New Roman" w:hAnsi="Times New Roman"/>
          <w:b/>
          <w:noProof/>
          <w:lang w:val="fr-BE"/>
        </w:rPr>
        <w:t>ront toujours établies par les États membres dans leurs programmes nationaux annuels</w:t>
      </w:r>
      <w:r>
        <w:rPr>
          <w:noProof/>
          <w:lang w:val="fr-BE"/>
        </w:rPr>
        <w:t xml:space="preserve"> </w:t>
      </w:r>
      <w:r>
        <w:rPr>
          <w:rFonts w:ascii="Times New Roman" w:hAnsi="Times New Roman"/>
          <w:noProof/>
          <w:lang w:val="fr-BE"/>
        </w:rPr>
        <w:t>dans le cadre du Semestre européen pour la coordination des politiques économiques. Comme expliqué dans l’examen annuel de la croissance 2018</w:t>
      </w:r>
      <w:r>
        <w:rPr>
          <w:rStyle w:val="FootnoteReference"/>
          <w:rFonts w:ascii="Times New Roman" w:hAnsi="Times New Roman"/>
          <w:noProof/>
        </w:rPr>
        <w:footnoteReference w:id="18"/>
      </w:r>
      <w:r>
        <w:rPr>
          <w:rFonts w:ascii="Times New Roman" w:hAnsi="Times New Roman"/>
          <w:noProof/>
          <w:lang w:val="fr-BE"/>
        </w:rPr>
        <w:t>, il convient de poursuivre l</w:t>
      </w:r>
      <w:r>
        <w:rPr>
          <w:rFonts w:ascii="Times New Roman" w:hAnsi="Times New Roman"/>
          <w:noProof/>
          <w:lang w:val="fr-BE"/>
        </w:rPr>
        <w:t>es efforts pour mettre en œuvre les réformes en cours, ce qui nécessite souvent du temps et des débats. C’est pourquoi la Commission plaide en faveur d’une approche davantage pluriannuelle et d’un contrôle plus collectif des engagements en matière de réfor</w:t>
      </w:r>
      <w:r>
        <w:rPr>
          <w:rFonts w:ascii="Times New Roman" w:hAnsi="Times New Roman"/>
          <w:noProof/>
          <w:lang w:val="fr-BE"/>
        </w:rPr>
        <w:t xml:space="preserve">mes. </w:t>
      </w:r>
    </w:p>
    <w:p w:rsidR="004D184E" w:rsidRDefault="007F0E45">
      <w:pPr>
        <w:jc w:val="both"/>
        <w:rPr>
          <w:rFonts w:ascii="Times New Roman" w:hAnsi="Times New Roman"/>
          <w:noProof/>
          <w:lang w:val="fr-BE"/>
        </w:rPr>
      </w:pPr>
      <w:r>
        <w:rPr>
          <w:rFonts w:ascii="Times New Roman" w:hAnsi="Times New Roman"/>
          <w:b/>
          <w:noProof/>
          <w:lang w:val="fr-BE"/>
        </w:rPr>
        <w:t xml:space="preserve">Parallèlement aux priorités nationales en matière de réformes, les États membres élaboreront leurs propres priorités d’investissement, lesquelles pourraient être prises en compte dans une plateforme nationale d’investissement. </w:t>
      </w:r>
      <w:r>
        <w:rPr>
          <w:rFonts w:ascii="Times New Roman" w:hAnsi="Times New Roman"/>
          <w:noProof/>
          <w:lang w:val="fr-BE"/>
        </w:rPr>
        <w:t>Ces plateformes réunira</w:t>
      </w:r>
      <w:r>
        <w:rPr>
          <w:rFonts w:ascii="Times New Roman" w:hAnsi="Times New Roman"/>
          <w:noProof/>
          <w:lang w:val="fr-BE"/>
        </w:rPr>
        <w:t xml:space="preserve">ient les acteurs concernés, à différents niveaux d’autorité, dans chaque État membre, en vue de définir des priorités d’investissement pluriannuelles, de soutenir des réserves de projets, qui pourraient aussi s’inscrire dans le cadre de projets européens, </w:t>
      </w:r>
      <w:r>
        <w:rPr>
          <w:rFonts w:ascii="Times New Roman" w:hAnsi="Times New Roman"/>
          <w:noProof/>
          <w:lang w:val="fr-BE"/>
        </w:rPr>
        <w:t>et de trouver des sources de financement et d'appui, y compris de la part de l’UE.</w:t>
      </w:r>
    </w:p>
    <w:p w:rsidR="004D184E" w:rsidRDefault="007F0E45">
      <w:pPr>
        <w:keepNext/>
        <w:spacing w:after="0"/>
        <w:jc w:val="both"/>
        <w:rPr>
          <w:rFonts w:ascii="Times New Roman" w:hAnsi="Times New Roman"/>
          <w:noProof/>
          <w:lang w:val="fr-BE"/>
        </w:rPr>
      </w:pPr>
      <w:r>
        <w:rPr>
          <w:rFonts w:ascii="Times New Roman" w:hAnsi="Times New Roman"/>
          <w:b/>
          <w:noProof/>
          <w:lang w:val="fr-BE"/>
        </w:rPr>
        <w:t>Maximiser les effets des finances publiques de l’UE: des pistes pour l’avenir</w:t>
      </w:r>
    </w:p>
    <w:p w:rsidR="004D184E" w:rsidRDefault="007F0E45">
      <w:pPr>
        <w:spacing w:after="0"/>
        <w:ind w:left="-284"/>
        <w:jc w:val="both"/>
        <w:rPr>
          <w:rFonts w:ascii="Times New Roman" w:hAnsi="Times New Roman"/>
          <w:i/>
          <w:noProof/>
        </w:rPr>
      </w:pPr>
      <w:r>
        <w:rPr>
          <w:noProof/>
          <w:lang w:eastAsia="zh-CN"/>
        </w:rPr>
        <w:drawing>
          <wp:inline distT="0" distB="0" distL="0" distR="0">
            <wp:extent cx="6300000" cy="480692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456" r="3030"/>
                    <a:stretch/>
                  </pic:blipFill>
                  <pic:spPr bwMode="auto">
                    <a:xfrm>
                      <a:off x="0" y="0"/>
                      <a:ext cx="6300000" cy="4806929"/>
                    </a:xfrm>
                    <a:prstGeom prst="rect">
                      <a:avLst/>
                    </a:prstGeom>
                    <a:noFill/>
                    <a:ln>
                      <a:noFill/>
                    </a:ln>
                    <a:extLst>
                      <a:ext uri="{53640926-AAD7-44D8-BBD7-CCE9431645EC}">
                        <a14:shadowObscured xmlns:a14="http://schemas.microsoft.com/office/drawing/2010/main"/>
                      </a:ext>
                    </a:extLst>
                  </pic:spPr>
                </pic:pic>
              </a:graphicData>
            </a:graphic>
          </wp:inline>
        </w:drawing>
      </w:r>
    </w:p>
    <w:p w:rsidR="004D184E" w:rsidRDefault="007F0E45">
      <w:pPr>
        <w:jc w:val="both"/>
        <w:rPr>
          <w:rFonts w:ascii="Times New Roman" w:hAnsi="Times New Roman"/>
          <w:noProof/>
          <w:lang w:val="fr-BE"/>
        </w:rPr>
      </w:pPr>
      <w:r>
        <w:rPr>
          <w:rFonts w:ascii="Times New Roman" w:hAnsi="Times New Roman"/>
          <w:i/>
          <w:noProof/>
          <w:lang w:val="fr-BE"/>
        </w:rPr>
        <w:t>Source: Commission européenne</w:t>
      </w:r>
    </w:p>
    <w:p w:rsidR="004D184E" w:rsidRDefault="007F0E45">
      <w:pPr>
        <w:jc w:val="both"/>
        <w:rPr>
          <w:rFonts w:ascii="Times New Roman" w:hAnsi="Times New Roman"/>
          <w:noProof/>
          <w:lang w:val="fr-BE"/>
        </w:rPr>
      </w:pPr>
      <w:r>
        <w:rPr>
          <w:rFonts w:ascii="Times New Roman" w:hAnsi="Times New Roman"/>
          <w:b/>
          <w:noProof/>
          <w:lang w:val="fr-BE"/>
        </w:rPr>
        <w:t>Cette construction est certes relativement similaire aux réalit</w:t>
      </w:r>
      <w:r>
        <w:rPr>
          <w:rFonts w:ascii="Times New Roman" w:hAnsi="Times New Roman"/>
          <w:b/>
          <w:noProof/>
          <w:lang w:val="fr-BE"/>
        </w:rPr>
        <w:t>és d’aujourd’hui, mais deux nouvelles caractéristiques viendraient s’y ajouter</w:t>
      </w:r>
      <w:r>
        <w:rPr>
          <w:rFonts w:ascii="Times New Roman" w:hAnsi="Times New Roman"/>
          <w:noProof/>
          <w:lang w:val="fr-BE"/>
        </w:rPr>
        <w:t xml:space="preserve">. La première est un </w:t>
      </w:r>
      <w:r>
        <w:rPr>
          <w:rFonts w:ascii="Times New Roman" w:hAnsi="Times New Roman"/>
          <w:b/>
          <w:noProof/>
          <w:lang w:val="fr-BE"/>
        </w:rPr>
        <w:t>outil d’aide à la mise en place des réformes</w:t>
      </w:r>
      <w:r>
        <w:rPr>
          <w:rFonts w:ascii="Times New Roman" w:hAnsi="Times New Roman"/>
          <w:noProof/>
          <w:lang w:val="fr-BE"/>
        </w:rPr>
        <w:t xml:space="preserve"> qui octroierait des subventions supplémentaires destinées à soutenir les efforts déployés au niveau national pou</w:t>
      </w:r>
      <w:r>
        <w:rPr>
          <w:rFonts w:ascii="Times New Roman" w:hAnsi="Times New Roman"/>
          <w:noProof/>
          <w:lang w:val="fr-BE"/>
        </w:rPr>
        <w:t xml:space="preserve">r mettre en œuvre les réformes identifiées comme prioritaires dans le cadre du Semestre européen. La seconde est un </w:t>
      </w:r>
      <w:r>
        <w:rPr>
          <w:rFonts w:ascii="Times New Roman" w:hAnsi="Times New Roman"/>
          <w:b/>
          <w:noProof/>
          <w:lang w:val="fr-BE"/>
        </w:rPr>
        <w:t>mécanisme de stabilisation</w:t>
      </w:r>
      <w:r>
        <w:rPr>
          <w:rFonts w:ascii="Times New Roman" w:hAnsi="Times New Roman"/>
          <w:noProof/>
          <w:lang w:val="fr-BE"/>
        </w:rPr>
        <w:t xml:space="preserve"> qui pourrait apporter un soutien rapide et aider à maintenir les niveaux d’investissement nationaux en cas de cho</w:t>
      </w:r>
      <w:r>
        <w:rPr>
          <w:rFonts w:ascii="Times New Roman" w:hAnsi="Times New Roman"/>
          <w:noProof/>
          <w:lang w:val="fr-BE"/>
        </w:rPr>
        <w:t>cs asymétriques de grande ampleur, généralement en comblant le déficit de financement de réserves de projets préexistantes et/ou en soutenant le développement des compétences. Ces deux nouveaux éléments sont expliqués en détail ci-après.</w:t>
      </w:r>
    </w:p>
    <w:p w:rsidR="004D184E" w:rsidRDefault="004D184E">
      <w:pPr>
        <w:spacing w:after="0"/>
        <w:jc w:val="both"/>
        <w:rPr>
          <w:rFonts w:ascii="Times New Roman" w:hAnsi="Times New Roman"/>
          <w:noProof/>
          <w:lang w:val="fr-BE"/>
        </w:rPr>
      </w:pPr>
    </w:p>
    <w:p w:rsidR="004D184E" w:rsidRDefault="007F0E45">
      <w:pPr>
        <w:pStyle w:val="ListParagraph"/>
        <w:numPr>
          <w:ilvl w:val="0"/>
          <w:numId w:val="34"/>
        </w:numPr>
        <w:ind w:hanging="720"/>
        <w:rPr>
          <w:rFonts w:ascii="Times New Roman" w:hAnsi="Times New Roman" w:cs="Times New Roman"/>
          <w:b/>
          <w:noProof/>
          <w:u w:val="single"/>
        </w:rPr>
      </w:pPr>
      <w:r>
        <w:rPr>
          <w:rFonts w:ascii="Times New Roman" w:hAnsi="Times New Roman"/>
          <w:b/>
          <w:noProof/>
          <w:u w:val="single"/>
        </w:rPr>
        <w:t>APPUI AUX RÉFORME</w:t>
      </w:r>
      <w:r>
        <w:rPr>
          <w:rFonts w:ascii="Times New Roman" w:hAnsi="Times New Roman"/>
          <w:b/>
          <w:noProof/>
          <w:u w:val="single"/>
        </w:rPr>
        <w:t xml:space="preserve">S STRUCTURELLES </w:t>
      </w:r>
    </w:p>
    <w:p w:rsidR="004D184E" w:rsidRDefault="004D184E">
      <w:pPr>
        <w:suppressAutoHyphens/>
        <w:spacing w:after="0" w:line="100" w:lineRule="atLeast"/>
        <w:jc w:val="both"/>
        <w:rPr>
          <w:rFonts w:ascii="Times New Roman" w:eastAsia="SimSun" w:hAnsi="Times New Roman"/>
          <w:noProof/>
          <w:color w:val="000000"/>
          <w:sz w:val="24"/>
          <w:szCs w:val="24"/>
        </w:rPr>
      </w:pPr>
    </w:p>
    <w:p w:rsidR="004D184E" w:rsidRDefault="007F0E45">
      <w:pPr>
        <w:spacing w:after="240"/>
        <w:jc w:val="both"/>
        <w:rPr>
          <w:rFonts w:ascii="Times New Roman" w:hAnsi="Times New Roman"/>
          <w:noProof/>
          <w:lang w:val="fr-BE"/>
        </w:rPr>
      </w:pPr>
      <w:r>
        <w:rPr>
          <w:rFonts w:ascii="Times New Roman" w:hAnsi="Times New Roman"/>
          <w:b/>
          <w:noProof/>
          <w:lang w:val="fr-BE"/>
        </w:rPr>
        <w:t>Des politiques nationales appropriées sont essentielles pour le bon fonctionnement d’une Union économique et monétaire plus intégrée.</w:t>
      </w:r>
      <w:r>
        <w:rPr>
          <w:rFonts w:ascii="Times New Roman" w:hAnsi="Times New Roman"/>
          <w:noProof/>
          <w:lang w:val="fr-BE"/>
        </w:rPr>
        <w:t xml:space="preserve"> Étant donné que de nombreux domaines d’action décisifs restent principalement de la compétence des États membres, leur coordination et l’enchaînement des réformes dans le cadre du Semestre européen sont essentiels pour optimiser leur efficacité, non seule</w:t>
      </w:r>
      <w:r>
        <w:rPr>
          <w:rFonts w:ascii="Times New Roman" w:hAnsi="Times New Roman"/>
          <w:noProof/>
          <w:lang w:val="fr-BE"/>
        </w:rPr>
        <w:t xml:space="preserve">ment au niveau national, mais aussi au niveau de l’UE. </w:t>
      </w:r>
    </w:p>
    <w:p w:rsidR="004D184E" w:rsidRDefault="007F0E45">
      <w:pPr>
        <w:spacing w:after="120"/>
        <w:jc w:val="both"/>
        <w:rPr>
          <w:rFonts w:ascii="Times New Roman" w:hAnsi="Times New Roman"/>
          <w:noProof/>
          <w:lang w:val="fr-BE"/>
        </w:rPr>
      </w:pPr>
      <w:r>
        <w:rPr>
          <w:rFonts w:ascii="Times New Roman" w:hAnsi="Times New Roman"/>
          <w:noProof/>
          <w:lang w:val="fr-BE"/>
        </w:rPr>
        <w:t>L’appui aux réformes structurelles pourrait être renforcé grâce à deux éléments complémentaires:</w:t>
      </w:r>
    </w:p>
    <w:p w:rsidR="004D184E" w:rsidRDefault="007F0E45">
      <w:pPr>
        <w:spacing w:after="120"/>
        <w:jc w:val="both"/>
        <w:rPr>
          <w:rFonts w:ascii="Times New Roman" w:hAnsi="Times New Roman"/>
          <w:noProof/>
          <w:lang w:val="fr-BE"/>
        </w:rPr>
      </w:pPr>
      <w:r>
        <w:rPr>
          <w:rFonts w:ascii="Times New Roman" w:hAnsi="Times New Roman"/>
          <w:noProof/>
          <w:lang w:val="fr-BE"/>
        </w:rPr>
        <w:t xml:space="preserve">a) un outil d’aide à la mise en place des réformes visant à soutenir les engagements des États membres </w:t>
      </w:r>
      <w:r>
        <w:rPr>
          <w:rFonts w:ascii="Times New Roman" w:hAnsi="Times New Roman"/>
          <w:noProof/>
          <w:lang w:val="fr-BE"/>
        </w:rPr>
        <w:t>en matière de réformes, et</w:t>
      </w:r>
    </w:p>
    <w:p w:rsidR="004D184E" w:rsidRDefault="007F0E45">
      <w:pPr>
        <w:spacing w:after="120"/>
        <w:jc w:val="both"/>
        <w:rPr>
          <w:rFonts w:ascii="Times New Roman" w:hAnsi="Times New Roman"/>
          <w:noProof/>
          <w:lang w:val="fr-BE"/>
        </w:rPr>
      </w:pPr>
      <w:r>
        <w:rPr>
          <w:rFonts w:ascii="Times New Roman" w:hAnsi="Times New Roman"/>
          <w:noProof/>
          <w:lang w:val="fr-BE"/>
        </w:rPr>
        <w:t>b) un appui technique en faveur de certaines actions à la demande des États membres.</w:t>
      </w:r>
    </w:p>
    <w:p w:rsidR="004D184E" w:rsidRDefault="007F0E45">
      <w:pPr>
        <w:spacing w:after="240"/>
        <w:jc w:val="both"/>
        <w:rPr>
          <w:rFonts w:ascii="Times New Roman" w:hAnsi="Times New Roman"/>
          <w:i/>
          <w:noProof/>
          <w:lang w:val="fr-BE"/>
        </w:rPr>
      </w:pPr>
      <w:r>
        <w:rPr>
          <w:rFonts w:ascii="Times New Roman" w:hAnsi="Times New Roman"/>
          <w:i/>
          <w:noProof/>
          <w:lang w:val="fr-BE"/>
        </w:rPr>
        <w:br/>
        <w:t xml:space="preserve">Un outil d’aide à la mise en place des réformes visant à soutenir les engagements des États membres en matière de réformes </w:t>
      </w:r>
    </w:p>
    <w:p w:rsidR="004D184E" w:rsidRDefault="007F0E45">
      <w:pPr>
        <w:spacing w:after="240"/>
        <w:jc w:val="both"/>
        <w:rPr>
          <w:rFonts w:ascii="Times New Roman" w:hAnsi="Times New Roman"/>
          <w:noProof/>
          <w:lang w:val="fr-BE"/>
        </w:rPr>
      </w:pPr>
      <w:r>
        <w:rPr>
          <w:rFonts w:ascii="Times New Roman" w:hAnsi="Times New Roman"/>
          <w:b/>
          <w:noProof/>
          <w:lang w:val="fr-BE"/>
        </w:rPr>
        <w:t>Afin d’aider les Ét</w:t>
      </w:r>
      <w:r>
        <w:rPr>
          <w:rFonts w:ascii="Times New Roman" w:hAnsi="Times New Roman"/>
          <w:b/>
          <w:noProof/>
          <w:lang w:val="fr-BE"/>
        </w:rPr>
        <w:t xml:space="preserve">ats membres à mettre en œuvre les réformes recensées dans le contexte du Semestre européen, la Commission entend proposer un nouvel outil d’aide à la mise en place des réformes dans le cadre financier pluriannuel pour l’après-2020. </w:t>
      </w:r>
      <w:r>
        <w:rPr>
          <w:rFonts w:ascii="Times New Roman" w:hAnsi="Times New Roman"/>
          <w:noProof/>
          <w:lang w:val="fr-BE"/>
        </w:rPr>
        <w:t>Ce nouvel outil serait m</w:t>
      </w:r>
      <w:r>
        <w:rPr>
          <w:rFonts w:ascii="Times New Roman" w:hAnsi="Times New Roman"/>
          <w:noProof/>
          <w:lang w:val="fr-BE"/>
        </w:rPr>
        <w:t xml:space="preserve">is à la disposition des États membres s’engageant à mener des réformes examinées en concertation avec la Commission et convenues dans les engagements en matière de réformes. </w:t>
      </w:r>
    </w:p>
    <w:p w:rsidR="004D184E" w:rsidRDefault="007F0E45">
      <w:pPr>
        <w:spacing w:after="240"/>
        <w:jc w:val="both"/>
        <w:rPr>
          <w:rFonts w:ascii="Times New Roman" w:hAnsi="Times New Roman"/>
          <w:b/>
          <w:noProof/>
          <w:lang w:val="fr-BE"/>
        </w:rPr>
      </w:pPr>
      <w:r>
        <w:rPr>
          <w:rFonts w:ascii="Times New Roman" w:hAnsi="Times New Roman"/>
          <w:b/>
          <w:noProof/>
          <w:lang w:val="fr-BE"/>
        </w:rPr>
        <w:t>Ce nouvel outil d’aide à la mise en place des réformes viserait à soutenir un lar</w:t>
      </w:r>
      <w:r>
        <w:rPr>
          <w:rFonts w:ascii="Times New Roman" w:hAnsi="Times New Roman"/>
          <w:b/>
          <w:noProof/>
          <w:lang w:val="fr-BE"/>
        </w:rPr>
        <w:t xml:space="preserve">ge éventail de réformes. </w:t>
      </w:r>
      <w:r>
        <w:rPr>
          <w:rFonts w:ascii="Times New Roman" w:hAnsi="Times New Roman"/>
          <w:noProof/>
          <w:lang w:val="fr-BE"/>
        </w:rPr>
        <w:t>Il se concentrerait sur les réformes susceptibles de contribuer le plus à la résilience des économies nationales et qui ont des retombées positives sur les autres États membres. Il s’agit notamment des réformes des marchés de produ</w:t>
      </w:r>
      <w:r>
        <w:rPr>
          <w:rFonts w:ascii="Times New Roman" w:hAnsi="Times New Roman"/>
          <w:noProof/>
          <w:lang w:val="fr-BE"/>
        </w:rPr>
        <w:t xml:space="preserve">its et du travail, des réformes fiscales, du développement des marchés des capitaux, des réformes visant à améliorer l’environnement des entreprises et à accroître l’investissement dans le capital humain, et des réformes de l’administration publique. </w:t>
      </w:r>
    </w:p>
    <w:p w:rsidR="004D184E" w:rsidRDefault="007F0E45">
      <w:pPr>
        <w:spacing w:after="240"/>
        <w:jc w:val="both"/>
        <w:rPr>
          <w:rFonts w:ascii="Times New Roman" w:hAnsi="Times New Roman"/>
          <w:b/>
          <w:noProof/>
          <w:lang w:val="fr-BE"/>
        </w:rPr>
      </w:pPr>
      <w:r>
        <w:rPr>
          <w:rFonts w:ascii="Times New Roman" w:hAnsi="Times New Roman"/>
          <w:b/>
          <w:noProof/>
          <w:lang w:val="fr-BE"/>
        </w:rPr>
        <w:t xml:space="preserve">Les </w:t>
      </w:r>
      <w:r>
        <w:rPr>
          <w:rFonts w:ascii="Times New Roman" w:hAnsi="Times New Roman"/>
          <w:b/>
          <w:noProof/>
          <w:lang w:val="fr-BE"/>
        </w:rPr>
        <w:t xml:space="preserve">réformes à soutenir seraient recensées dans des </w:t>
      </w:r>
      <w:r>
        <w:rPr>
          <w:rFonts w:ascii="Times New Roman" w:hAnsi="Times New Roman"/>
          <w:b/>
          <w:i/>
          <w:noProof/>
          <w:lang w:val="fr-BE"/>
        </w:rPr>
        <w:t>paquets d’engagements en matière de réformes</w:t>
      </w:r>
      <w:r>
        <w:rPr>
          <w:rFonts w:ascii="Times New Roman" w:hAnsi="Times New Roman"/>
          <w:b/>
          <w:noProof/>
          <w:lang w:val="fr-BE"/>
        </w:rPr>
        <w:t xml:space="preserve"> pluriannuels présentés et suivis en même temps que les programmes nationaux de réforme. </w:t>
      </w:r>
      <w:r>
        <w:rPr>
          <w:rFonts w:ascii="Times New Roman" w:hAnsi="Times New Roman"/>
          <w:noProof/>
          <w:lang w:val="fr-BE"/>
        </w:rPr>
        <w:t>Les engagements en matière de réformes seraient proposés par les États memb</w:t>
      </w:r>
      <w:r>
        <w:rPr>
          <w:rFonts w:ascii="Times New Roman" w:hAnsi="Times New Roman"/>
          <w:noProof/>
          <w:lang w:val="fr-BE"/>
        </w:rPr>
        <w:t>res eux-mêmes et comprendraient un ensemble de mesures de réforme dont les grandes étapes et les objectifs seraient clairement définis (voir le cadre ci-dessous). Les États membres présentant des déséquilibres excessifs recensés dans la procédure concernan</w:t>
      </w:r>
      <w:r>
        <w:rPr>
          <w:rFonts w:ascii="Times New Roman" w:hAnsi="Times New Roman"/>
          <w:noProof/>
          <w:lang w:val="fr-BE"/>
        </w:rPr>
        <w:t>t les déséquilibres macroéconomiques seraient invités à présenter ces engagements en matière de réformes pour remédier aux problèmes mis en évidence. Un processus d’évaluation par les pairs garantirait que les propositions de réformes tirent profit de l’ex</w:t>
      </w:r>
      <w:r>
        <w:rPr>
          <w:rFonts w:ascii="Times New Roman" w:hAnsi="Times New Roman"/>
          <w:noProof/>
          <w:lang w:val="fr-BE"/>
        </w:rPr>
        <w:t>périence des autres États membres, ainsi que d’une appréciation de la Commission.</w:t>
      </w:r>
    </w:p>
    <w:p w:rsidR="004D184E" w:rsidRDefault="007F0E45">
      <w:pPr>
        <w:spacing w:after="240"/>
        <w:jc w:val="both"/>
        <w:rPr>
          <w:rFonts w:ascii="Times New Roman" w:hAnsi="Times New Roman"/>
          <w:b/>
          <w:noProof/>
          <w:lang w:val="fr-BE"/>
        </w:rPr>
      </w:pPr>
      <w:r>
        <w:rPr>
          <w:rFonts w:ascii="Times New Roman" w:hAnsi="Times New Roman"/>
          <w:b/>
          <w:noProof/>
          <w:lang w:val="fr-BE"/>
        </w:rPr>
        <w:t>Une fois le paquet d’engagements en matière de réformes établi, le suivi de la mise en œuvre de ses grandes étapes et les rapports en la matière seront alignés sur le Semestr</w:t>
      </w:r>
      <w:r>
        <w:rPr>
          <w:rFonts w:ascii="Times New Roman" w:hAnsi="Times New Roman"/>
          <w:b/>
          <w:noProof/>
          <w:lang w:val="fr-BE"/>
        </w:rPr>
        <w:t xml:space="preserve">e européen. </w:t>
      </w:r>
      <w:r>
        <w:rPr>
          <w:rFonts w:ascii="Times New Roman" w:hAnsi="Times New Roman"/>
          <w:noProof/>
          <w:lang w:val="fr-BE"/>
        </w:rPr>
        <w:t>Les programmes nationaux de réforme seraient la source d’informations sur les progrès réalisés et devraient fournir des renseignements sur la voie à suivre en vue de l’achèvement des réformes. Les rapports annuels par pays élaborés par les serv</w:t>
      </w:r>
      <w:r>
        <w:rPr>
          <w:rFonts w:ascii="Times New Roman" w:hAnsi="Times New Roman"/>
          <w:noProof/>
          <w:lang w:val="fr-BE"/>
        </w:rPr>
        <w:t>ices de la Commission fourniraient une évaluation actualisée des progrès en matière de réformes. Un soigneux calibrage du processus d’octroi de l’appui au titre de cet outil serait nécessaire pour permettre une prise de décision au moment opportun et un ni</w:t>
      </w:r>
      <w:r>
        <w:rPr>
          <w:rFonts w:ascii="Times New Roman" w:hAnsi="Times New Roman"/>
          <w:noProof/>
          <w:lang w:val="fr-BE"/>
        </w:rPr>
        <w:t>veau d’appropriation suffisant.</w:t>
      </w:r>
      <w:r>
        <w:rPr>
          <w:rFonts w:ascii="Times New Roman" w:hAnsi="Times New Roman"/>
          <w:b/>
          <w:noProof/>
          <w:lang w:val="fr-BE"/>
        </w:rPr>
        <w:t xml:space="preserve"> </w:t>
      </w:r>
    </w:p>
    <w:p w:rsidR="004D184E" w:rsidRDefault="004D184E">
      <w:pPr>
        <w:spacing w:after="240"/>
        <w:jc w:val="both"/>
        <w:rPr>
          <w:rFonts w:ascii="Times New Roman" w:hAnsi="Times New Roman"/>
          <w:b/>
          <w:noProof/>
          <w:lang w:val="fr-BE"/>
        </w:rPr>
      </w:pPr>
    </w:p>
    <w:p w:rsidR="004D184E" w:rsidRDefault="007F0E45">
      <w:pPr>
        <w:spacing w:after="240"/>
        <w:jc w:val="both"/>
        <w:rPr>
          <w:rFonts w:ascii="Times New Roman" w:hAnsi="Times New Roman"/>
          <w:noProof/>
          <w:lang w:val="fr-BE"/>
        </w:rPr>
      </w:pPr>
      <w:r>
        <w:rPr>
          <w:rFonts w:ascii="Times New Roman" w:hAnsi="Times New Roman"/>
          <w:b/>
          <w:noProof/>
          <w:lang w:val="fr-BE"/>
        </w:rPr>
        <w:t>Pour la période 2018-2020, un tel système pourrait être testé dans le cadre d’une phase pilote</w:t>
      </w:r>
      <w:r>
        <w:rPr>
          <w:noProof/>
          <w:lang w:val="fr-BE"/>
        </w:rPr>
        <w:t xml:space="preserve"> </w:t>
      </w:r>
      <w:r>
        <w:rPr>
          <w:rFonts w:ascii="Times New Roman" w:hAnsi="Times New Roman"/>
          <w:noProof/>
          <w:lang w:val="fr-BE"/>
        </w:rPr>
        <w:t>pendant laquelle les États membres auraient la possibilité d’utiliser une partie de la réserve de performance des Fonds structu</w:t>
      </w:r>
      <w:r>
        <w:rPr>
          <w:rFonts w:ascii="Times New Roman" w:hAnsi="Times New Roman"/>
          <w:noProof/>
          <w:lang w:val="fr-BE"/>
        </w:rPr>
        <w:t>rels et d’investissement européens pour soutenir des réformes au lieu de projets spécifiques. À cette fin, des modifications à apporter au règlement portant dispositions communes sont présentées ce jour dans le cadre du paquet.</w:t>
      </w:r>
    </w:p>
    <w:p w:rsidR="004D184E" w:rsidRDefault="007F0E45">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i/>
          <w:noProof/>
          <w:lang w:val="fr-BE"/>
        </w:rPr>
      </w:pPr>
      <w:r>
        <w:rPr>
          <w:rFonts w:ascii="Times New Roman" w:hAnsi="Times New Roman"/>
          <w:b/>
          <w:noProof/>
          <w:lang w:val="fr-BE"/>
        </w:rPr>
        <w:t>Appui aux réformes structure</w:t>
      </w:r>
      <w:r>
        <w:rPr>
          <w:rFonts w:ascii="Times New Roman" w:hAnsi="Times New Roman"/>
          <w:b/>
          <w:noProof/>
          <w:lang w:val="fr-BE"/>
        </w:rPr>
        <w:t>lles au moyen d’un outil d’aide à la mise en place des réformes</w:t>
      </w:r>
    </w:p>
    <w:p w:rsidR="004D184E" w:rsidRDefault="007F0E45">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fr-BE"/>
        </w:rPr>
      </w:pPr>
      <w:r>
        <w:rPr>
          <w:rFonts w:ascii="Times New Roman" w:hAnsi="Times New Roman"/>
          <w:i/>
          <w:noProof/>
          <w:lang w:val="fr-BE"/>
        </w:rPr>
        <w:t>Des réformes structurelles pertinentes devraient être proposées par les États membres eux-mêmes eu égard aux problèmes recensés dans le processus du Semestre européen.</w:t>
      </w:r>
    </w:p>
    <w:p w:rsidR="004D184E" w:rsidRDefault="007F0E45">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fr-BE"/>
        </w:rPr>
      </w:pPr>
      <w:r>
        <w:rPr>
          <w:rFonts w:ascii="Times New Roman" w:hAnsi="Times New Roman"/>
          <w:i/>
          <w:noProof/>
          <w:lang w:val="fr-BE"/>
        </w:rPr>
        <w:t xml:space="preserve">Au cours d’une première </w:t>
      </w:r>
      <w:r>
        <w:rPr>
          <w:rFonts w:ascii="Times New Roman" w:hAnsi="Times New Roman"/>
          <w:i/>
          <w:noProof/>
          <w:lang w:val="fr-BE"/>
        </w:rPr>
        <w:t>phase, au terme d’un dialogue avec la Commission, un paquet d’engagements en matière de réformes comprendrait plusieurs réformes à mettre en œuvre sur une période de trois ans à compter du début de la période de programmation du cadre financier pluriannuel</w:t>
      </w:r>
      <w:r>
        <w:rPr>
          <w:rFonts w:ascii="Times New Roman" w:hAnsi="Times New Roman"/>
          <w:i/>
          <w:noProof/>
          <w:lang w:val="fr-BE"/>
        </w:rPr>
        <w:t xml:space="preserve"> pour l’après-2020. </w:t>
      </w:r>
    </w:p>
    <w:p w:rsidR="004D184E" w:rsidRDefault="007F0E45">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fr-BE"/>
        </w:rPr>
      </w:pPr>
      <w:r>
        <w:rPr>
          <w:rFonts w:ascii="Times New Roman" w:hAnsi="Times New Roman"/>
          <w:i/>
          <w:noProof/>
          <w:lang w:val="fr-BE"/>
        </w:rPr>
        <w:t>Les paquets d’engagements en matière de réformes convenus prévoiraient un ensemble détaillé de mesures et de grandes étapes pour leur mise en œuvre ainsi qu’un calendrier pour leur achèvement dans un délai de trois ans maximum. Les Éta</w:t>
      </w:r>
      <w:r>
        <w:rPr>
          <w:rFonts w:ascii="Times New Roman" w:hAnsi="Times New Roman"/>
          <w:i/>
          <w:noProof/>
          <w:lang w:val="fr-BE"/>
        </w:rPr>
        <w:t>ts membres rendraient compte des progrès réalisés en même temps que pour leurs programmes nationaux de réforme.</w:t>
      </w:r>
    </w:p>
    <w:p w:rsidR="004D184E" w:rsidRDefault="007F0E45">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fr-BE"/>
        </w:rPr>
      </w:pPr>
      <w:r>
        <w:rPr>
          <w:rFonts w:ascii="Times New Roman" w:hAnsi="Times New Roman"/>
          <w:i/>
          <w:noProof/>
          <w:lang w:val="fr-BE"/>
        </w:rPr>
        <w:t xml:space="preserve">Une deuxième série de paquets d’engagements en matière de réformes pourrait être adoptée au cours de la période de programmation, par exemple à </w:t>
      </w:r>
      <w:r>
        <w:rPr>
          <w:rFonts w:ascii="Times New Roman" w:hAnsi="Times New Roman"/>
          <w:i/>
          <w:noProof/>
          <w:lang w:val="fr-BE"/>
        </w:rPr>
        <w:t>la demande d’un nouveau gouvernement.</w:t>
      </w:r>
    </w:p>
    <w:p w:rsidR="004D184E" w:rsidRDefault="007F0E45">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fr-BE"/>
        </w:rPr>
      </w:pPr>
      <w:r>
        <w:rPr>
          <w:rFonts w:ascii="Times New Roman" w:hAnsi="Times New Roman"/>
          <w:i/>
          <w:noProof/>
          <w:lang w:val="fr-BE"/>
        </w:rPr>
        <w:t xml:space="preserve">Des critères seraient établis par la Commission européenne pour évaluer les progrès accomplis aux différentes grandes étapes, afin d’aider les États membres à réaliser leurs réformes. L’évaluation du soutien financier </w:t>
      </w:r>
      <w:r>
        <w:rPr>
          <w:rFonts w:ascii="Times New Roman" w:hAnsi="Times New Roman"/>
          <w:i/>
          <w:noProof/>
          <w:lang w:val="fr-BE"/>
        </w:rPr>
        <w:t>se fonderait sur les objectifs quantitatifs et qualitatifs et les grandes étapes.</w:t>
      </w:r>
    </w:p>
    <w:p w:rsidR="004D184E" w:rsidRDefault="007F0E45">
      <w:pPr>
        <w:spacing w:after="240"/>
        <w:jc w:val="both"/>
        <w:rPr>
          <w:rFonts w:ascii="Times New Roman" w:hAnsi="Times New Roman"/>
          <w:i/>
          <w:noProof/>
          <w:lang w:val="fr-BE"/>
        </w:rPr>
      </w:pPr>
      <w:r>
        <w:rPr>
          <w:rFonts w:ascii="Times New Roman" w:hAnsi="Times New Roman"/>
          <w:i/>
          <w:noProof/>
          <w:lang w:val="fr-BE"/>
        </w:rPr>
        <w:t>Appui technique en faveur de certaines actions à la demande d’un État membre.</w:t>
      </w:r>
    </w:p>
    <w:p w:rsidR="004D184E" w:rsidRDefault="007F0E45">
      <w:pPr>
        <w:spacing w:after="240"/>
        <w:jc w:val="both"/>
        <w:rPr>
          <w:rFonts w:ascii="Times New Roman" w:hAnsi="Times New Roman"/>
          <w:noProof/>
          <w:lang w:val="fr-BE"/>
        </w:rPr>
      </w:pPr>
      <w:r>
        <w:rPr>
          <w:rFonts w:ascii="Times New Roman" w:hAnsi="Times New Roman"/>
          <w:b/>
          <w:noProof/>
          <w:lang w:val="fr-BE"/>
        </w:rPr>
        <w:t xml:space="preserve">À titre de mesure complémentaire, la Commission prévoit de renforcer sensiblement l’appui </w:t>
      </w:r>
      <w:r>
        <w:rPr>
          <w:rFonts w:ascii="Times New Roman" w:hAnsi="Times New Roman"/>
          <w:b/>
          <w:noProof/>
          <w:lang w:val="fr-BE"/>
        </w:rPr>
        <w:t>technique apporté aux États membres pour la conception et la mise en œuvre de réformes.</w:t>
      </w:r>
      <w:r>
        <w:rPr>
          <w:rFonts w:ascii="Times New Roman" w:hAnsi="Times New Roman"/>
          <w:noProof/>
          <w:lang w:val="fr-BE"/>
        </w:rPr>
        <w:t xml:space="preserve"> Depuis le lancement du programme d’appui à la réforme structurelle, les demandes d’appui des États membres excèdent de loin le montant des financements disponibles pour</w:t>
      </w:r>
      <w:r>
        <w:rPr>
          <w:rFonts w:ascii="Times New Roman" w:hAnsi="Times New Roman"/>
          <w:noProof/>
          <w:lang w:val="fr-BE"/>
        </w:rPr>
        <w:t xml:space="preserve"> les cycles annuels (voir le cadre ci-dessous).</w:t>
      </w:r>
    </w:p>
    <w:p w:rsidR="004D184E" w:rsidRDefault="007F0E45">
      <w:pPr>
        <w:spacing w:after="240"/>
        <w:jc w:val="both"/>
        <w:rPr>
          <w:rFonts w:ascii="Times New Roman" w:hAnsi="Times New Roman"/>
          <w:noProof/>
          <w:lang w:val="fr-BE"/>
        </w:rPr>
      </w:pPr>
      <w:r>
        <w:rPr>
          <w:rFonts w:ascii="Times New Roman" w:hAnsi="Times New Roman"/>
          <w:b/>
          <w:noProof/>
          <w:lang w:val="fr-BE"/>
        </w:rPr>
        <w:t>En premier lieu, la Commission propose de doubler l’enveloppe financière de l’actuel programme d’appui à la réforme structurelle, portant son montant à 300 000 000 EUR pour la période allant jusqu’à 2020</w:t>
      </w:r>
      <w:r>
        <w:rPr>
          <w:rFonts w:ascii="Times New Roman" w:hAnsi="Times New Roman"/>
          <w:noProof/>
          <w:lang w:val="fr-BE"/>
        </w:rPr>
        <w:t xml:space="preserve">, </w:t>
      </w:r>
      <w:r>
        <w:rPr>
          <w:rFonts w:ascii="Times New Roman" w:hAnsi="Times New Roman"/>
          <w:noProof/>
          <w:lang w:val="fr-BE"/>
        </w:rPr>
        <w:t>notamment pour couvrir les besoins des États membres sur la voie de l’adoption de l’euro (voir ci-dessous). Cela permettrait le déploiement rapide d’un appui technique supplémentaire pour les réformes structurelles envisagées dans la situation actuelle. Su</w:t>
      </w:r>
      <w:r>
        <w:rPr>
          <w:rFonts w:ascii="Times New Roman" w:hAnsi="Times New Roman"/>
          <w:noProof/>
          <w:lang w:val="fr-BE"/>
        </w:rPr>
        <w:t>r la base de cette expérience, la Commission entend également proposer un programme faisant suite au programme d’appui à la réforme structurelle qui s’inscrira dans le cadre financier pluriannuel pour l’après-2020.</w:t>
      </w:r>
    </w:p>
    <w:p w:rsidR="004D184E" w:rsidRDefault="004D184E">
      <w:pPr>
        <w:spacing w:after="240"/>
        <w:jc w:val="both"/>
        <w:rPr>
          <w:rFonts w:ascii="Times New Roman" w:hAnsi="Times New Roman"/>
          <w:noProof/>
          <w:lang w:val="fr-BE"/>
        </w:rPr>
      </w:pPr>
    </w:p>
    <w:p w:rsidR="004D184E" w:rsidRDefault="007F0E45">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b/>
          <w:noProof/>
          <w:lang w:val="fr-BE"/>
        </w:rPr>
      </w:pPr>
      <w:r>
        <w:rPr>
          <w:rFonts w:ascii="Times New Roman" w:hAnsi="Times New Roman"/>
          <w:b/>
          <w:noProof/>
          <w:lang w:val="fr-BE"/>
        </w:rPr>
        <w:t>Le programme d’appui à la réforme struct</w:t>
      </w:r>
      <w:r>
        <w:rPr>
          <w:rFonts w:ascii="Times New Roman" w:hAnsi="Times New Roman"/>
          <w:b/>
          <w:noProof/>
          <w:lang w:val="fr-BE"/>
        </w:rPr>
        <w:t>urelle</w:t>
      </w:r>
    </w:p>
    <w:p w:rsidR="004D184E" w:rsidRDefault="007F0E45">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i/>
          <w:noProof/>
          <w:lang w:val="fr-BE"/>
        </w:rPr>
      </w:pPr>
      <w:r>
        <w:rPr>
          <w:rFonts w:ascii="Times New Roman" w:hAnsi="Times New Roman"/>
          <w:i/>
          <w:noProof/>
          <w:lang w:val="fr-BE"/>
        </w:rPr>
        <w:t>Le programme d’appui à la réforme structurelle a été approuvé début 2017 par le Parlement européen et le Conseil à la suite d’une proposition de la Commission. Il a pour objectif de financer un appui technique sur mesure destiné à aider les États me</w:t>
      </w:r>
      <w:r>
        <w:rPr>
          <w:rFonts w:ascii="Times New Roman" w:hAnsi="Times New Roman"/>
          <w:i/>
          <w:noProof/>
          <w:lang w:val="fr-BE"/>
        </w:rPr>
        <w:t>mbres à réaliser leurs plans de réforme. Il est doté d’un budget de 142 800 000 EUR pour la période allant de 2017 à 2020. L’appui accordé est accessible à tous les États membres, est fourni sur demande et ne requiert aucun cofinancement.</w:t>
      </w:r>
    </w:p>
    <w:p w:rsidR="004D184E" w:rsidRDefault="007F0E45">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i/>
          <w:noProof/>
          <w:lang w:val="fr-BE"/>
        </w:rPr>
      </w:pPr>
      <w:r>
        <w:rPr>
          <w:rFonts w:ascii="Times New Roman" w:hAnsi="Times New Roman"/>
          <w:i/>
          <w:noProof/>
          <w:lang w:val="fr-BE"/>
        </w:rPr>
        <w:t>L’appui technique</w:t>
      </w:r>
      <w:r>
        <w:rPr>
          <w:rFonts w:ascii="Times New Roman" w:hAnsi="Times New Roman"/>
          <w:i/>
          <w:noProof/>
          <w:lang w:val="fr-BE"/>
        </w:rPr>
        <w:t xml:space="preserve"> porte sur des réformes dans les domaines de la gouvernance et de l’administration publique, de la gestion des finances publiques, de l’environnement des entreprises, des marchés du travail, de la santé et des services sociaux, du secteur financier et de l</w:t>
      </w:r>
      <w:r>
        <w:rPr>
          <w:rFonts w:ascii="Times New Roman" w:hAnsi="Times New Roman"/>
          <w:i/>
          <w:noProof/>
          <w:lang w:val="fr-BE"/>
        </w:rPr>
        <w:t>’accès au financement. Il se fonde sur les bonnes pratiques et l’expertise de toute l’Union européenne, ainsi que des organisations internationales, du secteur privé et de la Commission elle-même. Le programme est mis en œuvre par le service d’appui à la r</w:t>
      </w:r>
      <w:r>
        <w:rPr>
          <w:rFonts w:ascii="Times New Roman" w:hAnsi="Times New Roman"/>
          <w:i/>
          <w:noProof/>
          <w:lang w:val="fr-BE"/>
        </w:rPr>
        <w:t>éforme structurelle de la Commission en coopération avec d’autres services de la Commission et mobilise des experts de toute l’Europe et au-delà.</w:t>
      </w:r>
    </w:p>
    <w:p w:rsidR="004D184E" w:rsidRDefault="007F0E45">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noProof/>
          <w:lang w:val="fr-BE"/>
        </w:rPr>
      </w:pPr>
      <w:r>
        <w:rPr>
          <w:rFonts w:ascii="Times New Roman" w:hAnsi="Times New Roman"/>
          <w:i/>
          <w:noProof/>
          <w:lang w:val="fr-BE"/>
        </w:rPr>
        <w:t>Le service d’appui à la réforme structurelle a jusqu’ici aidé 15 États membres à réaliser plus de 150 projets.</w:t>
      </w:r>
      <w:r>
        <w:rPr>
          <w:rFonts w:ascii="Times New Roman" w:hAnsi="Times New Roman"/>
          <w:i/>
          <w:noProof/>
          <w:lang w:val="fr-BE"/>
        </w:rPr>
        <w:t xml:space="preserve"> Dans le cadre du cycle 2018 du programme d’appui à la réforme structurelle, le service d’appui à la réforme structurelle a reçu 444 demandes d’appui émanant de plus de 20 États membres, ce qui a conduit à une demande sensiblement excédentaire par rapport </w:t>
      </w:r>
      <w:r>
        <w:rPr>
          <w:rFonts w:ascii="Times New Roman" w:hAnsi="Times New Roman"/>
          <w:i/>
          <w:noProof/>
          <w:lang w:val="fr-BE"/>
        </w:rPr>
        <w:t>au budget limité du programme.</w:t>
      </w:r>
    </w:p>
    <w:p w:rsidR="004D184E" w:rsidRDefault="004D184E">
      <w:pPr>
        <w:pStyle w:val="ListParagraph"/>
        <w:jc w:val="both"/>
        <w:rPr>
          <w:rFonts w:ascii="Times New Roman" w:hAnsi="Times New Roman" w:cs="Times New Roman"/>
          <w:b/>
          <w:noProof/>
          <w:u w:val="single"/>
          <w:lang w:val="fr-BE"/>
        </w:rPr>
      </w:pPr>
    </w:p>
    <w:p w:rsidR="004D184E" w:rsidRDefault="004D184E">
      <w:pPr>
        <w:pStyle w:val="ListParagraph"/>
        <w:jc w:val="both"/>
        <w:rPr>
          <w:rFonts w:ascii="Times New Roman" w:hAnsi="Times New Roman" w:cs="Times New Roman"/>
          <w:b/>
          <w:noProof/>
          <w:u w:val="single"/>
          <w:lang w:val="fr-BE"/>
        </w:rPr>
      </w:pPr>
    </w:p>
    <w:p w:rsidR="004D184E" w:rsidRDefault="007F0E45">
      <w:pPr>
        <w:pStyle w:val="ListParagraph"/>
        <w:numPr>
          <w:ilvl w:val="0"/>
          <w:numId w:val="34"/>
        </w:numPr>
        <w:ind w:hanging="720"/>
        <w:jc w:val="both"/>
        <w:rPr>
          <w:rFonts w:ascii="Times New Roman" w:hAnsi="Times New Roman" w:cs="Times New Roman"/>
          <w:b/>
          <w:noProof/>
          <w:u w:val="single"/>
          <w:lang w:val="fr-BE"/>
        </w:rPr>
      </w:pPr>
      <w:r>
        <w:rPr>
          <w:rFonts w:ascii="Times New Roman" w:hAnsi="Times New Roman"/>
          <w:b/>
          <w:noProof/>
          <w:u w:val="single"/>
          <w:lang w:val="fr-BE"/>
        </w:rPr>
        <w:t xml:space="preserve">UN MÉCANISME SPÉCIFIQUE DE SOUTIEN À LA CONVERGENCE POUR LES ÉTATS MEMBRES QUI SE PRÉPARENT À ADOPTER L’EURO </w:t>
      </w:r>
    </w:p>
    <w:p w:rsidR="004D184E" w:rsidRDefault="004D184E">
      <w:pPr>
        <w:pStyle w:val="ListParagraph"/>
        <w:jc w:val="both"/>
        <w:rPr>
          <w:rFonts w:ascii="Times New Roman" w:hAnsi="Times New Roman" w:cs="Times New Roman"/>
          <w:b/>
          <w:noProof/>
          <w:u w:val="single"/>
          <w:lang w:val="fr-BE"/>
        </w:rPr>
      </w:pPr>
    </w:p>
    <w:p w:rsidR="004D184E" w:rsidRDefault="007F0E45">
      <w:pPr>
        <w:jc w:val="both"/>
        <w:rPr>
          <w:rFonts w:ascii="Times New Roman" w:hAnsi="Times New Roman"/>
          <w:noProof/>
          <w:lang w:val="fr-BE"/>
        </w:rPr>
      </w:pPr>
      <w:r>
        <w:rPr>
          <w:rFonts w:ascii="Times New Roman" w:hAnsi="Times New Roman"/>
          <w:b/>
          <w:noProof/>
          <w:lang w:val="fr-BE"/>
        </w:rPr>
        <w:t>L’euro est la monnaie de l’UE</w:t>
      </w:r>
      <w:r>
        <w:rPr>
          <w:rStyle w:val="FootnoteReference"/>
          <w:rFonts w:ascii="Times New Roman" w:hAnsi="Times New Roman"/>
          <w:b/>
          <w:noProof/>
        </w:rPr>
        <w:footnoteReference w:id="19"/>
      </w:r>
      <w:r>
        <w:rPr>
          <w:rFonts w:ascii="Times New Roman" w:hAnsi="Times New Roman"/>
          <w:b/>
          <w:noProof/>
          <w:lang w:val="fr-BE"/>
        </w:rPr>
        <w:t xml:space="preserve"> et tous ses États membres - à l’exception du Danemark et du Royaume-Uni - sont lé</w:t>
      </w:r>
      <w:r>
        <w:rPr>
          <w:rFonts w:ascii="Times New Roman" w:hAnsi="Times New Roman"/>
          <w:b/>
          <w:noProof/>
          <w:lang w:val="fr-BE"/>
        </w:rPr>
        <w:t>galement tenus de rejoindre, à terme, la zone euro.</w:t>
      </w:r>
      <w:r>
        <w:rPr>
          <w:rFonts w:ascii="Times New Roman" w:hAnsi="Times New Roman"/>
          <w:noProof/>
          <w:lang w:val="fr-BE"/>
        </w:rPr>
        <w:t xml:space="preserve"> Comme le président Juncker l’a déclaré dans son discours sur l’état de l’Union 2017: «</w:t>
      </w:r>
      <w:r>
        <w:rPr>
          <w:rFonts w:ascii="Times New Roman" w:hAnsi="Times New Roman"/>
          <w:i/>
          <w:noProof/>
          <w:lang w:val="fr-BE"/>
        </w:rPr>
        <w:t>L’euro a vocation à devenir la monnaie unique de toute l’Union européenne. Tous nos États membres, sauf deux, ont le d</w:t>
      </w:r>
      <w:r>
        <w:rPr>
          <w:rFonts w:ascii="Times New Roman" w:hAnsi="Times New Roman"/>
          <w:i/>
          <w:noProof/>
          <w:lang w:val="fr-BE"/>
        </w:rPr>
        <w:t>roit et l’obligation d’adopter l’euro dès qu’ils rempliront les conditions. Les États membres qui veulent intégrer la zone euro doivent aussi avoir la capacité de le faire.</w:t>
      </w:r>
      <w:r>
        <w:rPr>
          <w:rFonts w:ascii="Times New Roman" w:hAnsi="Times New Roman"/>
          <w:noProof/>
          <w:lang w:val="fr-BE"/>
        </w:rPr>
        <w:t xml:space="preserve">» </w:t>
      </w:r>
    </w:p>
    <w:p w:rsidR="004D184E" w:rsidRDefault="007F0E45">
      <w:pPr>
        <w:jc w:val="both"/>
        <w:rPr>
          <w:rFonts w:ascii="Times New Roman" w:hAnsi="Times New Roman"/>
          <w:b/>
          <w:noProof/>
          <w:lang w:val="fr-BE"/>
        </w:rPr>
      </w:pPr>
      <w:r>
        <w:rPr>
          <w:rFonts w:ascii="Times New Roman" w:hAnsi="Times New Roman"/>
          <w:b/>
          <w:noProof/>
          <w:lang w:val="fr-BE"/>
        </w:rPr>
        <w:t>Comme le prévoit l’article 140 du traité sur le fonctionnement de l’UE, les États</w:t>
      </w:r>
      <w:r>
        <w:rPr>
          <w:rFonts w:ascii="Times New Roman" w:hAnsi="Times New Roman"/>
          <w:b/>
          <w:noProof/>
          <w:lang w:val="fr-BE"/>
        </w:rPr>
        <w:t xml:space="preserve"> membres doivent atteindre un degré élevé de convergence durable pour pouvoir adopter l’euro</w:t>
      </w:r>
      <w:r>
        <w:rPr>
          <w:rFonts w:ascii="Times New Roman" w:hAnsi="Times New Roman"/>
          <w:noProof/>
          <w:lang w:val="fr-BE"/>
        </w:rPr>
        <w:t xml:space="preserve">. Ce degré de convergence et évalué sur la base de la réalisation des quatre critères de convergence énumérés à l’article 140 et dans le protocole nº 13 annexé aux </w:t>
      </w:r>
      <w:r>
        <w:rPr>
          <w:rFonts w:ascii="Times New Roman" w:hAnsi="Times New Roman"/>
          <w:noProof/>
          <w:lang w:val="fr-BE"/>
        </w:rPr>
        <w:t xml:space="preserve">traités de l’Union. En plus de ces critères formels, la résilience des structures économiques est également essentielle pour une transition et une participation sans heurts à l’euro, en particulier pour absorber les chocs.  </w:t>
      </w:r>
    </w:p>
    <w:p w:rsidR="004D184E" w:rsidRDefault="007F0E45">
      <w:pPr>
        <w:jc w:val="both"/>
        <w:rPr>
          <w:rFonts w:ascii="Times New Roman" w:hAnsi="Times New Roman"/>
          <w:noProof/>
          <w:lang w:val="fr-BE"/>
        </w:rPr>
      </w:pPr>
      <w:r>
        <w:rPr>
          <w:rFonts w:ascii="Times New Roman" w:hAnsi="Times New Roman"/>
          <w:b/>
          <w:noProof/>
          <w:lang w:val="fr-BE"/>
        </w:rPr>
        <w:t>La résilience des économies dép</w:t>
      </w:r>
      <w:r>
        <w:rPr>
          <w:rFonts w:ascii="Times New Roman" w:hAnsi="Times New Roman"/>
          <w:b/>
          <w:noProof/>
          <w:lang w:val="fr-BE"/>
        </w:rPr>
        <w:t xml:space="preserve">end d’un certain nombre de facteurs. </w:t>
      </w:r>
      <w:r>
        <w:rPr>
          <w:rFonts w:ascii="Times New Roman" w:hAnsi="Times New Roman"/>
          <w:noProof/>
          <w:lang w:val="fr-BE"/>
        </w:rPr>
        <w:t>Les États membres devraient gérer leur budget conformément aux principes de bonne gestion des finances publiques, en constituant des réserves budgétaires en période de conjoncture favorable et en assurant un rendement é</w:t>
      </w:r>
      <w:r>
        <w:rPr>
          <w:rFonts w:ascii="Times New Roman" w:hAnsi="Times New Roman"/>
          <w:noProof/>
          <w:lang w:val="fr-BE"/>
        </w:rPr>
        <w:t>levé des dépenses publiques, notamment grâce à des administrations publiques qui fonctionnent bien.</w:t>
      </w:r>
      <w:r>
        <w:rPr>
          <w:rFonts w:ascii="Times New Roman" w:hAnsi="Times New Roman"/>
          <w:b/>
          <w:noProof/>
          <w:lang w:val="fr-BE"/>
        </w:rPr>
        <w:t xml:space="preserve"> </w:t>
      </w:r>
      <w:r>
        <w:rPr>
          <w:rFonts w:ascii="Times New Roman" w:hAnsi="Times New Roman"/>
          <w:noProof/>
          <w:lang w:val="fr-BE"/>
        </w:rPr>
        <w:t>Leurs institutions de régulation et de surveillance devraient être prêtes à participer à l’union bancaire. Le bon fonctionnement des marchés du travail et d</w:t>
      </w:r>
      <w:r>
        <w:rPr>
          <w:rFonts w:ascii="Times New Roman" w:hAnsi="Times New Roman"/>
          <w:noProof/>
          <w:lang w:val="fr-BE"/>
        </w:rPr>
        <w:t xml:space="preserve">es produits devrait permettre le développement rapide de nouvelles activités et des niveaux élevés d’emploi et de productivité. </w:t>
      </w:r>
    </w:p>
    <w:p w:rsidR="004D184E" w:rsidRDefault="007F0E45">
      <w:pPr>
        <w:jc w:val="both"/>
        <w:rPr>
          <w:rFonts w:ascii="Times New Roman" w:hAnsi="Times New Roman"/>
          <w:b/>
          <w:noProof/>
          <w:lang w:val="fr-BE"/>
        </w:rPr>
      </w:pPr>
      <w:r>
        <w:rPr>
          <w:rFonts w:ascii="Times New Roman" w:hAnsi="Times New Roman"/>
          <w:b/>
          <w:noProof/>
          <w:lang w:val="fr-BE"/>
        </w:rPr>
        <w:t>Dans le cadre de ses activités d’assistance technique, la Commission propose de mettre en place un axe de travail spécifique po</w:t>
      </w:r>
      <w:r>
        <w:rPr>
          <w:rFonts w:ascii="Times New Roman" w:hAnsi="Times New Roman"/>
          <w:b/>
          <w:noProof/>
          <w:lang w:val="fr-BE"/>
        </w:rPr>
        <w:t xml:space="preserve">ur offrir un appui ciblé aux États membres sur la voie de l’adoption de l’euro. </w:t>
      </w:r>
      <w:r>
        <w:rPr>
          <w:rFonts w:ascii="Times New Roman" w:hAnsi="Times New Roman"/>
          <w:noProof/>
          <w:lang w:val="fr-BE"/>
        </w:rPr>
        <w:t xml:space="preserve">L’appui technique sera offert sur demande et portera sur toutes les politiques susceptibles de les aider à atteindre un degré élevé de convergence, comme les réformes dans les </w:t>
      </w:r>
      <w:r>
        <w:rPr>
          <w:rFonts w:ascii="Times New Roman" w:hAnsi="Times New Roman"/>
          <w:noProof/>
          <w:lang w:val="fr-BE"/>
        </w:rPr>
        <w:t>domaines de la gestion des finances publiques, de l’environnement des entreprises, du secteur financier, des marchés du travail et des produits et de l’administration publique. Cet appui technique sera financé par le programme d’appui à la réforme structur</w:t>
      </w:r>
      <w:r>
        <w:rPr>
          <w:rFonts w:ascii="Times New Roman" w:hAnsi="Times New Roman"/>
          <w:noProof/>
          <w:lang w:val="fr-BE"/>
        </w:rPr>
        <w:t xml:space="preserve">elle. Il sera totalement volontaire et sera fourni sans aucun cofinancement des États membres bénéficiaires. Cette proposition est intégrée dans la modification du règlement établissant le programme d’appui à la réforme structurelle présenté parallèlement </w:t>
      </w:r>
      <w:r>
        <w:rPr>
          <w:rFonts w:ascii="Times New Roman" w:hAnsi="Times New Roman"/>
          <w:noProof/>
          <w:lang w:val="fr-BE"/>
        </w:rPr>
        <w:t xml:space="preserve">au présent paquet. </w:t>
      </w:r>
    </w:p>
    <w:p w:rsidR="004D184E" w:rsidRDefault="007F0E45">
      <w:pPr>
        <w:jc w:val="both"/>
        <w:rPr>
          <w:rFonts w:ascii="Times New Roman" w:hAnsi="Times New Roman"/>
          <w:noProof/>
          <w:lang w:val="fr-BE"/>
        </w:rPr>
      </w:pPr>
      <w:r>
        <w:rPr>
          <w:rFonts w:ascii="Times New Roman" w:hAnsi="Times New Roman"/>
          <w:b/>
          <w:noProof/>
          <w:lang w:val="fr-BE"/>
        </w:rPr>
        <w:t>Pour l’après-2020, la Commission proposera un mécanisme spécifique de soutien à la convergence</w:t>
      </w:r>
      <w:r>
        <w:rPr>
          <w:rFonts w:ascii="Times New Roman" w:hAnsi="Times New Roman"/>
          <w:noProof/>
          <w:lang w:val="fr-BE"/>
        </w:rPr>
        <w:t xml:space="preserve"> faisant suite au programme d’appui à la réforme structurelle, afin d’aider les États membres à préparer concrètement leur participation sans heurts à la zone euro, et ce indépendamment du processus formel relatif à l’adoption de l’euro, qui s’inscrit dans</w:t>
      </w:r>
      <w:r>
        <w:rPr>
          <w:rFonts w:ascii="Times New Roman" w:hAnsi="Times New Roman"/>
          <w:noProof/>
          <w:lang w:val="fr-BE"/>
        </w:rPr>
        <w:t xml:space="preserve"> un processus de suivi spécifique</w:t>
      </w:r>
      <w:r>
        <w:rPr>
          <w:rStyle w:val="FootnoteReference"/>
          <w:rFonts w:ascii="Times New Roman" w:hAnsi="Times New Roman"/>
          <w:noProof/>
        </w:rPr>
        <w:footnoteReference w:id="20"/>
      </w:r>
      <w:r>
        <w:rPr>
          <w:noProof/>
          <w:lang w:val="fr-BE"/>
        </w:rPr>
        <w:t>.</w:t>
      </w:r>
      <w:r>
        <w:rPr>
          <w:rFonts w:ascii="Times New Roman" w:hAnsi="Times New Roman"/>
          <w:noProof/>
          <w:lang w:val="fr-BE"/>
        </w:rPr>
        <w:t xml:space="preserve"> </w:t>
      </w:r>
    </w:p>
    <w:p w:rsidR="004D184E" w:rsidRDefault="007F0E45">
      <w:pPr>
        <w:jc w:val="both"/>
        <w:rPr>
          <w:rFonts w:ascii="Times New Roman" w:hAnsi="Times New Roman"/>
          <w:noProof/>
          <w:lang w:val="fr-BE"/>
        </w:rPr>
      </w:pPr>
      <w:r>
        <w:rPr>
          <w:rFonts w:ascii="Times New Roman" w:hAnsi="Times New Roman"/>
          <w:b/>
          <w:noProof/>
          <w:color w:val="000000"/>
          <w:lang w:val="fr-BE"/>
        </w:rPr>
        <w:t xml:space="preserve">Les États membres </w:t>
      </w:r>
      <w:r>
        <w:rPr>
          <w:rFonts w:ascii="Times New Roman" w:hAnsi="Times New Roman"/>
          <w:b/>
          <w:noProof/>
          <w:lang w:val="fr-BE"/>
        </w:rPr>
        <w:t>concernés</w:t>
      </w:r>
      <w:r>
        <w:rPr>
          <w:rFonts w:ascii="Times New Roman" w:hAnsi="Times New Roman"/>
          <w:b/>
          <w:noProof/>
          <w:color w:val="000000"/>
          <w:lang w:val="fr-BE"/>
        </w:rPr>
        <w:t xml:space="preserve"> peuvent </w:t>
      </w:r>
      <w:r>
        <w:rPr>
          <w:rFonts w:ascii="Times New Roman" w:hAnsi="Times New Roman"/>
          <w:b/>
          <w:noProof/>
          <w:lang w:val="fr-BE"/>
        </w:rPr>
        <w:t>aussi décider, dès à présent, de reprogrammer une partie de leur budget d’assistance technique disponible au titre des Fonds structurels et d’investissement européens</w:t>
      </w:r>
      <w:r>
        <w:rPr>
          <w:rFonts w:ascii="Times New Roman" w:hAnsi="Times New Roman"/>
          <w:noProof/>
          <w:lang w:val="fr-BE"/>
        </w:rPr>
        <w:t xml:space="preserve"> pour des projets</w:t>
      </w:r>
      <w:r>
        <w:rPr>
          <w:rFonts w:ascii="Times New Roman" w:hAnsi="Times New Roman"/>
          <w:noProof/>
          <w:lang w:val="fr-BE"/>
        </w:rPr>
        <w:t xml:space="preserve"> qui seront soutenus par</w:t>
      </w:r>
      <w:r>
        <w:rPr>
          <w:rFonts w:ascii="Times New Roman" w:hAnsi="Times New Roman"/>
          <w:noProof/>
          <w:color w:val="000000"/>
          <w:lang w:val="fr-BE"/>
        </w:rPr>
        <w:t xml:space="preserve"> le service d’appui à la réforme structurelle</w:t>
      </w:r>
      <w:r>
        <w:rPr>
          <w:rFonts w:ascii="Times New Roman" w:hAnsi="Times New Roman"/>
          <w:noProof/>
          <w:lang w:val="fr-BE"/>
        </w:rPr>
        <w:t xml:space="preserve">. L’état d’avancement des réformes sur le terrain, notamment celles liées à l’outil d’aide à la mise en place des réformes présenté ci-dessus, continuera d’être suivi dans le contexte du </w:t>
      </w:r>
      <w:r>
        <w:rPr>
          <w:rFonts w:ascii="Times New Roman" w:hAnsi="Times New Roman"/>
          <w:noProof/>
          <w:lang w:val="fr-BE"/>
        </w:rPr>
        <w:t>Semestre européen.</w:t>
      </w:r>
    </w:p>
    <w:p w:rsidR="004D184E" w:rsidRDefault="004D184E">
      <w:pPr>
        <w:spacing w:after="0"/>
        <w:jc w:val="both"/>
        <w:rPr>
          <w:rFonts w:ascii="Times New Roman" w:hAnsi="Times New Roman"/>
          <w:noProof/>
          <w:lang w:val="fr-BE"/>
        </w:rPr>
      </w:pPr>
    </w:p>
    <w:p w:rsidR="004D184E" w:rsidRDefault="007F0E45">
      <w:pPr>
        <w:pStyle w:val="ListParagraph"/>
        <w:numPr>
          <w:ilvl w:val="0"/>
          <w:numId w:val="34"/>
        </w:numPr>
        <w:ind w:hanging="720"/>
        <w:rPr>
          <w:rFonts w:ascii="Times New Roman" w:hAnsi="Times New Roman" w:cs="Times New Roman"/>
          <w:b/>
          <w:noProof/>
          <w:u w:val="single"/>
          <w:lang w:val="fr-BE"/>
        </w:rPr>
      </w:pPr>
      <w:r>
        <w:rPr>
          <w:rFonts w:ascii="Times New Roman" w:hAnsi="Times New Roman"/>
          <w:b/>
          <w:noProof/>
          <w:u w:val="single"/>
          <w:lang w:val="fr-BE"/>
        </w:rPr>
        <w:t xml:space="preserve">UN FILET DE SÉCURITÉ POUR L’UNION BANCAIRE </w:t>
      </w:r>
    </w:p>
    <w:p w:rsidR="004D184E" w:rsidRDefault="004D184E">
      <w:pPr>
        <w:pStyle w:val="ListParagraph"/>
        <w:jc w:val="both"/>
        <w:rPr>
          <w:rFonts w:ascii="Times New Roman" w:hAnsi="Times New Roman" w:cs="Times New Roman"/>
          <w:b/>
          <w:noProof/>
          <w:lang w:val="fr-BE"/>
        </w:rPr>
      </w:pPr>
    </w:p>
    <w:p w:rsidR="004D184E" w:rsidRDefault="007F0E45">
      <w:pPr>
        <w:jc w:val="both"/>
        <w:rPr>
          <w:rFonts w:ascii="Times New Roman" w:hAnsi="Times New Roman"/>
          <w:b/>
          <w:i/>
          <w:noProof/>
          <w:lang w:val="fr-BE"/>
        </w:rPr>
      </w:pPr>
      <w:r>
        <w:rPr>
          <w:rFonts w:ascii="Times New Roman" w:hAnsi="Times New Roman"/>
          <w:b/>
          <w:noProof/>
          <w:lang w:val="fr-BE"/>
        </w:rPr>
        <w:t>La création d’un filet de sécurité pour le Fonds de résolution unique a été approuvée par les États membres en 2013</w:t>
      </w:r>
      <w:r>
        <w:rPr>
          <w:rFonts w:ascii="Times New Roman" w:hAnsi="Times New Roman"/>
          <w:noProof/>
          <w:lang w:val="fr-BE"/>
        </w:rPr>
        <w:t xml:space="preserve">, en complément à l’accord politique sur le règlement relatif au mécanisme </w:t>
      </w:r>
      <w:r>
        <w:rPr>
          <w:rFonts w:ascii="Times New Roman" w:hAnsi="Times New Roman"/>
          <w:noProof/>
          <w:lang w:val="fr-BE"/>
        </w:rPr>
        <w:t>de résolution unique</w:t>
      </w:r>
      <w:r>
        <w:rPr>
          <w:rStyle w:val="FootnoteReference"/>
          <w:rFonts w:ascii="Times New Roman" w:hAnsi="Times New Roman"/>
          <w:noProof/>
        </w:rPr>
        <w:footnoteReference w:id="21"/>
      </w:r>
      <w:r>
        <w:rPr>
          <w:noProof/>
          <w:lang w:val="fr-BE"/>
        </w:rPr>
        <w:t>.</w:t>
      </w:r>
      <w:r>
        <w:rPr>
          <w:rFonts w:ascii="Times New Roman" w:hAnsi="Times New Roman"/>
          <w:noProof/>
          <w:lang w:val="fr-BE"/>
        </w:rPr>
        <w:t xml:space="preserve"> Comme assurance de dernier recours en cas de résolution bancaire, un filet de sécurité commun serait uniquement activé lorsque les ressources du Fonds de résolution unique sont insuffisantes pour financer la résolution de la/des banq</w:t>
      </w:r>
      <w:r>
        <w:rPr>
          <w:rFonts w:ascii="Times New Roman" w:hAnsi="Times New Roman"/>
          <w:noProof/>
          <w:lang w:val="fr-BE"/>
        </w:rPr>
        <w:t>ue(s) concerné(e)s. Cela permettrait de renforcer la confiance de toutes les parties intéressées dans les actions à prendre par le Conseil de résolution unique.</w:t>
      </w:r>
    </w:p>
    <w:p w:rsidR="004D184E" w:rsidRDefault="007F0E45">
      <w:pPr>
        <w:jc w:val="both"/>
        <w:rPr>
          <w:rFonts w:ascii="Times New Roman" w:hAnsi="Times New Roman"/>
          <w:b/>
          <w:noProof/>
          <w:lang w:val="fr-BE"/>
        </w:rPr>
      </w:pPr>
      <w:r>
        <w:rPr>
          <w:rFonts w:ascii="Times New Roman" w:hAnsi="Times New Roman"/>
          <w:b/>
          <w:noProof/>
          <w:lang w:val="fr-BE"/>
        </w:rPr>
        <w:t>Quatre ans plus tard, ce filet de sécurité n’est toujours pas opérationnel.</w:t>
      </w:r>
      <w:r>
        <w:rPr>
          <w:rFonts w:ascii="Times New Roman" w:hAnsi="Times New Roman"/>
          <w:noProof/>
          <w:lang w:val="fr-BE"/>
        </w:rPr>
        <w:t xml:space="preserve"> Le discours sur l’é</w:t>
      </w:r>
      <w:r>
        <w:rPr>
          <w:rFonts w:ascii="Times New Roman" w:hAnsi="Times New Roman"/>
          <w:noProof/>
          <w:lang w:val="fr-BE"/>
        </w:rPr>
        <w:t>tat de l’Union de septembre 2017 et la communication d’octobre 2017 sur l’achèvement de l’union bancaire</w:t>
      </w:r>
      <w:r>
        <w:rPr>
          <w:rStyle w:val="FootnoteReference"/>
          <w:rFonts w:ascii="Times New Roman" w:hAnsi="Times New Roman"/>
          <w:noProof/>
        </w:rPr>
        <w:footnoteReference w:id="22"/>
      </w:r>
      <w:r>
        <w:rPr>
          <w:rFonts w:ascii="Times New Roman" w:hAnsi="Times New Roman"/>
          <w:noProof/>
          <w:lang w:val="fr-BE"/>
        </w:rPr>
        <w:t xml:space="preserve"> soulignent la nécessité de rendre ce filet de sécurité opérationnel de toute urgence. </w:t>
      </w:r>
    </w:p>
    <w:p w:rsidR="004D184E" w:rsidRDefault="007F0E45">
      <w:pPr>
        <w:jc w:val="both"/>
        <w:rPr>
          <w:rFonts w:ascii="Times New Roman" w:hAnsi="Times New Roman"/>
          <w:i/>
          <w:noProof/>
          <w:lang w:val="fr-BE"/>
        </w:rPr>
      </w:pPr>
      <w:r>
        <w:rPr>
          <w:rFonts w:ascii="Times New Roman" w:hAnsi="Times New Roman"/>
          <w:b/>
          <w:noProof/>
          <w:lang w:val="fr-BE"/>
        </w:rPr>
        <w:t>Le document de réflexion sur l’approfondissement de l’Union éco</w:t>
      </w:r>
      <w:r>
        <w:rPr>
          <w:rFonts w:ascii="Times New Roman" w:hAnsi="Times New Roman"/>
          <w:b/>
          <w:noProof/>
          <w:lang w:val="fr-BE"/>
        </w:rPr>
        <w:t>nomique et monétaire a recensé certains critères à respecter par le filet de sécurité pour être opérationnel en cas de crise.</w:t>
      </w:r>
      <w:r>
        <w:rPr>
          <w:rFonts w:ascii="Times New Roman" w:hAnsi="Times New Roman"/>
          <w:noProof/>
          <w:lang w:val="fr-BE"/>
        </w:rPr>
        <w:t xml:space="preserve"> Il devrait avoir une taille suffisante pour remplir sa mission et être activable rapidement en temps de crise. Il devrait également être neutre sur le plan budgétaire, étant donné que le règlement sur le mécanisme de résolution unique dispose que dans le </w:t>
      </w:r>
      <w:r>
        <w:rPr>
          <w:rFonts w:ascii="Times New Roman" w:hAnsi="Times New Roman"/>
          <w:noProof/>
          <w:lang w:val="fr-BE"/>
        </w:rPr>
        <w:t xml:space="preserve">cadre de l’union bancaire, le secteur bancaire doit rembourser tout versement éventuel effectué par le Fonds de résolution unique. </w:t>
      </w:r>
    </w:p>
    <w:p w:rsidR="004D184E" w:rsidRDefault="007F0E45">
      <w:pPr>
        <w:keepNext/>
        <w:jc w:val="both"/>
        <w:rPr>
          <w:rFonts w:ascii="Times New Roman" w:hAnsi="Times New Roman"/>
          <w:b/>
          <w:noProof/>
          <w:lang w:val="fr-BE"/>
        </w:rPr>
      </w:pPr>
      <w:r>
        <w:rPr>
          <w:rFonts w:ascii="Times New Roman" w:hAnsi="Times New Roman"/>
          <w:i/>
          <w:noProof/>
          <w:lang w:val="fr-BE"/>
        </w:rPr>
        <w:t>Un filet de sécurité commun par l’intermédiaire du mécanisme européen de stabilité/Fonds monétaire européen.</w:t>
      </w:r>
    </w:p>
    <w:p w:rsidR="004D184E" w:rsidRDefault="007F0E45">
      <w:pPr>
        <w:jc w:val="both"/>
        <w:rPr>
          <w:rFonts w:ascii="Times New Roman" w:hAnsi="Times New Roman"/>
          <w:b/>
          <w:noProof/>
          <w:lang w:val="fr-BE"/>
        </w:rPr>
      </w:pPr>
      <w:r>
        <w:rPr>
          <w:rFonts w:ascii="Times New Roman" w:hAnsi="Times New Roman"/>
          <w:b/>
          <w:noProof/>
          <w:lang w:val="fr-BE"/>
        </w:rPr>
        <w:t>La Commission p</w:t>
      </w:r>
      <w:r>
        <w:rPr>
          <w:rFonts w:ascii="Times New Roman" w:hAnsi="Times New Roman"/>
          <w:b/>
          <w:noProof/>
          <w:lang w:val="fr-BE"/>
        </w:rPr>
        <w:t xml:space="preserve">résente aujourd’hui une proposition visant à la création d’un Fonds monétaire européen, </w:t>
      </w:r>
      <w:r>
        <w:rPr>
          <w:rFonts w:ascii="Times New Roman" w:hAnsi="Times New Roman"/>
          <w:noProof/>
          <w:lang w:val="fr-BE"/>
        </w:rPr>
        <w:t xml:space="preserve">qui prévoit que le futur Fonds monétaire européen octroie directement au Fonds de résolution unique une ligne de crédit ou des garanties. </w:t>
      </w:r>
    </w:p>
    <w:p w:rsidR="004D184E" w:rsidRDefault="007F0E45">
      <w:pPr>
        <w:jc w:val="both"/>
        <w:rPr>
          <w:rFonts w:ascii="Times New Roman" w:hAnsi="Times New Roman"/>
          <w:b/>
          <w:noProof/>
          <w:shd w:val="clear" w:color="auto" w:fill="FFFF00"/>
          <w:lang w:val="fr-BE"/>
        </w:rPr>
      </w:pPr>
      <w:r>
        <w:rPr>
          <w:rFonts w:ascii="Times New Roman" w:hAnsi="Times New Roman"/>
          <w:b/>
          <w:noProof/>
          <w:lang w:val="fr-BE"/>
        </w:rPr>
        <w:t xml:space="preserve">La plupart des États membres </w:t>
      </w:r>
      <w:r>
        <w:rPr>
          <w:rFonts w:ascii="Times New Roman" w:hAnsi="Times New Roman"/>
          <w:b/>
          <w:noProof/>
          <w:lang w:val="fr-BE"/>
        </w:rPr>
        <w:t xml:space="preserve">ont exprimé leur soutien à l’intégration du filet de sécurité dans le mécanisme européen de stabilité. </w:t>
      </w:r>
      <w:r>
        <w:rPr>
          <w:rFonts w:ascii="Times New Roman" w:hAnsi="Times New Roman"/>
          <w:noProof/>
          <w:lang w:val="fr-BE"/>
        </w:rPr>
        <w:t>La Commission salue le travail technique préparatoire déjà effectué à cette fin. Il s’agit également de la solution la plus pragmatique et la plus effici</w:t>
      </w:r>
      <w:r>
        <w:rPr>
          <w:rFonts w:ascii="Times New Roman" w:hAnsi="Times New Roman"/>
          <w:noProof/>
          <w:lang w:val="fr-BE"/>
        </w:rPr>
        <w:t xml:space="preserve">ente. Le mécanisme européen de stabilité (qui deviendra le Fonds monétaire européen) devrait s’appuyer sur son expérience et son expertise attestée en matière d’emprunt sur les marchés, même dans un contexte difficile. </w:t>
      </w:r>
    </w:p>
    <w:p w:rsidR="004D184E" w:rsidRDefault="007F0E45">
      <w:pPr>
        <w:jc w:val="both"/>
        <w:rPr>
          <w:rFonts w:ascii="Times New Roman" w:hAnsi="Times New Roman"/>
          <w:i/>
          <w:noProof/>
          <w:lang w:val="fr-BE"/>
        </w:rPr>
      </w:pPr>
      <w:r>
        <w:rPr>
          <w:rFonts w:ascii="Times New Roman" w:hAnsi="Times New Roman"/>
          <w:b/>
          <w:noProof/>
          <w:lang w:val="fr-BE"/>
        </w:rPr>
        <w:t xml:space="preserve">Ce mécanisme devrait être étendu au </w:t>
      </w:r>
      <w:r>
        <w:rPr>
          <w:rFonts w:ascii="Times New Roman" w:hAnsi="Times New Roman"/>
          <w:b/>
          <w:noProof/>
          <w:lang w:val="fr-BE"/>
        </w:rPr>
        <w:t xml:space="preserve">besoin pour inclure tous les membres de l’union bancaire sur un pied d’égalité. </w:t>
      </w:r>
      <w:r>
        <w:rPr>
          <w:rFonts w:ascii="Times New Roman" w:hAnsi="Times New Roman"/>
          <w:noProof/>
          <w:lang w:val="fr-BE"/>
        </w:rPr>
        <w:t>Chaque fois qu’un nouvel État membre rejoindra l’union bancaire sans rejoindre la zone euro, il sera tenu de fournir un mécanisme national parallèle à l’appui apporté par le Fo</w:t>
      </w:r>
      <w:r>
        <w:rPr>
          <w:rFonts w:ascii="Times New Roman" w:hAnsi="Times New Roman"/>
          <w:noProof/>
          <w:lang w:val="fr-BE"/>
        </w:rPr>
        <w:t xml:space="preserve">nds monétaire européen au Fonds de résolution unique. Des modalités de gouvernance appropriées garantiront que les intérêts légitimes des États membres qui n’appartiennent pas à la zone euro mais participent à l’union bancaire seront pris en compte. C’est </w:t>
      </w:r>
      <w:r>
        <w:rPr>
          <w:rFonts w:ascii="Times New Roman" w:hAnsi="Times New Roman"/>
          <w:noProof/>
          <w:lang w:val="fr-BE"/>
        </w:rPr>
        <w:t>ce que prévoit la proposition de création d’un Fonds monétaire européen de ce jour.</w:t>
      </w:r>
    </w:p>
    <w:p w:rsidR="004D184E" w:rsidRDefault="007F0E45">
      <w:pPr>
        <w:jc w:val="both"/>
        <w:rPr>
          <w:rFonts w:ascii="Times New Roman" w:hAnsi="Times New Roman"/>
          <w:b/>
          <w:noProof/>
          <w:lang w:val="fr-BE"/>
        </w:rPr>
      </w:pPr>
      <w:r>
        <w:rPr>
          <w:rFonts w:ascii="Times New Roman" w:hAnsi="Times New Roman"/>
          <w:i/>
          <w:noProof/>
          <w:lang w:val="fr-BE"/>
        </w:rPr>
        <w:t>Gouvernance</w:t>
      </w:r>
    </w:p>
    <w:p w:rsidR="004D184E" w:rsidRDefault="007F0E45">
      <w:pPr>
        <w:jc w:val="both"/>
        <w:rPr>
          <w:rFonts w:ascii="Times New Roman" w:hAnsi="Times New Roman"/>
          <w:b/>
          <w:noProof/>
          <w:lang w:val="fr-BE"/>
        </w:rPr>
      </w:pPr>
      <w:r>
        <w:rPr>
          <w:rFonts w:ascii="Times New Roman" w:hAnsi="Times New Roman"/>
          <w:b/>
          <w:noProof/>
          <w:lang w:val="fr-BE"/>
        </w:rPr>
        <w:t>Reconnaissant qu’il importe de gérer la défaillance d’une banque tout en évitant la contagion ou la rupture de la stabilité financière, le règlement sur le méca</w:t>
      </w:r>
      <w:r>
        <w:rPr>
          <w:rFonts w:ascii="Times New Roman" w:hAnsi="Times New Roman"/>
          <w:b/>
          <w:noProof/>
          <w:lang w:val="fr-BE"/>
        </w:rPr>
        <w:t>nisme de résolution unique prévoit des modalités de décision spécifiques.</w:t>
      </w:r>
      <w:r>
        <w:rPr>
          <w:rFonts w:ascii="Times New Roman" w:hAnsi="Times New Roman"/>
          <w:noProof/>
          <w:lang w:val="fr-BE"/>
        </w:rPr>
        <w:t xml:space="preserve"> Les procédures décisionnelles relatives à l’adoption d’un dispositif de résolution sont soumises à des délais courts, de manière à ce qu’elles puissent être accomplies, si nécessaire</w:t>
      </w:r>
      <w:r>
        <w:rPr>
          <w:rFonts w:ascii="Times New Roman" w:hAnsi="Times New Roman"/>
          <w:noProof/>
          <w:lang w:val="fr-BE"/>
        </w:rPr>
        <w:t xml:space="preserve"> du jour au lendemain, avant la réouverture des marchés</w:t>
      </w:r>
      <w:r>
        <w:rPr>
          <w:rStyle w:val="FootnoteReference"/>
          <w:rFonts w:ascii="Times New Roman" w:hAnsi="Times New Roman"/>
          <w:noProof/>
        </w:rPr>
        <w:footnoteReference w:id="23"/>
      </w:r>
      <w:r>
        <w:rPr>
          <w:noProof/>
          <w:lang w:val="fr-BE"/>
        </w:rPr>
        <w:t>.</w:t>
      </w:r>
      <w:r>
        <w:rPr>
          <w:rFonts w:ascii="Times New Roman" w:hAnsi="Times New Roman"/>
          <w:noProof/>
          <w:lang w:val="fr-BE"/>
        </w:rPr>
        <w:t xml:space="preserve">  </w:t>
      </w:r>
    </w:p>
    <w:p w:rsidR="004D184E" w:rsidRDefault="007F0E45">
      <w:pPr>
        <w:jc w:val="both"/>
        <w:rPr>
          <w:rFonts w:ascii="Times New Roman" w:hAnsi="Times New Roman"/>
          <w:noProof/>
          <w:lang w:val="fr-BE"/>
        </w:rPr>
      </w:pPr>
      <w:r>
        <w:rPr>
          <w:rFonts w:ascii="Times New Roman" w:hAnsi="Times New Roman"/>
          <w:b/>
          <w:noProof/>
          <w:lang w:val="fr-BE"/>
        </w:rPr>
        <w:t xml:space="preserve">Le filet de sécurité devrait être disponible dès le moment où le dispositif de résolution entre en vigueur. </w:t>
      </w:r>
      <w:r>
        <w:rPr>
          <w:rFonts w:ascii="Times New Roman" w:hAnsi="Times New Roman"/>
          <w:noProof/>
          <w:lang w:val="fr-BE"/>
        </w:rPr>
        <w:t>Si des montants s’ajoutant à ceux directement disponibles dans le Fonds de résolution un</w:t>
      </w:r>
      <w:r>
        <w:rPr>
          <w:rFonts w:ascii="Times New Roman" w:hAnsi="Times New Roman"/>
          <w:noProof/>
          <w:lang w:val="fr-BE"/>
        </w:rPr>
        <w:t>ique sont nécessaires (filet de sécurité), le processus décisionnel du Fonds monétaire européen en ce qui concerne le recours à ce filet de sécurité doit être rapide et prévisible. Il ne peut comprendre d’autres conditionnalités que les exigences du règlem</w:t>
      </w:r>
      <w:r>
        <w:rPr>
          <w:rFonts w:ascii="Times New Roman" w:hAnsi="Times New Roman"/>
          <w:noProof/>
          <w:lang w:val="fr-BE"/>
        </w:rPr>
        <w:t>ent sur le mécanisme de résolution unique</w:t>
      </w:r>
      <w:r>
        <w:rPr>
          <w:rStyle w:val="FootnoteReference"/>
          <w:rFonts w:ascii="Times New Roman" w:hAnsi="Times New Roman"/>
          <w:noProof/>
        </w:rPr>
        <w:footnoteReference w:id="24"/>
      </w:r>
      <w:r>
        <w:rPr>
          <w:noProof/>
          <w:lang w:val="fr-BE"/>
        </w:rPr>
        <w:t>.</w:t>
      </w:r>
      <w:r>
        <w:rPr>
          <w:rFonts w:ascii="Times New Roman" w:hAnsi="Times New Roman"/>
          <w:noProof/>
          <w:lang w:val="fr-BE"/>
        </w:rPr>
        <w:t xml:space="preserve"> Les modalités de gouvernance appropriées doivent donc être rapides et fiables, et garantir une égalité de traitement dans toute l’union bancaire. </w:t>
      </w:r>
    </w:p>
    <w:p w:rsidR="004D184E" w:rsidRDefault="004D184E">
      <w:pPr>
        <w:jc w:val="both"/>
        <w:rPr>
          <w:rFonts w:ascii="Times New Roman" w:hAnsi="Times New Roman"/>
          <w:i/>
          <w:noProof/>
          <w:lang w:val="fr-BE"/>
        </w:rPr>
      </w:pPr>
    </w:p>
    <w:p w:rsidR="004D184E" w:rsidRDefault="007F0E45">
      <w:pPr>
        <w:pStyle w:val="ListParagraph"/>
        <w:numPr>
          <w:ilvl w:val="0"/>
          <w:numId w:val="34"/>
        </w:numPr>
        <w:ind w:hanging="720"/>
        <w:rPr>
          <w:rFonts w:ascii="Times New Roman" w:hAnsi="Times New Roman" w:cs="Times New Roman"/>
          <w:b/>
          <w:noProof/>
          <w:u w:val="single"/>
        </w:rPr>
      </w:pPr>
      <w:r>
        <w:rPr>
          <w:rFonts w:ascii="Times New Roman" w:hAnsi="Times New Roman"/>
          <w:b/>
          <w:noProof/>
          <w:u w:val="single"/>
        </w:rPr>
        <w:t xml:space="preserve">MÉCANISME DE STABILISATION </w:t>
      </w:r>
    </w:p>
    <w:p w:rsidR="004D184E" w:rsidRDefault="004D184E">
      <w:pPr>
        <w:widowControl w:val="0"/>
        <w:suppressLineNumbers/>
        <w:tabs>
          <w:tab w:val="left" w:pos="5325"/>
        </w:tabs>
        <w:jc w:val="both"/>
        <w:rPr>
          <w:rFonts w:ascii="Times New Roman" w:hAnsi="Times New Roman"/>
          <w:noProof/>
          <w:sz w:val="12"/>
          <w:szCs w:val="12"/>
        </w:rPr>
      </w:pPr>
    </w:p>
    <w:p w:rsidR="004D184E" w:rsidRDefault="007F0E45">
      <w:pPr>
        <w:jc w:val="both"/>
        <w:rPr>
          <w:rFonts w:ascii="Times New Roman" w:hAnsi="Times New Roman"/>
          <w:noProof/>
          <w:lang w:val="fr-BE"/>
        </w:rPr>
      </w:pPr>
      <w:r>
        <w:rPr>
          <w:rFonts w:ascii="Times New Roman" w:hAnsi="Times New Roman"/>
          <w:b/>
          <w:noProof/>
          <w:lang w:val="fr-BE"/>
        </w:rPr>
        <w:t>Un mécanisme de stabilisation au ni</w:t>
      </w:r>
      <w:r>
        <w:rPr>
          <w:rFonts w:ascii="Times New Roman" w:hAnsi="Times New Roman"/>
          <w:b/>
          <w:noProof/>
          <w:lang w:val="fr-BE"/>
        </w:rPr>
        <w:t>veau européen offrirait la possibilité de mobiliser rapidement des ressources afin de faire face à des chocs qui ne peuvent être gérés uniquement au niveau national</w:t>
      </w:r>
      <w:r>
        <w:rPr>
          <w:rFonts w:ascii="Times New Roman" w:hAnsi="Times New Roman"/>
          <w:noProof/>
          <w:lang w:val="fr-BE"/>
        </w:rPr>
        <w:t>. Le rapport des cinq présidents et le document de réflexion sur l’approfondissement de l’Un</w:t>
      </w:r>
      <w:r>
        <w:rPr>
          <w:rFonts w:ascii="Times New Roman" w:hAnsi="Times New Roman"/>
          <w:noProof/>
          <w:lang w:val="fr-BE"/>
        </w:rPr>
        <w:t>ion économique et monétaire ont exposé les raisons justifiant un tel instrument, et des principes importants ont été définis, qui restent valables</w:t>
      </w:r>
      <w:r>
        <w:rPr>
          <w:rStyle w:val="FootnoteReference"/>
          <w:rFonts w:ascii="Times New Roman" w:hAnsi="Times New Roman"/>
          <w:noProof/>
        </w:rPr>
        <w:footnoteReference w:id="25"/>
      </w:r>
      <w:r>
        <w:rPr>
          <w:noProof/>
          <w:lang w:val="fr-BE"/>
        </w:rPr>
        <w:t>.</w:t>
      </w:r>
      <w:r>
        <w:rPr>
          <w:rFonts w:ascii="Times New Roman" w:hAnsi="Times New Roman"/>
          <w:noProof/>
          <w:lang w:val="fr-BE"/>
        </w:rPr>
        <w:t xml:space="preserve"> L’accès au mécanisme de stabilisation serait soumis à des critères d’admissibilité et à un dispositif conve</w:t>
      </w:r>
      <w:r>
        <w:rPr>
          <w:rFonts w:ascii="Times New Roman" w:hAnsi="Times New Roman"/>
          <w:noProof/>
          <w:lang w:val="fr-BE"/>
        </w:rPr>
        <w:t>nu de commun accord pour activer son utilisation. La présente section envisage la création d'un mécanisme de stabilisation destiné aux États membres de la zone euro et ouvert à tous les pays souhaitant y participer.</w:t>
      </w:r>
    </w:p>
    <w:p w:rsidR="004D184E" w:rsidRDefault="007F0E45">
      <w:pPr>
        <w:jc w:val="both"/>
        <w:rPr>
          <w:rFonts w:ascii="Times New Roman" w:hAnsi="Times New Roman"/>
          <w:noProof/>
          <w:lang w:val="fr-BE"/>
        </w:rPr>
      </w:pPr>
      <w:r>
        <w:rPr>
          <w:rFonts w:ascii="Times New Roman" w:hAnsi="Times New Roman"/>
          <w:b/>
          <w:noProof/>
          <w:lang w:val="fr-BE"/>
        </w:rPr>
        <w:t xml:space="preserve">Un tel mécanisme de stabilisation ne </w:t>
      </w:r>
      <w:r>
        <w:rPr>
          <w:rFonts w:ascii="Times New Roman" w:hAnsi="Times New Roman"/>
          <w:b/>
          <w:noProof/>
          <w:lang w:val="fr-BE"/>
        </w:rPr>
        <w:t>ferait que compléter le rôle stabilisateur des budgets nationaux en cas de chocs asymétriques de grande ampleur.</w:t>
      </w:r>
      <w:r>
        <w:rPr>
          <w:rFonts w:ascii="Times New Roman" w:hAnsi="Times New Roman"/>
          <w:noProof/>
          <w:lang w:val="fr-BE"/>
        </w:rPr>
        <w:t xml:space="preserve"> Compte tenu de leur importance centrale pour l’économie, les budgets nationaux resteront pour les États membres le principal instrument de poli</w:t>
      </w:r>
      <w:r>
        <w:rPr>
          <w:rFonts w:ascii="Times New Roman" w:hAnsi="Times New Roman"/>
          <w:noProof/>
          <w:lang w:val="fr-BE"/>
        </w:rPr>
        <w:t xml:space="preserve">tique budgétaire permettant de s’adapter à l’évolution de la situation économique. Dès lors, les États membres doivent continuer à constituer et à entretenir des réserves budgétaires suffisantes, notamment en période de conjoncture favorable, ainsi que le </w:t>
      </w:r>
      <w:r>
        <w:rPr>
          <w:rFonts w:ascii="Times New Roman" w:hAnsi="Times New Roman"/>
          <w:noProof/>
          <w:lang w:val="fr-BE"/>
        </w:rPr>
        <w:t>prévoit le pacte de stabilité et de croissance</w:t>
      </w:r>
      <w:r>
        <w:rPr>
          <w:rStyle w:val="FootnoteReference"/>
          <w:rFonts w:ascii="Times New Roman" w:hAnsi="Times New Roman"/>
          <w:noProof/>
        </w:rPr>
        <w:footnoteReference w:id="26"/>
      </w:r>
      <w:r>
        <w:rPr>
          <w:noProof/>
          <w:lang w:val="fr-BE"/>
        </w:rPr>
        <w:t>.</w:t>
      </w:r>
      <w:r>
        <w:rPr>
          <w:rFonts w:ascii="Times New Roman" w:hAnsi="Times New Roman"/>
          <w:noProof/>
          <w:lang w:val="fr-BE"/>
        </w:rPr>
        <w:t xml:space="preserve"> En cas de ralentissement économique, les États membres devraient d’abord recourir à leurs propres stabilisateurs automatiques et à leur propre politique budgétaire discrétionnaire en conformité avec le pacte</w:t>
      </w:r>
      <w:r>
        <w:rPr>
          <w:rFonts w:ascii="Times New Roman" w:hAnsi="Times New Roman"/>
          <w:noProof/>
          <w:lang w:val="fr-BE"/>
        </w:rPr>
        <w:t xml:space="preserve">. Le mécanisme de stabilisation au niveau européen ne devrait être activé que si ces réserves et ces stabilisateurs ne sont pas suffisants en cas de chocs asymétriques de grande ampleur. </w:t>
      </w:r>
    </w:p>
    <w:p w:rsidR="004D184E" w:rsidRDefault="007F0E45">
      <w:pPr>
        <w:jc w:val="both"/>
        <w:rPr>
          <w:rFonts w:ascii="Times New Roman" w:hAnsi="Times New Roman"/>
          <w:noProof/>
          <w:lang w:val="fr-BE"/>
        </w:rPr>
      </w:pPr>
      <w:r>
        <w:rPr>
          <w:rFonts w:ascii="Times New Roman" w:hAnsi="Times New Roman"/>
          <w:b/>
          <w:noProof/>
          <w:lang w:val="fr-BE"/>
        </w:rPr>
        <w:t>Un tel mécanisme contribuerait à atténuer les effets de chocs asymét</w:t>
      </w:r>
      <w:r>
        <w:rPr>
          <w:rFonts w:ascii="Times New Roman" w:hAnsi="Times New Roman"/>
          <w:b/>
          <w:noProof/>
          <w:lang w:val="fr-BE"/>
        </w:rPr>
        <w:t xml:space="preserve">riques et préviendrait le risque d’effets de contagion négatifs. </w:t>
      </w:r>
      <w:r>
        <w:rPr>
          <w:rFonts w:ascii="Times New Roman" w:hAnsi="Times New Roman"/>
          <w:noProof/>
          <w:lang w:val="fr-BE"/>
        </w:rPr>
        <w:t>L’objectif consiste à octroyer des ressources à un État membre secoué par un choc qui l’aurait normalement contraint à se tourner vers le marché pour se financer - dans des circonstances pote</w:t>
      </w:r>
      <w:r>
        <w:rPr>
          <w:rFonts w:ascii="Times New Roman" w:hAnsi="Times New Roman"/>
          <w:noProof/>
          <w:lang w:val="fr-BE"/>
        </w:rPr>
        <w:t>ntiellement difficiles, avec les effets que cela pourrait avoir sur le déficit et l’endettement de l’État membre concerné.</w:t>
      </w:r>
    </w:p>
    <w:p w:rsidR="004D184E" w:rsidRDefault="007F0E45">
      <w:pPr>
        <w:jc w:val="both"/>
        <w:rPr>
          <w:rFonts w:ascii="Times New Roman" w:hAnsi="Times New Roman"/>
          <w:b/>
          <w:noProof/>
          <w:lang w:val="fr-BE"/>
        </w:rPr>
      </w:pPr>
      <w:r>
        <w:rPr>
          <w:rFonts w:ascii="Times New Roman" w:hAnsi="Times New Roman"/>
          <w:i/>
          <w:noProof/>
          <w:lang w:val="fr-BE"/>
        </w:rPr>
        <w:t>Principales caractéristiques d’un mécanisme de stabilisation</w:t>
      </w:r>
    </w:p>
    <w:p w:rsidR="004D184E" w:rsidRDefault="007F0E45">
      <w:pPr>
        <w:jc w:val="both"/>
        <w:rPr>
          <w:rFonts w:ascii="Times New Roman" w:hAnsi="Times New Roman"/>
          <w:noProof/>
        </w:rPr>
      </w:pPr>
      <w:r>
        <w:rPr>
          <w:rFonts w:ascii="Times New Roman" w:hAnsi="Times New Roman"/>
          <w:noProof/>
          <w:lang w:val="fr-BE"/>
        </w:rPr>
        <w:t>Pour être efficace, le mécanisme de stabilisation doit satisfaire à plus</w:t>
      </w:r>
      <w:r>
        <w:rPr>
          <w:rFonts w:ascii="Times New Roman" w:hAnsi="Times New Roman"/>
          <w:noProof/>
          <w:lang w:val="fr-BE"/>
        </w:rPr>
        <w:t xml:space="preserve">ieurs critères. </w:t>
      </w:r>
      <w:r>
        <w:rPr>
          <w:rFonts w:ascii="Times New Roman" w:hAnsi="Times New Roman"/>
          <w:noProof/>
        </w:rPr>
        <w:t>Il doit plus particulièrement:</w:t>
      </w:r>
    </w:p>
    <w:p w:rsidR="004D184E" w:rsidRDefault="007F0E45">
      <w:pPr>
        <w:pStyle w:val="ListParagraph"/>
        <w:numPr>
          <w:ilvl w:val="0"/>
          <w:numId w:val="3"/>
        </w:numPr>
        <w:tabs>
          <w:tab w:val="clear" w:pos="0"/>
          <w:tab w:val="num" w:pos="-714"/>
        </w:tabs>
        <w:suppressAutoHyphens w:val="0"/>
        <w:spacing w:after="200" w:line="276" w:lineRule="auto"/>
        <w:ind w:left="357" w:hanging="357"/>
        <w:jc w:val="both"/>
        <w:rPr>
          <w:rFonts w:ascii="Times New Roman" w:hAnsi="Times New Roman" w:cs="Times New Roman"/>
          <w:b/>
          <w:noProof/>
          <w:sz w:val="22"/>
          <w:szCs w:val="22"/>
          <w:lang w:val="fr-BE"/>
        </w:rPr>
      </w:pPr>
      <w:r>
        <w:rPr>
          <w:rFonts w:ascii="Times New Roman" w:hAnsi="Times New Roman"/>
          <w:b/>
          <w:noProof/>
          <w:sz w:val="22"/>
          <w:lang w:val="fr-BE"/>
        </w:rPr>
        <w:t>Être distinct et complémentaire de la panoplie d’instruments de finances publiques existante de l’UE</w:t>
      </w:r>
      <w:r>
        <w:rPr>
          <w:rFonts w:ascii="Times New Roman" w:hAnsi="Times New Roman"/>
          <w:noProof/>
          <w:sz w:val="22"/>
          <w:lang w:val="fr-BE"/>
        </w:rPr>
        <w:t>. Un tel mécanisme devrait combler le vide entre, d’une part, les instruments existants financés sur le budge</w:t>
      </w:r>
      <w:r>
        <w:rPr>
          <w:rFonts w:ascii="Times New Roman" w:hAnsi="Times New Roman"/>
          <w:noProof/>
          <w:sz w:val="22"/>
          <w:lang w:val="fr-BE"/>
        </w:rPr>
        <w:t>t de l’UE qui soutiennent l’emploi, la croissance et l’investissement et, d’autre part, l’aide financière fournie au titre du Fonds monétaire européen dans les cas extrêmes. Pour l’avenir, il importe également de prendre en considération le rôle des instru</w:t>
      </w:r>
      <w:r>
        <w:rPr>
          <w:rFonts w:ascii="Times New Roman" w:hAnsi="Times New Roman"/>
          <w:noProof/>
          <w:sz w:val="22"/>
          <w:lang w:val="fr-BE"/>
        </w:rPr>
        <w:t>ments existants du budget de l’UE qui ont un effet stabilisateur</w:t>
      </w:r>
      <w:r>
        <w:rPr>
          <w:rStyle w:val="FootnoteReference"/>
          <w:rFonts w:ascii="Times New Roman" w:hAnsi="Times New Roman"/>
          <w:noProof/>
          <w:sz w:val="22"/>
        </w:rPr>
        <w:footnoteReference w:id="27"/>
      </w:r>
      <w:r>
        <w:rPr>
          <w:rFonts w:ascii="Times New Roman" w:hAnsi="Times New Roman"/>
          <w:noProof/>
          <w:sz w:val="22"/>
          <w:lang w:val="fr-BE"/>
        </w:rPr>
        <w:t>. On pourrait envisager de renforcer également ces instruments afin de contribuer à une absorption plus efficace des chocs à l’avenir, et ce en complément du mécanisme présenté dans la présen</w:t>
      </w:r>
      <w:r>
        <w:rPr>
          <w:rFonts w:ascii="Times New Roman" w:hAnsi="Times New Roman"/>
          <w:noProof/>
          <w:sz w:val="22"/>
          <w:lang w:val="fr-BE"/>
        </w:rPr>
        <w:t>te section</w:t>
      </w:r>
      <w:r>
        <w:rPr>
          <w:noProof/>
          <w:lang w:val="fr-BE"/>
        </w:rPr>
        <w:t>.</w:t>
      </w:r>
      <w:r>
        <w:rPr>
          <w:rFonts w:ascii="Times New Roman" w:hAnsi="Times New Roman"/>
          <w:noProof/>
          <w:sz w:val="22"/>
          <w:lang w:val="fr-BE"/>
        </w:rPr>
        <w:t xml:space="preserve"> De même, il serait utile de prendre en considération l’idée d’une augmentation temporaire du taux de cofinancement de l’UE et/ou d’une modulation possible du niveau de préfinancement des Fonds structurels et d’investissement européens en foncti</w:t>
      </w:r>
      <w:r>
        <w:rPr>
          <w:rFonts w:ascii="Times New Roman" w:hAnsi="Times New Roman"/>
          <w:noProof/>
          <w:sz w:val="22"/>
          <w:lang w:val="fr-BE"/>
        </w:rPr>
        <w:t>on des circonstances</w:t>
      </w:r>
      <w:r>
        <w:rPr>
          <w:rStyle w:val="FootnoteReference"/>
          <w:rFonts w:ascii="Times New Roman" w:hAnsi="Times New Roman"/>
          <w:noProof/>
          <w:sz w:val="22"/>
        </w:rPr>
        <w:footnoteReference w:id="28"/>
      </w:r>
      <w:r>
        <w:rPr>
          <w:noProof/>
          <w:lang w:val="fr-BE"/>
        </w:rPr>
        <w:t>.</w:t>
      </w:r>
    </w:p>
    <w:p w:rsidR="004D184E" w:rsidRDefault="007F0E45">
      <w:pPr>
        <w:pStyle w:val="ListParagraph"/>
        <w:numPr>
          <w:ilvl w:val="0"/>
          <w:numId w:val="3"/>
        </w:numPr>
        <w:tabs>
          <w:tab w:val="clear" w:pos="0"/>
          <w:tab w:val="num" w:pos="-357"/>
        </w:tabs>
        <w:suppressAutoHyphens w:val="0"/>
        <w:spacing w:after="200" w:line="276" w:lineRule="auto"/>
        <w:ind w:left="357" w:hanging="357"/>
        <w:jc w:val="both"/>
        <w:rPr>
          <w:rFonts w:ascii="Times New Roman" w:hAnsi="Times New Roman" w:cs="Times New Roman"/>
          <w:b/>
          <w:noProof/>
          <w:sz w:val="22"/>
          <w:szCs w:val="22"/>
          <w:lang w:val="fr-BE"/>
        </w:rPr>
      </w:pPr>
      <w:r>
        <w:rPr>
          <w:rFonts w:ascii="Times New Roman" w:hAnsi="Times New Roman"/>
          <w:b/>
          <w:noProof/>
          <w:sz w:val="22"/>
          <w:lang w:val="fr-BE"/>
        </w:rPr>
        <w:t xml:space="preserve">Être neutre à moyen terme et ne pas conduire à des transferts permanents entre États membres. </w:t>
      </w:r>
      <w:r>
        <w:rPr>
          <w:rFonts w:ascii="Times New Roman" w:hAnsi="Times New Roman"/>
          <w:noProof/>
          <w:sz w:val="22"/>
          <w:lang w:val="fr-BE"/>
        </w:rPr>
        <w:t xml:space="preserve">Le mécanisme de stabilisation devrait être conçu de sorte que tous les États membres participants jouissent de la même probabilité d’en </w:t>
      </w:r>
      <w:r>
        <w:rPr>
          <w:rFonts w:ascii="Times New Roman" w:hAnsi="Times New Roman"/>
          <w:noProof/>
          <w:sz w:val="22"/>
          <w:lang w:val="fr-BE"/>
        </w:rPr>
        <w:t>bénéficier et y contribuent de manière homogène.</w:t>
      </w:r>
    </w:p>
    <w:p w:rsidR="004D184E" w:rsidRDefault="007F0E45">
      <w:pPr>
        <w:pStyle w:val="ListParagraph"/>
        <w:numPr>
          <w:ilvl w:val="0"/>
          <w:numId w:val="3"/>
        </w:numPr>
        <w:suppressAutoHyphens w:val="0"/>
        <w:spacing w:after="200" w:line="276" w:lineRule="auto"/>
        <w:ind w:left="357" w:hanging="357"/>
        <w:jc w:val="both"/>
        <w:rPr>
          <w:rFonts w:ascii="Times New Roman" w:hAnsi="Times New Roman" w:cs="Times New Roman"/>
          <w:b/>
          <w:noProof/>
          <w:sz w:val="22"/>
          <w:szCs w:val="22"/>
          <w:lang w:val="fr-BE"/>
        </w:rPr>
      </w:pPr>
      <w:r>
        <w:rPr>
          <w:rFonts w:ascii="Times New Roman" w:hAnsi="Times New Roman"/>
          <w:b/>
          <w:noProof/>
          <w:sz w:val="22"/>
          <w:lang w:val="fr-BE"/>
        </w:rPr>
        <w:t>Contribuer à une politique budgétaire saine et réduire autant que possible l’aléa moral.</w:t>
      </w:r>
      <w:r>
        <w:rPr>
          <w:rFonts w:ascii="Times New Roman" w:hAnsi="Times New Roman"/>
          <w:noProof/>
          <w:sz w:val="22"/>
          <w:lang w:val="fr-BE"/>
        </w:rPr>
        <w:t xml:space="preserve"> L’aide ne serait soumise à aucune condition, mais l’accès au mécanisme de stabilisation serait subordonné au respect d</w:t>
      </w:r>
      <w:r>
        <w:rPr>
          <w:rFonts w:ascii="Times New Roman" w:hAnsi="Times New Roman"/>
          <w:noProof/>
          <w:sz w:val="22"/>
          <w:lang w:val="fr-BE"/>
        </w:rPr>
        <w:t>e critères d’admissibilité stricts et prédéfinis, fondés sur des politiques macroéconomiques saines. En règle générale, seuls les États membres qui se sont conformés au cadre de surveillance de l’UE pendant la période ayant précédé le choc asymétrique de g</w:t>
      </w:r>
      <w:r>
        <w:rPr>
          <w:rFonts w:ascii="Times New Roman" w:hAnsi="Times New Roman"/>
          <w:noProof/>
          <w:sz w:val="22"/>
          <w:lang w:val="fr-BE"/>
        </w:rPr>
        <w:t xml:space="preserve">rande ampleur devraient pouvoir y accéder. Cela permettra d’éviter l’aléa moral et d’inciter davantage les États membres à respecter les exigences de politiques budgétaires et structurelles saines. </w:t>
      </w:r>
    </w:p>
    <w:p w:rsidR="004D184E" w:rsidRDefault="007F0E45">
      <w:pPr>
        <w:pStyle w:val="ListParagraph"/>
        <w:numPr>
          <w:ilvl w:val="0"/>
          <w:numId w:val="3"/>
        </w:numPr>
        <w:suppressAutoHyphens w:val="0"/>
        <w:spacing w:after="200" w:line="276" w:lineRule="auto"/>
        <w:ind w:left="357" w:hanging="357"/>
        <w:jc w:val="both"/>
        <w:rPr>
          <w:rFonts w:ascii="Times New Roman" w:hAnsi="Times New Roman" w:cs="Times New Roman"/>
          <w:b/>
          <w:noProof/>
          <w:sz w:val="22"/>
          <w:szCs w:val="22"/>
          <w:lang w:val="fr-BE"/>
        </w:rPr>
      </w:pPr>
      <w:r>
        <w:rPr>
          <w:rFonts w:ascii="Times New Roman" w:hAnsi="Times New Roman"/>
          <w:b/>
          <w:noProof/>
          <w:sz w:val="22"/>
          <w:lang w:val="fr-BE"/>
        </w:rPr>
        <w:t>Contribuer à la stabilité financière.</w:t>
      </w:r>
      <w:r>
        <w:rPr>
          <w:rFonts w:ascii="Times New Roman" w:hAnsi="Times New Roman"/>
          <w:noProof/>
          <w:sz w:val="22"/>
          <w:lang w:val="fr-BE"/>
        </w:rPr>
        <w:t xml:space="preserve"> Le mécanisme devrai</w:t>
      </w:r>
      <w:r>
        <w:rPr>
          <w:rFonts w:ascii="Times New Roman" w:hAnsi="Times New Roman"/>
          <w:noProof/>
          <w:sz w:val="22"/>
          <w:lang w:val="fr-BE"/>
        </w:rPr>
        <w:t xml:space="preserve">t réduire le risque qu’un État membre bénéficiaire ne doive finalement recourir à un programme du Fonds monétaire européen. </w:t>
      </w:r>
    </w:p>
    <w:p w:rsidR="004D184E" w:rsidRDefault="007F0E45">
      <w:pPr>
        <w:pStyle w:val="ListParagraph"/>
        <w:numPr>
          <w:ilvl w:val="0"/>
          <w:numId w:val="3"/>
        </w:numPr>
        <w:suppressAutoHyphens w:val="0"/>
        <w:spacing w:after="200" w:line="276" w:lineRule="auto"/>
        <w:ind w:left="357" w:hanging="357"/>
        <w:jc w:val="both"/>
        <w:rPr>
          <w:rFonts w:ascii="Times New Roman" w:hAnsi="Times New Roman" w:cs="Times New Roman"/>
          <w:b/>
          <w:noProof/>
          <w:sz w:val="22"/>
          <w:szCs w:val="22"/>
          <w:lang w:val="fr-BE"/>
        </w:rPr>
      </w:pPr>
      <w:r>
        <w:rPr>
          <w:rFonts w:ascii="Times New Roman" w:hAnsi="Times New Roman"/>
          <w:b/>
          <w:noProof/>
          <w:sz w:val="22"/>
          <w:lang w:val="fr-BE"/>
        </w:rPr>
        <w:t>Être économiquement significatif en régime de croisière.</w:t>
      </w:r>
      <w:r>
        <w:rPr>
          <w:rFonts w:ascii="Times New Roman" w:hAnsi="Times New Roman"/>
          <w:noProof/>
          <w:sz w:val="22"/>
          <w:lang w:val="fr-BE"/>
        </w:rPr>
        <w:t xml:space="preserve"> Il devrait être suffisamment important pour produire un effet stabilisateu</w:t>
      </w:r>
      <w:r>
        <w:rPr>
          <w:rFonts w:ascii="Times New Roman" w:hAnsi="Times New Roman"/>
          <w:noProof/>
          <w:sz w:val="22"/>
          <w:lang w:val="fr-BE"/>
        </w:rPr>
        <w:t>r réel sur l’État membre. Selon les estimations, pour être efficace au sein de la zone euro, un tel mécanisme devrait prévoir des paiements nets totaux correspondant à au moins 1 % du produit intérieur brut. En outre, pour être crédible, le mécanisme de st</w:t>
      </w:r>
      <w:r>
        <w:rPr>
          <w:rFonts w:ascii="Times New Roman" w:hAnsi="Times New Roman"/>
          <w:noProof/>
          <w:sz w:val="22"/>
          <w:lang w:val="fr-BE"/>
        </w:rPr>
        <w:t xml:space="preserve">abilisation doit disposer de ressources suffisantes, même en pleine récession. Cette nécessité pourrait impliquer l’une ou l’autre forme de capacité d’emprunt, sachant qu’il convient de conserver l’équilibre du budget de l’UE. </w:t>
      </w:r>
    </w:p>
    <w:p w:rsidR="004D184E" w:rsidRDefault="007F0E45">
      <w:pPr>
        <w:pStyle w:val="ListParagraph"/>
        <w:numPr>
          <w:ilvl w:val="0"/>
          <w:numId w:val="3"/>
        </w:numPr>
        <w:tabs>
          <w:tab w:val="clear" w:pos="0"/>
          <w:tab w:val="num" w:pos="-357"/>
        </w:tabs>
        <w:suppressAutoHyphens w:val="0"/>
        <w:spacing w:after="200" w:line="276" w:lineRule="auto"/>
        <w:ind w:left="357" w:hanging="357"/>
        <w:jc w:val="both"/>
        <w:rPr>
          <w:rFonts w:ascii="Times New Roman" w:hAnsi="Times New Roman" w:cs="Times New Roman"/>
          <w:b/>
          <w:noProof/>
          <w:sz w:val="22"/>
          <w:szCs w:val="22"/>
          <w:lang w:val="fr-BE"/>
        </w:rPr>
      </w:pPr>
      <w:r>
        <w:rPr>
          <w:rFonts w:ascii="Times New Roman" w:hAnsi="Times New Roman"/>
          <w:b/>
          <w:noProof/>
          <w:sz w:val="22"/>
          <w:lang w:val="fr-BE"/>
        </w:rPr>
        <w:t>Être efficace et mis en œuvr</w:t>
      </w:r>
      <w:r>
        <w:rPr>
          <w:rFonts w:ascii="Times New Roman" w:hAnsi="Times New Roman"/>
          <w:b/>
          <w:noProof/>
          <w:sz w:val="22"/>
          <w:lang w:val="fr-BE"/>
        </w:rPr>
        <w:t>e en temps voulu.</w:t>
      </w:r>
      <w:r>
        <w:rPr>
          <w:rFonts w:ascii="Times New Roman" w:hAnsi="Times New Roman"/>
          <w:noProof/>
          <w:sz w:val="22"/>
          <w:lang w:val="fr-BE"/>
        </w:rPr>
        <w:t xml:space="preserve"> Pour les États membres respectant les critères d’accès, le mécanisme de stabilisation devrait être activé automatiquement et rapidement sur la base de paramètres prédéfinis (par exemple, en cas d’écart négatif temporaire important par rap</w:t>
      </w:r>
      <w:r>
        <w:rPr>
          <w:rFonts w:ascii="Times New Roman" w:hAnsi="Times New Roman"/>
          <w:noProof/>
          <w:sz w:val="22"/>
          <w:lang w:val="fr-BE"/>
        </w:rPr>
        <w:t xml:space="preserve">port à l’évolution du chômage et de l’investissement dans l’État membre). </w:t>
      </w:r>
    </w:p>
    <w:p w:rsidR="004D184E" w:rsidRDefault="007F0E45">
      <w:pPr>
        <w:numPr>
          <w:ilvl w:val="0"/>
          <w:numId w:val="3"/>
        </w:numPr>
        <w:suppressAutoHyphens/>
        <w:ind w:left="357" w:hanging="357"/>
        <w:jc w:val="both"/>
        <w:rPr>
          <w:rFonts w:ascii="Times New Roman" w:hAnsi="Times New Roman"/>
          <w:noProof/>
          <w:lang w:val="fr-BE"/>
        </w:rPr>
      </w:pPr>
      <w:r>
        <w:rPr>
          <w:rFonts w:ascii="Times New Roman" w:hAnsi="Times New Roman"/>
          <w:b/>
          <w:noProof/>
          <w:lang w:val="fr-BE"/>
        </w:rPr>
        <w:t>Inclure un volet appui budgétaire/subventions.</w:t>
      </w:r>
      <w:r>
        <w:rPr>
          <w:rFonts w:ascii="Times New Roman" w:hAnsi="Times New Roman"/>
          <w:noProof/>
          <w:lang w:val="fr-BE"/>
        </w:rPr>
        <w:t xml:space="preserve"> Le fait de s’appuyer uniquement sur un système de prêts pourrait avoir un effet limité pour l’État membre, étant donné que celui-ci po</w:t>
      </w:r>
      <w:r>
        <w:rPr>
          <w:rFonts w:ascii="Times New Roman" w:hAnsi="Times New Roman"/>
          <w:noProof/>
          <w:lang w:val="fr-BE"/>
        </w:rPr>
        <w:t>urrait se contenter d’emprunter sur les marchés ou de recourir à l’une des lignes de crédit préventives existantes. Par contre, un volet «prêts» présente l’avantage de répondre à d’éventuels problèmes de liquidité sans engendrer de risques de transferts pe</w:t>
      </w:r>
      <w:r>
        <w:rPr>
          <w:rFonts w:ascii="Times New Roman" w:hAnsi="Times New Roman"/>
          <w:noProof/>
          <w:lang w:val="fr-BE"/>
        </w:rPr>
        <w:t xml:space="preserve">rmanents. Un instrument de stabilisation passant par un système de subventions pourrait produire des effets macroéconomiques plus puissants et plus immédiats. </w:t>
      </w:r>
    </w:p>
    <w:p w:rsidR="004D184E" w:rsidRDefault="007F0E45">
      <w:pPr>
        <w:jc w:val="both"/>
        <w:rPr>
          <w:rFonts w:ascii="Times New Roman" w:hAnsi="Times New Roman"/>
          <w:b/>
          <w:noProof/>
          <w:lang w:val="fr-BE"/>
        </w:rPr>
      </w:pPr>
      <w:r>
        <w:rPr>
          <w:rFonts w:ascii="Times New Roman" w:hAnsi="Times New Roman"/>
          <w:b/>
          <w:noProof/>
          <w:lang w:val="fr-BE"/>
        </w:rPr>
        <w:t xml:space="preserve">Un tel mécanisme de stabilisation peut être envisagé de plusieurs manières différentes. </w:t>
      </w:r>
      <w:r>
        <w:rPr>
          <w:rFonts w:ascii="Times New Roman" w:hAnsi="Times New Roman"/>
          <w:noProof/>
          <w:lang w:val="fr-BE"/>
        </w:rPr>
        <w:t xml:space="preserve">La </w:t>
      </w:r>
      <w:r>
        <w:rPr>
          <w:rFonts w:ascii="Times New Roman" w:hAnsi="Times New Roman"/>
          <w:noProof/>
          <w:lang w:val="fr-BE"/>
        </w:rPr>
        <w:t>Commission a présenté trois options différentes dans son document de réflexion sur l’approfondissement de l’Union économique et monétaire. Premièrement, un système européen de protection de l’investissement protégerait les investissements en cas de fléchis</w:t>
      </w:r>
      <w:r>
        <w:rPr>
          <w:rFonts w:ascii="Times New Roman" w:hAnsi="Times New Roman"/>
          <w:noProof/>
          <w:lang w:val="fr-BE"/>
        </w:rPr>
        <w:t xml:space="preserve">sement de l’activité, en soutenant des priorités clairement définies et des projets ou des actions déjà prévus au niveau national, tels que le développement des infrastructures ou des qualifications. Deuxièmement, un régime européen de réassurance chômage </w:t>
      </w:r>
      <w:r>
        <w:rPr>
          <w:rFonts w:ascii="Times New Roman" w:hAnsi="Times New Roman"/>
          <w:noProof/>
          <w:lang w:val="fr-BE"/>
        </w:rPr>
        <w:t>pourrait servir de «fonds de réassurance» pour les régimes nationaux d’assurance chômage. Troisièmement, un fonds pour les mauvais jours («rainy day fund») pourrait accumuler des fonds d’États membres de manière régulière et les décaissements seraient décl</w:t>
      </w:r>
      <w:r>
        <w:rPr>
          <w:rFonts w:ascii="Times New Roman" w:hAnsi="Times New Roman"/>
          <w:noProof/>
          <w:lang w:val="fr-BE"/>
        </w:rPr>
        <w:t>enchés de manière prédéfinie. Ces options ont chacune leurs avantages et peuvent être combinées au fil du temps.</w:t>
      </w:r>
    </w:p>
    <w:p w:rsidR="004D184E" w:rsidRDefault="007F0E45">
      <w:pPr>
        <w:jc w:val="both"/>
        <w:rPr>
          <w:rFonts w:ascii="Times New Roman" w:hAnsi="Times New Roman"/>
          <w:noProof/>
          <w:lang w:val="fr-BE"/>
        </w:rPr>
      </w:pPr>
      <w:r>
        <w:rPr>
          <w:rFonts w:ascii="Times New Roman" w:hAnsi="Times New Roman"/>
          <w:b/>
          <w:noProof/>
          <w:lang w:val="fr-BE"/>
        </w:rPr>
        <w:t xml:space="preserve">Dans la présente communication, la Commission envisage un mécanisme de stabilisation qui serait capable de soutenir l’investissement au niveau </w:t>
      </w:r>
      <w:r>
        <w:rPr>
          <w:rFonts w:ascii="Times New Roman" w:hAnsi="Times New Roman"/>
          <w:b/>
          <w:noProof/>
          <w:lang w:val="fr-BE"/>
        </w:rPr>
        <w:t>national et pourrait être développé de manière progressive</w:t>
      </w:r>
      <w:r>
        <w:rPr>
          <w:rFonts w:ascii="Times New Roman" w:hAnsi="Times New Roman"/>
          <w:noProof/>
          <w:lang w:val="fr-BE"/>
        </w:rPr>
        <w:t xml:space="preserve">, en combinant initialement des prêts et un volet «subventions» assez limité. Un tel mécanisme correspondrait à l'importance que cette Commission accorde à l'investissement en tant que moteur de la </w:t>
      </w:r>
      <w:r>
        <w:rPr>
          <w:rFonts w:ascii="Times New Roman" w:hAnsi="Times New Roman"/>
          <w:noProof/>
          <w:lang w:val="fr-BE"/>
        </w:rPr>
        <w:t>croissance à long terme et permettrait un déploiement plus rapide que dans le cas des deux autres options. Compte tenu de la structure et de la composition du budget de l’UE (équilibre annuel et limitation à des ressources propres), un mécanisme de stabili</w:t>
      </w:r>
      <w:r>
        <w:rPr>
          <w:rFonts w:ascii="Times New Roman" w:hAnsi="Times New Roman"/>
          <w:noProof/>
          <w:lang w:val="fr-BE"/>
        </w:rPr>
        <w:t>sation aurait à être conçu de telle sorte que le déploiement de tout son potentiel serait possible sur une période donnée, notamment en vue d’atteindre la force de frappe financière requise.</w:t>
      </w:r>
    </w:p>
    <w:p w:rsidR="004D184E" w:rsidRDefault="007F0E45">
      <w:pPr>
        <w:jc w:val="both"/>
        <w:rPr>
          <w:rFonts w:ascii="Times New Roman" w:hAnsi="Times New Roman"/>
          <w:i/>
          <w:noProof/>
          <w:lang w:val="fr-BE"/>
        </w:rPr>
      </w:pPr>
      <w:r>
        <w:rPr>
          <w:rFonts w:ascii="Times New Roman" w:hAnsi="Times New Roman"/>
          <w:i/>
          <w:noProof/>
          <w:lang w:val="fr-BE"/>
        </w:rPr>
        <w:t>Le mécanisme de stabilisation: un instrument ad hoc mettant en co</w:t>
      </w:r>
      <w:r>
        <w:rPr>
          <w:rFonts w:ascii="Times New Roman" w:hAnsi="Times New Roman"/>
          <w:i/>
          <w:noProof/>
          <w:lang w:val="fr-BE"/>
        </w:rPr>
        <w:t>mmun des finances publiques de l’UE pour réagir à des chocs asymétriques de grande ampleur</w:t>
      </w:r>
    </w:p>
    <w:p w:rsidR="004D184E" w:rsidRDefault="007F0E45">
      <w:pPr>
        <w:jc w:val="both"/>
        <w:rPr>
          <w:rFonts w:ascii="Times New Roman" w:hAnsi="Times New Roman"/>
          <w:noProof/>
          <w:lang w:val="fr-BE"/>
        </w:rPr>
      </w:pPr>
      <w:r>
        <w:rPr>
          <w:rFonts w:ascii="Times New Roman" w:hAnsi="Times New Roman"/>
          <w:b/>
          <w:noProof/>
          <w:lang w:val="fr-BE"/>
        </w:rPr>
        <w:t>Dans cette configuration, un instrument ad hoc géré par la Commission permettrait de mettre en commun efficacement différentes sources de financement au niveau europ</w:t>
      </w:r>
      <w:r>
        <w:rPr>
          <w:rFonts w:ascii="Times New Roman" w:hAnsi="Times New Roman"/>
          <w:b/>
          <w:noProof/>
          <w:lang w:val="fr-BE"/>
        </w:rPr>
        <w:t xml:space="preserve">éen pour constituer le mécanisme de stabilisation. </w:t>
      </w:r>
      <w:r>
        <w:rPr>
          <w:rFonts w:ascii="Times New Roman" w:hAnsi="Times New Roman"/>
          <w:noProof/>
          <w:lang w:val="fr-BE"/>
        </w:rPr>
        <w:t>Cet instrument serait fondé sur le principe d’un système européen de protection de l’investissement et viserait à soutenir des priorités clairement définies et des projets ou des activités déjà planifiés a</w:t>
      </w:r>
      <w:r>
        <w:rPr>
          <w:rFonts w:ascii="Times New Roman" w:hAnsi="Times New Roman"/>
          <w:noProof/>
          <w:lang w:val="fr-BE"/>
        </w:rPr>
        <w:t xml:space="preserve">u niveau national, notamment ceux recensés dans le cadre des plateformes nationales d’investissement mentionnées plus haut. </w:t>
      </w:r>
    </w:p>
    <w:p w:rsidR="004D184E" w:rsidRDefault="007F0E45">
      <w:pPr>
        <w:jc w:val="both"/>
        <w:rPr>
          <w:rFonts w:ascii="Times New Roman" w:hAnsi="Times New Roman"/>
          <w:noProof/>
          <w:lang w:val="fr-BE"/>
        </w:rPr>
      </w:pPr>
      <w:r>
        <w:rPr>
          <w:rFonts w:ascii="Times New Roman" w:hAnsi="Times New Roman"/>
          <w:b/>
          <w:noProof/>
          <w:lang w:val="fr-BE"/>
        </w:rPr>
        <w:t>À condition qu’ils respectent des critères d’admissibilité stricts, les États membres confrontés à un choc asymétrique de grande am</w:t>
      </w:r>
      <w:r>
        <w:rPr>
          <w:rFonts w:ascii="Times New Roman" w:hAnsi="Times New Roman"/>
          <w:b/>
          <w:noProof/>
          <w:lang w:val="fr-BE"/>
        </w:rPr>
        <w:t>pleur pourraient prétendre automatiquement au bénéfice de l’aide fournie au moyen du mécanisme de stabilisation</w:t>
      </w:r>
      <w:r>
        <w:rPr>
          <w:rFonts w:ascii="Times New Roman" w:hAnsi="Times New Roman"/>
          <w:noProof/>
          <w:lang w:val="fr-BE"/>
        </w:rPr>
        <w:t>. Un soutien mixte combinant prêts et appui budgétaire serait activé; il pourrait s’articuler autour de trois axes pouvant être développés de man</w:t>
      </w:r>
      <w:r>
        <w:rPr>
          <w:rFonts w:ascii="Times New Roman" w:hAnsi="Times New Roman"/>
          <w:noProof/>
          <w:lang w:val="fr-BE"/>
        </w:rPr>
        <w:t>ière progressive:</w:t>
      </w:r>
    </w:p>
    <w:p w:rsidR="004D184E" w:rsidRDefault="007F0E45">
      <w:pPr>
        <w:pStyle w:val="ListParagraph"/>
        <w:numPr>
          <w:ilvl w:val="0"/>
          <w:numId w:val="36"/>
        </w:numPr>
        <w:spacing w:line="276" w:lineRule="auto"/>
        <w:jc w:val="both"/>
        <w:rPr>
          <w:rFonts w:ascii="Times New Roman" w:eastAsia="Calibri" w:hAnsi="Times New Roman" w:cs="Times New Roman"/>
          <w:noProof/>
          <w:color w:val="auto"/>
          <w:sz w:val="22"/>
          <w:szCs w:val="22"/>
          <w:lang w:val="fr-BE"/>
        </w:rPr>
      </w:pPr>
      <w:r>
        <w:rPr>
          <w:rFonts w:ascii="Times New Roman" w:hAnsi="Times New Roman"/>
          <w:b/>
          <w:noProof/>
          <w:sz w:val="22"/>
          <w:lang w:val="fr-BE"/>
        </w:rPr>
        <w:t>Le budget de l’UE et le Fonds monétaire européen pourraient octroyer des prêts garantis par le budget de l’Union à l’État membre touché.</w:t>
      </w:r>
      <w:r>
        <w:rPr>
          <w:rFonts w:ascii="Times New Roman" w:hAnsi="Times New Roman"/>
          <w:noProof/>
          <w:sz w:val="22"/>
          <w:lang w:val="fr-BE"/>
        </w:rPr>
        <w:t xml:space="preserve"> </w:t>
      </w:r>
      <w:r>
        <w:rPr>
          <w:rFonts w:ascii="Times New Roman" w:hAnsi="Times New Roman"/>
          <w:noProof/>
          <w:color w:val="auto"/>
          <w:sz w:val="22"/>
          <w:lang w:val="fr-BE"/>
        </w:rPr>
        <w:t>Le Fonds monétaire européen pourrait jouer un rôle d’appui au mécanisme de stabilisation en accordant</w:t>
      </w:r>
      <w:r>
        <w:rPr>
          <w:rFonts w:ascii="Times New Roman" w:hAnsi="Times New Roman"/>
          <w:noProof/>
          <w:color w:val="auto"/>
          <w:sz w:val="22"/>
          <w:lang w:val="fr-BE"/>
        </w:rPr>
        <w:t xml:space="preserve"> à titre de précaution des prêts servant à un soutien à la liquidité à court terme. De tels prêts seraient complétés par des prêts adossés («back-to-back») garantis par le budget de l’UE (une capacité d’emprunt limitée pourrait être mise en place à cette f</w:t>
      </w:r>
      <w:r>
        <w:rPr>
          <w:rFonts w:ascii="Times New Roman" w:hAnsi="Times New Roman"/>
          <w:noProof/>
          <w:color w:val="auto"/>
          <w:sz w:val="22"/>
          <w:lang w:val="fr-BE"/>
        </w:rPr>
        <w:t xml:space="preserve">in dans le </w:t>
      </w:r>
      <w:r>
        <w:rPr>
          <w:rFonts w:ascii="Times New Roman" w:hAnsi="Times New Roman"/>
          <w:noProof/>
          <w:sz w:val="22"/>
          <w:lang w:val="fr-BE"/>
        </w:rPr>
        <w:t>cadre financier pluriannuel pour l’après-2020</w:t>
      </w:r>
      <w:r>
        <w:rPr>
          <w:rStyle w:val="FootnoteReference"/>
          <w:rFonts w:ascii="Times New Roman" w:hAnsi="Times New Roman"/>
          <w:noProof/>
          <w:color w:val="auto"/>
          <w:sz w:val="22"/>
        </w:rPr>
        <w:footnoteReference w:id="29"/>
      </w:r>
      <w:r>
        <w:rPr>
          <w:rFonts w:ascii="Times New Roman" w:hAnsi="Times New Roman"/>
          <w:noProof/>
          <w:color w:val="auto"/>
          <w:sz w:val="22"/>
          <w:lang w:val="fr-BE"/>
        </w:rPr>
        <w:t>). L’État membre bénéficiaire rembourserait ces prêts au mécanisme de stabilisation.</w:t>
      </w:r>
      <w:r>
        <w:rPr>
          <w:rFonts w:ascii="Times New Roman" w:hAnsi="Times New Roman"/>
          <w:noProof/>
          <w:sz w:val="22"/>
          <w:lang w:val="fr-BE"/>
        </w:rPr>
        <w:t xml:space="preserve"> </w:t>
      </w:r>
    </w:p>
    <w:p w:rsidR="004D184E" w:rsidRDefault="004D184E">
      <w:pPr>
        <w:pStyle w:val="ListParagraph"/>
        <w:spacing w:line="276" w:lineRule="auto"/>
        <w:jc w:val="both"/>
        <w:rPr>
          <w:rFonts w:ascii="Times New Roman" w:hAnsi="Times New Roman"/>
          <w:noProof/>
          <w:color w:val="auto"/>
          <w:sz w:val="22"/>
          <w:szCs w:val="22"/>
          <w:lang w:val="fr-BE"/>
        </w:rPr>
      </w:pPr>
    </w:p>
    <w:p w:rsidR="004D184E" w:rsidRDefault="007F0E45">
      <w:pPr>
        <w:pStyle w:val="ListParagraph"/>
        <w:numPr>
          <w:ilvl w:val="0"/>
          <w:numId w:val="36"/>
        </w:numPr>
        <w:spacing w:line="276" w:lineRule="auto"/>
        <w:jc w:val="both"/>
        <w:rPr>
          <w:rFonts w:ascii="Times New Roman" w:eastAsia="Calibri" w:hAnsi="Times New Roman" w:cs="Times New Roman"/>
          <w:noProof/>
          <w:color w:val="auto"/>
          <w:sz w:val="22"/>
          <w:szCs w:val="22"/>
          <w:lang w:val="fr-BE"/>
        </w:rPr>
      </w:pPr>
      <w:r>
        <w:rPr>
          <w:rFonts w:ascii="Times New Roman" w:hAnsi="Times New Roman"/>
          <w:b/>
          <w:noProof/>
          <w:sz w:val="22"/>
          <w:lang w:val="fr-BE"/>
        </w:rPr>
        <w:t xml:space="preserve">Le budget de l’UE pourrait offrir aux États membres concernés des subventions limitées qui seraient budgétisées </w:t>
      </w:r>
      <w:r>
        <w:rPr>
          <w:rFonts w:ascii="Times New Roman" w:hAnsi="Times New Roman"/>
          <w:b/>
          <w:noProof/>
          <w:sz w:val="22"/>
          <w:lang w:val="fr-BE"/>
        </w:rPr>
        <w:t>annuellement.</w:t>
      </w:r>
      <w:r>
        <w:rPr>
          <w:rFonts w:ascii="Times New Roman" w:hAnsi="Times New Roman"/>
          <w:noProof/>
          <w:sz w:val="22"/>
          <w:lang w:val="fr-BE"/>
        </w:rPr>
        <w:t xml:space="preserve"> Les crédits correspondants seraient engagés sur une ligne budgétaire spécifique, éventuellement dans le cadre des Fonds structurels et d’investissement européens destinés aux États membres participants. Cette ligne budgétaire alimenterait cha</w:t>
      </w:r>
      <w:r>
        <w:rPr>
          <w:rFonts w:ascii="Times New Roman" w:hAnsi="Times New Roman"/>
          <w:noProof/>
          <w:sz w:val="22"/>
          <w:lang w:val="fr-BE"/>
        </w:rPr>
        <w:t>que année le mécanisme de stabilisation pour contribuer à la constitution de son capital. Afin d’éviter l’éviction de ressources au détriment d’autres politiques de l’UE, les dépenses budgétisées correspondantes seraient imputées sur la «marge» entre le ca</w:t>
      </w:r>
      <w:r>
        <w:rPr>
          <w:rFonts w:ascii="Times New Roman" w:hAnsi="Times New Roman"/>
          <w:noProof/>
          <w:sz w:val="22"/>
          <w:lang w:val="fr-BE"/>
        </w:rPr>
        <w:t>dre financier pluriannuel et les plafonds des ressources propres</w:t>
      </w:r>
      <w:r>
        <w:rPr>
          <w:rStyle w:val="FootnoteReference"/>
          <w:rFonts w:ascii="Times New Roman" w:hAnsi="Times New Roman"/>
          <w:noProof/>
          <w:sz w:val="22"/>
        </w:rPr>
        <w:footnoteReference w:id="30"/>
      </w:r>
      <w:r>
        <w:rPr>
          <w:noProof/>
          <w:lang w:val="fr-BE"/>
        </w:rPr>
        <w:t>.</w:t>
      </w:r>
    </w:p>
    <w:p w:rsidR="004D184E" w:rsidRDefault="007F0E45">
      <w:pPr>
        <w:pStyle w:val="ListParagraph"/>
        <w:spacing w:line="276" w:lineRule="auto"/>
        <w:jc w:val="both"/>
        <w:rPr>
          <w:rFonts w:ascii="Times New Roman" w:hAnsi="Times New Roman"/>
          <w:noProof/>
          <w:sz w:val="22"/>
          <w:szCs w:val="22"/>
          <w:lang w:val="fr-BE"/>
        </w:rPr>
      </w:pPr>
      <w:r>
        <w:rPr>
          <w:rFonts w:ascii="Times New Roman" w:hAnsi="Times New Roman"/>
          <w:noProof/>
          <w:sz w:val="22"/>
          <w:lang w:val="fr-BE"/>
        </w:rPr>
        <w:t xml:space="preserve"> </w:t>
      </w:r>
    </w:p>
    <w:p w:rsidR="004D184E" w:rsidRDefault="007F0E45">
      <w:pPr>
        <w:keepNext/>
        <w:numPr>
          <w:ilvl w:val="0"/>
          <w:numId w:val="36"/>
        </w:numPr>
        <w:ind w:left="357" w:hanging="357"/>
        <w:jc w:val="both"/>
        <w:rPr>
          <w:rFonts w:ascii="Times New Roman" w:hAnsi="Times New Roman"/>
          <w:b/>
          <w:noProof/>
        </w:rPr>
      </w:pPr>
      <w:r>
        <w:rPr>
          <w:rFonts w:ascii="Times New Roman" w:hAnsi="Times New Roman"/>
          <w:b/>
          <w:noProof/>
          <w:lang w:val="fr-BE"/>
        </w:rPr>
        <w:t>Un mécanisme d’assurance fondé sur des contributions volontaires des États membres pourrait compléter à terme le volet «subventions» du mécanisme de stabilisation</w:t>
      </w:r>
      <w:r>
        <w:rPr>
          <w:rFonts w:ascii="Times New Roman" w:hAnsi="Times New Roman"/>
          <w:noProof/>
          <w:lang w:val="fr-BE"/>
        </w:rPr>
        <w:t>. Les États membres pourraient apporter chaque année une contribution à ce fonds spécifique en dehors du budget de l’UE et/ou convenir de mettre en place un axe de travail spécifique pour les ressources. Dès que les États membres se seraient engagés à cont</w:t>
      </w:r>
      <w:r>
        <w:rPr>
          <w:rFonts w:ascii="Times New Roman" w:hAnsi="Times New Roman"/>
          <w:noProof/>
          <w:lang w:val="fr-BE"/>
        </w:rPr>
        <w:t xml:space="preserve">ribuer au fonds et que des ressources suffisantes seraient accumulées, ce mécanisme renforcerait la capacité du mécanisme de stabilisation. </w:t>
      </w:r>
      <w:r>
        <w:rPr>
          <w:rFonts w:ascii="Times New Roman" w:hAnsi="Times New Roman"/>
          <w:b/>
          <w:noProof/>
          <w:lang w:val="fr-BE"/>
        </w:rPr>
        <w:br/>
      </w:r>
    </w:p>
    <w:p w:rsidR="004D184E" w:rsidRDefault="007F0E45">
      <w:pPr>
        <w:keepNext/>
        <w:ind w:left="357"/>
        <w:jc w:val="both"/>
        <w:rPr>
          <w:rFonts w:ascii="Times New Roman" w:hAnsi="Times New Roman"/>
          <w:b/>
          <w:noProof/>
        </w:rPr>
      </w:pPr>
      <w:r>
        <w:rPr>
          <w:rFonts w:ascii="Times New Roman" w:hAnsi="Times New Roman"/>
          <w:b/>
          <w:noProof/>
          <w:lang w:val="fr-BE"/>
        </w:rPr>
        <w:br/>
      </w:r>
      <w:r>
        <w:rPr>
          <w:rFonts w:ascii="Times New Roman" w:hAnsi="Times New Roman"/>
          <w:b/>
          <w:noProof/>
        </w:rPr>
        <w:t>Un mécanisme de stabilisation européen à l’appui de l’investissement</w:t>
      </w:r>
    </w:p>
    <w:p w:rsidR="004D184E" w:rsidRDefault="007F0E45">
      <w:pPr>
        <w:spacing w:after="0"/>
        <w:jc w:val="both"/>
        <w:rPr>
          <w:rFonts w:ascii="Times New Roman" w:hAnsi="Times New Roman"/>
          <w:noProof/>
        </w:rPr>
      </w:pPr>
      <w:r>
        <w:rPr>
          <w:noProof/>
          <w:lang w:eastAsia="zh-CN"/>
        </w:rPr>
        <w:drawing>
          <wp:inline distT="0" distB="0" distL="0" distR="0">
            <wp:extent cx="5972810" cy="4511449"/>
            <wp:effectExtent l="0" t="0" r="889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2810" cy="4511449"/>
                    </a:xfrm>
                    <a:prstGeom prst="rect">
                      <a:avLst/>
                    </a:prstGeom>
                    <a:noFill/>
                    <a:ln>
                      <a:noFill/>
                    </a:ln>
                  </pic:spPr>
                </pic:pic>
              </a:graphicData>
            </a:graphic>
          </wp:inline>
        </w:drawing>
      </w:r>
    </w:p>
    <w:p w:rsidR="004D184E" w:rsidRDefault="007F0E45">
      <w:pPr>
        <w:rPr>
          <w:noProof/>
          <w:lang w:val="fr-BE"/>
        </w:rPr>
      </w:pPr>
      <w:r>
        <w:rPr>
          <w:rFonts w:ascii="Times New Roman" w:hAnsi="Times New Roman"/>
          <w:i/>
          <w:noProof/>
          <w:lang w:val="fr-BE"/>
        </w:rPr>
        <w:t>Source: Commission européenne</w:t>
      </w:r>
    </w:p>
    <w:p w:rsidR="004D184E" w:rsidRDefault="007F0E45">
      <w:pPr>
        <w:jc w:val="both"/>
        <w:rPr>
          <w:rFonts w:ascii="Times New Roman" w:hAnsi="Times New Roman"/>
          <w:noProof/>
          <w:lang w:val="fr-BE"/>
        </w:rPr>
      </w:pPr>
      <w:r>
        <w:rPr>
          <w:rFonts w:ascii="Times New Roman" w:hAnsi="Times New Roman"/>
          <w:noProof/>
          <w:lang w:val="fr-BE"/>
        </w:rPr>
        <w:br/>
        <w:t xml:space="preserve">La </w:t>
      </w:r>
      <w:r>
        <w:rPr>
          <w:rFonts w:ascii="Times New Roman" w:hAnsi="Times New Roman"/>
          <w:noProof/>
          <w:lang w:val="fr-BE"/>
        </w:rPr>
        <w:t>Commission continuera à étudier les incidences plus précises du mécanisme de stabilisation sur le budget de l’UE dans le contexte de l’élaboration du cadre financier pluriannuel pour l’après-2020 et formulera les propositions nécessaires.</w:t>
      </w:r>
    </w:p>
    <w:p w:rsidR="004D184E" w:rsidRDefault="004D184E">
      <w:pPr>
        <w:rPr>
          <w:rFonts w:ascii="Times New Roman" w:hAnsi="Times New Roman"/>
          <w:i/>
          <w:noProof/>
          <w:lang w:val="fr-BE"/>
        </w:rPr>
      </w:pPr>
    </w:p>
    <w:p w:rsidR="004D184E" w:rsidRDefault="004D184E">
      <w:pPr>
        <w:rPr>
          <w:rFonts w:ascii="Times New Roman" w:hAnsi="Times New Roman"/>
          <w:i/>
          <w:noProof/>
          <w:lang w:val="fr-BE"/>
        </w:rPr>
      </w:pPr>
    </w:p>
    <w:p w:rsidR="004D184E" w:rsidRDefault="007F0E45">
      <w:pPr>
        <w:pStyle w:val="ListParagraph"/>
        <w:numPr>
          <w:ilvl w:val="0"/>
          <w:numId w:val="34"/>
        </w:numPr>
        <w:ind w:hanging="720"/>
        <w:rPr>
          <w:rFonts w:ascii="Times New Roman" w:hAnsi="Times New Roman" w:cs="Times New Roman"/>
          <w:b/>
          <w:noProof/>
          <w:u w:val="single"/>
        </w:rPr>
      </w:pPr>
      <w:r>
        <w:rPr>
          <w:rFonts w:ascii="Times New Roman" w:hAnsi="Times New Roman"/>
          <w:b/>
          <w:noProof/>
          <w:u w:val="single"/>
        </w:rPr>
        <w:t xml:space="preserve">CONCLUSIONS </w:t>
      </w:r>
    </w:p>
    <w:p w:rsidR="004D184E" w:rsidRDefault="004D184E">
      <w:pPr>
        <w:pStyle w:val="ListParagraph"/>
        <w:jc w:val="both"/>
        <w:rPr>
          <w:rFonts w:ascii="Times New Roman" w:hAnsi="Times New Roman" w:cs="Times New Roman"/>
          <w:b/>
          <w:bCs/>
          <w:noProof/>
        </w:rPr>
      </w:pPr>
    </w:p>
    <w:p w:rsidR="004D184E" w:rsidRDefault="007F0E45">
      <w:pPr>
        <w:jc w:val="both"/>
        <w:rPr>
          <w:rFonts w:ascii="Times New Roman" w:hAnsi="Times New Roman"/>
          <w:bCs/>
          <w:noProof/>
          <w:lang w:val="fr-BE"/>
        </w:rPr>
      </w:pPr>
      <w:r>
        <w:rPr>
          <w:rFonts w:ascii="Times New Roman" w:hAnsi="Times New Roman"/>
          <w:noProof/>
          <w:lang w:val="fr-BE"/>
        </w:rPr>
        <w:t>Au moyen de la présente communication, la Commission expose des pistes relatives à de nouveaux instruments budgétaires pour une zone euro stable dans le cadre de l’Union.</w:t>
      </w:r>
    </w:p>
    <w:p w:rsidR="004D184E" w:rsidRDefault="007F0E45">
      <w:pPr>
        <w:jc w:val="both"/>
        <w:rPr>
          <w:rFonts w:ascii="Times New Roman" w:hAnsi="Times New Roman"/>
          <w:bCs/>
          <w:noProof/>
          <w:lang w:val="fr-BE"/>
        </w:rPr>
      </w:pPr>
      <w:r>
        <w:rPr>
          <w:rFonts w:ascii="Times New Roman" w:hAnsi="Times New Roman"/>
          <w:noProof/>
          <w:lang w:val="fr-BE"/>
        </w:rPr>
        <w:t xml:space="preserve">Pour la période 2018-2020, la Commission propose: </w:t>
      </w:r>
    </w:p>
    <w:p w:rsidR="004D184E" w:rsidRDefault="007F0E45">
      <w:pPr>
        <w:pStyle w:val="ListParagraph"/>
        <w:numPr>
          <w:ilvl w:val="0"/>
          <w:numId w:val="36"/>
        </w:numPr>
        <w:spacing w:after="240" w:line="276" w:lineRule="auto"/>
        <w:ind w:left="357" w:hanging="357"/>
        <w:jc w:val="both"/>
        <w:rPr>
          <w:rFonts w:ascii="Times New Roman" w:hAnsi="Times New Roman"/>
          <w:noProof/>
          <w:sz w:val="22"/>
          <w:szCs w:val="22"/>
          <w:lang w:val="fr-BE"/>
        </w:rPr>
      </w:pPr>
      <w:r>
        <w:rPr>
          <w:rFonts w:ascii="Times New Roman" w:hAnsi="Times New Roman"/>
          <w:noProof/>
          <w:sz w:val="22"/>
          <w:lang w:val="fr-BE"/>
        </w:rPr>
        <w:t>de garantir l’adoption rapide d’un</w:t>
      </w:r>
      <w:r>
        <w:rPr>
          <w:rFonts w:ascii="Times New Roman" w:hAnsi="Times New Roman"/>
          <w:noProof/>
          <w:sz w:val="22"/>
          <w:lang w:val="fr-BE"/>
        </w:rPr>
        <w:t>e fonction de filet de sécurité pour le fonds de résolution unique d’ici la mi-2018, et sa mise en œuvre d’ici 2019. Cette proposition figure dans la proposition relative à la création d’un Fonds monétaire</w:t>
      </w:r>
      <w:bookmarkStart w:id="1" w:name="_GoBack"/>
      <w:bookmarkEnd w:id="1"/>
      <w:r>
        <w:rPr>
          <w:rFonts w:ascii="Times New Roman" w:hAnsi="Times New Roman"/>
          <w:noProof/>
          <w:sz w:val="22"/>
          <w:lang w:val="fr-BE"/>
        </w:rPr>
        <w:t xml:space="preserve"> européen dans le cadre de l’Union;</w:t>
      </w:r>
    </w:p>
    <w:p w:rsidR="004D184E" w:rsidRDefault="007F0E45">
      <w:pPr>
        <w:pStyle w:val="ListParagraph"/>
        <w:numPr>
          <w:ilvl w:val="0"/>
          <w:numId w:val="36"/>
        </w:numPr>
        <w:spacing w:after="240" w:line="276" w:lineRule="auto"/>
        <w:ind w:left="357" w:hanging="357"/>
        <w:jc w:val="both"/>
        <w:rPr>
          <w:rFonts w:ascii="Times New Roman" w:hAnsi="Times New Roman"/>
          <w:noProof/>
          <w:sz w:val="22"/>
          <w:szCs w:val="22"/>
          <w:lang w:val="fr-BE"/>
        </w:rPr>
      </w:pPr>
      <w:r>
        <w:rPr>
          <w:rFonts w:ascii="Times New Roman" w:hAnsi="Times New Roman"/>
          <w:noProof/>
          <w:sz w:val="22"/>
          <w:lang w:val="fr-BE"/>
        </w:rPr>
        <w:t>de renforcer le</w:t>
      </w:r>
      <w:r>
        <w:rPr>
          <w:rFonts w:ascii="Times New Roman" w:hAnsi="Times New Roman"/>
          <w:noProof/>
          <w:sz w:val="22"/>
          <w:lang w:val="fr-BE"/>
        </w:rPr>
        <w:t>s activités du service d’appui à la réforme structurelle afin de soutenir les réformes menées dans l’ensemble des États membres, et de mettre en place un axe de travail spécifiquement destiné aux États membres qui se préparent à adhérer à l’euro. Cet éléme</w:t>
      </w:r>
      <w:r>
        <w:rPr>
          <w:rFonts w:ascii="Times New Roman" w:hAnsi="Times New Roman"/>
          <w:noProof/>
          <w:sz w:val="22"/>
          <w:lang w:val="fr-BE"/>
        </w:rPr>
        <w:t>nt est pris en compte dans la proposition visant à modifier le programme d’appui à la réforme structurelle, l’objectif étant de doubler le budget disponible pour les activités du service d’appui à la réforme structurelle pour la période courant jusqu’en 20</w:t>
      </w:r>
      <w:r>
        <w:rPr>
          <w:rFonts w:ascii="Times New Roman" w:hAnsi="Times New Roman"/>
          <w:noProof/>
          <w:sz w:val="22"/>
          <w:lang w:val="fr-BE"/>
        </w:rPr>
        <w:t xml:space="preserve">20; </w:t>
      </w:r>
    </w:p>
    <w:p w:rsidR="004D184E" w:rsidRDefault="007F0E45">
      <w:pPr>
        <w:pStyle w:val="ListParagraph"/>
        <w:numPr>
          <w:ilvl w:val="0"/>
          <w:numId w:val="36"/>
        </w:numPr>
        <w:spacing w:line="276" w:lineRule="auto"/>
        <w:jc w:val="both"/>
        <w:rPr>
          <w:rFonts w:ascii="Times New Roman" w:hAnsi="Times New Roman"/>
          <w:noProof/>
          <w:sz w:val="22"/>
          <w:szCs w:val="22"/>
          <w:lang w:val="fr-BE"/>
        </w:rPr>
      </w:pPr>
      <w:r>
        <w:rPr>
          <w:rFonts w:ascii="Times New Roman" w:hAnsi="Times New Roman"/>
          <w:noProof/>
          <w:sz w:val="22"/>
          <w:lang w:val="fr-BE"/>
        </w:rPr>
        <w:t>d’élargir la possibilité d’utiliser la réserve de performance actuelle des Fonds structurels et d’investissement européens à un soutien aux réformes structurelles, de manière à expérimenter l’idée d’un outil d’aide à la mise en place des réformes au c</w:t>
      </w:r>
      <w:r>
        <w:rPr>
          <w:rFonts w:ascii="Times New Roman" w:hAnsi="Times New Roman"/>
          <w:noProof/>
          <w:sz w:val="22"/>
          <w:lang w:val="fr-BE"/>
        </w:rPr>
        <w:t>ours d’une phase pilote. Cette piste est abordée dans une modification ciblée du règlement portant dispositions communes concernant les Fonds structurels et d’investissement européens.</w:t>
      </w:r>
    </w:p>
    <w:p w:rsidR="004D184E" w:rsidRDefault="004D184E">
      <w:pPr>
        <w:pStyle w:val="ListParagraph"/>
        <w:spacing w:line="276" w:lineRule="auto"/>
        <w:ind w:left="360"/>
        <w:jc w:val="both"/>
        <w:rPr>
          <w:rFonts w:ascii="Times New Roman" w:hAnsi="Times New Roman"/>
          <w:noProof/>
          <w:lang w:val="fr-BE"/>
        </w:rPr>
      </w:pPr>
    </w:p>
    <w:p w:rsidR="004D184E" w:rsidRDefault="007F0E45">
      <w:pPr>
        <w:jc w:val="both"/>
        <w:rPr>
          <w:rFonts w:ascii="Times New Roman" w:hAnsi="Times New Roman"/>
          <w:noProof/>
        </w:rPr>
      </w:pPr>
      <w:r>
        <w:rPr>
          <w:rFonts w:ascii="Times New Roman" w:hAnsi="Times New Roman"/>
          <w:noProof/>
          <w:lang w:val="fr-BE"/>
        </w:rPr>
        <w:t xml:space="preserve">Pour l’après-2020, la Commission entend présenter ses propositions en </w:t>
      </w:r>
      <w:r>
        <w:rPr>
          <w:rFonts w:ascii="Times New Roman" w:hAnsi="Times New Roman"/>
          <w:noProof/>
          <w:lang w:val="fr-BE"/>
        </w:rPr>
        <w:t xml:space="preserve">mai 2018 comme éléments du cadre financier pluriannuel post-2020. </w:t>
      </w:r>
      <w:r>
        <w:rPr>
          <w:rFonts w:ascii="Times New Roman" w:hAnsi="Times New Roman"/>
          <w:noProof/>
        </w:rPr>
        <w:t xml:space="preserve">Ces propositions comporteraient notamment:  </w:t>
      </w:r>
    </w:p>
    <w:p w:rsidR="004D184E" w:rsidRDefault="007F0E45">
      <w:pPr>
        <w:pStyle w:val="ListParagraph"/>
        <w:numPr>
          <w:ilvl w:val="0"/>
          <w:numId w:val="36"/>
        </w:numPr>
        <w:spacing w:line="276" w:lineRule="auto"/>
        <w:jc w:val="both"/>
        <w:rPr>
          <w:rFonts w:ascii="Times New Roman" w:hAnsi="Times New Roman"/>
          <w:noProof/>
          <w:sz w:val="22"/>
          <w:szCs w:val="22"/>
          <w:lang w:val="fr-BE"/>
        </w:rPr>
      </w:pPr>
      <w:r>
        <w:rPr>
          <w:rFonts w:ascii="Times New Roman" w:hAnsi="Times New Roman"/>
          <w:noProof/>
          <w:sz w:val="22"/>
          <w:lang w:val="fr-BE"/>
        </w:rPr>
        <w:t>un outil d’aide à la mise en place des réformes visant à soutenir les engagements des États membres en matière de réforme;</w:t>
      </w:r>
    </w:p>
    <w:p w:rsidR="004D184E" w:rsidRDefault="004D184E">
      <w:pPr>
        <w:pStyle w:val="ListParagraph"/>
        <w:spacing w:line="276" w:lineRule="auto"/>
        <w:ind w:left="360"/>
        <w:jc w:val="both"/>
        <w:rPr>
          <w:rFonts w:ascii="Times New Roman" w:hAnsi="Times New Roman"/>
          <w:noProof/>
          <w:sz w:val="22"/>
          <w:szCs w:val="22"/>
          <w:lang w:val="fr-BE"/>
        </w:rPr>
      </w:pPr>
    </w:p>
    <w:p w:rsidR="004D184E" w:rsidRDefault="007F0E45">
      <w:pPr>
        <w:pStyle w:val="ListParagraph"/>
        <w:numPr>
          <w:ilvl w:val="0"/>
          <w:numId w:val="36"/>
        </w:numPr>
        <w:spacing w:line="276" w:lineRule="auto"/>
        <w:jc w:val="both"/>
        <w:rPr>
          <w:rFonts w:ascii="Times New Roman" w:hAnsi="Times New Roman"/>
          <w:noProof/>
          <w:sz w:val="22"/>
          <w:szCs w:val="22"/>
          <w:lang w:val="fr-BE"/>
        </w:rPr>
      </w:pPr>
      <w:r>
        <w:rPr>
          <w:rFonts w:ascii="Times New Roman" w:hAnsi="Times New Roman"/>
          <w:noProof/>
          <w:sz w:val="22"/>
          <w:lang w:val="fr-BE"/>
        </w:rPr>
        <w:t>un appui technique pl</w:t>
      </w:r>
      <w:r>
        <w:rPr>
          <w:rFonts w:ascii="Times New Roman" w:hAnsi="Times New Roman"/>
          <w:noProof/>
          <w:sz w:val="22"/>
          <w:lang w:val="fr-BE"/>
        </w:rPr>
        <w:t>us poussé en faveur d’actions spécifiques, fourni à la demande des États membres;</w:t>
      </w:r>
    </w:p>
    <w:p w:rsidR="004D184E" w:rsidRDefault="004D184E">
      <w:pPr>
        <w:pStyle w:val="ListParagraph"/>
        <w:spacing w:line="276" w:lineRule="auto"/>
        <w:ind w:left="360"/>
        <w:jc w:val="both"/>
        <w:rPr>
          <w:rFonts w:ascii="Times New Roman" w:hAnsi="Times New Roman"/>
          <w:noProof/>
          <w:sz w:val="22"/>
          <w:szCs w:val="22"/>
          <w:lang w:val="fr-BE"/>
        </w:rPr>
      </w:pPr>
    </w:p>
    <w:p w:rsidR="004D184E" w:rsidRDefault="007F0E45">
      <w:pPr>
        <w:pStyle w:val="ListParagraph"/>
        <w:numPr>
          <w:ilvl w:val="0"/>
          <w:numId w:val="36"/>
        </w:numPr>
        <w:spacing w:line="276" w:lineRule="auto"/>
        <w:jc w:val="both"/>
        <w:rPr>
          <w:rFonts w:ascii="Times New Roman" w:hAnsi="Times New Roman"/>
          <w:noProof/>
          <w:sz w:val="22"/>
          <w:szCs w:val="22"/>
          <w:lang w:val="fr-BE"/>
        </w:rPr>
      </w:pPr>
      <w:r>
        <w:rPr>
          <w:rFonts w:ascii="Times New Roman" w:hAnsi="Times New Roman"/>
          <w:noProof/>
          <w:sz w:val="22"/>
          <w:lang w:val="fr-BE"/>
        </w:rPr>
        <w:t>un mécanisme spécifique de soutien à la convergence pour les États membres qui se préparent à adhérer à l’euro;</w:t>
      </w:r>
    </w:p>
    <w:p w:rsidR="004D184E" w:rsidRDefault="004D184E">
      <w:pPr>
        <w:pStyle w:val="ListParagraph"/>
        <w:spacing w:line="276" w:lineRule="auto"/>
        <w:ind w:left="360"/>
        <w:jc w:val="both"/>
        <w:rPr>
          <w:rFonts w:ascii="Times New Roman" w:hAnsi="Times New Roman"/>
          <w:noProof/>
          <w:sz w:val="22"/>
          <w:szCs w:val="22"/>
          <w:lang w:val="fr-BE"/>
        </w:rPr>
      </w:pPr>
    </w:p>
    <w:p w:rsidR="004D184E" w:rsidRDefault="007F0E45">
      <w:pPr>
        <w:pStyle w:val="ListParagraph"/>
        <w:numPr>
          <w:ilvl w:val="0"/>
          <w:numId w:val="36"/>
        </w:numPr>
        <w:spacing w:line="276" w:lineRule="auto"/>
        <w:rPr>
          <w:rFonts w:ascii="Times New Roman" w:hAnsi="Times New Roman"/>
          <w:noProof/>
          <w:lang w:val="fr-BE"/>
        </w:rPr>
        <w:sectPr w:rsidR="004D184E" w:rsidSect="007F0E45">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cols w:space="720"/>
          <w:docGrid w:linePitch="600" w:charSpace="32768"/>
        </w:sectPr>
      </w:pPr>
      <w:r>
        <w:rPr>
          <w:rFonts w:ascii="Times New Roman" w:hAnsi="Times New Roman"/>
          <w:noProof/>
          <w:sz w:val="22"/>
          <w:lang w:val="fr-BE"/>
        </w:rPr>
        <w:t xml:space="preserve">un mécanisme de </w:t>
      </w:r>
      <w:r>
        <w:rPr>
          <w:rFonts w:ascii="Times New Roman" w:hAnsi="Times New Roman"/>
          <w:noProof/>
          <w:sz w:val="22"/>
          <w:lang w:val="fr-BE"/>
        </w:rPr>
        <w:t>stabilisation destiné aux États membres de la zone euro et ouvert à tous les pays, qui serait accessible en cas de chocs asymétriques de grandes ampleurs.</w:t>
      </w:r>
    </w:p>
    <w:p w:rsidR="004D184E" w:rsidRDefault="007F0E45">
      <w:pPr>
        <w:pageBreakBefore/>
        <w:spacing w:after="0"/>
        <w:rPr>
          <w:rFonts w:ascii="Times New Roman" w:hAnsi="Times New Roman"/>
          <w:b/>
          <w:noProof/>
          <w:sz w:val="24"/>
          <w:szCs w:val="24"/>
          <w:lang w:val="fr-BE"/>
        </w:rPr>
      </w:pPr>
      <w:r>
        <w:rPr>
          <w:rFonts w:ascii="Times New Roman" w:hAnsi="Times New Roman"/>
          <w:b/>
          <w:noProof/>
          <w:sz w:val="24"/>
          <w:u w:val="single"/>
          <w:lang w:val="fr-BE"/>
        </w:rPr>
        <w:t>Annexe 1</w:t>
      </w:r>
      <w:r>
        <w:rPr>
          <w:rFonts w:ascii="Times New Roman" w:hAnsi="Times New Roman"/>
          <w:b/>
          <w:noProof/>
          <w:sz w:val="24"/>
          <w:lang w:val="fr-BE"/>
        </w:rPr>
        <w:t>: Vue d'ensemble des fonds disponibles et des pare-feu</w:t>
      </w:r>
    </w:p>
    <w:p w:rsidR="004D184E" w:rsidRDefault="007F0E45">
      <w:pPr>
        <w:jc w:val="center"/>
        <w:rPr>
          <w:rFonts w:ascii="Times New Roman" w:hAnsi="Times New Roman"/>
          <w:i/>
          <w:noProof/>
        </w:rPr>
      </w:pPr>
      <w:r>
        <w:rPr>
          <w:noProof/>
          <w:lang w:eastAsia="zh-CN"/>
        </w:rPr>
        <w:drawing>
          <wp:inline distT="0" distB="0" distL="0" distR="0">
            <wp:extent cx="7344000" cy="45557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873" t="4798" r="3208" b="19697"/>
                    <a:stretch/>
                  </pic:blipFill>
                  <pic:spPr bwMode="auto">
                    <a:xfrm>
                      <a:off x="0" y="0"/>
                      <a:ext cx="7344000" cy="4555722"/>
                    </a:xfrm>
                    <a:prstGeom prst="rect">
                      <a:avLst/>
                    </a:prstGeom>
                    <a:noFill/>
                    <a:ln>
                      <a:noFill/>
                    </a:ln>
                    <a:extLst>
                      <a:ext uri="{53640926-AAD7-44D8-BBD7-CCE9431645EC}">
                        <a14:shadowObscured xmlns:a14="http://schemas.microsoft.com/office/drawing/2010/main"/>
                      </a:ext>
                    </a:extLst>
                  </pic:spPr>
                </pic:pic>
              </a:graphicData>
            </a:graphic>
          </wp:inline>
        </w:drawing>
      </w:r>
    </w:p>
    <w:p w:rsidR="004D184E" w:rsidRDefault="007F0E45">
      <w:pPr>
        <w:rPr>
          <w:rFonts w:ascii="Times New Roman" w:hAnsi="Times New Roman"/>
          <w:noProof/>
        </w:rPr>
      </w:pPr>
      <w:r>
        <w:rPr>
          <w:rFonts w:ascii="Times New Roman" w:hAnsi="Times New Roman"/>
          <w:i/>
          <w:noProof/>
        </w:rPr>
        <w:t>Source: Commission européenne</w:t>
      </w:r>
    </w:p>
    <w:p w:rsidR="004D184E" w:rsidRDefault="004D184E">
      <w:pPr>
        <w:pStyle w:val="ListParagraph"/>
        <w:jc w:val="both"/>
        <w:rPr>
          <w:rFonts w:ascii="Times New Roman" w:hAnsi="Times New Roman"/>
          <w:noProof/>
        </w:rPr>
      </w:pPr>
    </w:p>
    <w:sectPr w:rsidR="004D184E">
      <w:headerReference w:type="even" r:id="rId26"/>
      <w:headerReference w:type="default" r:id="rId27"/>
      <w:footerReference w:type="even" r:id="rId28"/>
      <w:footerReference w:type="default" r:id="rId29"/>
      <w:headerReference w:type="first" r:id="rId30"/>
      <w:footerReference w:type="first" r:id="rId31"/>
      <w:pgSz w:w="16839" w:h="11907" w:orient="landscape" w:code="9"/>
      <w:pgMar w:top="1417" w:right="1417" w:bottom="1417" w:left="141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4E" w:rsidRDefault="007F0E45">
      <w:pPr>
        <w:spacing w:after="0" w:line="240" w:lineRule="auto"/>
      </w:pPr>
      <w:r>
        <w:separator/>
      </w:r>
    </w:p>
  </w:endnote>
  <w:endnote w:type="continuationSeparator" w:id="0">
    <w:p w:rsidR="004D184E" w:rsidRDefault="007F0E45">
      <w:pPr>
        <w:spacing w:after="0" w:line="240" w:lineRule="auto"/>
      </w:pPr>
      <w:r>
        <w:continuationSeparator/>
      </w:r>
    </w:p>
  </w:endnote>
  <w:endnote w:type="continuationNotice" w:id="1">
    <w:p w:rsidR="004D184E" w:rsidRDefault="004D1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7F0E4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7F0E45">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18</w:t>
    </w:r>
    <w:r>
      <w:rPr>
        <w:rFonts w:ascii="Times New Roman" w:hAnsi="Times New Roman"/>
      </w:rPr>
      <w:fldChar w:fldCharType="end"/>
    </w:r>
  </w:p>
  <w:p w:rsidR="004D184E" w:rsidRDefault="004D18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7F0E45">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20</w:t>
    </w:r>
    <w:r>
      <w:rPr>
        <w:rFonts w:ascii="Times New Roman" w:hAnsi="Times New Roman"/>
      </w:rPr>
      <w:fldChar w:fldCharType="end"/>
    </w:r>
  </w:p>
  <w:p w:rsidR="004D184E" w:rsidRDefault="004D18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4E" w:rsidRDefault="007F0E45">
      <w:pPr>
        <w:spacing w:after="0" w:line="240" w:lineRule="auto"/>
      </w:pPr>
      <w:r>
        <w:separator/>
      </w:r>
    </w:p>
  </w:footnote>
  <w:footnote w:type="continuationSeparator" w:id="0">
    <w:p w:rsidR="004D184E" w:rsidRDefault="007F0E45">
      <w:pPr>
        <w:spacing w:after="0" w:line="240" w:lineRule="auto"/>
      </w:pPr>
      <w:r>
        <w:continuationSeparator/>
      </w:r>
    </w:p>
  </w:footnote>
  <w:footnote w:type="continuationNotice" w:id="1">
    <w:p w:rsidR="004D184E" w:rsidRDefault="004D184E">
      <w:pPr>
        <w:spacing w:after="0" w:line="240" w:lineRule="auto"/>
      </w:pPr>
    </w:p>
  </w:footnote>
  <w:footnote w:id="2">
    <w:p w:rsidR="004D184E" w:rsidRDefault="007F0E45">
      <w:pPr>
        <w:pStyle w:val="FootnoteText"/>
        <w:tabs>
          <w:tab w:val="left" w:pos="284"/>
        </w:tabs>
        <w:spacing w:line="240" w:lineRule="auto"/>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821 du 6 décembre 2017.</w:t>
      </w:r>
    </w:p>
  </w:footnote>
  <w:footnote w:id="3">
    <w:p w:rsidR="004D184E" w:rsidRDefault="007F0E45">
      <w:pPr>
        <w:pStyle w:val="FootnoteText"/>
        <w:tabs>
          <w:tab w:val="left" w:pos="284"/>
        </w:tabs>
        <w:spacing w:line="240" w:lineRule="auto"/>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«Compléter l'Union économique et monétaire européenne», rapport élaboré par Jean-Claude Juncker, en étroite coopération avec Donald Tusk, Jeroen Dijsselbloem, Mario Draghi et Martin Schulz, </w:t>
      </w:r>
      <w:r>
        <w:rPr>
          <w:rFonts w:ascii="Times New Roman" w:hAnsi="Times New Roman"/>
          <w:lang w:val="fr-BE"/>
        </w:rPr>
        <w:t>22 juin 2015.</w:t>
      </w:r>
    </w:p>
  </w:footnote>
  <w:footnote w:id="4">
    <w:p w:rsidR="004D184E" w:rsidRDefault="007F0E45">
      <w:pPr>
        <w:pStyle w:val="FootnoteText"/>
        <w:tabs>
          <w:tab w:val="left" w:pos="284"/>
        </w:tabs>
        <w:spacing w:line="240" w:lineRule="auto"/>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291 du 31 mai 2017.</w:t>
      </w:r>
    </w:p>
  </w:footnote>
  <w:footnote w:id="5">
    <w:p w:rsidR="004D184E" w:rsidRDefault="007F0E45">
      <w:pPr>
        <w:pStyle w:val="FootnoteText"/>
        <w:tabs>
          <w:tab w:val="left" w:pos="284"/>
        </w:tabs>
        <w:spacing w:line="240" w:lineRule="auto"/>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2025 du 1</w:t>
      </w:r>
      <w:r>
        <w:rPr>
          <w:rFonts w:ascii="Times New Roman" w:hAnsi="Times New Roman"/>
          <w:vertAlign w:val="superscript"/>
          <w:lang w:val="fr-BE"/>
        </w:rPr>
        <w:t>er</w:t>
      </w:r>
      <w:r>
        <w:rPr>
          <w:rFonts w:ascii="Times New Roman" w:hAnsi="Times New Roman"/>
          <w:lang w:val="fr-BE"/>
        </w:rPr>
        <w:t> mars 2017.</w:t>
      </w:r>
    </w:p>
  </w:footnote>
  <w:footnote w:id="6">
    <w:p w:rsidR="004D184E" w:rsidRDefault="007F0E45">
      <w:pPr>
        <w:pStyle w:val="FootnoteText"/>
        <w:tabs>
          <w:tab w:val="left" w:pos="284"/>
        </w:tabs>
        <w:spacing w:line="240" w:lineRule="auto"/>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358 du 28 juin 2017.</w:t>
      </w:r>
    </w:p>
  </w:footnote>
  <w:footnote w:id="7">
    <w:p w:rsidR="004D184E" w:rsidRDefault="007F0E45">
      <w:pPr>
        <w:pStyle w:val="Pa3"/>
        <w:tabs>
          <w:tab w:val="left" w:pos="284"/>
        </w:tabs>
        <w:ind w:left="284" w:hanging="284"/>
        <w:jc w:val="both"/>
        <w:rPr>
          <w:rFonts w:ascii="Times New Roman" w:hAnsi="Times New Roman"/>
          <w:color w:val="000000"/>
          <w:sz w:val="20"/>
          <w:szCs w:val="20"/>
          <w:lang w:val="fr-BE"/>
        </w:rPr>
      </w:pPr>
      <w:r>
        <w:rPr>
          <w:rStyle w:val="FootnoteReference"/>
          <w:rFonts w:ascii="Times New Roman" w:hAnsi="Times New Roman"/>
          <w:sz w:val="20"/>
        </w:rPr>
        <w:footnoteRef/>
      </w:r>
      <w:r>
        <w:rPr>
          <w:rFonts w:ascii="Times New Roman" w:hAnsi="Times New Roman"/>
          <w:sz w:val="20"/>
          <w:lang w:val="fr-BE"/>
        </w:rPr>
        <w:t xml:space="preserve">   </w:t>
      </w:r>
      <w:r>
        <w:rPr>
          <w:lang w:val="fr-BE"/>
        </w:rPr>
        <w:tab/>
      </w:r>
      <w:r>
        <w:rPr>
          <w:rStyle w:val="A3"/>
          <w:rFonts w:ascii="Times New Roman" w:hAnsi="Times New Roman"/>
          <w:sz w:val="20"/>
          <w:lang w:val="fr-BE"/>
        </w:rPr>
        <w:t xml:space="preserve">Le 15 juillet 2015, la Commission a présenté la communication intitulée «Un nouveau départ pour l'emploi et la croissance en Grèce» </w:t>
      </w:r>
      <w:r>
        <w:rPr>
          <w:rStyle w:val="A3"/>
          <w:rFonts w:ascii="Times New Roman" w:hAnsi="Times New Roman"/>
          <w:sz w:val="20"/>
          <w:lang w:val="fr-BE"/>
        </w:rPr>
        <w:t>[COM(2015) 400] et a proposé une série de mesures exceptionnelles qui ont contribué à maximiser l’absorption des fonds de l’UE destinés à soutenir l’économie réelle grecque</w:t>
      </w:r>
      <w:r>
        <w:rPr>
          <w:rStyle w:val="FootnoteCharacters"/>
          <w:rFonts w:ascii="Times New Roman" w:hAnsi="Times New Roman"/>
          <w:sz w:val="20"/>
          <w:lang w:val="fr-BE"/>
        </w:rPr>
        <w:t>.</w:t>
      </w:r>
    </w:p>
  </w:footnote>
  <w:footnote w:id="8">
    <w:p w:rsidR="004D184E" w:rsidRDefault="007F0E45">
      <w:pPr>
        <w:tabs>
          <w:tab w:val="left" w:pos="284"/>
        </w:tabs>
        <w:spacing w:after="0" w:line="240" w:lineRule="auto"/>
        <w:ind w:left="284" w:hanging="284"/>
        <w:jc w:val="both"/>
        <w:rPr>
          <w:rFonts w:ascii="Times New Roman" w:hAnsi="Times New Roman"/>
          <w:sz w:val="20"/>
          <w:szCs w:val="20"/>
          <w:lang w:val="fr-BE"/>
        </w:rPr>
      </w:pPr>
      <w:r>
        <w:rPr>
          <w:rStyle w:val="FootnoteCharacters"/>
          <w:rFonts w:ascii="Times New Roman" w:hAnsi="Times New Roman"/>
          <w:sz w:val="20"/>
          <w:vertAlign w:val="superscript"/>
        </w:rPr>
        <w:footnoteRef/>
      </w:r>
      <w:r>
        <w:rPr>
          <w:rStyle w:val="FootnoteCharacters"/>
          <w:rFonts w:ascii="Times New Roman" w:hAnsi="Times New Roman"/>
          <w:sz w:val="20"/>
          <w:lang w:val="fr-BE"/>
        </w:rPr>
        <w:t xml:space="preserve">   </w:t>
      </w:r>
      <w:r>
        <w:rPr>
          <w:lang w:val="fr-BE"/>
        </w:rPr>
        <w:tab/>
      </w:r>
      <w:r>
        <w:rPr>
          <w:rStyle w:val="FootnoteCharacters"/>
          <w:rFonts w:ascii="Times New Roman" w:hAnsi="Times New Roman"/>
          <w:sz w:val="20"/>
          <w:lang w:val="fr-BE"/>
        </w:rPr>
        <w:t>Parmi les autres mécanismes de ce type, on peut citer l’initiative pour l’emp</w:t>
      </w:r>
      <w:r>
        <w:rPr>
          <w:rStyle w:val="FootnoteCharacters"/>
          <w:rFonts w:ascii="Times New Roman" w:hAnsi="Times New Roman"/>
          <w:sz w:val="20"/>
          <w:lang w:val="fr-BE"/>
        </w:rPr>
        <w:t>loi des jeunes, qui soutient les États membres et les régions dans lesquels le taux de chômage des jeunes est élevé; le Fonds de solidarité de l'Union européenne, qui fournit une aide financière aux États membres/régions affectés par des catastrophes majeu</w:t>
      </w:r>
      <w:r>
        <w:rPr>
          <w:rStyle w:val="FootnoteCharacters"/>
          <w:rFonts w:ascii="Times New Roman" w:hAnsi="Times New Roman"/>
          <w:sz w:val="20"/>
          <w:lang w:val="fr-BE"/>
        </w:rPr>
        <w:t>res; et le Fonds européen d'ajustement à la mondialisation, qui apporte une aide aux travailleurs licenciés en raison de modifications majeures de la structure du commerce mondial résultant de la mondialisation ou en raison d’une crise économique et financ</w:t>
      </w:r>
      <w:r>
        <w:rPr>
          <w:rStyle w:val="FootnoteCharacters"/>
          <w:rFonts w:ascii="Times New Roman" w:hAnsi="Times New Roman"/>
          <w:sz w:val="20"/>
          <w:lang w:val="fr-BE"/>
        </w:rPr>
        <w:t xml:space="preserve">ière mondiale. </w:t>
      </w:r>
    </w:p>
  </w:footnote>
  <w:footnote w:id="9">
    <w:p w:rsidR="004D184E" w:rsidRDefault="007F0E45">
      <w:pPr>
        <w:tabs>
          <w:tab w:val="left" w:pos="284"/>
        </w:tabs>
        <w:spacing w:after="0" w:line="240" w:lineRule="auto"/>
        <w:ind w:left="284" w:hanging="284"/>
        <w:jc w:val="both"/>
        <w:rPr>
          <w:rFonts w:ascii="Times New Roman" w:hAnsi="Times New Roman"/>
          <w:sz w:val="20"/>
          <w:szCs w:val="20"/>
          <w:lang w:val="fr-BE"/>
        </w:rPr>
      </w:pPr>
      <w:r>
        <w:rPr>
          <w:rStyle w:val="FootnoteReference"/>
          <w:rFonts w:ascii="Times New Roman" w:hAnsi="Times New Roman"/>
          <w:sz w:val="20"/>
        </w:rPr>
        <w:footnoteRef/>
      </w:r>
      <w:r>
        <w:rPr>
          <w:rFonts w:ascii="Times New Roman" w:hAnsi="Times New Roman"/>
          <w:sz w:val="20"/>
          <w:lang w:val="fr-BE"/>
        </w:rPr>
        <w:t xml:space="preserve">   </w:t>
      </w:r>
      <w:r>
        <w:rPr>
          <w:lang w:val="fr-BE"/>
        </w:rPr>
        <w:tab/>
      </w:r>
      <w:r>
        <w:rPr>
          <w:rStyle w:val="FootnoteCharacters"/>
          <w:rFonts w:ascii="Times New Roman" w:hAnsi="Times New Roman"/>
          <w:sz w:val="20"/>
          <w:lang w:val="fr-BE"/>
        </w:rPr>
        <w:t xml:space="preserve">Fin novembre 2017, les opérations autorisées dans le cadre du Fonds européen pour les investissements stratégiques (EFSI) représentent un financement total de 49 600 000 000 EUR et concernent l’ensemble des 28 États membres; au total, </w:t>
      </w:r>
      <w:r>
        <w:rPr>
          <w:rStyle w:val="FootnoteCharacters"/>
          <w:rFonts w:ascii="Times New Roman" w:hAnsi="Times New Roman"/>
          <w:sz w:val="20"/>
          <w:lang w:val="fr-BE"/>
        </w:rPr>
        <w:t>le Fonds européen pour les investissements stratégiques devrait générer 251 600 000 000 EUR d’investissements. Quelque 528 000 petites et moyennes entreprises (PME) devraient bénéficier d’un meilleur accès au financement.</w:t>
      </w:r>
    </w:p>
  </w:footnote>
  <w:footnote w:id="10">
    <w:p w:rsidR="004D184E" w:rsidRDefault="007F0E45">
      <w:pPr>
        <w:pStyle w:val="FootnoteText"/>
        <w:tabs>
          <w:tab w:val="left" w:pos="284"/>
        </w:tabs>
        <w:spacing w:line="240" w:lineRule="auto"/>
        <w:ind w:left="284" w:hanging="284"/>
        <w:jc w:val="both"/>
        <w:rPr>
          <w:rStyle w:val="FootnoteCharacters"/>
          <w:rFonts w:ascii="Times New Roman" w:eastAsia="Calibri" w:hAnsi="Times New Roman" w:cs="Times New Roman"/>
          <w:color w:val="auto"/>
          <w:lang w:val="fr-BE" w:eastAsia="en-US"/>
        </w:rPr>
      </w:pPr>
      <w:r>
        <w:rPr>
          <w:rStyle w:val="FootnoteReference"/>
          <w:rFonts w:ascii="Times New Roman" w:hAnsi="Times New Roman"/>
        </w:rPr>
        <w:footnoteRef/>
      </w:r>
      <w:r>
        <w:rPr>
          <w:rStyle w:val="FootnoteReference"/>
          <w:rFonts w:ascii="Times New Roman" w:hAnsi="Times New Roman"/>
          <w:lang w:val="fr-BE"/>
        </w:rPr>
        <w:t xml:space="preserve"> </w:t>
      </w:r>
      <w:r>
        <w:rPr>
          <w:rFonts w:ascii="Times New Roman" w:hAnsi="Times New Roman"/>
          <w:lang w:val="fr-BE"/>
        </w:rPr>
        <w:t xml:space="preserve"> </w:t>
      </w:r>
      <w:r>
        <w:rPr>
          <w:lang w:val="fr-BE"/>
        </w:rPr>
        <w:tab/>
      </w:r>
      <w:r>
        <w:rPr>
          <w:rStyle w:val="FootnoteCharacters"/>
          <w:rFonts w:ascii="Times New Roman" w:hAnsi="Times New Roman"/>
          <w:color w:val="auto"/>
          <w:lang w:val="fr-BE"/>
        </w:rPr>
        <w:t xml:space="preserve">Règlement (CE) n° 332/2002 du </w:t>
      </w:r>
      <w:r>
        <w:rPr>
          <w:rStyle w:val="FootnoteCharacters"/>
          <w:rFonts w:ascii="Times New Roman" w:hAnsi="Times New Roman"/>
          <w:color w:val="auto"/>
          <w:lang w:val="fr-BE"/>
        </w:rPr>
        <w:t>Conseil du 18 février 2002 établissant un mécanisme de soutien financier à moyen terme des balances des paiements des États membres (JO L 53 du 23.2.2002, p. 1).</w:t>
      </w:r>
    </w:p>
  </w:footnote>
  <w:footnote w:id="11">
    <w:p w:rsidR="004D184E" w:rsidRDefault="007F0E45">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Style w:val="FootnoteCharacters"/>
          <w:rFonts w:ascii="Times New Roman" w:hAnsi="Times New Roman"/>
          <w:lang w:val="fr-BE"/>
        </w:rPr>
        <w:t xml:space="preserve">Le </w:t>
      </w:r>
      <w:r>
        <w:rPr>
          <w:rFonts w:ascii="Times New Roman" w:hAnsi="Times New Roman"/>
          <w:lang w:val="fr-BE"/>
        </w:rPr>
        <w:t>mécanisme européen de stabilisation financière</w:t>
      </w:r>
      <w:r>
        <w:rPr>
          <w:rStyle w:val="FootnoteCharacters"/>
          <w:rFonts w:ascii="Times New Roman" w:hAnsi="Times New Roman"/>
          <w:lang w:val="fr-BE"/>
        </w:rPr>
        <w:t xml:space="preserve"> a été établi le 11 mai 2010 sur la base </w:t>
      </w:r>
      <w:r>
        <w:rPr>
          <w:rStyle w:val="FootnoteCharacters"/>
          <w:rFonts w:ascii="Times New Roman" w:hAnsi="Times New Roman"/>
          <w:lang w:val="fr-BE"/>
        </w:rPr>
        <w:t>du règlement (UE) n° 407/2010 du Conseil du 11 mai 2010 (JO L 118 du 12 mai 2010, p. 1). Il fonctionne de la même manière que le mécanisme de soutien à la balance des paiements, mais est accessible à tous les États membres, c’est-à-dire y compris à ceux pa</w:t>
      </w:r>
      <w:r>
        <w:rPr>
          <w:rStyle w:val="FootnoteCharacters"/>
          <w:rFonts w:ascii="Times New Roman" w:hAnsi="Times New Roman"/>
          <w:lang w:val="fr-BE"/>
        </w:rPr>
        <w:t>rticipant à la zone euro</w:t>
      </w:r>
      <w:r>
        <w:rPr>
          <w:rFonts w:ascii="Times New Roman" w:hAnsi="Times New Roman"/>
          <w:lang w:val="fr-BE"/>
        </w:rPr>
        <w:t xml:space="preserve">. </w:t>
      </w:r>
    </w:p>
  </w:footnote>
  <w:footnote w:id="12">
    <w:p w:rsidR="004D184E" w:rsidRDefault="007F0E45">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821 du 6 décembre 2017.</w:t>
      </w:r>
    </w:p>
  </w:footnote>
  <w:footnote w:id="13">
    <w:p w:rsidR="004D184E" w:rsidRDefault="007F0E45">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rStyle w:val="FootnoteCharacters"/>
          <w:rFonts w:ascii="Times New Roman" w:hAnsi="Times New Roman"/>
          <w:lang w:val="fr-BE"/>
        </w:rPr>
        <w:t xml:space="preserve">  Le fait que ces contributions soient basées sur le </w:t>
      </w:r>
      <w:r>
        <w:rPr>
          <w:rFonts w:ascii="Times New Roman" w:hAnsi="Times New Roman"/>
          <w:lang w:val="fr-BE"/>
        </w:rPr>
        <w:t>revenu national brut</w:t>
      </w:r>
      <w:r>
        <w:rPr>
          <w:rStyle w:val="FootnoteCharacters"/>
          <w:rFonts w:ascii="Times New Roman" w:hAnsi="Times New Roman"/>
          <w:lang w:val="fr-BE"/>
        </w:rPr>
        <w:t xml:space="preserve"> de chaque État membre signifie que leur montant absolu varie avec le temps en fonction du cycle économique, toutes choses étant égales par ailleurs.</w:t>
      </w:r>
    </w:p>
  </w:footnote>
  <w:footnote w:id="14">
    <w:p w:rsidR="004D184E" w:rsidRDefault="007F0E45">
      <w:pPr>
        <w:pStyle w:val="FootnoteText"/>
        <w:tabs>
          <w:tab w:val="left" w:pos="284"/>
        </w:tabs>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color w:val="auto"/>
          <w:lang w:val="fr-BE"/>
        </w:rPr>
        <w:t xml:space="preserve"> </w:t>
      </w:r>
      <w:r>
        <w:rPr>
          <w:lang w:val="fr-BE"/>
        </w:rPr>
        <w:tab/>
      </w:r>
      <w:r>
        <w:rPr>
          <w:rFonts w:ascii="Times New Roman" w:hAnsi="Times New Roman"/>
          <w:color w:val="auto"/>
          <w:lang w:val="fr-BE"/>
        </w:rPr>
        <w:t>À la différence des budgets nationaux</w:t>
      </w:r>
      <w:r>
        <w:rPr>
          <w:rFonts w:ascii="Times New Roman" w:hAnsi="Times New Roman"/>
          <w:lang w:val="fr-BE"/>
        </w:rPr>
        <w:t>,</w:t>
      </w:r>
      <w:r>
        <w:rPr>
          <w:rFonts w:ascii="Times New Roman" w:hAnsi="Times New Roman"/>
          <w:color w:val="auto"/>
          <w:lang w:val="fr-BE"/>
        </w:rPr>
        <w:t xml:space="preserve"> le budget de l’UE</w:t>
      </w:r>
      <w:r>
        <w:rPr>
          <w:rFonts w:ascii="Times New Roman" w:hAnsi="Times New Roman"/>
          <w:lang w:val="fr-BE"/>
        </w:rPr>
        <w:t xml:space="preserve"> ne peut se financer par la dette, étant donné </w:t>
      </w:r>
      <w:r>
        <w:rPr>
          <w:rFonts w:ascii="Times New Roman" w:hAnsi="Times New Roman"/>
          <w:lang w:val="fr-BE"/>
        </w:rPr>
        <w:t xml:space="preserve">que les recettes et les dépenses doivent, chaque année, être en équilibre. </w:t>
      </w:r>
      <w:r>
        <w:rPr>
          <w:rFonts w:ascii="Times New Roman" w:hAnsi="Times New Roman"/>
          <w:color w:val="auto"/>
          <w:lang w:val="fr-BE"/>
        </w:rPr>
        <w:t>Son</w:t>
      </w:r>
      <w:r>
        <w:rPr>
          <w:rFonts w:ascii="Times New Roman" w:hAnsi="Times New Roman"/>
          <w:lang w:val="fr-BE"/>
        </w:rPr>
        <w:t xml:space="preserve"> </w:t>
      </w:r>
      <w:r>
        <w:rPr>
          <w:rFonts w:ascii="Times New Roman" w:hAnsi="Times New Roman"/>
          <w:color w:val="auto"/>
          <w:lang w:val="fr-BE"/>
        </w:rPr>
        <w:t>financement provient plutôt de</w:t>
      </w:r>
      <w:r>
        <w:rPr>
          <w:rFonts w:ascii="Times New Roman" w:hAnsi="Times New Roman"/>
          <w:lang w:val="fr-BE"/>
        </w:rPr>
        <w:t xml:space="preserve"> </w:t>
      </w:r>
      <w:r>
        <w:rPr>
          <w:rFonts w:ascii="Times New Roman" w:hAnsi="Times New Roman"/>
          <w:color w:val="auto"/>
          <w:lang w:val="fr-BE"/>
        </w:rPr>
        <w:t>«ressources propres».</w:t>
      </w:r>
      <w:r>
        <w:rPr>
          <w:rFonts w:ascii="Times New Roman" w:hAnsi="Times New Roman"/>
          <w:lang w:val="fr-BE"/>
        </w:rPr>
        <w:t xml:space="preserve"> Il existe actuellement trois types principaux de ressources propres: les contributions des États membres calculées sur la ba</w:t>
      </w:r>
      <w:r>
        <w:rPr>
          <w:rFonts w:ascii="Times New Roman" w:hAnsi="Times New Roman"/>
          <w:lang w:val="fr-BE"/>
        </w:rPr>
        <w:t>se de leur niveau de revenus mesuré par le revenu national brut, les contributions fondées sur la taxe sur la valeur ajoutée et les droits de douane perçus aux frontières extérieures de l’Union.</w:t>
      </w:r>
    </w:p>
  </w:footnote>
  <w:footnote w:id="15">
    <w:p w:rsidR="004D184E" w:rsidRDefault="007F0E45">
      <w:pPr>
        <w:pStyle w:val="FootnoteText"/>
        <w:tabs>
          <w:tab w:val="left" w:pos="284"/>
        </w:tabs>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Voir le document de réflexion sur l’avenir des finances de</w:t>
      </w:r>
      <w:r>
        <w:rPr>
          <w:rFonts w:ascii="Times New Roman" w:hAnsi="Times New Roman"/>
          <w:lang w:val="fr-BE"/>
        </w:rPr>
        <w:t xml:space="preserve"> l’UE du 28 juin 2017, qui s’est aussi inspiré du rapport final et des recommandations du groupe de haut niveau sur les ressources propres de décembre 2016. Ce groupe était présidé par l’ancien Premier ministre italien et ancien commissaire européen Mario </w:t>
      </w:r>
      <w:r>
        <w:rPr>
          <w:rFonts w:ascii="Times New Roman" w:hAnsi="Times New Roman"/>
          <w:lang w:val="fr-BE"/>
        </w:rPr>
        <w:t>Monti et était composé de membres nommés par le Parlement européen, le Conseil et la Commission européenne.</w:t>
      </w:r>
    </w:p>
  </w:footnote>
  <w:footnote w:id="16">
    <w:p w:rsidR="004D184E" w:rsidRDefault="007F0E45">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aussi l’article 4 du </w:t>
      </w:r>
      <w:r>
        <w:rPr>
          <w:rStyle w:val="tgc"/>
          <w:rFonts w:ascii="Times New Roman" w:hAnsi="Times New Roman"/>
          <w:lang w:val="fr-BE"/>
        </w:rPr>
        <w:t>règlement (UE) n° 1303/2013 du Parlement européen et du Conseil du 17 décembre 2013 portant dispositions communes.</w:t>
      </w:r>
    </w:p>
  </w:footnote>
  <w:footnote w:id="17">
    <w:p w:rsidR="004D184E" w:rsidRDefault="007F0E45">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COM(2015) 12 du 13 janvier 2015. </w:t>
      </w:r>
    </w:p>
  </w:footnote>
  <w:footnote w:id="18">
    <w:p w:rsidR="004D184E" w:rsidRDefault="007F0E45">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COM(2017) 690 du 22 novembre 2017.</w:t>
      </w:r>
    </w:p>
  </w:footnote>
  <w:footnote w:id="19">
    <w:p w:rsidR="004D184E" w:rsidRDefault="007F0E45">
      <w:pPr>
        <w:pStyle w:val="FootnoteText"/>
        <w:jc w:val="both"/>
        <w:rPr>
          <w:rFonts w:ascii="Times New Roman" w:hAnsi="Times New Roman" w:cs="Times New Roman"/>
          <w:lang w:val="fr-BE"/>
        </w:rPr>
      </w:pPr>
      <w:r>
        <w:rPr>
          <w:rFonts w:ascii="Times New Roman" w:hAnsi="Times New Roman"/>
          <w:color w:val="auto"/>
        </w:rPr>
        <w:footnoteRef/>
      </w:r>
      <w:r>
        <w:rPr>
          <w:rFonts w:ascii="Times New Roman" w:hAnsi="Times New Roman"/>
          <w:color w:val="auto"/>
          <w:vertAlign w:val="superscript"/>
          <w:lang w:val="fr-BE"/>
        </w:rPr>
        <w:t xml:space="preserve"> </w:t>
      </w:r>
      <w:r>
        <w:rPr>
          <w:lang w:val="fr-BE"/>
        </w:rPr>
        <w:tab/>
      </w:r>
      <w:r>
        <w:rPr>
          <w:rFonts w:ascii="Times New Roman" w:hAnsi="Times New Roman"/>
          <w:lang w:val="fr-BE"/>
        </w:rPr>
        <w:t>Dans la déclaration 52 annexée au traité de Lisbonne, 16 États membres (Belgique, Bulgarie, Allemagne, Grèce, Espagne, Italie, Chypre, Lituanie, Luxembourg, Hongrie, Malte, Autrich</w:t>
      </w:r>
      <w:r>
        <w:rPr>
          <w:rFonts w:ascii="Times New Roman" w:hAnsi="Times New Roman"/>
          <w:lang w:val="fr-BE"/>
        </w:rPr>
        <w:t xml:space="preserve">e, Portugal, Roumanie, Slovénie et Slovaquie) ont affirmé que «l’euro en tant que monnaie de l'Union européenne» continuerait d’être, pour eux, un symbole de l’appartenance commune des citoyens à l'Union européenne et de leur lien avec celle-ci. La France </w:t>
      </w:r>
      <w:r>
        <w:rPr>
          <w:rFonts w:ascii="Times New Roman" w:hAnsi="Times New Roman"/>
          <w:lang w:val="fr-BE"/>
        </w:rPr>
        <w:t>a pris des mesures pour adhérer à cette déclaration par une résolution parlementaire du 27 novembre 2017 de l’Assemblée nationale.</w:t>
      </w:r>
    </w:p>
  </w:footnote>
  <w:footnote w:id="20">
    <w:p w:rsidR="004D184E" w:rsidRDefault="007F0E45">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color w:val="auto"/>
          <w:lang w:val="fr-BE"/>
        </w:rPr>
        <w:t>L'article 140 du traité sur le fonctionnement de l’UE dispose que la Commission et la Banque centrale européenne font rap</w:t>
      </w:r>
      <w:r>
        <w:rPr>
          <w:rFonts w:ascii="Times New Roman" w:hAnsi="Times New Roman"/>
          <w:color w:val="auto"/>
          <w:lang w:val="fr-BE"/>
        </w:rPr>
        <w:t>port au moins tous les deux ans. Les prochains rapports sont attendus en mai 2018.</w:t>
      </w:r>
    </w:p>
  </w:footnote>
  <w:footnote w:id="21">
    <w:p w:rsidR="004D184E" w:rsidRDefault="007F0E45">
      <w:pPr>
        <w:tabs>
          <w:tab w:val="left" w:pos="284"/>
        </w:tabs>
        <w:spacing w:after="0"/>
        <w:ind w:left="284" w:hanging="284"/>
        <w:jc w:val="both"/>
        <w:rPr>
          <w:rFonts w:ascii="Times New Roman" w:hAnsi="Times New Roman"/>
          <w:sz w:val="20"/>
          <w:szCs w:val="20"/>
          <w:lang w:val="fr-BE"/>
        </w:rPr>
      </w:pPr>
      <w:r>
        <w:rPr>
          <w:rStyle w:val="FootnoteCharacters"/>
          <w:rFonts w:ascii="Times New Roman" w:hAnsi="Times New Roman"/>
          <w:sz w:val="20"/>
          <w:vertAlign w:val="superscript"/>
        </w:rPr>
        <w:footnoteRef/>
      </w:r>
      <w:r>
        <w:rPr>
          <w:rFonts w:ascii="Times New Roman" w:hAnsi="Times New Roman"/>
          <w:sz w:val="20"/>
          <w:vertAlign w:val="superscript"/>
          <w:lang w:val="fr-BE"/>
        </w:rPr>
        <w:t xml:space="preserve">  </w:t>
      </w:r>
      <w:r>
        <w:rPr>
          <w:lang w:val="fr-BE"/>
        </w:rPr>
        <w:tab/>
      </w:r>
      <w:r>
        <w:rPr>
          <w:rFonts w:ascii="Times New Roman" w:hAnsi="Times New Roman"/>
          <w:sz w:val="20"/>
          <w:lang w:val="fr-BE"/>
        </w:rPr>
        <w:t xml:space="preserve">Déclaration des ministres de l'Eurogroupe et du Conseil «Affaires économiques et financières» sur le filet de sécurité prévu par le mécanisme de résolution unique, 18 </w:t>
      </w:r>
      <w:r>
        <w:rPr>
          <w:rFonts w:ascii="Times New Roman" w:hAnsi="Times New Roman"/>
          <w:sz w:val="20"/>
          <w:lang w:val="fr-BE"/>
        </w:rPr>
        <w:t>décembre 2013.</w:t>
      </w:r>
    </w:p>
  </w:footnote>
  <w:footnote w:id="22">
    <w:p w:rsidR="004D184E" w:rsidRDefault="007F0E45">
      <w:pPr>
        <w:tabs>
          <w:tab w:val="left" w:pos="284"/>
        </w:tabs>
        <w:spacing w:after="0"/>
        <w:ind w:left="284" w:hanging="284"/>
        <w:rPr>
          <w:rFonts w:ascii="Times New Roman" w:hAnsi="Times New Roman"/>
          <w:sz w:val="20"/>
          <w:szCs w:val="20"/>
          <w:lang w:val="fr-BE"/>
        </w:rPr>
      </w:pPr>
      <w:r>
        <w:rPr>
          <w:rStyle w:val="FootnoteCharacters"/>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sz w:val="20"/>
          <w:lang w:val="fr-BE"/>
        </w:rPr>
        <w:t>COM(2017) 592 du 11 octobre 2017.</w:t>
      </w:r>
    </w:p>
  </w:footnote>
  <w:footnote w:id="23">
    <w:p w:rsidR="004D184E" w:rsidRDefault="007F0E45">
      <w:pPr>
        <w:tabs>
          <w:tab w:val="left" w:pos="284"/>
        </w:tabs>
        <w:spacing w:after="0"/>
        <w:ind w:left="284" w:hanging="284"/>
        <w:rPr>
          <w:rFonts w:ascii="Times New Roman" w:hAnsi="Times New Roman"/>
          <w:sz w:val="20"/>
          <w:szCs w:val="20"/>
          <w:lang w:val="fr-BE"/>
        </w:rPr>
      </w:pPr>
      <w:r>
        <w:rPr>
          <w:rStyle w:val="FootnoteCharacters"/>
          <w:rFonts w:ascii="Times New Roman" w:hAnsi="Times New Roman"/>
          <w:sz w:val="20"/>
          <w:vertAlign w:val="superscript"/>
        </w:rPr>
        <w:footnoteRef/>
      </w:r>
      <w:r>
        <w:rPr>
          <w:rFonts w:ascii="Times New Roman" w:hAnsi="Times New Roman"/>
          <w:sz w:val="20"/>
          <w:lang w:val="fr-BE"/>
        </w:rPr>
        <w:t xml:space="preserve">  </w:t>
      </w:r>
      <w:r>
        <w:rPr>
          <w:lang w:val="fr-BE"/>
        </w:rPr>
        <w:tab/>
      </w:r>
      <w:r>
        <w:rPr>
          <w:rFonts w:ascii="Times New Roman" w:hAnsi="Times New Roman"/>
          <w:color w:val="000000"/>
          <w:sz w:val="20"/>
          <w:lang w:val="fr-BE"/>
        </w:rPr>
        <w:t>Article 18 du règlement sur le mécanisme de résolution unique.</w:t>
      </w:r>
    </w:p>
  </w:footnote>
  <w:footnote w:id="24">
    <w:p w:rsidR="004D184E" w:rsidRDefault="007F0E45">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Style w:val="Strong"/>
          <w:rFonts w:ascii="Times New Roman" w:hAnsi="Times New Roman"/>
          <w:b w:val="0"/>
          <w:lang w:val="fr-BE"/>
        </w:rPr>
        <w:t>Règlement (UE) nº 806/2014 du Parlement européen et du Conseil du 15 juillet 2014 établissant des règles et une procédure uniformes p</w:t>
      </w:r>
      <w:r>
        <w:rPr>
          <w:rStyle w:val="Strong"/>
          <w:rFonts w:ascii="Times New Roman" w:hAnsi="Times New Roman"/>
          <w:b w:val="0"/>
          <w:lang w:val="fr-BE"/>
        </w:rPr>
        <w:t>our la résolution des établissements de crédit et de certaines entreprises d’investissement dans le cadre d’un mécanisme de résolution unique et d’un Fonds de résolution bancaire unique, et modifiant le règlement (UE) nº 1093/2010, voir article 18.</w:t>
      </w:r>
    </w:p>
  </w:footnote>
  <w:footnote w:id="25">
    <w:p w:rsidR="004D184E" w:rsidRDefault="007F0E45">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Un c</w:t>
      </w:r>
      <w:r>
        <w:rPr>
          <w:rFonts w:ascii="Times New Roman" w:hAnsi="Times New Roman"/>
          <w:lang w:val="fr-BE"/>
        </w:rPr>
        <w:t>ertain nombre de principes directeurs ont été définis. Un instrument de stabilisation devrait i) réduire autant que possible l’aléa moral et ne devrait pas conduire à des transferts permanents, ii) être strictement subordonné à des critères clairs et à des</w:t>
      </w:r>
      <w:r>
        <w:rPr>
          <w:rFonts w:ascii="Times New Roman" w:hAnsi="Times New Roman"/>
          <w:lang w:val="fr-BE"/>
        </w:rPr>
        <w:t xml:space="preserve"> politiques saines et continues, en particulier celles se traduisant par une plus grande convergence au sein de la zone euro, iii) être développé dans le cadre juridique de l’UE, iv) être ouvert et transparent vis-à-vis de l’ensemble des États membres de l</w:t>
      </w:r>
      <w:r>
        <w:rPr>
          <w:rFonts w:ascii="Times New Roman" w:hAnsi="Times New Roman"/>
          <w:lang w:val="fr-BE"/>
        </w:rPr>
        <w:t>’UE, et v) ne pas jouer le même rôle que le mécanisme européen de stabilité - le futur Fonds monétaire européen - en tant qu’outil de gestion des crises.</w:t>
      </w:r>
    </w:p>
  </w:footnote>
  <w:footnote w:id="26">
    <w:p w:rsidR="004D184E" w:rsidRDefault="007F0E45">
      <w:pPr>
        <w:tabs>
          <w:tab w:val="left" w:pos="284"/>
        </w:tabs>
        <w:spacing w:after="0" w:line="240" w:lineRule="auto"/>
        <w:ind w:left="284" w:hanging="284"/>
        <w:jc w:val="both"/>
        <w:rPr>
          <w:rFonts w:ascii="Times New Roman" w:eastAsia="SimSun" w:hAnsi="Times New Roman"/>
          <w:color w:val="000000"/>
          <w:sz w:val="20"/>
          <w:szCs w:val="20"/>
          <w:lang w:val="fr-BE" w:eastAsia="ar-SA"/>
        </w:rPr>
      </w:pPr>
      <w:r>
        <w:rPr>
          <w:rStyle w:val="FootnoteReference"/>
          <w:rFonts w:ascii="Times New Roman" w:hAnsi="Times New Roman"/>
          <w:sz w:val="20"/>
        </w:rPr>
        <w:footnoteRef/>
      </w:r>
      <w:r>
        <w:rPr>
          <w:rFonts w:ascii="Times New Roman" w:hAnsi="Times New Roman"/>
          <w:sz w:val="20"/>
          <w:lang w:val="fr-BE"/>
        </w:rPr>
        <w:t xml:space="preserve">  </w:t>
      </w:r>
      <w:r>
        <w:rPr>
          <w:lang w:val="fr-BE"/>
        </w:rPr>
        <w:tab/>
      </w:r>
      <w:r>
        <w:rPr>
          <w:rFonts w:ascii="Times New Roman" w:hAnsi="Times New Roman"/>
          <w:color w:val="000000"/>
          <w:sz w:val="20"/>
          <w:lang w:val="fr-BE"/>
        </w:rPr>
        <w:t>Ces dernières années, le pacte de stabilité et de croissance a été renforcé pour tenir compte de c</w:t>
      </w:r>
      <w:r>
        <w:rPr>
          <w:rFonts w:ascii="Times New Roman" w:hAnsi="Times New Roman"/>
          <w:color w:val="000000"/>
          <w:sz w:val="20"/>
          <w:lang w:val="fr-BE"/>
        </w:rPr>
        <w:t>e qui fait sens pour un État membre donné au stade du cycle économique où il se trouve, par exemple pour éviter de mener une politique récessionniste lorsque les circonstances plaident pour une politique contraire. Le pacte de stabilité et de croissance pr</w:t>
      </w:r>
      <w:r>
        <w:rPr>
          <w:rFonts w:ascii="Times New Roman" w:hAnsi="Times New Roman"/>
          <w:color w:val="000000"/>
          <w:sz w:val="20"/>
          <w:lang w:val="fr-BE"/>
        </w:rPr>
        <w:t>évoit la constitution de réserves supplémentaires en période de conjoncture favorable et la nécessité de réduire l’effort budgétaire lorsque les conditions économiques sont difficiles.</w:t>
      </w:r>
    </w:p>
  </w:footnote>
  <w:footnote w:id="27">
    <w:p w:rsidR="004D184E" w:rsidRDefault="007F0E45">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en particulier la note de bas de page n° 7 pour des exemples d’</w:t>
      </w:r>
      <w:r>
        <w:rPr>
          <w:rFonts w:ascii="Times New Roman" w:hAnsi="Times New Roman"/>
          <w:lang w:val="fr-BE"/>
        </w:rPr>
        <w:t>instruments existants de l’UE qui ont été conçus pour atténuer et/ou absorber des chocs.</w:t>
      </w:r>
    </w:p>
  </w:footnote>
  <w:footnote w:id="28">
    <w:p w:rsidR="004D184E" w:rsidRDefault="007F0E45">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De telles mesures exceptionnelles ont été prises pour soutenir la Grèce ces dernières années. Une modulation des taux de cofinancement pourrait avoir un effet stabi</w:t>
      </w:r>
      <w:r>
        <w:rPr>
          <w:rFonts w:ascii="Times New Roman" w:hAnsi="Times New Roman"/>
          <w:lang w:val="fr-BE"/>
        </w:rPr>
        <w:t>lisateur ponctuel, étant donné qu’elle permettrait de maintenir à flot des investissements publics que les États membres seraient autrement incapables de financer. Une adaptation du niveau de préfinancement pourrait notamment impliquer l’anticipation de pa</w:t>
      </w:r>
      <w:r>
        <w:rPr>
          <w:rFonts w:ascii="Times New Roman" w:hAnsi="Times New Roman"/>
          <w:lang w:val="fr-BE"/>
        </w:rPr>
        <w:t>iements provenant des Fonds structurels et d’investissement européens qui ont été convenus sur toute la période du cadre financier pluriannuel, sous réserve d’une réduction des paiements par la suite.</w:t>
      </w:r>
    </w:p>
  </w:footnote>
  <w:footnote w:id="29">
    <w:p w:rsidR="004D184E" w:rsidRDefault="007F0E45">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Il convient de noter qu’une augmentation du plafond </w:t>
      </w:r>
      <w:r>
        <w:rPr>
          <w:rFonts w:ascii="Times New Roman" w:hAnsi="Times New Roman"/>
          <w:lang w:val="fr-BE"/>
        </w:rPr>
        <w:t xml:space="preserve">des ressources propres pourrait s’avérer nécessaire en fonction du montant envisagé. </w:t>
      </w:r>
    </w:p>
  </w:footnote>
  <w:footnote w:id="30">
    <w:p w:rsidR="004D184E" w:rsidRDefault="007F0E45">
      <w:pPr>
        <w:pStyle w:val="FootnoteText"/>
        <w:tabs>
          <w:tab w:val="left" w:pos="284"/>
        </w:tabs>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Il conviendrait d’adapter en conséquence la décision relative aux ressources propres et le règlement fixant le cadre financier pluriannuel.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E" w:rsidRDefault="004D18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360"/>
        </w:tabs>
        <w:ind w:left="360" w:hanging="360"/>
      </w:pPr>
      <w:rPr>
        <w:rFonts w:ascii="Times New Roman" w:hAnsi="Times New Roman" w:cs="Times New Roman"/>
        <w:b/>
        <w:bCs/>
        <w:color w:val="00000A"/>
        <w:sz w:val="20"/>
        <w:szCs w:val="20"/>
        <w:u w:val="none"/>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nsid w:val="00000003"/>
    <w:multiLevelType w:val="multilevel"/>
    <w:tmpl w:val="00000003"/>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singleLevel"/>
    <w:tmpl w:val="00000004"/>
    <w:lvl w:ilvl="0">
      <w:start w:val="1"/>
      <w:numFmt w:val="bullet"/>
      <w:lvlText w:val=""/>
      <w:lvlJc w:val="left"/>
      <w:pPr>
        <w:tabs>
          <w:tab w:val="num" w:pos="0"/>
        </w:tabs>
        <w:ind w:left="720" w:hanging="360"/>
      </w:pPr>
      <w:rPr>
        <w:rFonts w:ascii="Symbol" w:hAnsi="Symbol" w:cs="Symbol" w:hint="default"/>
      </w:rPr>
    </w:lvl>
  </w:abstractNum>
  <w:abstractNum w:abstractNumId="3">
    <w:nsid w:val="00F3095B"/>
    <w:multiLevelType w:val="hybridMultilevel"/>
    <w:tmpl w:val="455A1F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246FCC"/>
    <w:multiLevelType w:val="hybridMultilevel"/>
    <w:tmpl w:val="6BEA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6D4A7E"/>
    <w:multiLevelType w:val="hybridMultilevel"/>
    <w:tmpl w:val="A02E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385F75"/>
    <w:multiLevelType w:val="hybridMultilevel"/>
    <w:tmpl w:val="983CC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2937A4"/>
    <w:multiLevelType w:val="hybridMultilevel"/>
    <w:tmpl w:val="019C0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A82064"/>
    <w:multiLevelType w:val="hybridMultilevel"/>
    <w:tmpl w:val="F2B6C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385AB4"/>
    <w:multiLevelType w:val="hybridMultilevel"/>
    <w:tmpl w:val="EE6649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C23B9"/>
    <w:multiLevelType w:val="multilevel"/>
    <w:tmpl w:val="00000002"/>
    <w:lvl w:ilvl="0">
      <w:start w:val="1"/>
      <w:numFmt w:val="decimal"/>
      <w:lvlText w:val="%1."/>
      <w:lvlJc w:val="left"/>
      <w:pPr>
        <w:tabs>
          <w:tab w:val="num" w:pos="0"/>
        </w:tabs>
        <w:ind w:left="720" w:hanging="360"/>
      </w:pPr>
      <w:rPr>
        <w:rFonts w:ascii="Times New Roman" w:hAnsi="Times New Roman" w:cs="Times New Roman"/>
        <w:b/>
        <w:bCs/>
        <w:color w:val="00000A"/>
        <w:sz w:val="20"/>
        <w:szCs w:val="2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29C82794"/>
    <w:multiLevelType w:val="hybridMultilevel"/>
    <w:tmpl w:val="198EA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565731"/>
    <w:multiLevelType w:val="hybridMultilevel"/>
    <w:tmpl w:val="9D263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696156"/>
    <w:multiLevelType w:val="hybridMultilevel"/>
    <w:tmpl w:val="A16E8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0918CD"/>
    <w:multiLevelType w:val="hybridMultilevel"/>
    <w:tmpl w:val="219E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D42FB5"/>
    <w:multiLevelType w:val="hybridMultilevel"/>
    <w:tmpl w:val="0574887E"/>
    <w:lvl w:ilvl="0" w:tplc="23525DD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34C187D"/>
    <w:multiLevelType w:val="hybridMultilevel"/>
    <w:tmpl w:val="5AE689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B367C0"/>
    <w:multiLevelType w:val="multilevel"/>
    <w:tmpl w:val="00000002"/>
    <w:lvl w:ilvl="0">
      <w:start w:val="1"/>
      <w:numFmt w:val="decimal"/>
      <w:lvlText w:val="%1."/>
      <w:lvlJc w:val="left"/>
      <w:pPr>
        <w:tabs>
          <w:tab w:val="num" w:pos="0"/>
        </w:tabs>
        <w:ind w:left="720" w:hanging="360"/>
      </w:pPr>
      <w:rPr>
        <w:rFonts w:ascii="Times New Roman" w:hAnsi="Times New Roman" w:cs="Times New Roman"/>
        <w:b/>
        <w:bCs/>
        <w:color w:val="00000A"/>
        <w:sz w:val="20"/>
        <w:szCs w:val="2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35A667A3"/>
    <w:multiLevelType w:val="hybridMultilevel"/>
    <w:tmpl w:val="54CEED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2E1778"/>
    <w:multiLevelType w:val="hybridMultilevel"/>
    <w:tmpl w:val="FC16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2A6A2E"/>
    <w:multiLevelType w:val="hybridMultilevel"/>
    <w:tmpl w:val="0C463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0123C42"/>
    <w:multiLevelType w:val="hybridMultilevel"/>
    <w:tmpl w:val="F2AA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8B02FC"/>
    <w:multiLevelType w:val="hybridMultilevel"/>
    <w:tmpl w:val="57B05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F55E49"/>
    <w:multiLevelType w:val="hybridMultilevel"/>
    <w:tmpl w:val="AED26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4D646B"/>
    <w:multiLevelType w:val="hybridMultilevel"/>
    <w:tmpl w:val="C788243A"/>
    <w:lvl w:ilvl="0" w:tplc="F35A66C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3E00DF"/>
    <w:multiLevelType w:val="hybridMultilevel"/>
    <w:tmpl w:val="518CDC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952595"/>
    <w:multiLevelType w:val="multilevel"/>
    <w:tmpl w:val="121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DA3532"/>
    <w:multiLevelType w:val="hybridMultilevel"/>
    <w:tmpl w:val="02E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5548C8"/>
    <w:multiLevelType w:val="hybridMultilevel"/>
    <w:tmpl w:val="7FEE4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411FDF"/>
    <w:multiLevelType w:val="hybridMultilevel"/>
    <w:tmpl w:val="D0C484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70392B"/>
    <w:multiLevelType w:val="hybridMultilevel"/>
    <w:tmpl w:val="B9C409A4"/>
    <w:lvl w:ilvl="0" w:tplc="0809000F">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984FF8"/>
    <w:multiLevelType w:val="hybridMultilevel"/>
    <w:tmpl w:val="276E02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F020E82"/>
    <w:multiLevelType w:val="hybridMultilevel"/>
    <w:tmpl w:val="3D46F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A26A09"/>
    <w:multiLevelType w:val="hybridMultilevel"/>
    <w:tmpl w:val="562C6B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187119"/>
    <w:multiLevelType w:val="hybridMultilevel"/>
    <w:tmpl w:val="5E86C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4B551D4"/>
    <w:multiLevelType w:val="hybridMultilevel"/>
    <w:tmpl w:val="A3162874"/>
    <w:lvl w:ilvl="0" w:tplc="CCBA9F0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34478E"/>
    <w:multiLevelType w:val="hybridMultilevel"/>
    <w:tmpl w:val="2C52D4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0C6F66"/>
    <w:multiLevelType w:val="hybridMultilevel"/>
    <w:tmpl w:val="B998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900FB9"/>
    <w:multiLevelType w:val="hybridMultilevel"/>
    <w:tmpl w:val="B846F556"/>
    <w:lvl w:ilvl="0" w:tplc="F35A66C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50787A"/>
    <w:multiLevelType w:val="hybridMultilevel"/>
    <w:tmpl w:val="4D7851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F1A66F6"/>
    <w:multiLevelType w:val="hybridMultilevel"/>
    <w:tmpl w:val="3B6E3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20"/>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9"/>
  </w:num>
  <w:num w:numId="11">
    <w:abstractNumId w:val="10"/>
  </w:num>
  <w:num w:numId="12">
    <w:abstractNumId w:val="8"/>
  </w:num>
  <w:num w:numId="13">
    <w:abstractNumId w:val="40"/>
  </w:num>
  <w:num w:numId="14">
    <w:abstractNumId w:val="34"/>
  </w:num>
  <w:num w:numId="15">
    <w:abstractNumId w:val="13"/>
  </w:num>
  <w:num w:numId="16">
    <w:abstractNumId w:val="27"/>
  </w:num>
  <w:num w:numId="17">
    <w:abstractNumId w:val="19"/>
  </w:num>
  <w:num w:numId="18">
    <w:abstractNumId w:val="37"/>
  </w:num>
  <w:num w:numId="19">
    <w:abstractNumId w:val="14"/>
  </w:num>
  <w:num w:numId="20">
    <w:abstractNumId w:val="29"/>
  </w:num>
  <w:num w:numId="21">
    <w:abstractNumId w:val="6"/>
  </w:num>
  <w:num w:numId="22">
    <w:abstractNumId w:val="31"/>
  </w:num>
  <w:num w:numId="23">
    <w:abstractNumId w:val="33"/>
  </w:num>
  <w:num w:numId="24">
    <w:abstractNumId w:val="35"/>
  </w:num>
  <w:num w:numId="25">
    <w:abstractNumId w:val="11"/>
  </w:num>
  <w:num w:numId="26">
    <w:abstractNumId w:val="36"/>
  </w:num>
  <w:num w:numId="27">
    <w:abstractNumId w:val="9"/>
  </w:num>
  <w:num w:numId="28">
    <w:abstractNumId w:val="25"/>
  </w:num>
  <w:num w:numId="29">
    <w:abstractNumId w:val="26"/>
  </w:num>
  <w:num w:numId="30">
    <w:abstractNumId w:val="22"/>
  </w:num>
  <w:num w:numId="31">
    <w:abstractNumId w:val="24"/>
  </w:num>
  <w:num w:numId="32">
    <w:abstractNumId w:val="30"/>
  </w:num>
  <w:num w:numId="33">
    <w:abstractNumId w:val="38"/>
  </w:num>
  <w:num w:numId="34">
    <w:abstractNumId w:val="28"/>
  </w:num>
  <w:num w:numId="35">
    <w:abstractNumId w:val="32"/>
  </w:num>
  <w:num w:numId="36">
    <w:abstractNumId w:val="12"/>
  </w:num>
  <w:num w:numId="37">
    <w:abstractNumId w:val="18"/>
  </w:num>
  <w:num w:numId="38">
    <w:abstractNumId w:val="7"/>
  </w:num>
  <w:num w:numId="39">
    <w:abstractNumId w:val="16"/>
  </w:num>
  <w:num w:numId="40">
    <w:abstractNumId w:val="3"/>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5D8B5B4B-967C-4FC4-9B4B-B4367403F4D9"/>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8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E NOUVEAUX INSTRUMENTS BUDGÉTAIRES POUR UNE ZONE EURO STABLE DANS LE CADRE DE l'UNION"/>
    <w:docVar w:name="LW_TYPE.DOC.CP" w:val="COMMUNICATION DE LA COMMISSION"/>
    <w:docVar w:name="LW_TYPE.DOC.CP.USERTEXT" w:val="AU PARLEMENT EUROPÉEN, AU CONSEIL EUROPÉEN, AU CONSEIL ET À LA BANQUE CENTRALE EUROPÉENNE_x000b_"/>
  </w:docVars>
  <w:rsids>
    <w:rsidRoot w:val="004D184E"/>
    <w:rsid w:val="004D184E"/>
    <w:rsid w:val="007F0E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Hyperlink">
    <w:name w:val="Hyperlink"/>
    <w:rPr>
      <w:color w:val="0000FF"/>
      <w:u w:val="single"/>
    </w:rPr>
  </w:style>
  <w:style w:type="character" w:customStyle="1" w:styleId="FootnoteCharacters">
    <w:name w:val="Footnote Characters"/>
  </w:style>
  <w:style w:type="character" w:styleId="FootnoteReference">
    <w:name w:val="footnote reference"/>
    <w:uiPriority w:val="99"/>
    <w:rPr>
      <w:vertAlign w:val="superscript"/>
    </w:rPr>
  </w:style>
  <w:style w:type="paragraph" w:styleId="ListParagraph">
    <w:name w:val="List Paragraph"/>
    <w:basedOn w:val="Normal"/>
    <w:uiPriority w:val="34"/>
    <w:qFormat/>
    <w:pPr>
      <w:suppressAutoHyphens/>
      <w:spacing w:after="0" w:line="100" w:lineRule="atLeast"/>
      <w:ind w:left="720"/>
    </w:pPr>
    <w:rPr>
      <w:rFonts w:ascii="EC Square Sans Pro" w:eastAsia="SimSun" w:hAnsi="EC Square Sans Pro" w:cs="EC Square Sans Pro"/>
      <w:color w:val="000000"/>
      <w:sz w:val="24"/>
      <w:szCs w:val="24"/>
      <w:lang w:eastAsia="ar-SA"/>
    </w:rPr>
  </w:style>
  <w:style w:type="paragraph" w:styleId="NormalWeb">
    <w:name w:val="Normal (Web)"/>
    <w:basedOn w:val="Normal"/>
    <w:uiPriority w:val="99"/>
    <w:pPr>
      <w:suppressAutoHyphens/>
      <w:spacing w:before="100" w:after="100" w:line="100" w:lineRule="atLeast"/>
    </w:pPr>
    <w:rPr>
      <w:rFonts w:ascii="Times New Roman" w:eastAsia="Times New Roman" w:hAnsi="Times New Roman"/>
      <w:color w:val="000000"/>
      <w:sz w:val="24"/>
      <w:szCs w:val="24"/>
      <w:lang w:eastAsia="ar-SA"/>
    </w:rPr>
  </w:style>
  <w:style w:type="paragraph" w:styleId="FootnoteText">
    <w:name w:val="footnote text"/>
    <w:basedOn w:val="Normal"/>
    <w:link w:val="FootnoteTextChar"/>
    <w:uiPriority w:val="99"/>
    <w:pPr>
      <w:suppressLineNumbers/>
      <w:suppressAutoHyphens/>
      <w:spacing w:after="0" w:line="100" w:lineRule="atLeast"/>
      <w:ind w:left="283" w:hanging="283"/>
    </w:pPr>
    <w:rPr>
      <w:rFonts w:ascii="EC Square Sans Pro" w:eastAsia="SimSun" w:hAnsi="EC Square Sans Pro" w:cs="EC Square Sans Pro"/>
      <w:color w:val="000000"/>
      <w:sz w:val="20"/>
      <w:szCs w:val="20"/>
      <w:lang w:eastAsia="ar-SA"/>
    </w:rPr>
  </w:style>
  <w:style w:type="character" w:customStyle="1" w:styleId="FootnoteTextChar">
    <w:name w:val="Footnote Text Char"/>
    <w:link w:val="FootnoteText"/>
    <w:uiPriority w:val="99"/>
    <w:rPr>
      <w:rFonts w:ascii="EC Square Sans Pro" w:eastAsia="SimSun" w:hAnsi="EC Square Sans Pro" w:cs="EC Square Sans Pro"/>
      <w:color w:val="000000"/>
      <w:sz w:val="20"/>
      <w:szCs w:val="20"/>
      <w:lang w:eastAsia="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pPr>
      <w:suppressAutoHyphens/>
      <w:spacing w:after="0" w:line="100" w:lineRule="atLeast"/>
    </w:pPr>
    <w:rPr>
      <w:rFonts w:ascii="EC Square Sans Pro" w:eastAsia="SimSun" w:hAnsi="EC Square Sans Pro" w:cs="EC Square Sans Pro"/>
      <w:color w:val="000000"/>
      <w:sz w:val="20"/>
      <w:szCs w:val="20"/>
      <w:lang w:eastAsia="ar-SA"/>
    </w:rPr>
  </w:style>
  <w:style w:type="character" w:customStyle="1" w:styleId="CommentTextChar">
    <w:name w:val="Comment Text Char"/>
    <w:link w:val="CommentText"/>
    <w:rPr>
      <w:rFonts w:ascii="EC Square Sans Pro" w:eastAsia="SimSun" w:hAnsi="EC Square Sans Pro" w:cs="EC Square Sans Pro"/>
      <w:color w:val="000000"/>
      <w:lang w:eastAsia="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uiPriority w:val="99"/>
    <w:pPr>
      <w:autoSpaceDE w:val="0"/>
      <w:autoSpaceDN w:val="0"/>
      <w:spacing w:after="0" w:line="241" w:lineRule="atLeast"/>
    </w:pPr>
    <w:rPr>
      <w:rFonts w:ascii="EC Square Sans Pro" w:hAnsi="EC Square Sans Pro"/>
      <w:sz w:val="24"/>
      <w:szCs w:val="24"/>
    </w:rPr>
  </w:style>
  <w:style w:type="character" w:customStyle="1" w:styleId="A3">
    <w:name w:val="A3"/>
    <w:uiPriority w:val="99"/>
    <w:rPr>
      <w:rFonts w:ascii="EC Square Sans Pro" w:hAnsi="EC Square Sans Pro" w:hint="default"/>
      <w:color w:val="000000"/>
    </w:rPr>
  </w:style>
  <w:style w:type="character" w:customStyle="1" w:styleId="tgc">
    <w:name w:val="_tgc"/>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Hyperlink">
    <w:name w:val="Hyperlink"/>
    <w:rPr>
      <w:color w:val="0000FF"/>
      <w:u w:val="single"/>
    </w:rPr>
  </w:style>
  <w:style w:type="character" w:customStyle="1" w:styleId="FootnoteCharacters">
    <w:name w:val="Footnote Characters"/>
  </w:style>
  <w:style w:type="character" w:styleId="FootnoteReference">
    <w:name w:val="footnote reference"/>
    <w:uiPriority w:val="99"/>
    <w:rPr>
      <w:vertAlign w:val="superscript"/>
    </w:rPr>
  </w:style>
  <w:style w:type="paragraph" w:styleId="ListParagraph">
    <w:name w:val="List Paragraph"/>
    <w:basedOn w:val="Normal"/>
    <w:uiPriority w:val="34"/>
    <w:qFormat/>
    <w:pPr>
      <w:suppressAutoHyphens/>
      <w:spacing w:after="0" w:line="100" w:lineRule="atLeast"/>
      <w:ind w:left="720"/>
    </w:pPr>
    <w:rPr>
      <w:rFonts w:ascii="EC Square Sans Pro" w:eastAsia="SimSun" w:hAnsi="EC Square Sans Pro" w:cs="EC Square Sans Pro"/>
      <w:color w:val="000000"/>
      <w:sz w:val="24"/>
      <w:szCs w:val="24"/>
      <w:lang w:eastAsia="ar-SA"/>
    </w:rPr>
  </w:style>
  <w:style w:type="paragraph" w:styleId="NormalWeb">
    <w:name w:val="Normal (Web)"/>
    <w:basedOn w:val="Normal"/>
    <w:uiPriority w:val="99"/>
    <w:pPr>
      <w:suppressAutoHyphens/>
      <w:spacing w:before="100" w:after="100" w:line="100" w:lineRule="atLeast"/>
    </w:pPr>
    <w:rPr>
      <w:rFonts w:ascii="Times New Roman" w:eastAsia="Times New Roman" w:hAnsi="Times New Roman"/>
      <w:color w:val="000000"/>
      <w:sz w:val="24"/>
      <w:szCs w:val="24"/>
      <w:lang w:eastAsia="ar-SA"/>
    </w:rPr>
  </w:style>
  <w:style w:type="paragraph" w:styleId="FootnoteText">
    <w:name w:val="footnote text"/>
    <w:basedOn w:val="Normal"/>
    <w:link w:val="FootnoteTextChar"/>
    <w:uiPriority w:val="99"/>
    <w:pPr>
      <w:suppressLineNumbers/>
      <w:suppressAutoHyphens/>
      <w:spacing w:after="0" w:line="100" w:lineRule="atLeast"/>
      <w:ind w:left="283" w:hanging="283"/>
    </w:pPr>
    <w:rPr>
      <w:rFonts w:ascii="EC Square Sans Pro" w:eastAsia="SimSun" w:hAnsi="EC Square Sans Pro" w:cs="EC Square Sans Pro"/>
      <w:color w:val="000000"/>
      <w:sz w:val="20"/>
      <w:szCs w:val="20"/>
      <w:lang w:eastAsia="ar-SA"/>
    </w:rPr>
  </w:style>
  <w:style w:type="character" w:customStyle="1" w:styleId="FootnoteTextChar">
    <w:name w:val="Footnote Text Char"/>
    <w:link w:val="FootnoteText"/>
    <w:uiPriority w:val="99"/>
    <w:rPr>
      <w:rFonts w:ascii="EC Square Sans Pro" w:eastAsia="SimSun" w:hAnsi="EC Square Sans Pro" w:cs="EC Square Sans Pro"/>
      <w:color w:val="000000"/>
      <w:sz w:val="20"/>
      <w:szCs w:val="20"/>
      <w:lang w:eastAsia="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pPr>
      <w:suppressAutoHyphens/>
      <w:spacing w:after="0" w:line="100" w:lineRule="atLeast"/>
    </w:pPr>
    <w:rPr>
      <w:rFonts w:ascii="EC Square Sans Pro" w:eastAsia="SimSun" w:hAnsi="EC Square Sans Pro" w:cs="EC Square Sans Pro"/>
      <w:color w:val="000000"/>
      <w:sz w:val="20"/>
      <w:szCs w:val="20"/>
      <w:lang w:eastAsia="ar-SA"/>
    </w:rPr>
  </w:style>
  <w:style w:type="character" w:customStyle="1" w:styleId="CommentTextChar">
    <w:name w:val="Comment Text Char"/>
    <w:link w:val="CommentText"/>
    <w:rPr>
      <w:rFonts w:ascii="EC Square Sans Pro" w:eastAsia="SimSun" w:hAnsi="EC Square Sans Pro" w:cs="EC Square Sans Pro"/>
      <w:color w:val="000000"/>
      <w:lang w:eastAsia="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uiPriority w:val="99"/>
    <w:pPr>
      <w:autoSpaceDE w:val="0"/>
      <w:autoSpaceDN w:val="0"/>
      <w:spacing w:after="0" w:line="241" w:lineRule="atLeast"/>
    </w:pPr>
    <w:rPr>
      <w:rFonts w:ascii="EC Square Sans Pro" w:hAnsi="EC Square Sans Pro"/>
      <w:sz w:val="24"/>
      <w:szCs w:val="24"/>
    </w:rPr>
  </w:style>
  <w:style w:type="character" w:customStyle="1" w:styleId="A3">
    <w:name w:val="A3"/>
    <w:uiPriority w:val="99"/>
    <w:rPr>
      <w:rFonts w:ascii="EC Square Sans Pro" w:hAnsi="EC Square Sans Pro" w:hint="default"/>
      <w:color w:val="000000"/>
    </w:rPr>
  </w:style>
  <w:style w:type="character" w:customStyle="1" w:styleId="tgc">
    <w:name w:val="_tgc"/>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7936">
      <w:bodyDiv w:val="1"/>
      <w:marLeft w:val="0"/>
      <w:marRight w:val="0"/>
      <w:marTop w:val="0"/>
      <w:marBottom w:val="0"/>
      <w:divBdr>
        <w:top w:val="none" w:sz="0" w:space="0" w:color="auto"/>
        <w:left w:val="none" w:sz="0" w:space="0" w:color="auto"/>
        <w:bottom w:val="none" w:sz="0" w:space="0" w:color="auto"/>
        <w:right w:val="none" w:sz="0" w:space="0" w:color="auto"/>
      </w:divBdr>
    </w:div>
    <w:div w:id="167141592">
      <w:bodyDiv w:val="1"/>
      <w:marLeft w:val="0"/>
      <w:marRight w:val="0"/>
      <w:marTop w:val="0"/>
      <w:marBottom w:val="0"/>
      <w:divBdr>
        <w:top w:val="none" w:sz="0" w:space="0" w:color="auto"/>
        <w:left w:val="none" w:sz="0" w:space="0" w:color="auto"/>
        <w:bottom w:val="none" w:sz="0" w:space="0" w:color="auto"/>
        <w:right w:val="none" w:sz="0" w:space="0" w:color="auto"/>
      </w:divBdr>
    </w:div>
    <w:div w:id="171336875">
      <w:bodyDiv w:val="1"/>
      <w:marLeft w:val="0"/>
      <w:marRight w:val="0"/>
      <w:marTop w:val="0"/>
      <w:marBottom w:val="0"/>
      <w:divBdr>
        <w:top w:val="none" w:sz="0" w:space="0" w:color="auto"/>
        <w:left w:val="none" w:sz="0" w:space="0" w:color="auto"/>
        <w:bottom w:val="none" w:sz="0" w:space="0" w:color="auto"/>
        <w:right w:val="none" w:sz="0" w:space="0" w:color="auto"/>
      </w:divBdr>
    </w:div>
    <w:div w:id="233010879">
      <w:bodyDiv w:val="1"/>
      <w:marLeft w:val="0"/>
      <w:marRight w:val="0"/>
      <w:marTop w:val="0"/>
      <w:marBottom w:val="0"/>
      <w:divBdr>
        <w:top w:val="none" w:sz="0" w:space="0" w:color="auto"/>
        <w:left w:val="none" w:sz="0" w:space="0" w:color="auto"/>
        <w:bottom w:val="none" w:sz="0" w:space="0" w:color="auto"/>
        <w:right w:val="none" w:sz="0" w:space="0" w:color="auto"/>
      </w:divBdr>
    </w:div>
    <w:div w:id="948051515">
      <w:bodyDiv w:val="1"/>
      <w:marLeft w:val="0"/>
      <w:marRight w:val="0"/>
      <w:marTop w:val="0"/>
      <w:marBottom w:val="0"/>
      <w:divBdr>
        <w:top w:val="none" w:sz="0" w:space="0" w:color="auto"/>
        <w:left w:val="none" w:sz="0" w:space="0" w:color="auto"/>
        <w:bottom w:val="none" w:sz="0" w:space="0" w:color="auto"/>
        <w:right w:val="none" w:sz="0" w:space="0" w:color="auto"/>
      </w:divBdr>
    </w:div>
    <w:div w:id="1492451802">
      <w:bodyDiv w:val="1"/>
      <w:marLeft w:val="0"/>
      <w:marRight w:val="0"/>
      <w:marTop w:val="0"/>
      <w:marBottom w:val="0"/>
      <w:divBdr>
        <w:top w:val="none" w:sz="0" w:space="0" w:color="auto"/>
        <w:left w:val="none" w:sz="0" w:space="0" w:color="auto"/>
        <w:bottom w:val="none" w:sz="0" w:space="0" w:color="auto"/>
        <w:right w:val="none" w:sz="0" w:space="0" w:color="auto"/>
      </w:divBdr>
    </w:div>
    <w:div w:id="1769041812">
      <w:bodyDiv w:val="1"/>
      <w:marLeft w:val="0"/>
      <w:marRight w:val="0"/>
      <w:marTop w:val="0"/>
      <w:marBottom w:val="0"/>
      <w:divBdr>
        <w:top w:val="none" w:sz="0" w:space="0" w:color="auto"/>
        <w:left w:val="none" w:sz="0" w:space="0" w:color="auto"/>
        <w:bottom w:val="none" w:sz="0" w:space="0" w:color="auto"/>
        <w:right w:val="none" w:sz="0" w:space="0" w:color="auto"/>
      </w:divBdr>
    </w:div>
    <w:div w:id="19725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8B3F-9DC7-4002-B142-64387153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7734</Words>
  <Characters>44088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2017-12-05T20:51:00Z</cp:lastPrinted>
  <dcterms:created xsi:type="dcterms:W3CDTF">2017-12-06T09:50:00Z</dcterms:created>
  <dcterms:modified xsi:type="dcterms:W3CDTF">2017-12-06T10:12:00Z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