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654" w:rsidRDefault="00567D37">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042C7B1-CD4C-4E54-944D-BA3B3D215334" style="width:450.7pt;height:333.8pt">
            <v:imagedata r:id="rId9" o:title=""/>
          </v:shape>
        </w:pict>
      </w:r>
    </w:p>
    <w:bookmarkEnd w:id="0"/>
    <w:p w:rsidR="009E0654" w:rsidRDefault="009E0654">
      <w:pPr>
        <w:pStyle w:val="Pagedecouverture"/>
        <w:rPr>
          <w:noProof/>
          <w:lang w:val="bg-BG"/>
        </w:rPr>
        <w:sectPr w:rsidR="009E0654">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9E0654" w:rsidRDefault="00567D37">
      <w:pPr>
        <w:pStyle w:val="ListParagraph"/>
        <w:numPr>
          <w:ilvl w:val="0"/>
          <w:numId w:val="34"/>
        </w:numPr>
        <w:ind w:hanging="720"/>
        <w:rPr>
          <w:rFonts w:ascii="Times New Roman" w:hAnsi="Times New Roman" w:cs="Times New Roman"/>
          <w:b/>
          <w:noProof/>
          <w:u w:val="single"/>
          <w:lang w:val="bg-BG"/>
        </w:rPr>
      </w:pPr>
      <w:r>
        <w:rPr>
          <w:rFonts w:ascii="Times New Roman" w:hAnsi="Times New Roman"/>
          <w:b/>
          <w:noProof/>
          <w:u w:val="single"/>
          <w:lang w:val="bg-BG"/>
        </w:rPr>
        <w:lastRenderedPageBreak/>
        <w:t>ВЪВЕДЕНИЕ</w:t>
      </w:r>
    </w:p>
    <w:p w:rsidR="009E0654" w:rsidRDefault="009E0654">
      <w:pPr>
        <w:pStyle w:val="ListParagraph"/>
        <w:jc w:val="both"/>
        <w:rPr>
          <w:rFonts w:ascii="Times New Roman" w:hAnsi="Times New Roman" w:cs="Times New Roman"/>
          <w:b/>
          <w:noProof/>
          <w:lang w:val="bg-BG"/>
        </w:rPr>
      </w:pPr>
    </w:p>
    <w:p w:rsidR="009E0654" w:rsidRDefault="00567D37">
      <w:pPr>
        <w:jc w:val="both"/>
        <w:rPr>
          <w:rFonts w:ascii="Times New Roman" w:hAnsi="Times New Roman"/>
          <w:noProof/>
          <w:lang w:val="bg-BG"/>
        </w:rPr>
      </w:pPr>
      <w:r>
        <w:rPr>
          <w:rFonts w:ascii="Times New Roman" w:hAnsi="Times New Roman"/>
          <w:b/>
          <w:noProof/>
          <w:lang w:val="bg-BG"/>
        </w:rPr>
        <w:t xml:space="preserve">В своята реч за състоянието на Съюза през 2017 г., както и в придружаващото писмо за намерения, </w:t>
      </w:r>
      <w:bookmarkStart w:id="1" w:name="_GoBack"/>
      <w:bookmarkEnd w:id="1"/>
      <w:r>
        <w:rPr>
          <w:rFonts w:ascii="Times New Roman" w:hAnsi="Times New Roman"/>
          <w:b/>
          <w:noProof/>
          <w:lang w:val="bg-BG"/>
        </w:rPr>
        <w:t xml:space="preserve">председателят Юнкер обяви намерението на </w:t>
      </w:r>
      <w:r>
        <w:rPr>
          <w:rFonts w:ascii="Times New Roman" w:hAnsi="Times New Roman"/>
          <w:b/>
          <w:noProof/>
          <w:lang w:val="bg-BG"/>
        </w:rPr>
        <w:t>Комисията да направи конкретни предложения за създаването на специален бюджетен ред за еврозоната в рамките на бюджета на ЕС</w:t>
      </w:r>
      <w:r>
        <w:rPr>
          <w:noProof/>
          <w:lang w:val="bg-BG"/>
        </w:rPr>
        <w:t xml:space="preserve">, </w:t>
      </w:r>
      <w:r>
        <w:rPr>
          <w:rFonts w:ascii="Times New Roman" w:hAnsi="Times New Roman"/>
          <w:noProof/>
          <w:lang w:val="bg-BG"/>
        </w:rPr>
        <w:t>предвиждащ следните функции</w:t>
      </w:r>
      <w:r>
        <w:rPr>
          <w:noProof/>
          <w:lang w:val="bg-BG"/>
        </w:rPr>
        <w:t>:</w:t>
      </w:r>
      <w:r>
        <w:rPr>
          <w:rFonts w:ascii="Times New Roman" w:hAnsi="Times New Roman"/>
          <w:noProof/>
          <w:lang w:val="bg-BG"/>
        </w:rPr>
        <w:t xml:space="preserve"> 1) помощ за структурни реформи въз основа на Програмата на Комисията за подкрепа на структурните рефо</w:t>
      </w:r>
      <w:r>
        <w:rPr>
          <w:rFonts w:ascii="Times New Roman" w:hAnsi="Times New Roman"/>
          <w:noProof/>
          <w:lang w:val="bg-BG"/>
        </w:rPr>
        <w:t xml:space="preserve">рми; 2) функция за стабилизация; 3) предпазен механизъм за банковия съюз; и 4) инструмент за сближаване с цел отпускане на предприсъединителна помощ за държавите членки, които се готвят за присъединяване към еврото. </w:t>
      </w:r>
    </w:p>
    <w:p w:rsidR="009E0654" w:rsidRDefault="00567D37">
      <w:pPr>
        <w:jc w:val="both"/>
        <w:rPr>
          <w:rFonts w:ascii="Times New Roman" w:hAnsi="Times New Roman"/>
          <w:noProof/>
          <w:lang w:val="bg-BG"/>
        </w:rPr>
      </w:pPr>
      <w:r>
        <w:rPr>
          <w:rFonts w:ascii="Times New Roman" w:hAnsi="Times New Roman"/>
          <w:b/>
          <w:noProof/>
          <w:lang w:val="bg-BG"/>
        </w:rPr>
        <w:t>Тези идеи са подробно описани в настоящ</w:t>
      </w:r>
      <w:r>
        <w:rPr>
          <w:rFonts w:ascii="Times New Roman" w:hAnsi="Times New Roman"/>
          <w:b/>
          <w:noProof/>
          <w:lang w:val="bg-BG"/>
        </w:rPr>
        <w:t>ото съобщение, което е част от пакет с инициативи за задълбочаване на европейския Икономически и паричен съюз</w:t>
      </w:r>
      <w:r>
        <w:rPr>
          <w:rStyle w:val="FootnoteReference"/>
          <w:rFonts w:ascii="Times New Roman" w:hAnsi="Times New Roman"/>
          <w:noProof/>
          <w:lang w:val="bg-BG"/>
        </w:rPr>
        <w:footnoteReference w:id="2"/>
      </w:r>
      <w:r>
        <w:rPr>
          <w:noProof/>
          <w:lang w:val="bg-BG"/>
        </w:rPr>
        <w:t>.</w:t>
      </w:r>
      <w:r>
        <w:rPr>
          <w:rFonts w:ascii="Times New Roman" w:hAnsi="Times New Roman"/>
          <w:noProof/>
          <w:lang w:val="bg-BG"/>
        </w:rPr>
        <w:t xml:space="preserve"> Пакетът се основава по-специално на доклада на петимата председатели относно завършването на европейския Икономически и паричен съюз от 22 юни 2</w:t>
      </w:r>
      <w:r>
        <w:rPr>
          <w:rFonts w:ascii="Times New Roman" w:hAnsi="Times New Roman"/>
          <w:noProof/>
          <w:lang w:val="bg-BG"/>
        </w:rPr>
        <w:t>015 г</w:t>
      </w:r>
      <w:r>
        <w:rPr>
          <w:rStyle w:val="FootnoteReference"/>
          <w:rFonts w:ascii="Times New Roman" w:hAnsi="Times New Roman"/>
          <w:noProof/>
          <w:lang w:val="bg-BG"/>
        </w:rPr>
        <w:footnoteReference w:id="3"/>
      </w:r>
      <w:r>
        <w:rPr>
          <w:rFonts w:ascii="Times New Roman" w:hAnsi="Times New Roman"/>
          <w:noProof/>
          <w:lang w:val="bg-BG"/>
        </w:rPr>
        <w:t>. и на изготвения от Комисията Документ за размисъл относно задълбочаването на Икономическия и паричен съюз от 31 май 2017 г.</w:t>
      </w:r>
      <w:r>
        <w:rPr>
          <w:rStyle w:val="FootnoteReference"/>
          <w:rFonts w:ascii="Times New Roman" w:hAnsi="Times New Roman"/>
          <w:noProof/>
          <w:lang w:val="bg-BG"/>
        </w:rPr>
        <w:footnoteReference w:id="4"/>
      </w:r>
      <w:r>
        <w:rPr>
          <w:noProof/>
          <w:lang w:val="bg-BG"/>
        </w:rPr>
        <w:t>.</w:t>
      </w:r>
    </w:p>
    <w:p w:rsidR="009E0654" w:rsidRDefault="00567D37">
      <w:pPr>
        <w:jc w:val="both"/>
        <w:rPr>
          <w:rFonts w:ascii="Times New Roman" w:hAnsi="Times New Roman"/>
          <w:noProof/>
          <w:lang w:val="bg-BG"/>
        </w:rPr>
      </w:pPr>
      <w:r>
        <w:rPr>
          <w:rFonts w:ascii="Times New Roman" w:hAnsi="Times New Roman"/>
          <w:b/>
          <w:noProof/>
          <w:lang w:val="bg-BG"/>
        </w:rPr>
        <w:t>Задълбочаването на Икономическия и паричен съюз и модернизирането на публичните финанси на ЕС са възлови елементи в дебата</w:t>
      </w:r>
      <w:r>
        <w:rPr>
          <w:rFonts w:ascii="Times New Roman" w:hAnsi="Times New Roman"/>
          <w:b/>
          <w:noProof/>
          <w:lang w:val="bg-BG"/>
        </w:rPr>
        <w:t xml:space="preserve"> за бъдещето на Европа, започнал с Бялата книга на Комисията от 1 март 2017 г.</w:t>
      </w:r>
      <w:r>
        <w:rPr>
          <w:rStyle w:val="FootnoteReference"/>
          <w:rFonts w:ascii="Times New Roman" w:hAnsi="Times New Roman"/>
          <w:noProof/>
          <w:lang w:val="bg-BG"/>
        </w:rPr>
        <w:footnoteReference w:id="5"/>
      </w:r>
      <w:r>
        <w:rPr>
          <w:noProof/>
          <w:lang w:val="bg-BG"/>
        </w:rPr>
        <w:t>.</w:t>
      </w:r>
      <w:r>
        <w:rPr>
          <w:rFonts w:ascii="Times New Roman" w:hAnsi="Times New Roman"/>
          <w:b/>
          <w:noProof/>
          <w:lang w:val="bg-BG"/>
        </w:rPr>
        <w:t xml:space="preserve"> </w:t>
      </w:r>
      <w:r>
        <w:rPr>
          <w:rFonts w:ascii="Times New Roman" w:hAnsi="Times New Roman"/>
          <w:noProof/>
          <w:lang w:val="bg-BG"/>
        </w:rPr>
        <w:t>Това беше подчертано и в Документа за размисъл относно бъдещето на финансите на ЕС от 28 юни 2017 г.</w:t>
      </w:r>
      <w:r>
        <w:rPr>
          <w:rStyle w:val="FootnoteReference"/>
          <w:rFonts w:ascii="Times New Roman" w:hAnsi="Times New Roman"/>
          <w:noProof/>
          <w:lang w:val="bg-BG"/>
        </w:rPr>
        <w:footnoteReference w:id="6"/>
      </w:r>
      <w:r>
        <w:rPr>
          <w:noProof/>
          <w:lang w:val="bg-BG"/>
        </w:rPr>
        <w:t>.</w:t>
      </w:r>
      <w:r>
        <w:rPr>
          <w:rFonts w:ascii="Times New Roman" w:hAnsi="Times New Roman"/>
          <w:noProof/>
          <w:lang w:val="bg-BG"/>
        </w:rPr>
        <w:t xml:space="preserve"> При така създалите се обстоятелства съществува възможност за лансирането</w:t>
      </w:r>
      <w:r>
        <w:rPr>
          <w:rFonts w:ascii="Times New Roman" w:hAnsi="Times New Roman"/>
          <w:noProof/>
          <w:lang w:val="bg-BG"/>
        </w:rPr>
        <w:t xml:space="preserve"> на конкретни и насочени към бъдещето предложения относно бъдещето на Икономическия и паричен съюз и относно това как бъдещите публични финанси на ЕС могат да помогнат за преодоляването на установените предизвикателства. </w:t>
      </w:r>
    </w:p>
    <w:p w:rsidR="009E0654" w:rsidRDefault="00567D37">
      <w:pPr>
        <w:jc w:val="both"/>
        <w:rPr>
          <w:rFonts w:ascii="Times New Roman" w:hAnsi="Times New Roman"/>
          <w:noProof/>
          <w:lang w:val="bg-BG"/>
        </w:rPr>
      </w:pPr>
      <w:r>
        <w:rPr>
          <w:rFonts w:ascii="Times New Roman" w:hAnsi="Times New Roman"/>
          <w:b/>
          <w:noProof/>
          <w:lang w:val="bg-BG"/>
        </w:rPr>
        <w:t xml:space="preserve">Добавената стойност от ЕС е в центъра на дебата относно европейските публични финанси. </w:t>
      </w:r>
      <w:r>
        <w:rPr>
          <w:rFonts w:ascii="Times New Roman" w:hAnsi="Times New Roman"/>
          <w:noProof/>
          <w:lang w:val="bg-BG"/>
        </w:rPr>
        <w:t>Ресурсите на ЕС следва да се използват за финансирането на европейски обществени блага. Тези блага са от полза за ЕС като цяло и не могат да бъдат осигурени по ефективен</w:t>
      </w:r>
      <w:r>
        <w:rPr>
          <w:rFonts w:ascii="Times New Roman" w:hAnsi="Times New Roman"/>
          <w:noProof/>
          <w:lang w:val="bg-BG"/>
        </w:rPr>
        <w:t xml:space="preserve"> начин от която и да е държава членка, действаща самостоятелно. В съответствие с принципите на субсидиарност и пропорционалност ЕС следва да предприема действия, когато той предлага по-добра стойност при оползотворяването на парите на данъкоплатците в срав</w:t>
      </w:r>
      <w:r>
        <w:rPr>
          <w:rFonts w:ascii="Times New Roman" w:hAnsi="Times New Roman"/>
          <w:noProof/>
          <w:lang w:val="bg-BG"/>
        </w:rPr>
        <w:t>нение с действията, предприети на национално, регионално или местно равнище.</w:t>
      </w:r>
    </w:p>
    <w:p w:rsidR="009E0654" w:rsidRDefault="00567D37">
      <w:pPr>
        <w:jc w:val="both"/>
        <w:rPr>
          <w:rFonts w:ascii="Times New Roman" w:hAnsi="Times New Roman"/>
          <w:noProof/>
          <w:lang w:val="bg-BG"/>
        </w:rPr>
      </w:pPr>
      <w:r>
        <w:rPr>
          <w:rFonts w:ascii="Times New Roman" w:hAnsi="Times New Roman"/>
          <w:b/>
          <w:noProof/>
          <w:lang w:val="bg-BG"/>
        </w:rPr>
        <w:t>Задълбочаването на Икономическия и паричен съюз е от полза както за еврозоната, така и за ЕС като цяло.</w:t>
      </w:r>
      <w:r>
        <w:rPr>
          <w:rFonts w:ascii="Times New Roman" w:hAnsi="Times New Roman"/>
          <w:noProof/>
          <w:lang w:val="bg-BG"/>
        </w:rPr>
        <w:t xml:space="preserve"> По-интегрирана и добре функционираща еврозона ще донесе допълнителна стабил</w:t>
      </w:r>
      <w:r>
        <w:rPr>
          <w:rFonts w:ascii="Times New Roman" w:hAnsi="Times New Roman"/>
          <w:noProof/>
          <w:lang w:val="bg-BG"/>
        </w:rPr>
        <w:t>ност и просперитет за всички в ЕС, като същевременно гарантира, че икономическото влияние на Европа се усеща силно на световната сцена. Новите бюджетни инструменти, представени в настоящото съобщение, имат за цел да отговорят на някои от специфичните потре</w:t>
      </w:r>
      <w:r>
        <w:rPr>
          <w:rFonts w:ascii="Times New Roman" w:hAnsi="Times New Roman"/>
          <w:noProof/>
          <w:lang w:val="bg-BG"/>
        </w:rPr>
        <w:t xml:space="preserve">бности на държавите членки от еврозоната и на тези, които се готвят за присъединяване към еврото, като в същото време се взимат предвид техните по-широки нужди и стремежи в качеството </w:t>
      </w:r>
      <w:r>
        <w:rPr>
          <w:rFonts w:ascii="Times New Roman" w:hAnsi="Times New Roman"/>
          <w:noProof/>
          <w:lang w:val="bg-BG"/>
        </w:rPr>
        <w:lastRenderedPageBreak/>
        <w:t>им на държави — членки на ЕС. По този начин се цели също да се постигнат</w:t>
      </w:r>
      <w:r>
        <w:rPr>
          <w:rFonts w:ascii="Times New Roman" w:hAnsi="Times New Roman"/>
          <w:noProof/>
          <w:lang w:val="bg-BG"/>
        </w:rPr>
        <w:t xml:space="preserve"> максимални синергии между действащите и бъдещите инструменти, които ще бъдат представени от Комисията през май 2018 г. като част от нейните предложения за многогодишната финансова рамка на ЕС за периода след 2020 г.</w:t>
      </w:r>
    </w:p>
    <w:p w:rsidR="009E0654" w:rsidRDefault="009E0654">
      <w:pPr>
        <w:jc w:val="both"/>
        <w:rPr>
          <w:rFonts w:ascii="Times New Roman" w:hAnsi="Times New Roman"/>
          <w:noProof/>
        </w:rPr>
      </w:pPr>
    </w:p>
    <w:p w:rsidR="009E0654" w:rsidRDefault="00567D37">
      <w:pPr>
        <w:pStyle w:val="ListParagraph"/>
        <w:numPr>
          <w:ilvl w:val="0"/>
          <w:numId w:val="34"/>
        </w:numPr>
        <w:ind w:hanging="720"/>
        <w:rPr>
          <w:rFonts w:ascii="Times New Roman" w:hAnsi="Times New Roman" w:cs="Times New Roman"/>
          <w:b/>
          <w:noProof/>
          <w:u w:val="single"/>
          <w:lang w:val="bg-BG"/>
        </w:rPr>
      </w:pPr>
      <w:r>
        <w:rPr>
          <w:rFonts w:ascii="Times New Roman" w:hAnsi="Times New Roman"/>
          <w:b/>
          <w:noProof/>
          <w:u w:val="single"/>
          <w:lang w:val="bg-BG"/>
        </w:rPr>
        <w:t>ПУБЛИЧНИТЕ ФИНАНСИ НА ЕС ДНЕС</w:t>
      </w:r>
    </w:p>
    <w:p w:rsidR="009E0654" w:rsidRDefault="009E0654">
      <w:pPr>
        <w:pStyle w:val="ListParagraph"/>
        <w:ind w:left="0"/>
        <w:jc w:val="both"/>
        <w:rPr>
          <w:rFonts w:ascii="Times New Roman" w:hAnsi="Times New Roman" w:cs="Times New Roman"/>
          <w:noProof/>
          <w:lang w:val="bg-BG"/>
        </w:rPr>
      </w:pPr>
    </w:p>
    <w:p w:rsidR="009E0654" w:rsidRDefault="00567D37">
      <w:pPr>
        <w:jc w:val="both"/>
        <w:rPr>
          <w:rFonts w:ascii="Times New Roman" w:hAnsi="Times New Roman"/>
          <w:noProof/>
          <w:lang w:val="bg-BG"/>
        </w:rPr>
      </w:pPr>
      <w:r>
        <w:rPr>
          <w:rFonts w:ascii="Times New Roman" w:hAnsi="Times New Roman"/>
          <w:b/>
          <w:noProof/>
          <w:lang w:val="bg-BG"/>
        </w:rPr>
        <w:t>Публичните финанси на ЕС включват бюджета на ЕС и няколко други механизми и финансови инструменти на ЕС и еврозоната.</w:t>
      </w:r>
      <w:r>
        <w:rPr>
          <w:rFonts w:ascii="Times New Roman" w:hAnsi="Times New Roman"/>
          <w:noProof/>
          <w:lang w:val="bg-BG"/>
        </w:rPr>
        <w:t xml:space="preserve"> Те допринасят за икономическото и социалното развитие на държавите членки и подкрепят съвместните приоритети на равнище ЕС (за общ преглед</w:t>
      </w:r>
      <w:r>
        <w:rPr>
          <w:rFonts w:ascii="Times New Roman" w:hAnsi="Times New Roman"/>
          <w:noProof/>
          <w:lang w:val="bg-BG"/>
        </w:rPr>
        <w:t xml:space="preserve">, вж. допълнението). </w:t>
      </w:r>
    </w:p>
    <w:p w:rsidR="009E0654" w:rsidRDefault="00567D37">
      <w:pPr>
        <w:jc w:val="both"/>
        <w:rPr>
          <w:rFonts w:ascii="Times New Roman" w:hAnsi="Times New Roman"/>
          <w:noProof/>
          <w:lang w:val="bg-BG"/>
        </w:rPr>
      </w:pPr>
      <w:r>
        <w:rPr>
          <w:rFonts w:ascii="Times New Roman" w:hAnsi="Times New Roman"/>
          <w:b/>
          <w:noProof/>
          <w:lang w:val="bg-BG"/>
        </w:rPr>
        <w:t>Задълбочаването на Икономическия и паричен съюз е един от тези общи приоритети.</w:t>
      </w:r>
      <w:r>
        <w:rPr>
          <w:rFonts w:ascii="Times New Roman" w:hAnsi="Times New Roman"/>
          <w:noProof/>
          <w:lang w:val="bg-BG"/>
        </w:rPr>
        <w:t xml:space="preserve"> За това са необходими решителни действия от отделни държави членки, както и подходяща подкрепа от бюджетните и координационните инструменти ЕС. Настоящото</w:t>
      </w:r>
      <w:r>
        <w:rPr>
          <w:rFonts w:ascii="Times New Roman" w:hAnsi="Times New Roman"/>
          <w:noProof/>
          <w:lang w:val="bg-BG"/>
        </w:rPr>
        <w:t xml:space="preserve"> съобщение представя предложения и идеи за това как по-добре да се използва бюджетът на ЕС като начин за укрепване на устойчивостта на нашите взаимосвързани икономики. Напредъкът, постигнат от държавите в еврозоната и извън нея, при прилагането на реформит</w:t>
      </w:r>
      <w:r>
        <w:rPr>
          <w:rFonts w:ascii="Times New Roman" w:hAnsi="Times New Roman"/>
          <w:noProof/>
          <w:lang w:val="bg-BG"/>
        </w:rPr>
        <w:t>е и възходящото сближаване, ще бъде от полза за всички.</w:t>
      </w:r>
    </w:p>
    <w:p w:rsidR="009E0654" w:rsidRDefault="00567D37">
      <w:pPr>
        <w:jc w:val="both"/>
        <w:rPr>
          <w:rFonts w:ascii="Times New Roman" w:hAnsi="Times New Roman"/>
          <w:noProof/>
          <w:lang w:val="bg-BG"/>
        </w:rPr>
      </w:pPr>
      <w:r>
        <w:rPr>
          <w:rFonts w:ascii="Times New Roman" w:hAnsi="Times New Roman"/>
          <w:b/>
          <w:noProof/>
          <w:lang w:val="bg-BG"/>
        </w:rPr>
        <w:t xml:space="preserve">Бюджетът на ЕС вече разполага с пълен набор от инструменти със значително въздействие, като се започне с безвъзмездни средства и се приключи с финансови инструменти, но остава сравнително малък. </w:t>
      </w:r>
      <w:r>
        <w:rPr>
          <w:rFonts w:ascii="Times New Roman" w:hAnsi="Times New Roman"/>
          <w:noProof/>
          <w:lang w:val="bg-BG"/>
        </w:rPr>
        <w:t>Бюдже</w:t>
      </w:r>
      <w:r>
        <w:rPr>
          <w:rFonts w:ascii="Times New Roman" w:hAnsi="Times New Roman"/>
          <w:noProof/>
          <w:lang w:val="bg-BG"/>
        </w:rPr>
        <w:t>тът на ЕС представлява около 1 % от брутния вътрешен продукт на ЕС, поради което е с ограничен размер в сравнение с националните бюджети и освен това се ограничава допълнително от необходимостта да бъде уравновесен на годишна основа. Въпреки това инструмен</w:t>
      </w:r>
      <w:r>
        <w:rPr>
          <w:rFonts w:ascii="Times New Roman" w:hAnsi="Times New Roman"/>
          <w:noProof/>
          <w:lang w:val="bg-BG"/>
        </w:rPr>
        <w:t>тите на ЕС  имат значително стратегическо и икономическо въздействие в много държави членки и сектори. Понастоящем бюджетът на ЕС постига това главно чрез отпускането на безвъзмездни средства на икономическите субекти или публичните органи, насочвани пряко</w:t>
      </w:r>
      <w:r>
        <w:rPr>
          <w:rFonts w:ascii="Times New Roman" w:hAnsi="Times New Roman"/>
          <w:noProof/>
          <w:lang w:val="bg-BG"/>
        </w:rPr>
        <w:t xml:space="preserve"> от европейските институции или съвместно с държавите членки. По-специално, в някои държави членки, европейските структурни и инвестиционни фондове през последните години представляваха над половината от общия размер на публичните инвестиции, допринасяйки </w:t>
      </w:r>
      <w:r>
        <w:rPr>
          <w:rFonts w:ascii="Times New Roman" w:hAnsi="Times New Roman"/>
          <w:noProof/>
          <w:lang w:val="bg-BG"/>
        </w:rPr>
        <w:t>значително към процеса на икономическо и социално догонване от региони и страни в цяла Европа. Освен това, като се има предвид, че подкрепата от него се отпуска за няколко години, с течение на времето бюджетът на ЕС оказва също известно стабилизиращо възде</w:t>
      </w:r>
      <w:r>
        <w:rPr>
          <w:rFonts w:ascii="Times New Roman" w:hAnsi="Times New Roman"/>
          <w:noProof/>
          <w:lang w:val="bg-BG"/>
        </w:rPr>
        <w:t>йствие върху равнището на публичните инвестиции  и, както се вижда от подкрепата, оказана на гръцката икономика, той може да играе стабилизираща роля в случай на икономически затруднения</w:t>
      </w:r>
      <w:r>
        <w:rPr>
          <w:rStyle w:val="FootnoteReference"/>
          <w:rFonts w:ascii="Times New Roman" w:hAnsi="Times New Roman"/>
          <w:noProof/>
          <w:lang w:val="bg-BG"/>
        </w:rPr>
        <w:footnoteReference w:id="7"/>
      </w:r>
      <w:r>
        <w:rPr>
          <w:noProof/>
          <w:lang w:val="bg-BG"/>
        </w:rPr>
        <w:t>.</w:t>
      </w:r>
      <w:r>
        <w:rPr>
          <w:rFonts w:ascii="Times New Roman" w:hAnsi="Times New Roman"/>
          <w:noProof/>
          <w:lang w:val="bg-BG"/>
        </w:rPr>
        <w:t xml:space="preserve"> Макар и ограничени по размер, налице са също така редица инструмент</w:t>
      </w:r>
      <w:r>
        <w:rPr>
          <w:rFonts w:ascii="Times New Roman" w:hAnsi="Times New Roman"/>
          <w:noProof/>
          <w:lang w:val="bg-BG"/>
        </w:rPr>
        <w:t xml:space="preserve">и на равнище ЕС, които могат да </w:t>
      </w:r>
      <w:r>
        <w:rPr>
          <w:rFonts w:ascii="Times New Roman" w:hAnsi="Times New Roman"/>
          <w:noProof/>
          <w:lang w:val="bg-BG"/>
        </w:rPr>
        <w:lastRenderedPageBreak/>
        <w:t>окажат конкретна помощ за смекчаване на икономическите сътресения на национално или местно равнище</w:t>
      </w:r>
      <w:r>
        <w:rPr>
          <w:rStyle w:val="FootnoteReference"/>
          <w:rFonts w:ascii="Times New Roman" w:hAnsi="Times New Roman"/>
          <w:noProof/>
          <w:lang w:val="bg-BG"/>
        </w:rPr>
        <w:footnoteReference w:id="8"/>
      </w:r>
      <w:r>
        <w:rPr>
          <w:noProof/>
          <w:lang w:val="bg-BG"/>
        </w:rPr>
        <w:t>.</w:t>
      </w:r>
      <w:r>
        <w:rPr>
          <w:rFonts w:ascii="Times New Roman" w:hAnsi="Times New Roman"/>
          <w:noProof/>
          <w:lang w:val="bg-BG"/>
        </w:rPr>
        <w:t xml:space="preserve"> </w:t>
      </w:r>
    </w:p>
    <w:p w:rsidR="009E0654" w:rsidRDefault="00567D37">
      <w:pPr>
        <w:jc w:val="both"/>
        <w:rPr>
          <w:rFonts w:ascii="Times New Roman" w:hAnsi="Times New Roman"/>
          <w:noProof/>
          <w:lang w:val="bg-BG"/>
        </w:rPr>
      </w:pPr>
      <w:r>
        <w:rPr>
          <w:rFonts w:ascii="Times New Roman" w:hAnsi="Times New Roman"/>
          <w:b/>
          <w:noProof/>
          <w:lang w:val="bg-BG"/>
        </w:rPr>
        <w:t>От началото на мандата на настоящата Комисия европейските структурни и инвестиционни фондове и други имащи отношение прогр</w:t>
      </w:r>
      <w:r>
        <w:rPr>
          <w:rFonts w:ascii="Times New Roman" w:hAnsi="Times New Roman"/>
          <w:b/>
          <w:noProof/>
          <w:lang w:val="bg-BG"/>
        </w:rPr>
        <w:t xml:space="preserve">ами бяха допълнени от </w:t>
      </w:r>
      <w:r>
        <w:rPr>
          <w:rStyle w:val="FootnoteCharacters"/>
          <w:rFonts w:ascii="Times New Roman" w:hAnsi="Times New Roman"/>
          <w:b/>
          <w:noProof/>
          <w:lang w:val="bg-BG"/>
        </w:rPr>
        <w:t>Европейския фонд за стратегически инвестиции.</w:t>
      </w:r>
      <w:r>
        <w:rPr>
          <w:rStyle w:val="FootnoteCharacters"/>
          <w:rFonts w:ascii="Times New Roman" w:hAnsi="Times New Roman"/>
          <w:noProof/>
          <w:lang w:val="bg-BG"/>
        </w:rPr>
        <w:t xml:space="preserve"> Т.нар. „План Юнкер“ подкрепи частни инвестиции в цяла Европа и предостави гъвкав начин за увеличаване на въздействието на ограничените публични средства за привличане на частни инвестиции</w:t>
      </w:r>
      <w:r>
        <w:rPr>
          <w:rStyle w:val="FootnoteReference"/>
          <w:rFonts w:ascii="Times New Roman" w:hAnsi="Times New Roman"/>
          <w:noProof/>
          <w:lang w:val="bg-BG"/>
        </w:rPr>
        <w:footnoteReference w:id="9"/>
      </w:r>
      <w:r>
        <w:rPr>
          <w:noProof/>
          <w:lang w:val="bg-BG"/>
        </w:rPr>
        <w:t>.</w:t>
      </w:r>
    </w:p>
    <w:p w:rsidR="009E0654" w:rsidRDefault="00567D37">
      <w:pPr>
        <w:jc w:val="both"/>
        <w:rPr>
          <w:rFonts w:ascii="Times New Roman" w:hAnsi="Times New Roman"/>
          <w:b/>
          <w:noProof/>
          <w:lang w:val="bg-BG"/>
        </w:rPr>
      </w:pPr>
      <w:r>
        <w:rPr>
          <w:rFonts w:ascii="Times New Roman" w:hAnsi="Times New Roman"/>
          <w:b/>
          <w:noProof/>
          <w:lang w:val="bg-BG"/>
        </w:rPr>
        <w:t>В много специфични случаи ЕС се оправомощава да взема и отпуска заеми.</w:t>
      </w:r>
      <w:r>
        <w:rPr>
          <w:rFonts w:ascii="Times New Roman" w:hAnsi="Times New Roman"/>
          <w:noProof/>
          <w:lang w:val="bg-BG"/>
        </w:rPr>
        <w:t xml:space="preserve"> Такъв е случаят например при управлението на заемите, предоставяни по механизма за подкрепа на платежния баланс</w:t>
      </w:r>
      <w:r>
        <w:rPr>
          <w:rFonts w:ascii="Times New Roman" w:hAnsi="Times New Roman"/>
          <w:noProof/>
          <w:vertAlign w:val="superscript"/>
          <w:lang w:val="bg-BG"/>
        </w:rPr>
        <w:footnoteReference w:id="10"/>
      </w:r>
      <w:r>
        <w:rPr>
          <w:rFonts w:ascii="Times New Roman" w:hAnsi="Times New Roman"/>
          <w:noProof/>
          <w:lang w:val="bg-BG"/>
        </w:rPr>
        <w:t xml:space="preserve"> за държавите членки извън еврозоната, ако те изпитват затруднения със </w:t>
      </w:r>
      <w:r>
        <w:rPr>
          <w:rFonts w:ascii="Times New Roman" w:hAnsi="Times New Roman"/>
          <w:noProof/>
          <w:lang w:val="bg-BG"/>
        </w:rPr>
        <w:t>своя платежен баланс. Това важи и за заемите, предоставени по Европейския механизъм за финансово стабилизиране</w:t>
      </w:r>
      <w:r>
        <w:rPr>
          <w:rStyle w:val="FootnoteReference"/>
          <w:rFonts w:ascii="Times New Roman" w:hAnsi="Times New Roman"/>
          <w:noProof/>
          <w:lang w:val="bg-BG"/>
        </w:rPr>
        <w:footnoteReference w:id="11"/>
      </w:r>
      <w:r>
        <w:rPr>
          <w:noProof/>
          <w:lang w:val="bg-BG"/>
        </w:rPr>
        <w:t>.</w:t>
      </w:r>
      <w:r>
        <w:rPr>
          <w:rFonts w:ascii="Times New Roman" w:hAnsi="Times New Roman"/>
          <w:noProof/>
          <w:lang w:val="bg-BG"/>
        </w:rPr>
        <w:t xml:space="preserve"> Тъй като събраните средства и съответните заеми са операции </w:t>
      </w:r>
      <w:r>
        <w:rPr>
          <w:rFonts w:ascii="Times New Roman" w:hAnsi="Times New Roman"/>
          <w:i/>
          <w:noProof/>
          <w:lang w:val="bg-BG"/>
        </w:rPr>
        <w:t>„бек-ту-бек“</w:t>
      </w:r>
      <w:r>
        <w:rPr>
          <w:rFonts w:ascii="Times New Roman" w:hAnsi="Times New Roman"/>
          <w:noProof/>
          <w:lang w:val="bg-BG"/>
        </w:rPr>
        <w:t xml:space="preserve">, те нямат пряко отражение върху бюджета на ЕС, стига държавите членки да изпълняват задълженията си. </w:t>
      </w:r>
    </w:p>
    <w:p w:rsidR="009E0654" w:rsidRDefault="00567D37">
      <w:pPr>
        <w:jc w:val="both"/>
        <w:rPr>
          <w:rFonts w:ascii="Times New Roman" w:hAnsi="Times New Roman"/>
          <w:b/>
          <w:noProof/>
          <w:lang w:val="bg-BG"/>
        </w:rPr>
      </w:pPr>
      <w:r>
        <w:rPr>
          <w:rFonts w:ascii="Times New Roman" w:hAnsi="Times New Roman"/>
          <w:b/>
          <w:noProof/>
          <w:lang w:val="bg-BG"/>
        </w:rPr>
        <w:t xml:space="preserve">В допълнение към безвъзмездните средства и заемите, подкрепата на ЕС все по-често е и под формата на техническа помощ. </w:t>
      </w:r>
      <w:r>
        <w:rPr>
          <w:rFonts w:ascii="Times New Roman" w:hAnsi="Times New Roman"/>
          <w:noProof/>
          <w:lang w:val="bg-BG"/>
        </w:rPr>
        <w:t>След като през 2015 г. бе създаден</w:t>
      </w:r>
      <w:r>
        <w:rPr>
          <w:rFonts w:ascii="Times New Roman" w:hAnsi="Times New Roman"/>
          <w:noProof/>
          <w:lang w:val="bg-BG"/>
        </w:rPr>
        <w:t>а Службата за подкрепа на структурните реформи, Комисията разшири своята техническа помощ и подпомага държавите членки, по тяхно искане, да извършват реформи във възлови области на политиката и да укрепват своите публични администрации.</w:t>
      </w:r>
    </w:p>
    <w:p w:rsidR="009E0654" w:rsidRDefault="00567D37">
      <w:pPr>
        <w:jc w:val="both"/>
        <w:rPr>
          <w:rFonts w:ascii="Times New Roman" w:hAnsi="Times New Roman"/>
          <w:noProof/>
          <w:lang w:val="bg-BG"/>
        </w:rPr>
      </w:pPr>
      <w:r>
        <w:rPr>
          <w:rFonts w:ascii="Times New Roman" w:hAnsi="Times New Roman"/>
          <w:b/>
          <w:noProof/>
          <w:lang w:val="bg-BG"/>
        </w:rPr>
        <w:t>Действията, подпома</w:t>
      </w:r>
      <w:r>
        <w:rPr>
          <w:rFonts w:ascii="Times New Roman" w:hAnsi="Times New Roman"/>
          <w:b/>
          <w:noProof/>
          <w:lang w:val="bg-BG"/>
        </w:rPr>
        <w:t>гани пряко от бюджета на ЕС, се допълват от редица инструменти и органи на равнище ЕС или еврозона.</w:t>
      </w:r>
      <w:r>
        <w:rPr>
          <w:rFonts w:ascii="Times New Roman" w:hAnsi="Times New Roman"/>
          <w:noProof/>
          <w:lang w:val="bg-BG"/>
        </w:rPr>
        <w:t xml:space="preserve"> Някои от тях функционират в институционалната рамка на ЕС, но извън бюджета на ЕС, като например Европейската инвестиционна банка. Други са извън правната у</w:t>
      </w:r>
      <w:r>
        <w:rPr>
          <w:rFonts w:ascii="Times New Roman" w:hAnsi="Times New Roman"/>
          <w:noProof/>
          <w:lang w:val="bg-BG"/>
        </w:rPr>
        <w:t>редба на Съюза, като Европейският механизъм за стабилност. Докато Европейската инвестиционна банка подкрепя проекти, които допринасят за създаването на работни места и растеж в Европа и извън нея, Европейският механизъм за стабилност предоставя финансова п</w:t>
      </w:r>
      <w:r>
        <w:rPr>
          <w:rFonts w:ascii="Times New Roman" w:hAnsi="Times New Roman"/>
          <w:noProof/>
          <w:lang w:val="bg-BG"/>
        </w:rPr>
        <w:t xml:space="preserve">омощ на държавите членки от еврозоната, които изпитват сериозни финансови затруднения. </w:t>
      </w:r>
    </w:p>
    <w:p w:rsidR="009E0654" w:rsidRDefault="00567D37">
      <w:pPr>
        <w:spacing w:after="0"/>
        <w:jc w:val="both"/>
        <w:rPr>
          <w:rFonts w:ascii="Times New Roman" w:hAnsi="Times New Roman"/>
          <w:i/>
          <w:noProof/>
          <w:lang w:val="bg-BG"/>
        </w:rPr>
      </w:pPr>
      <w:r>
        <w:rPr>
          <w:rFonts w:ascii="Times New Roman" w:hAnsi="Times New Roman"/>
          <w:b/>
          <w:noProof/>
          <w:lang w:val="bg-BG"/>
        </w:rPr>
        <w:t>Средства на равнище ЕС и финансови инструменти днес</w:t>
      </w:r>
    </w:p>
    <w:p w:rsidR="009E0654" w:rsidRDefault="00567D37">
      <w:pPr>
        <w:spacing w:after="320"/>
        <w:jc w:val="center"/>
        <w:rPr>
          <w:rFonts w:ascii="Times New Roman" w:hAnsi="Times New Roman"/>
          <w:noProof/>
          <w:sz w:val="20"/>
          <w:szCs w:val="20"/>
          <w:lang w:val="bg-BG"/>
        </w:rPr>
      </w:pPr>
      <w:r>
        <w:rPr>
          <w:noProof/>
          <w:lang w:eastAsia="en-GB"/>
        </w:rPr>
        <w:drawing>
          <wp:inline distT="0" distB="0" distL="0" distR="0">
            <wp:extent cx="5972810" cy="267081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72810" cy="2670810"/>
                    </a:xfrm>
                    <a:prstGeom prst="rect">
                      <a:avLst/>
                    </a:prstGeom>
                  </pic:spPr>
                </pic:pic>
              </a:graphicData>
            </a:graphic>
          </wp:inline>
        </w:drawing>
      </w:r>
      <w:r>
        <w:rPr>
          <w:rFonts w:ascii="Times New Roman" w:hAnsi="Times New Roman"/>
          <w:i/>
          <w:noProof/>
          <w:lang w:val="bg-BG"/>
        </w:rPr>
        <w:br/>
        <w:t xml:space="preserve">Източник: Европейска комисия </w:t>
      </w:r>
      <w:r>
        <w:rPr>
          <w:rFonts w:ascii="Times New Roman" w:hAnsi="Times New Roman"/>
          <w:i/>
          <w:noProof/>
          <w:sz w:val="20"/>
          <w:lang w:val="bg-BG"/>
        </w:rPr>
        <w:t>ЕМФС: Европейски механизъм за финансово стабилизиране ПБ: Платежен баланс</w:t>
      </w:r>
    </w:p>
    <w:p w:rsidR="009E0654" w:rsidRDefault="00567D37">
      <w:pPr>
        <w:jc w:val="both"/>
        <w:rPr>
          <w:rFonts w:ascii="Times New Roman" w:hAnsi="Times New Roman"/>
          <w:noProof/>
          <w:lang w:val="bg-BG"/>
        </w:rPr>
      </w:pPr>
      <w:r>
        <w:rPr>
          <w:rFonts w:ascii="Times New Roman" w:hAnsi="Times New Roman"/>
          <w:b/>
          <w:noProof/>
          <w:lang w:val="bg-BG"/>
        </w:rPr>
        <w:t>Макар бюдже</w:t>
      </w:r>
      <w:r>
        <w:rPr>
          <w:rFonts w:ascii="Times New Roman" w:hAnsi="Times New Roman"/>
          <w:b/>
          <w:noProof/>
          <w:lang w:val="bg-BG"/>
        </w:rPr>
        <w:t>тът на ЕС винаги да е насърчавал възходящото социално и икономическо сближаване, а капацитетът за отпускана на заеми, наличен на равнище ЕС, да се увеличил през последните години, за да се реагира при екстремни обстоятелства, до момента макроикономическото</w:t>
      </w:r>
      <w:r>
        <w:rPr>
          <w:rFonts w:ascii="Times New Roman" w:hAnsi="Times New Roman"/>
          <w:b/>
          <w:noProof/>
          <w:lang w:val="bg-BG"/>
        </w:rPr>
        <w:t xml:space="preserve"> стабилизиране не е било изрична цел за бюджета на ЕС. </w:t>
      </w:r>
      <w:r>
        <w:rPr>
          <w:rFonts w:ascii="Times New Roman" w:hAnsi="Times New Roman"/>
          <w:noProof/>
          <w:lang w:val="bg-BG"/>
        </w:rPr>
        <w:t>Опитът от годините на кризата също така показа, че структурата и обхватът на публичните финанси на ЕС все още не отговарят напълно на специфичните нужди на икономическия и паричен съюз — нито за държав</w:t>
      </w:r>
      <w:r>
        <w:rPr>
          <w:rFonts w:ascii="Times New Roman" w:hAnsi="Times New Roman"/>
          <w:noProof/>
          <w:lang w:val="bg-BG"/>
        </w:rPr>
        <w:t xml:space="preserve">ите членки от еврозоната, нито за държавите членки, които се готвят за присъединяване към еврото. </w:t>
      </w:r>
    </w:p>
    <w:p w:rsidR="009E0654" w:rsidRDefault="00567D37">
      <w:pPr>
        <w:jc w:val="both"/>
        <w:rPr>
          <w:rFonts w:ascii="Times New Roman" w:hAnsi="Times New Roman"/>
          <w:noProof/>
          <w:lang w:val="bg-BG"/>
        </w:rPr>
      </w:pPr>
      <w:r>
        <w:rPr>
          <w:rFonts w:ascii="Times New Roman" w:hAnsi="Times New Roman"/>
          <w:b/>
          <w:noProof/>
          <w:lang w:val="bg-BG"/>
        </w:rPr>
        <w:t xml:space="preserve">Първата реакция на тези предизвикателства не трябва непременно да е финансова. </w:t>
      </w:r>
      <w:r>
        <w:rPr>
          <w:rFonts w:ascii="Times New Roman" w:hAnsi="Times New Roman"/>
          <w:noProof/>
          <w:lang w:val="bg-BG"/>
        </w:rPr>
        <w:t>Налице е значителен напредък и трябва да се направи повече за подобряване на р</w:t>
      </w:r>
      <w:r>
        <w:rPr>
          <w:rFonts w:ascii="Times New Roman" w:hAnsi="Times New Roman"/>
          <w:noProof/>
          <w:lang w:val="bg-BG"/>
        </w:rPr>
        <w:t>егулаторната рамка и рамката на политиката както на равнище ЕС, така и на национално равнище. В днешния пакет е включена пътна карта за бъдещата дейност</w:t>
      </w:r>
      <w:r>
        <w:rPr>
          <w:rStyle w:val="FootnoteReference"/>
          <w:rFonts w:ascii="Times New Roman" w:hAnsi="Times New Roman"/>
          <w:noProof/>
          <w:lang w:val="bg-BG"/>
        </w:rPr>
        <w:footnoteReference w:id="12"/>
      </w:r>
      <w:r>
        <w:rPr>
          <w:noProof/>
          <w:lang w:val="bg-BG"/>
        </w:rPr>
        <w:t>.</w:t>
      </w:r>
      <w:r>
        <w:rPr>
          <w:rFonts w:ascii="Times New Roman" w:hAnsi="Times New Roman"/>
          <w:noProof/>
          <w:lang w:val="bg-BG"/>
        </w:rPr>
        <w:t xml:space="preserve"> </w:t>
      </w:r>
    </w:p>
    <w:p w:rsidR="009E0654" w:rsidRDefault="00567D37">
      <w:pPr>
        <w:jc w:val="both"/>
        <w:rPr>
          <w:rFonts w:ascii="Times New Roman" w:hAnsi="Times New Roman"/>
          <w:noProof/>
          <w:lang w:val="bg-BG"/>
        </w:rPr>
      </w:pPr>
      <w:r>
        <w:rPr>
          <w:rFonts w:ascii="Times New Roman" w:hAnsi="Times New Roman"/>
          <w:noProof/>
          <w:lang w:val="bg-BG"/>
        </w:rPr>
        <w:t>Въпреки това според изводите, извлечени през годините, три взаимосвързани и ясно установени предизви</w:t>
      </w:r>
      <w:r>
        <w:rPr>
          <w:rFonts w:ascii="Times New Roman" w:hAnsi="Times New Roman"/>
          <w:noProof/>
          <w:lang w:val="bg-BG"/>
        </w:rPr>
        <w:t xml:space="preserve">кателства трябва да бъдат преодолени по-добре чрез публичните финанси на ЕС: </w:t>
      </w:r>
    </w:p>
    <w:p w:rsidR="009E0654" w:rsidRDefault="00567D37">
      <w:pPr>
        <w:ind w:left="426" w:hanging="426"/>
        <w:jc w:val="both"/>
        <w:rPr>
          <w:rFonts w:ascii="Times New Roman" w:hAnsi="Times New Roman"/>
          <w:noProof/>
          <w:lang w:val="bg-BG"/>
        </w:rPr>
      </w:pPr>
      <w:r>
        <w:rPr>
          <w:rFonts w:ascii="Times New Roman" w:hAnsi="Times New Roman"/>
          <w:b/>
          <w:noProof/>
          <w:lang w:val="bg-BG"/>
        </w:rPr>
        <w:t>1)</w:t>
      </w:r>
      <w:r>
        <w:rPr>
          <w:noProof/>
          <w:lang w:val="bg-BG"/>
        </w:rPr>
        <w:tab/>
      </w:r>
      <w:r>
        <w:rPr>
          <w:rFonts w:ascii="Times New Roman" w:hAnsi="Times New Roman"/>
          <w:b/>
          <w:noProof/>
          <w:lang w:val="bg-BG"/>
        </w:rPr>
        <w:t>Да се насърчават и подкрепят структурните реформи в държавите членки с цел постигане на по-голяма устойчивост на икономическите структури и по-голямо сближаване на резултатите</w:t>
      </w:r>
      <w:r>
        <w:rPr>
          <w:rFonts w:ascii="Times New Roman" w:hAnsi="Times New Roman"/>
          <w:b/>
          <w:noProof/>
          <w:lang w:val="bg-BG"/>
        </w:rPr>
        <w:t xml:space="preserve">. </w:t>
      </w:r>
      <w:r>
        <w:rPr>
          <w:rFonts w:ascii="Times New Roman" w:hAnsi="Times New Roman"/>
          <w:noProof/>
          <w:lang w:val="bg-BG"/>
        </w:rPr>
        <w:t>Именно такъв е случаят за държавите, които имат обща валута, но и за държавите членки, които се готвят за присъединяване към еврото, тъй като устойчивите структури са от съществено значение за безпроблемното участие в еврозоната. Годините на криза ясно п</w:t>
      </w:r>
      <w:r>
        <w:rPr>
          <w:rFonts w:ascii="Times New Roman" w:hAnsi="Times New Roman"/>
          <w:noProof/>
          <w:lang w:val="bg-BG"/>
        </w:rPr>
        <w:t>оказаха колко важно е икономическите и социалните структури да са съвременни  и способни да реагират бързо на сътресения, за да се избегне задълбочаването на икономическите или социалните последици. Те имаха също значително въздействие, изострено в някои ч</w:t>
      </w:r>
      <w:r>
        <w:rPr>
          <w:rFonts w:ascii="Times New Roman" w:hAnsi="Times New Roman"/>
          <w:noProof/>
          <w:lang w:val="bg-BG"/>
        </w:rPr>
        <w:t>асти на Европа, по отношение на икономическия растеж, безработицата, инвестициите и спасяванията на банки. Едва днес, почти десет години след началото на кризата, са налице признаци за възобновяване на дългосрочния процес на сближаване на жизнените стандар</w:t>
      </w:r>
      <w:r>
        <w:rPr>
          <w:rFonts w:ascii="Times New Roman" w:hAnsi="Times New Roman"/>
          <w:noProof/>
          <w:lang w:val="bg-BG"/>
        </w:rPr>
        <w:t>ти.</w:t>
      </w:r>
    </w:p>
    <w:p w:rsidR="009E0654" w:rsidRDefault="00567D37">
      <w:pPr>
        <w:ind w:left="426" w:hanging="426"/>
        <w:jc w:val="both"/>
        <w:rPr>
          <w:rFonts w:ascii="Times New Roman" w:hAnsi="Times New Roman"/>
          <w:noProof/>
          <w:lang w:val="bg-BG"/>
        </w:rPr>
      </w:pPr>
      <w:r>
        <w:rPr>
          <w:rFonts w:ascii="Times New Roman" w:hAnsi="Times New Roman"/>
          <w:b/>
          <w:noProof/>
          <w:lang w:val="bg-BG"/>
        </w:rPr>
        <w:t>2)</w:t>
      </w:r>
      <w:r>
        <w:rPr>
          <w:noProof/>
          <w:lang w:val="bg-BG"/>
        </w:rPr>
        <w:tab/>
      </w:r>
      <w:r>
        <w:rPr>
          <w:rFonts w:ascii="Times New Roman" w:hAnsi="Times New Roman"/>
          <w:b/>
          <w:noProof/>
          <w:lang w:val="bg-BG"/>
        </w:rPr>
        <w:t>Да се подпомагат държавите членки от еврозоната да реагират по-добре на бързо променящите се икономически обстоятелства и да стабилизират своите икономики в случай на големи асиметрични сътресения.</w:t>
      </w:r>
      <w:r>
        <w:rPr>
          <w:rFonts w:ascii="Times New Roman" w:hAnsi="Times New Roman"/>
          <w:noProof/>
          <w:lang w:val="bg-BG"/>
        </w:rPr>
        <w:t xml:space="preserve"> В резултат на уеднаквяването на паричната политика </w:t>
      </w:r>
      <w:r>
        <w:rPr>
          <w:rFonts w:ascii="Times New Roman" w:hAnsi="Times New Roman"/>
          <w:noProof/>
          <w:lang w:val="bg-BG"/>
        </w:rPr>
        <w:t>в зона с единна парична единица, инструментите на макроикономическата политика, с които разполагат участващите държави членки, вече не са същите. Въпреки че всяка държава е различна и големината и структурата на икономиката са от значение за вероятността з</w:t>
      </w:r>
      <w:r>
        <w:rPr>
          <w:rFonts w:ascii="Times New Roman" w:hAnsi="Times New Roman"/>
          <w:noProof/>
          <w:lang w:val="bg-BG"/>
        </w:rPr>
        <w:t xml:space="preserve">а излагане на сътресения, кризата разкри ограниченията на средствата, налични за отделните държави членки от еврозоната, да поемат въздействието на големи асиметрични сътресения, като някои от тях загубиха достъпа до пазарите, от които да се финансират. В </w:t>
      </w:r>
      <w:r>
        <w:rPr>
          <w:rFonts w:ascii="Times New Roman" w:hAnsi="Times New Roman"/>
          <w:noProof/>
          <w:lang w:val="bg-BG"/>
        </w:rPr>
        <w:t>някои случаи това доведе до продължителни периоди на рецесия и разпространяване на негативни ефекти към други държави членки.</w:t>
      </w:r>
    </w:p>
    <w:p w:rsidR="009E0654" w:rsidRDefault="00567D37">
      <w:pPr>
        <w:spacing w:after="240"/>
        <w:ind w:left="426" w:hanging="426"/>
        <w:jc w:val="both"/>
        <w:rPr>
          <w:rFonts w:ascii="Times New Roman" w:hAnsi="Times New Roman"/>
          <w:noProof/>
          <w:lang w:val="bg-BG"/>
        </w:rPr>
      </w:pPr>
      <w:r>
        <w:rPr>
          <w:rFonts w:ascii="Times New Roman" w:hAnsi="Times New Roman"/>
          <w:b/>
          <w:noProof/>
          <w:lang w:val="bg-BG"/>
        </w:rPr>
        <w:t>3)</w:t>
      </w:r>
      <w:r>
        <w:rPr>
          <w:noProof/>
          <w:lang w:val="bg-BG"/>
        </w:rPr>
        <w:tab/>
      </w:r>
      <w:r>
        <w:rPr>
          <w:rFonts w:ascii="Times New Roman" w:hAnsi="Times New Roman"/>
          <w:b/>
          <w:noProof/>
          <w:lang w:val="bg-BG"/>
        </w:rPr>
        <w:t>Да се прекъсне връзката между държавния дълг и състоянието на банките, да се намалят системните рискове и да се укрепи колектив</w:t>
      </w:r>
      <w:r>
        <w:rPr>
          <w:rFonts w:ascii="Times New Roman" w:hAnsi="Times New Roman"/>
          <w:b/>
          <w:noProof/>
          <w:lang w:val="bg-BG"/>
        </w:rPr>
        <w:t>ната способност за реакция при вероятна несъстоятелност на  големи банки</w:t>
      </w:r>
      <w:r>
        <w:rPr>
          <w:noProof/>
          <w:lang w:val="bg-BG"/>
        </w:rPr>
        <w:t xml:space="preserve">, </w:t>
      </w:r>
      <w:r>
        <w:rPr>
          <w:rFonts w:ascii="Times New Roman" w:hAnsi="Times New Roman"/>
          <w:noProof/>
          <w:lang w:val="bg-BG"/>
        </w:rPr>
        <w:t>както</w:t>
      </w:r>
      <w:r>
        <w:rPr>
          <w:noProof/>
          <w:lang w:val="bg-BG"/>
        </w:rPr>
        <w:t xml:space="preserve"> </w:t>
      </w:r>
      <w:r>
        <w:rPr>
          <w:rFonts w:ascii="Times New Roman" w:hAnsi="Times New Roman"/>
          <w:noProof/>
          <w:lang w:val="bg-BG"/>
        </w:rPr>
        <w:t>и да се предотврати верижен ефект</w:t>
      </w:r>
      <w:r>
        <w:rPr>
          <w:noProof/>
          <w:lang w:val="bg-BG"/>
        </w:rPr>
        <w:t>.</w:t>
      </w:r>
      <w:r>
        <w:rPr>
          <w:rFonts w:ascii="Times New Roman" w:hAnsi="Times New Roman"/>
          <w:noProof/>
          <w:lang w:val="bg-BG"/>
        </w:rPr>
        <w:t xml:space="preserve"> Още през 2013 г. беше постигнато принципно съгласие за предпазен механизъм, който да укрепи капацитета на Единния фонд за преструктуриране да</w:t>
      </w:r>
      <w:r>
        <w:rPr>
          <w:rFonts w:ascii="Times New Roman" w:hAnsi="Times New Roman"/>
          <w:noProof/>
          <w:lang w:val="bg-BG"/>
        </w:rPr>
        <w:t xml:space="preserve"> се справя с преструктурирането на банките. Този предпазен механизъм има за цел да действа като крайна мярка и е важен за допълнителното укрепване на доверието в европейската банкова система.</w:t>
      </w:r>
    </w:p>
    <w:p w:rsidR="009E0654" w:rsidRDefault="00567D37">
      <w:pPr>
        <w:jc w:val="both"/>
        <w:rPr>
          <w:rFonts w:ascii="Times New Roman" w:hAnsi="Times New Roman"/>
          <w:noProof/>
          <w:spacing w:val="-2"/>
        </w:rPr>
      </w:pPr>
      <w:r>
        <w:rPr>
          <w:rFonts w:ascii="Times New Roman" w:hAnsi="Times New Roman"/>
          <w:b/>
          <w:noProof/>
          <w:sz w:val="12"/>
          <w:szCs w:val="12"/>
          <w:lang w:val="bg-BG"/>
        </w:rPr>
        <w:br/>
      </w:r>
      <w:r>
        <w:rPr>
          <w:rFonts w:ascii="Times New Roman" w:hAnsi="Times New Roman"/>
          <w:b/>
          <w:noProof/>
          <w:spacing w:val="-2"/>
          <w:lang w:val="bg-BG"/>
        </w:rPr>
        <w:t xml:space="preserve">С оглед на това, има начини за разработване на съвместни </w:t>
      </w:r>
      <w:r>
        <w:rPr>
          <w:rFonts w:ascii="Times New Roman" w:hAnsi="Times New Roman"/>
          <w:b/>
          <w:noProof/>
          <w:spacing w:val="-2"/>
          <w:lang w:val="bg-BG"/>
        </w:rPr>
        <w:t>бюджетни инструменти на равнище ЕС, които могат да допринесат за стабилността на еврозоната</w:t>
      </w:r>
      <w:r>
        <w:rPr>
          <w:noProof/>
          <w:spacing w:val="-2"/>
          <w:lang w:val="bg-BG"/>
        </w:rPr>
        <w:t xml:space="preserve"> </w:t>
      </w:r>
      <w:r>
        <w:rPr>
          <w:rFonts w:ascii="Times New Roman" w:hAnsi="Times New Roman"/>
          <w:b/>
          <w:noProof/>
          <w:spacing w:val="-2"/>
          <w:lang w:val="bg-BG"/>
        </w:rPr>
        <w:t>и да са от полза и за ЕС като цяло</w:t>
      </w:r>
      <w:r>
        <w:rPr>
          <w:noProof/>
          <w:spacing w:val="-2"/>
          <w:lang w:val="bg-BG"/>
        </w:rPr>
        <w:t>.</w:t>
      </w:r>
      <w:r>
        <w:rPr>
          <w:rFonts w:ascii="Times New Roman" w:hAnsi="Times New Roman"/>
          <w:noProof/>
          <w:spacing w:val="-2"/>
          <w:lang w:val="bg-BG"/>
        </w:rPr>
        <w:t xml:space="preserve"> За да се гарантират техният успех и ефективност и за да се постигне максимална ефективност от тях за данъкоплатците, тези инстру</w:t>
      </w:r>
      <w:r>
        <w:rPr>
          <w:rFonts w:ascii="Times New Roman" w:hAnsi="Times New Roman"/>
          <w:noProof/>
          <w:spacing w:val="-2"/>
          <w:lang w:val="bg-BG"/>
        </w:rPr>
        <w:t>менти трябва да бъдат замислени в пълно взаимодействие с други бюджетни инструменти, съществуващи в по-широката рамка на Съюза. Модернизацията на публичните финанси на ЕС, за която Комисията ще направи предложения през май 2018 г., ще бъде уникална възможн</w:t>
      </w:r>
      <w:r>
        <w:rPr>
          <w:rFonts w:ascii="Times New Roman" w:hAnsi="Times New Roman"/>
          <w:noProof/>
          <w:spacing w:val="-2"/>
          <w:lang w:val="bg-BG"/>
        </w:rPr>
        <w:t>ост за ЕС и еврозоната да се сдобият с необходимите средства.</w:t>
      </w:r>
    </w:p>
    <w:p w:rsidR="009E0654" w:rsidRDefault="009E0654">
      <w:pPr>
        <w:jc w:val="both"/>
        <w:rPr>
          <w:rFonts w:ascii="Times New Roman" w:hAnsi="Times New Roman"/>
          <w:noProof/>
        </w:rPr>
      </w:pPr>
    </w:p>
    <w:p w:rsidR="009E0654" w:rsidRDefault="00567D37">
      <w:pPr>
        <w:pStyle w:val="ListParagraph"/>
        <w:numPr>
          <w:ilvl w:val="0"/>
          <w:numId w:val="34"/>
        </w:numPr>
        <w:ind w:hanging="720"/>
        <w:rPr>
          <w:rFonts w:ascii="Times New Roman" w:hAnsi="Times New Roman" w:cs="Times New Roman"/>
          <w:b/>
          <w:noProof/>
          <w:u w:val="single"/>
          <w:lang w:val="bg-BG"/>
        </w:rPr>
      </w:pPr>
      <w:r>
        <w:rPr>
          <w:rFonts w:ascii="Times New Roman" w:hAnsi="Times New Roman"/>
          <w:b/>
          <w:noProof/>
          <w:u w:val="single"/>
          <w:lang w:val="bg-BG"/>
        </w:rPr>
        <w:t xml:space="preserve">МОДЕРНИЗИРАНИ И ОРИЕНТИРАНИ КЪМ БЪДЕЩЕТО ПУБЛИЧНИ ФИНАНСИ НА ЕС </w:t>
      </w:r>
    </w:p>
    <w:p w:rsidR="009E0654" w:rsidRDefault="009E0654">
      <w:pPr>
        <w:pStyle w:val="ListParagraph"/>
        <w:ind w:left="0"/>
        <w:jc w:val="both"/>
        <w:rPr>
          <w:rFonts w:ascii="Times New Roman" w:hAnsi="Times New Roman" w:cs="Times New Roman"/>
          <w:noProof/>
          <w:lang w:val="bg-BG"/>
        </w:rPr>
      </w:pPr>
    </w:p>
    <w:p w:rsidR="009E0654" w:rsidRDefault="00567D37">
      <w:pPr>
        <w:jc w:val="both"/>
        <w:rPr>
          <w:rFonts w:ascii="Times New Roman" w:hAnsi="Times New Roman"/>
          <w:noProof/>
          <w:lang w:val="bg-BG"/>
        </w:rPr>
      </w:pPr>
      <w:r>
        <w:rPr>
          <w:rFonts w:ascii="Times New Roman" w:hAnsi="Times New Roman"/>
          <w:noProof/>
          <w:lang w:val="bg-BG"/>
        </w:rPr>
        <w:t xml:space="preserve">Документът за размисъл относно бъдещето на финансите на ЕС създаде предпоставки за модерна и ориентирана към бъдещето бюджетна </w:t>
      </w:r>
      <w:r>
        <w:rPr>
          <w:rFonts w:ascii="Times New Roman" w:hAnsi="Times New Roman"/>
          <w:noProof/>
          <w:lang w:val="bg-BG"/>
        </w:rPr>
        <w:t>рамка след 2020 г. В съответствие с казаното от председателя Юнкер в речта за състоянието на Съюза, настоящото съобщение се съсредоточава върху четири специфични функции:</w:t>
      </w:r>
    </w:p>
    <w:p w:rsidR="009E0654" w:rsidRDefault="00567D37">
      <w:pPr>
        <w:numPr>
          <w:ilvl w:val="0"/>
          <w:numId w:val="12"/>
        </w:numPr>
        <w:jc w:val="both"/>
        <w:rPr>
          <w:rFonts w:ascii="Times New Roman" w:hAnsi="Times New Roman"/>
          <w:noProof/>
          <w:lang w:val="bg-BG"/>
        </w:rPr>
      </w:pPr>
      <w:r>
        <w:rPr>
          <w:rFonts w:ascii="Times New Roman" w:hAnsi="Times New Roman"/>
          <w:b/>
          <w:noProof/>
          <w:lang w:val="bg-BG"/>
        </w:rPr>
        <w:t xml:space="preserve">В настоящото съобщение е представен нов начин за подкрепа на националните реформи, </w:t>
      </w:r>
      <w:r>
        <w:rPr>
          <w:rFonts w:ascii="Times New Roman" w:hAnsi="Times New Roman"/>
          <w:b/>
          <w:noProof/>
          <w:lang w:val="bg-BG"/>
        </w:rPr>
        <w:t>набелязани в рамките на европейския семестър за координация на икономическите политики, едновременно чрез бюджетна и техническа подкрепа.</w:t>
      </w:r>
      <w:r>
        <w:rPr>
          <w:rFonts w:ascii="Times New Roman" w:hAnsi="Times New Roman"/>
          <w:noProof/>
          <w:lang w:val="bg-BG"/>
        </w:rPr>
        <w:t xml:space="preserve"> Първите стъпки са предложени за периода 2018—2020 г. под формата на целенасочени промени в Регламента за общоприложими</w:t>
      </w:r>
      <w:r>
        <w:rPr>
          <w:rFonts w:ascii="Times New Roman" w:hAnsi="Times New Roman"/>
          <w:noProof/>
          <w:lang w:val="bg-BG"/>
        </w:rPr>
        <w:t>те разпоредби за европейските структурни и инвестиционни фондове, както и под формата на  засилване на текущата Програма за подкрепа на структурните реформи. За многогодишната финансова рамка след 2020 г. Комисията възнамерява да представи нов инструмент з</w:t>
      </w:r>
      <w:r>
        <w:rPr>
          <w:rFonts w:ascii="Times New Roman" w:hAnsi="Times New Roman"/>
          <w:noProof/>
          <w:lang w:val="bg-BG"/>
        </w:rPr>
        <w:t>а осъществяване на реформи, който да осигури финансова подкрепа на държавите членки в изпълнението на договорените ангажименти за реформи. Освен това тя ще предложи засилване на техническата подкрепа за периода след 2020 г. въз основа на опита с Програмата</w:t>
      </w:r>
      <w:r>
        <w:rPr>
          <w:rFonts w:ascii="Times New Roman" w:hAnsi="Times New Roman"/>
          <w:noProof/>
          <w:lang w:val="bg-BG"/>
        </w:rPr>
        <w:t xml:space="preserve"> за подкрепа на структурните реформи. </w:t>
      </w:r>
    </w:p>
    <w:p w:rsidR="009E0654" w:rsidRDefault="00567D37">
      <w:pPr>
        <w:numPr>
          <w:ilvl w:val="0"/>
          <w:numId w:val="12"/>
        </w:numPr>
        <w:jc w:val="both"/>
        <w:rPr>
          <w:rFonts w:ascii="Times New Roman" w:hAnsi="Times New Roman"/>
          <w:noProof/>
          <w:lang w:val="bg-BG"/>
        </w:rPr>
      </w:pPr>
      <w:r>
        <w:rPr>
          <w:rFonts w:ascii="Times New Roman" w:hAnsi="Times New Roman"/>
          <w:b/>
          <w:noProof/>
          <w:lang w:val="bg-BG"/>
        </w:rPr>
        <w:t>В настоящото съобщение се предлага да се създаде специален механизъм за сближаване за държавите членки, които се готвят за присъединяване към еврото.</w:t>
      </w:r>
      <w:r>
        <w:rPr>
          <w:rFonts w:ascii="Times New Roman" w:hAnsi="Times New Roman"/>
          <w:noProof/>
          <w:lang w:val="bg-BG"/>
        </w:rPr>
        <w:t xml:space="preserve"> За периода 2018—2020 г. Комисията предлага да бъде създаден специал</w:t>
      </w:r>
      <w:r>
        <w:rPr>
          <w:rFonts w:ascii="Times New Roman" w:hAnsi="Times New Roman"/>
          <w:noProof/>
          <w:lang w:val="bg-BG"/>
        </w:rPr>
        <w:t>ен работен процес по Програмата за подкрепа на структурните реформи. За периода след 2020 г. той следва да бъде превърнат в специален механизъм. Изборът на приоритети на реформите ще бъде обсъждан и наблюдаван като част от европейския семестър.</w:t>
      </w:r>
    </w:p>
    <w:p w:rsidR="009E0654" w:rsidRDefault="00567D37">
      <w:pPr>
        <w:numPr>
          <w:ilvl w:val="0"/>
          <w:numId w:val="12"/>
        </w:numPr>
        <w:jc w:val="both"/>
        <w:rPr>
          <w:rFonts w:ascii="Times New Roman" w:hAnsi="Times New Roman"/>
          <w:noProof/>
          <w:lang w:val="bg-BG"/>
        </w:rPr>
      </w:pPr>
      <w:r>
        <w:rPr>
          <w:rFonts w:ascii="Times New Roman" w:hAnsi="Times New Roman"/>
          <w:b/>
          <w:noProof/>
          <w:lang w:val="bg-BG"/>
        </w:rPr>
        <w:t>В настоящот</w:t>
      </w:r>
      <w:r>
        <w:rPr>
          <w:rFonts w:ascii="Times New Roman" w:hAnsi="Times New Roman"/>
          <w:b/>
          <w:noProof/>
          <w:lang w:val="bg-BG"/>
        </w:rPr>
        <w:t xml:space="preserve">о съобщение се определят основните елементи на механизъм за подкрепа на банковия съюз. </w:t>
      </w:r>
      <w:r>
        <w:rPr>
          <w:rFonts w:ascii="Times New Roman" w:hAnsi="Times New Roman"/>
          <w:noProof/>
          <w:lang w:val="bg-BG"/>
        </w:rPr>
        <w:t>Той се състои от кредитна линия или гаранции чрез Европейския механизъм за стабилност/Европейския паричен фонд, които ще бъдат предоставяни пряко на Единния фонд за прес</w:t>
      </w:r>
      <w:r>
        <w:rPr>
          <w:rFonts w:ascii="Times New Roman" w:hAnsi="Times New Roman"/>
          <w:noProof/>
          <w:lang w:val="bg-BG"/>
        </w:rPr>
        <w:t xml:space="preserve">труктуриране. </w:t>
      </w:r>
    </w:p>
    <w:p w:rsidR="009E0654" w:rsidRDefault="00567D37">
      <w:pPr>
        <w:numPr>
          <w:ilvl w:val="0"/>
          <w:numId w:val="12"/>
        </w:numPr>
        <w:jc w:val="both"/>
        <w:rPr>
          <w:rFonts w:ascii="Times New Roman" w:hAnsi="Times New Roman"/>
          <w:noProof/>
          <w:lang w:val="bg-BG"/>
        </w:rPr>
      </w:pPr>
      <w:r>
        <w:rPr>
          <w:rFonts w:ascii="Times New Roman" w:hAnsi="Times New Roman"/>
          <w:b/>
          <w:noProof/>
          <w:lang w:val="bg-BG"/>
        </w:rPr>
        <w:t>В настоящото съобщение се представят някои основни елементи за изграждането на функция за стабилизация</w:t>
      </w:r>
      <w:r>
        <w:rPr>
          <w:noProof/>
          <w:lang w:val="bg-BG"/>
        </w:rPr>
        <w:t xml:space="preserve"> </w:t>
      </w:r>
      <w:r>
        <w:rPr>
          <w:rFonts w:ascii="Times New Roman" w:hAnsi="Times New Roman"/>
          <w:noProof/>
          <w:lang w:val="bg-BG"/>
        </w:rPr>
        <w:t>като начин за запазване на равнищата на инвестициите в случай на големи асиметрични сътресения.</w:t>
      </w:r>
      <w:r>
        <w:rPr>
          <w:rFonts w:ascii="Times New Roman" w:hAnsi="Times New Roman"/>
          <w:b/>
          <w:noProof/>
          <w:lang w:val="bg-BG"/>
        </w:rPr>
        <w:t xml:space="preserve"> </w:t>
      </w:r>
      <w:r>
        <w:rPr>
          <w:rFonts w:ascii="Times New Roman" w:hAnsi="Times New Roman"/>
          <w:noProof/>
          <w:lang w:val="bg-BG"/>
        </w:rPr>
        <w:t>Функцията за стабилизация е замислена за е</w:t>
      </w:r>
      <w:r>
        <w:rPr>
          <w:rFonts w:ascii="Times New Roman" w:hAnsi="Times New Roman"/>
          <w:noProof/>
          <w:lang w:val="bg-BG"/>
        </w:rPr>
        <w:t>врозоната и държавите членки и следва да бъде отворена и за други държави — членки на ЕС. Това трябва да бъде отразено в евентуалната финансова структура.</w:t>
      </w:r>
    </w:p>
    <w:p w:rsidR="009E0654" w:rsidRDefault="00567D37">
      <w:pPr>
        <w:jc w:val="both"/>
        <w:rPr>
          <w:rFonts w:ascii="Times New Roman" w:hAnsi="Times New Roman"/>
          <w:b/>
          <w:noProof/>
          <w:lang w:val="bg-BG"/>
        </w:rPr>
      </w:pPr>
      <w:r>
        <w:rPr>
          <w:rFonts w:ascii="Times New Roman" w:hAnsi="Times New Roman"/>
          <w:noProof/>
          <w:lang w:val="bg-BG"/>
        </w:rPr>
        <w:t>Тези функции са описани по-подробно в следващите раздели. Преди обаче да се уточнят подробностите, тр</w:t>
      </w:r>
      <w:r>
        <w:rPr>
          <w:rFonts w:ascii="Times New Roman" w:hAnsi="Times New Roman"/>
          <w:noProof/>
          <w:lang w:val="bg-BG"/>
        </w:rPr>
        <w:t xml:space="preserve">ябва да се имат предвид редица общи принципи. </w:t>
      </w:r>
    </w:p>
    <w:p w:rsidR="009E0654" w:rsidRDefault="00567D37">
      <w:pPr>
        <w:numPr>
          <w:ilvl w:val="0"/>
          <w:numId w:val="12"/>
        </w:numPr>
        <w:jc w:val="both"/>
        <w:rPr>
          <w:rFonts w:ascii="Times New Roman" w:hAnsi="Times New Roman"/>
          <w:noProof/>
          <w:lang w:val="bg-BG"/>
        </w:rPr>
      </w:pPr>
      <w:r>
        <w:rPr>
          <w:rFonts w:ascii="Times New Roman" w:hAnsi="Times New Roman"/>
          <w:b/>
          <w:noProof/>
          <w:lang w:val="bg-BG"/>
        </w:rPr>
        <w:t xml:space="preserve">На първо място, въпреки че някои функции са насочени към по-специфичните нужди на държавите членки от еврозоната, от една страна, и на държавите членки извън еврозоната, от друга, всички те са залегнали в общ </w:t>
      </w:r>
      <w:r>
        <w:rPr>
          <w:rFonts w:ascii="Times New Roman" w:hAnsi="Times New Roman"/>
          <w:b/>
          <w:noProof/>
          <w:lang w:val="bg-BG"/>
        </w:rPr>
        <w:t xml:space="preserve">подход на ЕС и визия за по-широката правна уредба на ЕС. </w:t>
      </w:r>
      <w:r>
        <w:rPr>
          <w:rFonts w:ascii="Times New Roman" w:hAnsi="Times New Roman"/>
          <w:noProof/>
          <w:lang w:val="bg-BG"/>
        </w:rPr>
        <w:t>Придобиването на ясна представа за публичните финанси на ЕС като цяло — сега и в бъдеще — е от основно значение за разработването на тези инструменти. Това ще помогне за засилване на синергиите между всички участници и инструменти за финансиране, за избягв</w:t>
      </w:r>
      <w:r>
        <w:rPr>
          <w:rFonts w:ascii="Times New Roman" w:hAnsi="Times New Roman"/>
          <w:noProof/>
          <w:lang w:val="bg-BG"/>
        </w:rPr>
        <w:t>ане на дублирането и в крайна сметка за гарантиране на по-голяма възвръщаемост за всяко колективно похарчено евро. Това е още по-необходимо, тъй като, както се припомня в днешния пакет, бъдещето на държавите от еврозоната и това на държавите извън нея е тя</w:t>
      </w:r>
      <w:r>
        <w:rPr>
          <w:rFonts w:ascii="Times New Roman" w:hAnsi="Times New Roman"/>
          <w:noProof/>
          <w:lang w:val="bg-BG"/>
        </w:rPr>
        <w:t xml:space="preserve">сно свързано и с времето разграничаването между тях става все по-неподходящо. </w:t>
      </w:r>
    </w:p>
    <w:p w:rsidR="009E0654" w:rsidRDefault="00567D37">
      <w:pPr>
        <w:numPr>
          <w:ilvl w:val="0"/>
          <w:numId w:val="12"/>
        </w:numPr>
        <w:jc w:val="both"/>
        <w:rPr>
          <w:rFonts w:ascii="Times New Roman" w:hAnsi="Times New Roman"/>
          <w:noProof/>
          <w:lang w:val="bg-BG"/>
        </w:rPr>
      </w:pPr>
      <w:r>
        <w:rPr>
          <w:rFonts w:ascii="Times New Roman" w:hAnsi="Times New Roman"/>
          <w:b/>
          <w:noProof/>
          <w:lang w:val="bg-BG"/>
        </w:rPr>
        <w:t>На второ място, въпреки че в останалата част на настоящия документ се разглежда главно разходната част на публичните финанси на ЕС, една модернизирана система на собствените рес</w:t>
      </w:r>
      <w:r>
        <w:rPr>
          <w:rFonts w:ascii="Times New Roman" w:hAnsi="Times New Roman"/>
          <w:b/>
          <w:noProof/>
          <w:lang w:val="bg-BG"/>
        </w:rPr>
        <w:t xml:space="preserve">урси може да бъде полезна и в бъдеще. </w:t>
      </w:r>
      <w:r>
        <w:rPr>
          <w:rFonts w:ascii="Times New Roman" w:hAnsi="Times New Roman"/>
          <w:noProof/>
          <w:lang w:val="bg-BG"/>
        </w:rPr>
        <w:t xml:space="preserve">Например, приходната част на бюджета на ЕС вече предоставя известна степен на икономическа стабилизация, по-конкретно чрез собствения ресурс на база брутен национален доход, който съставлява почти 75 % от общия размер </w:t>
      </w:r>
      <w:r>
        <w:rPr>
          <w:rFonts w:ascii="Times New Roman" w:hAnsi="Times New Roman"/>
          <w:noProof/>
          <w:lang w:val="bg-BG"/>
        </w:rPr>
        <w:t>на собствените ресурси и който отразява относителна икономическа резултатност</w:t>
      </w:r>
      <w:r>
        <w:rPr>
          <w:rFonts w:ascii="Times New Roman" w:hAnsi="Times New Roman"/>
          <w:noProof/>
          <w:vertAlign w:val="superscript"/>
          <w:lang w:val="bg-BG"/>
        </w:rPr>
        <w:footnoteReference w:id="13"/>
      </w:r>
      <w:r>
        <w:rPr>
          <w:rFonts w:ascii="Times New Roman" w:hAnsi="Times New Roman"/>
          <w:noProof/>
          <w:lang w:val="bg-BG"/>
        </w:rPr>
        <w:t>.</w:t>
      </w:r>
      <w:r>
        <w:rPr>
          <w:rFonts w:ascii="Times New Roman" w:hAnsi="Times New Roman"/>
          <w:noProof/>
          <w:vertAlign w:val="superscript"/>
          <w:lang w:val="bg-BG"/>
        </w:rPr>
        <w:t xml:space="preserve">  </w:t>
      </w:r>
      <w:r>
        <w:rPr>
          <w:rFonts w:ascii="Times New Roman" w:hAnsi="Times New Roman"/>
          <w:noProof/>
          <w:lang w:val="bg-BG"/>
        </w:rPr>
        <w:t>Това означава, че както разходната част на бюджета на ЕС претърпя развитие с течение на времето, трябва да се обмислят допълнителни подобрения и в приходната част на бюджета</w:t>
      </w:r>
      <w:r>
        <w:rPr>
          <w:rFonts w:ascii="Times New Roman" w:hAnsi="Times New Roman"/>
          <w:noProof/>
          <w:vertAlign w:val="superscript"/>
          <w:lang w:val="bg-BG"/>
        </w:rPr>
        <w:footnoteReference w:id="14"/>
      </w:r>
      <w:r>
        <w:rPr>
          <w:rFonts w:ascii="Times New Roman" w:hAnsi="Times New Roman"/>
          <w:noProof/>
          <w:lang w:val="bg-BG"/>
        </w:rPr>
        <w:t>.</w:t>
      </w:r>
      <w:r>
        <w:rPr>
          <w:rFonts w:ascii="Times New Roman" w:hAnsi="Times New Roman"/>
          <w:noProof/>
          <w:lang w:val="bg-BG"/>
        </w:rPr>
        <w:t xml:space="preserve"> Възможни източници на допълнителни приходи бяха например идентифицирани от Групата на високо равнище за собствените ресурси</w:t>
      </w:r>
      <w:r>
        <w:rPr>
          <w:rFonts w:ascii="Times New Roman" w:hAnsi="Times New Roman"/>
          <w:noProof/>
          <w:vertAlign w:val="superscript"/>
          <w:lang w:val="bg-BG"/>
        </w:rPr>
        <w:footnoteReference w:id="15"/>
      </w:r>
      <w:r>
        <w:rPr>
          <w:rFonts w:ascii="Times New Roman" w:hAnsi="Times New Roman"/>
          <w:noProof/>
          <w:lang w:val="bg-BG"/>
        </w:rPr>
        <w:t>.</w:t>
      </w:r>
      <w:r>
        <w:rPr>
          <w:rFonts w:ascii="Times New Roman" w:hAnsi="Times New Roman"/>
          <w:noProof/>
          <w:vertAlign w:val="superscript"/>
          <w:lang w:val="bg-BG"/>
        </w:rPr>
        <w:t xml:space="preserve"> </w:t>
      </w:r>
      <w:r>
        <w:rPr>
          <w:rFonts w:ascii="Times New Roman" w:hAnsi="Times New Roman"/>
          <w:noProof/>
          <w:lang w:val="bg-BG"/>
        </w:rPr>
        <w:t>Тези съображения не са развити в настоящия текст, но ще бъдат проучени в контекста на многогодишната финансова рамка след 2020 г.</w:t>
      </w:r>
      <w:r>
        <w:rPr>
          <w:rFonts w:ascii="Times New Roman" w:hAnsi="Times New Roman"/>
          <w:noProof/>
          <w:lang w:val="bg-BG"/>
        </w:rPr>
        <w:t xml:space="preserve"> Те могат да допълнят представеното по-долу.</w:t>
      </w:r>
    </w:p>
    <w:p w:rsidR="009E0654" w:rsidRDefault="00567D37">
      <w:pPr>
        <w:numPr>
          <w:ilvl w:val="0"/>
          <w:numId w:val="12"/>
        </w:numPr>
        <w:jc w:val="both"/>
        <w:rPr>
          <w:rFonts w:ascii="Times New Roman" w:hAnsi="Times New Roman"/>
          <w:noProof/>
          <w:lang w:val="bg-BG"/>
        </w:rPr>
      </w:pPr>
      <w:r>
        <w:rPr>
          <w:rFonts w:ascii="Times New Roman" w:hAnsi="Times New Roman"/>
          <w:b/>
          <w:noProof/>
          <w:lang w:val="bg-BG"/>
        </w:rPr>
        <w:t>На трето място, тези функции трябва да работят ръка за ръка с рамката на политиката, предвидена от европейския семестър за координация на икономическите политики</w:t>
      </w:r>
      <w:r>
        <w:rPr>
          <w:rFonts w:ascii="Times New Roman" w:hAnsi="Times New Roman"/>
          <w:noProof/>
          <w:lang w:val="bg-BG"/>
        </w:rPr>
        <w:t>, в това число Пакта за стабилност и растеж.</w:t>
      </w:r>
      <w:r>
        <w:rPr>
          <w:rFonts w:ascii="Times New Roman" w:hAnsi="Times New Roman"/>
          <w:b/>
          <w:noProof/>
          <w:lang w:val="bg-BG"/>
        </w:rPr>
        <w:t xml:space="preserve"> </w:t>
      </w:r>
      <w:r>
        <w:rPr>
          <w:rFonts w:ascii="Times New Roman" w:hAnsi="Times New Roman"/>
          <w:noProof/>
          <w:lang w:val="bg-BG"/>
        </w:rPr>
        <w:t>Европ</w:t>
      </w:r>
      <w:r>
        <w:rPr>
          <w:rFonts w:ascii="Times New Roman" w:hAnsi="Times New Roman"/>
          <w:noProof/>
          <w:lang w:val="bg-BG"/>
        </w:rPr>
        <w:t>ейският семестър е основният инструмент за координиране на икономическите политики на държавите членки на равнище ЕС. Той позволява на държавите членки да обсъждат икономическите, социалните и бюджетните си приоритети и дава възможност да се проследява нап</w:t>
      </w:r>
      <w:r>
        <w:rPr>
          <w:rFonts w:ascii="Times New Roman" w:hAnsi="Times New Roman"/>
          <w:noProof/>
          <w:lang w:val="bg-BG"/>
        </w:rPr>
        <w:t>редъкът в определени моменти през годината. В рамките на европейския семестър Пактът за стабилност и растеж и процедурата при макроикономически дисбаланси служат за осигуряване на стабилни публични финанси и за предотвратяване на рисковете от дисбаланси. П</w:t>
      </w:r>
      <w:r>
        <w:rPr>
          <w:rFonts w:ascii="Times New Roman" w:hAnsi="Times New Roman"/>
          <w:noProof/>
          <w:lang w:val="bg-BG"/>
        </w:rPr>
        <w:t>остигнат беше напредък и в създаването на по-тясна връзка между приоритетите на европейския семестър и европейските структурни и инвестиционни фондове, като бяха въведени предварителни и макроикономически условия</w:t>
      </w:r>
      <w:r>
        <w:rPr>
          <w:rStyle w:val="FootnoteReference"/>
          <w:rFonts w:ascii="Times New Roman" w:hAnsi="Times New Roman"/>
          <w:noProof/>
          <w:lang w:val="bg-BG"/>
        </w:rPr>
        <w:footnoteReference w:id="16"/>
      </w:r>
      <w:r>
        <w:rPr>
          <w:rFonts w:ascii="Times New Roman" w:hAnsi="Times New Roman"/>
          <w:noProof/>
          <w:lang w:val="bg-BG"/>
        </w:rPr>
        <w:t>. Освен това, като използва оптимално гъвка</w:t>
      </w:r>
      <w:r>
        <w:rPr>
          <w:rFonts w:ascii="Times New Roman" w:hAnsi="Times New Roman"/>
          <w:noProof/>
          <w:lang w:val="bg-BG"/>
        </w:rPr>
        <w:t>востта, заложена в съществуващите правила на Пакта за стабилност и растеж, Комисията засили връзката между инвестициите, структурните реформи и фискалната отговорност, при по-добро отчитане на цикличните икономически условия, пред които са изправени държав</w:t>
      </w:r>
      <w:r>
        <w:rPr>
          <w:rFonts w:ascii="Times New Roman" w:hAnsi="Times New Roman"/>
          <w:noProof/>
          <w:lang w:val="bg-BG"/>
        </w:rPr>
        <w:t>ите членки</w:t>
      </w:r>
      <w:r>
        <w:rPr>
          <w:rFonts w:ascii="Times New Roman" w:hAnsi="Times New Roman"/>
          <w:noProof/>
          <w:vertAlign w:val="superscript"/>
          <w:lang w:val="bg-BG"/>
        </w:rPr>
        <w:footnoteReference w:id="17"/>
      </w:r>
      <w:r>
        <w:rPr>
          <w:rFonts w:ascii="Times New Roman" w:hAnsi="Times New Roman"/>
          <w:noProof/>
          <w:lang w:val="bg-BG"/>
        </w:rPr>
        <w:t xml:space="preserve">. В бъдеще ще бъде много важно да продължи укрепването на съгласуваността и влиянието на всички тези инструменти. </w:t>
      </w:r>
    </w:p>
    <w:p w:rsidR="009E0654" w:rsidRDefault="00567D37">
      <w:pPr>
        <w:numPr>
          <w:ilvl w:val="0"/>
          <w:numId w:val="36"/>
        </w:numPr>
        <w:jc w:val="both"/>
        <w:rPr>
          <w:rFonts w:ascii="Times New Roman" w:hAnsi="Times New Roman"/>
          <w:b/>
          <w:noProof/>
          <w:lang w:val="bg-BG"/>
        </w:rPr>
      </w:pPr>
      <w:r>
        <w:rPr>
          <w:rFonts w:ascii="Times New Roman" w:hAnsi="Times New Roman"/>
          <w:b/>
          <w:noProof/>
          <w:lang w:val="bg-BG"/>
        </w:rPr>
        <w:t xml:space="preserve">На четвърто място, обсъдените тук четири функции са тясно свързани помежду си. </w:t>
      </w:r>
      <w:r>
        <w:rPr>
          <w:rFonts w:ascii="Times New Roman" w:hAnsi="Times New Roman"/>
          <w:noProof/>
          <w:lang w:val="bg-BG"/>
        </w:rPr>
        <w:t>Те могат да работят като част от общия подход за мо</w:t>
      </w:r>
      <w:r>
        <w:rPr>
          <w:rFonts w:ascii="Times New Roman" w:hAnsi="Times New Roman"/>
          <w:noProof/>
          <w:lang w:val="bg-BG"/>
        </w:rPr>
        <w:t>дернизирана нормативна уредба на ЕС. Като се има предвид фокусът върху Икономическия и паричен съюз, обясненията естествено се отнасят до приоритетите на ЕС и инструментите за финансиране, свързани с работните места, растежа, инвестициите и макроикономичес</w:t>
      </w:r>
      <w:r>
        <w:rPr>
          <w:rFonts w:ascii="Times New Roman" w:hAnsi="Times New Roman"/>
          <w:noProof/>
          <w:lang w:val="bg-BG"/>
        </w:rPr>
        <w:t>ката стабилност. Това обаче не предопределя други елементи от предложенията за многогодишната финансова рамка, които ще последват през май 2018 г.</w:t>
      </w:r>
    </w:p>
    <w:p w:rsidR="009E0654" w:rsidRDefault="00567D37">
      <w:pPr>
        <w:jc w:val="both"/>
        <w:rPr>
          <w:rFonts w:ascii="Times New Roman" w:hAnsi="Times New Roman"/>
          <w:noProof/>
          <w:lang w:val="bg-BG"/>
        </w:rPr>
      </w:pPr>
      <w:r>
        <w:rPr>
          <w:rFonts w:ascii="Times New Roman" w:hAnsi="Times New Roman"/>
          <w:b/>
          <w:noProof/>
          <w:lang w:val="bg-BG"/>
        </w:rPr>
        <w:t>За периода след 2020 г. е възможно да се разработят бъдещи действия, които увеличават максимално въздействиет</w:t>
      </w:r>
      <w:r>
        <w:rPr>
          <w:rFonts w:ascii="Times New Roman" w:hAnsi="Times New Roman"/>
          <w:b/>
          <w:noProof/>
          <w:lang w:val="bg-BG"/>
        </w:rPr>
        <w:t xml:space="preserve">о на публичните финанси на ЕС. </w:t>
      </w:r>
      <w:r>
        <w:rPr>
          <w:rFonts w:ascii="Times New Roman" w:hAnsi="Times New Roman"/>
          <w:noProof/>
          <w:lang w:val="bg-BG"/>
        </w:rPr>
        <w:t>Тези бъдещи действия са обобщени в графиката по-долу. Много елементи са добре известни: както и понастоящем, редица фондове на ЕС, и по-специално европейските структурни и инвестиционни фондове, ще продължат да съществуват ка</w:t>
      </w:r>
      <w:r>
        <w:rPr>
          <w:rFonts w:ascii="Times New Roman" w:hAnsi="Times New Roman"/>
          <w:noProof/>
          <w:lang w:val="bg-BG"/>
        </w:rPr>
        <w:t>то средство за насърчаване на реалното сближаване, наред с други източници на финансиране, като например тези, които са предвидени в плана „Юнкер“, и други инструменти на равнището на ЕС. Независимо от конкретния източник на финансиране, подкрепата ще бъде</w:t>
      </w:r>
      <w:r>
        <w:rPr>
          <w:rFonts w:ascii="Times New Roman" w:hAnsi="Times New Roman"/>
          <w:noProof/>
          <w:lang w:val="bg-BG"/>
        </w:rPr>
        <w:t xml:space="preserve"> приеме една от следните три основни форми: техническа помощ, безвъзмездни средства или заеми.</w:t>
      </w:r>
    </w:p>
    <w:p w:rsidR="009E0654" w:rsidRDefault="00567D37">
      <w:pPr>
        <w:jc w:val="both"/>
        <w:rPr>
          <w:rFonts w:ascii="Times New Roman" w:hAnsi="Times New Roman"/>
          <w:noProof/>
          <w:lang w:val="bg-BG"/>
        </w:rPr>
      </w:pPr>
      <w:r>
        <w:rPr>
          <w:rFonts w:ascii="Times New Roman" w:hAnsi="Times New Roman"/>
          <w:b/>
          <w:noProof/>
          <w:lang w:val="bg-BG"/>
        </w:rPr>
        <w:t>Националните приоритети за реформи ще продължат да бъдат идентифицирани от държавите членки като част от техните годишни национални програми</w:t>
      </w:r>
      <w:r>
        <w:rPr>
          <w:noProof/>
          <w:lang w:val="bg-BG"/>
        </w:rPr>
        <w:t xml:space="preserve"> </w:t>
      </w:r>
      <w:r>
        <w:rPr>
          <w:rFonts w:ascii="Times New Roman" w:hAnsi="Times New Roman"/>
          <w:noProof/>
          <w:lang w:val="bg-BG"/>
        </w:rPr>
        <w:t>в рамките на европей</w:t>
      </w:r>
      <w:r>
        <w:rPr>
          <w:rFonts w:ascii="Times New Roman" w:hAnsi="Times New Roman"/>
          <w:noProof/>
          <w:lang w:val="bg-BG"/>
        </w:rPr>
        <w:t>ския семестър за координация на икономическите политики. Както е обяснено в Годишния обзор на растежа за 2018 г.</w:t>
      </w:r>
      <w:r>
        <w:rPr>
          <w:rStyle w:val="FootnoteReference"/>
          <w:rFonts w:ascii="Times New Roman" w:hAnsi="Times New Roman"/>
          <w:noProof/>
          <w:lang w:val="bg-BG"/>
        </w:rPr>
        <w:footnoteReference w:id="18"/>
      </w:r>
      <w:r>
        <w:rPr>
          <w:rFonts w:ascii="Times New Roman" w:hAnsi="Times New Roman"/>
          <w:noProof/>
          <w:lang w:val="bg-BG"/>
        </w:rPr>
        <w:t xml:space="preserve">, трябва да продължат усилията за прилагане на реформите, които са в ход, а за това често са необходими време и обсъждания. Ето защо Комисията </w:t>
      </w:r>
      <w:r>
        <w:rPr>
          <w:rFonts w:ascii="Times New Roman" w:hAnsi="Times New Roman"/>
          <w:noProof/>
          <w:lang w:val="bg-BG"/>
        </w:rPr>
        <w:t xml:space="preserve">се застъпва за по-многогодишен подход и за по-колективен преглед на ангажиментите за реформи. </w:t>
      </w:r>
    </w:p>
    <w:p w:rsidR="009E0654" w:rsidRDefault="00567D37">
      <w:pPr>
        <w:jc w:val="both"/>
        <w:rPr>
          <w:rFonts w:ascii="Times New Roman" w:hAnsi="Times New Roman"/>
          <w:noProof/>
        </w:rPr>
      </w:pPr>
      <w:r>
        <w:rPr>
          <w:rFonts w:ascii="Times New Roman" w:hAnsi="Times New Roman"/>
          <w:b/>
          <w:noProof/>
          <w:lang w:val="bg-BG"/>
        </w:rPr>
        <w:t>Наред с националните приоритети за реформи, държавите членки ще разработят собствени инвестиционни приоритети, които могат да бъдат  включени в национална платфо</w:t>
      </w:r>
      <w:r>
        <w:rPr>
          <w:rFonts w:ascii="Times New Roman" w:hAnsi="Times New Roman"/>
          <w:b/>
          <w:noProof/>
          <w:lang w:val="bg-BG"/>
        </w:rPr>
        <w:t xml:space="preserve">рма за инвестиции. </w:t>
      </w:r>
      <w:r>
        <w:rPr>
          <w:rFonts w:ascii="Times New Roman" w:hAnsi="Times New Roman"/>
          <w:noProof/>
          <w:lang w:val="bg-BG"/>
        </w:rPr>
        <w:t xml:space="preserve">Тези платформи ще обединят съответните участници с различни нива на отговорност във всяка държава членка, с цел да се определят многогодишни инвестиционни приоритети в подкрепа на текущи проекти, които биха могли също така да бъдат част </w:t>
      </w:r>
      <w:r>
        <w:rPr>
          <w:rFonts w:ascii="Times New Roman" w:hAnsi="Times New Roman"/>
          <w:noProof/>
          <w:lang w:val="bg-BG"/>
        </w:rPr>
        <w:t>от европейски проекти, и да се определят източници на финансиране и подкрепа, включително от ЕС.</w:t>
      </w:r>
    </w:p>
    <w:p w:rsidR="009E0654" w:rsidRDefault="00567D37">
      <w:pPr>
        <w:jc w:val="both"/>
        <w:rPr>
          <w:rFonts w:ascii="Times New Roman" w:hAnsi="Times New Roman"/>
          <w:noProof/>
        </w:rPr>
      </w:pPr>
      <w:r>
        <w:rPr>
          <w:rFonts w:ascii="Times New Roman" w:hAnsi="Times New Roman"/>
          <w:noProof/>
        </w:rPr>
        <w:br w:type="page"/>
      </w:r>
      <w:r>
        <w:rPr>
          <w:rFonts w:ascii="Times New Roman" w:hAnsi="Times New Roman"/>
          <w:b/>
          <w:noProof/>
          <w:lang w:val="bg-BG"/>
        </w:rPr>
        <w:t>Максимално увеличаване на въздействието на публичните финанси на ЕС: възможни бъдещи действия</w:t>
      </w:r>
    </w:p>
    <w:p w:rsidR="009E0654" w:rsidRDefault="00567D37">
      <w:pPr>
        <w:spacing w:after="0"/>
        <w:ind w:left="-284"/>
        <w:jc w:val="center"/>
        <w:rPr>
          <w:rFonts w:ascii="Times New Roman" w:hAnsi="Times New Roman"/>
          <w:i/>
          <w:noProof/>
          <w:lang w:val="bg-BG"/>
        </w:rPr>
      </w:pPr>
      <w:r>
        <w:rPr>
          <w:noProof/>
          <w:lang w:eastAsia="en-GB"/>
        </w:rPr>
        <w:drawing>
          <wp:inline distT="0" distB="0" distL="0" distR="0">
            <wp:extent cx="5581650" cy="41556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582243" cy="4156118"/>
                    </a:xfrm>
                    <a:prstGeom prst="rect">
                      <a:avLst/>
                    </a:prstGeom>
                  </pic:spPr>
                </pic:pic>
              </a:graphicData>
            </a:graphic>
          </wp:inline>
        </w:drawing>
      </w:r>
    </w:p>
    <w:p w:rsidR="009E0654" w:rsidRDefault="00567D37">
      <w:pPr>
        <w:jc w:val="both"/>
        <w:rPr>
          <w:rFonts w:ascii="Times New Roman" w:hAnsi="Times New Roman"/>
          <w:noProof/>
          <w:lang w:val="bg-BG"/>
        </w:rPr>
      </w:pPr>
      <w:r>
        <w:rPr>
          <w:rFonts w:ascii="Times New Roman" w:hAnsi="Times New Roman"/>
          <w:i/>
          <w:noProof/>
          <w:lang w:val="bg-BG"/>
        </w:rPr>
        <w:t>Източник: Европейска комисия</w:t>
      </w:r>
    </w:p>
    <w:p w:rsidR="009E0654" w:rsidRDefault="00567D37">
      <w:pPr>
        <w:jc w:val="both"/>
        <w:rPr>
          <w:rFonts w:ascii="Times New Roman" w:hAnsi="Times New Roman"/>
          <w:noProof/>
          <w:spacing w:val="-2"/>
          <w:lang w:val="bg-BG"/>
        </w:rPr>
      </w:pPr>
      <w:r>
        <w:rPr>
          <w:rFonts w:ascii="Times New Roman" w:hAnsi="Times New Roman"/>
          <w:b/>
          <w:noProof/>
          <w:spacing w:val="-2"/>
          <w:lang w:val="bg-BG"/>
        </w:rPr>
        <w:t xml:space="preserve">Въпреки че тази схема е </w:t>
      </w:r>
      <w:r>
        <w:rPr>
          <w:rFonts w:ascii="Times New Roman" w:hAnsi="Times New Roman"/>
          <w:b/>
          <w:noProof/>
          <w:spacing w:val="-2"/>
          <w:lang w:val="bg-BG"/>
        </w:rPr>
        <w:t>относително подобна на днешните реалности, ще бъдат добавени два нови елемента.</w:t>
      </w:r>
      <w:r>
        <w:rPr>
          <w:rFonts w:ascii="Times New Roman" w:hAnsi="Times New Roman"/>
          <w:noProof/>
          <w:spacing w:val="-2"/>
          <w:lang w:val="bg-BG"/>
        </w:rPr>
        <w:t xml:space="preserve"> Първият елемент е </w:t>
      </w:r>
      <w:r>
        <w:rPr>
          <w:rFonts w:ascii="Times New Roman" w:hAnsi="Times New Roman"/>
          <w:b/>
          <w:noProof/>
          <w:spacing w:val="-2"/>
          <w:lang w:val="bg-BG"/>
        </w:rPr>
        <w:t>инструмент за осъществяване на реформи</w:t>
      </w:r>
      <w:r>
        <w:rPr>
          <w:rFonts w:ascii="Times New Roman" w:hAnsi="Times New Roman"/>
          <w:noProof/>
          <w:spacing w:val="-2"/>
          <w:lang w:val="bg-BG"/>
        </w:rPr>
        <w:t>, който ще предоставя допълнителни безвъзмездни средства в подкрепа на националните усилия за изпълнение на реформите, о</w:t>
      </w:r>
      <w:r>
        <w:rPr>
          <w:rFonts w:ascii="Times New Roman" w:hAnsi="Times New Roman"/>
          <w:noProof/>
          <w:spacing w:val="-2"/>
          <w:lang w:val="bg-BG"/>
        </w:rPr>
        <w:t xml:space="preserve">пределени като приоритетни в рамките на европейския семестър. Вторият е </w:t>
      </w:r>
      <w:r>
        <w:rPr>
          <w:rFonts w:ascii="Times New Roman" w:hAnsi="Times New Roman"/>
          <w:b/>
          <w:noProof/>
          <w:spacing w:val="-2"/>
          <w:lang w:val="bg-BG"/>
        </w:rPr>
        <w:t>функция за стабилизиране</w:t>
      </w:r>
      <w:r>
        <w:rPr>
          <w:rFonts w:ascii="Times New Roman" w:hAnsi="Times New Roman"/>
          <w:noProof/>
          <w:spacing w:val="-2"/>
          <w:lang w:val="bg-BG"/>
        </w:rPr>
        <w:t>, която може да осигури бърза подкрепа и помощ за запазване на националните равнища на инвестициите в случай на големи асиметрични сътресения, обикновено чрез з</w:t>
      </w:r>
      <w:r>
        <w:rPr>
          <w:rFonts w:ascii="Times New Roman" w:hAnsi="Times New Roman"/>
          <w:noProof/>
          <w:spacing w:val="-2"/>
          <w:lang w:val="bg-BG"/>
        </w:rPr>
        <w:t>апълване на недостига от финансиране на съществуващи текущи проекти и/или чрез подкрепа за повишаване на уменията. Тези два нови елемента са обяснени по-подробно по-долу.</w:t>
      </w:r>
    </w:p>
    <w:p w:rsidR="009E0654" w:rsidRDefault="009E0654">
      <w:pPr>
        <w:spacing w:after="0"/>
        <w:jc w:val="both"/>
        <w:rPr>
          <w:rFonts w:ascii="Times New Roman" w:hAnsi="Times New Roman"/>
          <w:noProof/>
          <w:lang w:val="bg-BG"/>
        </w:rPr>
      </w:pPr>
    </w:p>
    <w:p w:rsidR="009E0654" w:rsidRDefault="00567D37">
      <w:pPr>
        <w:pStyle w:val="ListParagraph"/>
        <w:numPr>
          <w:ilvl w:val="0"/>
          <w:numId w:val="34"/>
        </w:numPr>
        <w:ind w:hanging="720"/>
        <w:rPr>
          <w:rFonts w:ascii="Times New Roman" w:hAnsi="Times New Roman" w:cs="Times New Roman"/>
          <w:b/>
          <w:noProof/>
          <w:u w:val="single"/>
          <w:lang w:val="bg-BG"/>
        </w:rPr>
      </w:pPr>
      <w:r>
        <w:rPr>
          <w:rFonts w:ascii="Times New Roman" w:hAnsi="Times New Roman"/>
          <w:b/>
          <w:noProof/>
          <w:u w:val="single"/>
          <w:lang w:val="bg-BG"/>
        </w:rPr>
        <w:t xml:space="preserve">ПОДКРЕПА ЗА СТРУКТУРНИТЕ РЕФОРМИ </w:t>
      </w:r>
    </w:p>
    <w:p w:rsidR="009E0654" w:rsidRDefault="009E0654">
      <w:pPr>
        <w:suppressAutoHyphens/>
        <w:spacing w:after="0" w:line="100" w:lineRule="atLeast"/>
        <w:jc w:val="both"/>
        <w:rPr>
          <w:rFonts w:ascii="Times New Roman" w:eastAsia="SimSun" w:hAnsi="Times New Roman"/>
          <w:noProof/>
          <w:color w:val="000000"/>
          <w:sz w:val="24"/>
          <w:szCs w:val="24"/>
          <w:lang w:val="bg-BG"/>
        </w:rPr>
      </w:pPr>
    </w:p>
    <w:p w:rsidR="009E0654" w:rsidRDefault="00567D37">
      <w:pPr>
        <w:spacing w:after="240"/>
        <w:jc w:val="both"/>
        <w:rPr>
          <w:rFonts w:ascii="Times New Roman" w:hAnsi="Times New Roman"/>
          <w:noProof/>
          <w:lang w:val="bg-BG"/>
        </w:rPr>
      </w:pPr>
      <w:r>
        <w:rPr>
          <w:rFonts w:ascii="Times New Roman" w:hAnsi="Times New Roman"/>
          <w:b/>
          <w:noProof/>
          <w:lang w:val="bg-BG"/>
        </w:rPr>
        <w:t xml:space="preserve">Подходящите национални политики са от съществено </w:t>
      </w:r>
      <w:r>
        <w:rPr>
          <w:rFonts w:ascii="Times New Roman" w:hAnsi="Times New Roman"/>
          <w:b/>
          <w:noProof/>
          <w:lang w:val="bg-BG"/>
        </w:rPr>
        <w:t>значение за гладкото функциониране на един по-интегриран Икономически и паричен съюз.</w:t>
      </w:r>
      <w:r>
        <w:rPr>
          <w:rFonts w:ascii="Times New Roman" w:hAnsi="Times New Roman"/>
          <w:noProof/>
          <w:lang w:val="bg-BG"/>
        </w:rPr>
        <w:t xml:space="preserve"> Тъй като много важни области на политиката, които са от решаващо значение, остават предимно в ръцете на държавите членки, тяхната координация и последователността на пров</w:t>
      </w:r>
      <w:r>
        <w:rPr>
          <w:rFonts w:ascii="Times New Roman" w:hAnsi="Times New Roman"/>
          <w:noProof/>
          <w:lang w:val="bg-BG"/>
        </w:rPr>
        <w:t xml:space="preserve">еждане на реформите в рамките на европейския семестър са от съществено значение за постигане на максимална ефективност не само на национално равнище, но и на равнището на ЕС. </w:t>
      </w:r>
    </w:p>
    <w:p w:rsidR="009E0654" w:rsidRDefault="00567D37">
      <w:pPr>
        <w:spacing w:after="120"/>
        <w:jc w:val="both"/>
        <w:rPr>
          <w:rFonts w:ascii="Times New Roman" w:hAnsi="Times New Roman"/>
          <w:noProof/>
          <w:lang w:val="bg-BG"/>
        </w:rPr>
      </w:pPr>
      <w:r>
        <w:rPr>
          <w:rFonts w:ascii="Times New Roman" w:hAnsi="Times New Roman"/>
          <w:noProof/>
          <w:lang w:val="bg-BG"/>
        </w:rPr>
        <w:t>По-голяма подкрепа за структурните реформи може да се постигне чрез два допълващ</w:t>
      </w:r>
      <w:r>
        <w:rPr>
          <w:rFonts w:ascii="Times New Roman" w:hAnsi="Times New Roman"/>
          <w:noProof/>
          <w:lang w:val="bg-BG"/>
        </w:rPr>
        <w:t>и се елемента:</w:t>
      </w:r>
    </w:p>
    <w:p w:rsidR="009E0654" w:rsidRDefault="00567D37">
      <w:pPr>
        <w:spacing w:after="120"/>
        <w:jc w:val="both"/>
        <w:rPr>
          <w:rFonts w:ascii="Times New Roman" w:hAnsi="Times New Roman"/>
          <w:noProof/>
          <w:lang w:val="bg-BG"/>
        </w:rPr>
      </w:pPr>
      <w:r>
        <w:rPr>
          <w:rFonts w:ascii="Times New Roman" w:hAnsi="Times New Roman"/>
          <w:noProof/>
          <w:lang w:val="bg-BG"/>
        </w:rPr>
        <w:t>а) инструмент за осъществяване на реформи за подкрепа на държавите членки в изпълнението на ангажиментите за реформи и</w:t>
      </w:r>
    </w:p>
    <w:p w:rsidR="009E0654" w:rsidRDefault="00567D37">
      <w:pPr>
        <w:spacing w:after="120"/>
        <w:jc w:val="both"/>
        <w:rPr>
          <w:rFonts w:ascii="Times New Roman" w:hAnsi="Times New Roman"/>
          <w:noProof/>
          <w:lang w:val="bg-BG"/>
        </w:rPr>
      </w:pPr>
      <w:r>
        <w:rPr>
          <w:rFonts w:ascii="Times New Roman" w:hAnsi="Times New Roman"/>
          <w:noProof/>
          <w:lang w:val="bg-BG"/>
        </w:rPr>
        <w:t>б) техническа подкрепа за специфични действия по искане на държавите членки.</w:t>
      </w:r>
    </w:p>
    <w:p w:rsidR="009E0654" w:rsidRDefault="00567D37">
      <w:pPr>
        <w:spacing w:after="240"/>
        <w:jc w:val="both"/>
        <w:rPr>
          <w:rFonts w:ascii="Times New Roman" w:hAnsi="Times New Roman"/>
          <w:i/>
          <w:noProof/>
          <w:lang w:val="bg-BG"/>
        </w:rPr>
      </w:pPr>
      <w:r>
        <w:rPr>
          <w:rFonts w:ascii="Times New Roman" w:hAnsi="Times New Roman"/>
          <w:i/>
          <w:noProof/>
          <w:lang w:val="bg-BG"/>
        </w:rPr>
        <w:br/>
      </w:r>
      <w:r>
        <w:rPr>
          <w:rFonts w:ascii="Times New Roman" w:hAnsi="Times New Roman"/>
          <w:i/>
          <w:noProof/>
          <w:lang w:val="bg-BG"/>
        </w:rPr>
        <w:t xml:space="preserve">Инструмент за осъществяване на реформи за подкрепа на държавите членки в изпълнението на ангажиментите за реформи </w:t>
      </w:r>
    </w:p>
    <w:p w:rsidR="009E0654" w:rsidRDefault="00567D37">
      <w:pPr>
        <w:spacing w:after="240"/>
        <w:jc w:val="both"/>
        <w:rPr>
          <w:rFonts w:ascii="Times New Roman" w:hAnsi="Times New Roman"/>
          <w:noProof/>
          <w:lang w:val="bg-BG"/>
        </w:rPr>
      </w:pPr>
      <w:r>
        <w:rPr>
          <w:rFonts w:ascii="Times New Roman" w:hAnsi="Times New Roman"/>
          <w:b/>
          <w:noProof/>
          <w:lang w:val="bg-BG"/>
        </w:rPr>
        <w:t>С цел да се подпомогнат държавите членки при провеждането на реформите, посочени в контекста на европейския семестър, Комисията възнамерява д</w:t>
      </w:r>
      <w:r>
        <w:rPr>
          <w:rFonts w:ascii="Times New Roman" w:hAnsi="Times New Roman"/>
          <w:b/>
          <w:noProof/>
          <w:lang w:val="bg-BG"/>
        </w:rPr>
        <w:t xml:space="preserve">а предложи нов инструмент за осъществяване на реформи в многогодишната финансова рамка след 2020 г. </w:t>
      </w:r>
      <w:r>
        <w:rPr>
          <w:rFonts w:ascii="Times New Roman" w:hAnsi="Times New Roman"/>
          <w:noProof/>
          <w:lang w:val="bg-BG"/>
        </w:rPr>
        <w:t>Този нов инструмент ще бъде на разположение на държавите членки, които се обвързват с реформи, обсъдени в диалог с Комисията и договорени под формата на анг</w:t>
      </w:r>
      <w:r>
        <w:rPr>
          <w:rFonts w:ascii="Times New Roman" w:hAnsi="Times New Roman"/>
          <w:noProof/>
          <w:lang w:val="bg-BG"/>
        </w:rPr>
        <w:t xml:space="preserve">ажименти за реформи. </w:t>
      </w:r>
    </w:p>
    <w:p w:rsidR="009E0654" w:rsidRDefault="00567D37">
      <w:pPr>
        <w:spacing w:after="240"/>
        <w:jc w:val="both"/>
        <w:rPr>
          <w:rFonts w:ascii="Times New Roman" w:hAnsi="Times New Roman"/>
          <w:b/>
          <w:noProof/>
          <w:lang w:val="bg-BG"/>
        </w:rPr>
      </w:pPr>
      <w:r>
        <w:rPr>
          <w:rFonts w:ascii="Times New Roman" w:hAnsi="Times New Roman"/>
          <w:b/>
          <w:noProof/>
          <w:lang w:val="bg-BG"/>
        </w:rPr>
        <w:t xml:space="preserve">Този нов инструмент за осъществяване на реформи ще бъде в подкрепа на широк кръг от реформи. </w:t>
      </w:r>
      <w:r>
        <w:rPr>
          <w:rFonts w:ascii="Times New Roman" w:hAnsi="Times New Roman"/>
          <w:noProof/>
          <w:lang w:val="bg-BG"/>
        </w:rPr>
        <w:t>Вниманието следва да се съсредоточи върху тези реформи, които могат да допринесат в най-голяма степен за устойчивостта на националните иконом</w:t>
      </w:r>
      <w:r>
        <w:rPr>
          <w:rFonts w:ascii="Times New Roman" w:hAnsi="Times New Roman"/>
          <w:noProof/>
          <w:lang w:val="bg-BG"/>
        </w:rPr>
        <w:t>ики и имат положителни странични ефекти върху други държави членки. Сред тях са реформите на продуктовите пазари и пазарите на труда, данъчните реформи, развитието на капиталовите пазари, реформите за подобряване на бизнес средата, както и инвестициите в ч</w:t>
      </w:r>
      <w:r>
        <w:rPr>
          <w:rFonts w:ascii="Times New Roman" w:hAnsi="Times New Roman"/>
          <w:noProof/>
          <w:lang w:val="bg-BG"/>
        </w:rPr>
        <w:t xml:space="preserve">овешки капитал и реформите на публичната администрация. </w:t>
      </w:r>
    </w:p>
    <w:p w:rsidR="009E0654" w:rsidRDefault="00567D37">
      <w:pPr>
        <w:spacing w:after="240"/>
        <w:jc w:val="both"/>
        <w:rPr>
          <w:rFonts w:ascii="Times New Roman" w:hAnsi="Times New Roman"/>
          <w:b/>
          <w:noProof/>
          <w:lang w:val="bg-BG"/>
        </w:rPr>
      </w:pPr>
      <w:r>
        <w:rPr>
          <w:rFonts w:ascii="Times New Roman" w:hAnsi="Times New Roman"/>
          <w:b/>
          <w:noProof/>
          <w:lang w:val="bg-BG"/>
        </w:rPr>
        <w:t xml:space="preserve">Реформите, които ще бъдат подпомогнати, ще бъдат определени в многогодишни </w:t>
      </w:r>
      <w:r>
        <w:rPr>
          <w:rFonts w:ascii="Times New Roman" w:hAnsi="Times New Roman"/>
          <w:b/>
          <w:i/>
          <w:noProof/>
          <w:lang w:val="bg-BG"/>
        </w:rPr>
        <w:t>пакети с ангажименти за реформи</w:t>
      </w:r>
      <w:r>
        <w:rPr>
          <w:rFonts w:ascii="Times New Roman" w:hAnsi="Times New Roman"/>
          <w:b/>
          <w:noProof/>
          <w:lang w:val="bg-BG"/>
        </w:rPr>
        <w:t xml:space="preserve">, представени и наблюдавани заедно с националните програми за реформи. </w:t>
      </w:r>
      <w:r>
        <w:rPr>
          <w:rFonts w:ascii="Times New Roman" w:hAnsi="Times New Roman"/>
          <w:noProof/>
          <w:lang w:val="bg-BG"/>
        </w:rPr>
        <w:t xml:space="preserve">Ангажиментите за </w:t>
      </w:r>
      <w:r>
        <w:rPr>
          <w:rFonts w:ascii="Times New Roman" w:hAnsi="Times New Roman"/>
          <w:noProof/>
          <w:lang w:val="bg-BG"/>
        </w:rPr>
        <w:t>реформи ще бъдат предложени от самите държави членки и ще включват набор от мерки за реформи с ясни етапни цели и целеви нива (вж. карето по-долу). Държавите членки с прекомерни дисбаланси, установени в процедурата при макроикономически дисбаланси, ще бъда</w:t>
      </w:r>
      <w:r>
        <w:rPr>
          <w:rFonts w:ascii="Times New Roman" w:hAnsi="Times New Roman"/>
          <w:noProof/>
          <w:lang w:val="bg-BG"/>
        </w:rPr>
        <w:t>т поканени да представят такива ангажименти за реформи като начин за справяне с посочените проблеми. Процес на партньорска оценка ще гарантира, че в предложенията за реформи се ползва опитът на други държави членки, както и оценката на Комисията.</w:t>
      </w:r>
    </w:p>
    <w:p w:rsidR="009E0654" w:rsidRDefault="00567D37">
      <w:pPr>
        <w:spacing w:after="240"/>
        <w:jc w:val="both"/>
        <w:rPr>
          <w:rFonts w:ascii="Times New Roman" w:hAnsi="Times New Roman"/>
          <w:b/>
          <w:noProof/>
          <w:lang w:val="bg-BG"/>
        </w:rPr>
      </w:pPr>
      <w:r>
        <w:rPr>
          <w:rFonts w:ascii="Times New Roman" w:hAnsi="Times New Roman"/>
          <w:b/>
          <w:noProof/>
          <w:lang w:val="bg-BG"/>
        </w:rPr>
        <w:t>След като</w:t>
      </w:r>
      <w:r>
        <w:rPr>
          <w:rFonts w:ascii="Times New Roman" w:hAnsi="Times New Roman"/>
          <w:b/>
          <w:noProof/>
          <w:lang w:val="bg-BG"/>
        </w:rPr>
        <w:t xml:space="preserve"> пакетът с ангажименти за реформи бъде договорен, мониторингът и докладването относно изпълнението на етапните цели ще бъдат съгласувани с европейския семестър. </w:t>
      </w:r>
      <w:r>
        <w:rPr>
          <w:rFonts w:ascii="Times New Roman" w:hAnsi="Times New Roman"/>
          <w:noProof/>
          <w:lang w:val="bg-BG"/>
        </w:rPr>
        <w:t>Националните програми за реформи ще бъдат източникът на информация за напредъка и трябва да пре</w:t>
      </w:r>
      <w:r>
        <w:rPr>
          <w:rFonts w:ascii="Times New Roman" w:hAnsi="Times New Roman"/>
          <w:noProof/>
          <w:lang w:val="bg-BG"/>
        </w:rPr>
        <w:t xml:space="preserve">доставят информация относно стъпките към завършването на реформите. Годишните доклади по държави, изготвени от службите на Комисията, ще предоставят актуализирана оценка на напредъка на реформите. Процесът на предоставяне на подпомагане по този инструмент </w:t>
      </w:r>
      <w:r>
        <w:rPr>
          <w:rFonts w:ascii="Times New Roman" w:hAnsi="Times New Roman"/>
          <w:noProof/>
          <w:lang w:val="bg-BG"/>
        </w:rPr>
        <w:t>ще трябва да бъде внимателно обмислен, за да се гарантира, че решението е навременно и включва достатъчна ангажираност.</w:t>
      </w:r>
      <w:r>
        <w:rPr>
          <w:rFonts w:ascii="Times New Roman" w:hAnsi="Times New Roman"/>
          <w:b/>
          <w:noProof/>
          <w:lang w:val="bg-BG"/>
        </w:rPr>
        <w:t xml:space="preserve"> </w:t>
      </w:r>
    </w:p>
    <w:p w:rsidR="009E0654" w:rsidRDefault="00567D37">
      <w:pPr>
        <w:jc w:val="both"/>
        <w:rPr>
          <w:rFonts w:ascii="Times New Roman" w:hAnsi="Times New Roman"/>
          <w:noProof/>
          <w:lang w:val="bg-BG"/>
        </w:rPr>
      </w:pPr>
      <w:r>
        <w:rPr>
          <w:rFonts w:ascii="Times New Roman" w:hAnsi="Times New Roman"/>
          <w:b/>
          <w:noProof/>
          <w:lang w:val="bg-BG"/>
        </w:rPr>
        <w:t>За периода 2018—2020 г. подобна система би могла да бъде изпитана през пилотна фаза</w:t>
      </w:r>
      <w:r>
        <w:rPr>
          <w:rFonts w:ascii="Times New Roman" w:hAnsi="Times New Roman"/>
          <w:noProof/>
          <w:lang w:val="bg-BG"/>
        </w:rPr>
        <w:t xml:space="preserve">, като се предостави възможност на държавите членки </w:t>
      </w:r>
      <w:r>
        <w:rPr>
          <w:rFonts w:ascii="Times New Roman" w:hAnsi="Times New Roman"/>
          <w:noProof/>
          <w:lang w:val="bg-BG"/>
        </w:rPr>
        <w:t>да използват част от резерва за изпълнение на настоящите европейски структурни и инвестиционни фондове с цел да се предостави подкрепа за реформи вместо за конкретни проекти. За тази цел днес, като част от пакета се представят изменения в Регламента за общ</w:t>
      </w:r>
      <w:r>
        <w:rPr>
          <w:rFonts w:ascii="Times New Roman" w:hAnsi="Times New Roman"/>
          <w:noProof/>
          <w:lang w:val="bg-BG"/>
        </w:rPr>
        <w:t>оприложимите разпоредби.</w:t>
      </w:r>
    </w:p>
    <w:p w:rsidR="009E0654" w:rsidRDefault="009E0654">
      <w:pPr>
        <w:jc w:val="both"/>
        <w:rPr>
          <w:rFonts w:ascii="Times New Roman" w:hAnsi="Times New Roman"/>
          <w:noProof/>
          <w:lang w:val="bg-BG"/>
        </w:rPr>
      </w:pPr>
    </w:p>
    <w:p w:rsidR="009E0654" w:rsidRDefault="00567D37">
      <w:pPr>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i/>
          <w:noProof/>
          <w:lang w:val="bg-BG"/>
        </w:rPr>
      </w:pPr>
      <w:r>
        <w:rPr>
          <w:rFonts w:ascii="Times New Roman" w:hAnsi="Times New Roman"/>
          <w:b/>
          <w:noProof/>
          <w:lang w:val="bg-BG"/>
        </w:rPr>
        <w:t>Подкрепа за структурните реформи чрез инструмент за осъществяване на реформи</w:t>
      </w:r>
    </w:p>
    <w:p w:rsidR="009E0654" w:rsidRDefault="00567D37">
      <w:pPr>
        <w:numPr>
          <w:ilvl w:val="0"/>
          <w:numId w:val="22"/>
        </w:numPr>
        <w:pBdr>
          <w:top w:val="single" w:sz="4" w:space="1" w:color="auto"/>
          <w:left w:val="single" w:sz="4" w:space="4" w:color="auto"/>
          <w:bottom w:val="single" w:sz="4" w:space="1" w:color="auto"/>
          <w:right w:val="single" w:sz="4" w:space="4" w:color="auto"/>
        </w:pBdr>
        <w:spacing w:after="240"/>
        <w:jc w:val="both"/>
        <w:rPr>
          <w:rFonts w:ascii="Times New Roman" w:hAnsi="Times New Roman"/>
          <w:i/>
          <w:noProof/>
          <w:lang w:val="bg-BG"/>
        </w:rPr>
      </w:pPr>
      <w:r>
        <w:rPr>
          <w:rFonts w:ascii="Times New Roman" w:hAnsi="Times New Roman"/>
          <w:i/>
          <w:noProof/>
          <w:lang w:val="bg-BG"/>
        </w:rPr>
        <w:t>Съответните структурни реформи следва да бъдат предложени от самите държави членки в контекста на предизвикателствата, установени в рамките на европейски</w:t>
      </w:r>
      <w:r>
        <w:rPr>
          <w:rFonts w:ascii="Times New Roman" w:hAnsi="Times New Roman"/>
          <w:i/>
          <w:noProof/>
          <w:lang w:val="bg-BG"/>
        </w:rPr>
        <w:t>я семестър.</w:t>
      </w:r>
    </w:p>
    <w:p w:rsidR="009E0654" w:rsidRDefault="00567D37">
      <w:pPr>
        <w:numPr>
          <w:ilvl w:val="0"/>
          <w:numId w:val="22"/>
        </w:numPr>
        <w:pBdr>
          <w:top w:val="single" w:sz="4" w:space="1" w:color="auto"/>
          <w:left w:val="single" w:sz="4" w:space="4" w:color="auto"/>
          <w:bottom w:val="single" w:sz="4" w:space="1" w:color="auto"/>
          <w:right w:val="single" w:sz="4" w:space="4" w:color="auto"/>
        </w:pBdr>
        <w:spacing w:after="240"/>
        <w:jc w:val="both"/>
        <w:rPr>
          <w:rFonts w:ascii="Times New Roman" w:hAnsi="Times New Roman"/>
          <w:i/>
          <w:noProof/>
          <w:lang w:val="bg-BG"/>
        </w:rPr>
      </w:pPr>
      <w:r>
        <w:rPr>
          <w:rFonts w:ascii="Times New Roman" w:hAnsi="Times New Roman"/>
          <w:i/>
          <w:noProof/>
          <w:lang w:val="bg-BG"/>
        </w:rPr>
        <w:t>На първия етап, след провеждане на диалог с Комисията, пакетът с ангажименти за реформи ще обхване редица реформи, които ще бъдат приложени в рамките на тригодишен период в началото на многогодишната финансова рамка за програмния период след 20</w:t>
      </w:r>
      <w:r>
        <w:rPr>
          <w:rFonts w:ascii="Times New Roman" w:hAnsi="Times New Roman"/>
          <w:i/>
          <w:noProof/>
          <w:lang w:val="bg-BG"/>
        </w:rPr>
        <w:t xml:space="preserve">20 г. </w:t>
      </w:r>
    </w:p>
    <w:p w:rsidR="009E0654" w:rsidRDefault="00567D37">
      <w:pPr>
        <w:numPr>
          <w:ilvl w:val="0"/>
          <w:numId w:val="22"/>
        </w:numPr>
        <w:pBdr>
          <w:top w:val="single" w:sz="4" w:space="1" w:color="auto"/>
          <w:left w:val="single" w:sz="4" w:space="4" w:color="auto"/>
          <w:bottom w:val="single" w:sz="4" w:space="1" w:color="auto"/>
          <w:right w:val="single" w:sz="4" w:space="4" w:color="auto"/>
        </w:pBdr>
        <w:spacing w:after="240"/>
        <w:jc w:val="both"/>
        <w:rPr>
          <w:rFonts w:ascii="Times New Roman" w:hAnsi="Times New Roman"/>
          <w:i/>
          <w:noProof/>
          <w:lang w:val="bg-BG"/>
        </w:rPr>
      </w:pPr>
      <w:r>
        <w:rPr>
          <w:rFonts w:ascii="Times New Roman" w:hAnsi="Times New Roman"/>
          <w:i/>
          <w:noProof/>
          <w:lang w:val="bg-BG"/>
        </w:rPr>
        <w:t>Договорените пакети с ангажименти за реформи ще предвиждат подробен набор от мерки, етапни цели за изпълнение и график за изпълнени, в рамките на максимален период от три години. Държавите членки ще докладват за напредъка заедно с докладите за своит</w:t>
      </w:r>
      <w:r>
        <w:rPr>
          <w:rFonts w:ascii="Times New Roman" w:hAnsi="Times New Roman"/>
          <w:i/>
          <w:noProof/>
          <w:lang w:val="bg-BG"/>
        </w:rPr>
        <w:t>е национални програми за реформи.</w:t>
      </w:r>
    </w:p>
    <w:p w:rsidR="009E0654" w:rsidRDefault="00567D37">
      <w:pPr>
        <w:numPr>
          <w:ilvl w:val="0"/>
          <w:numId w:val="22"/>
        </w:numPr>
        <w:pBdr>
          <w:top w:val="single" w:sz="4" w:space="1" w:color="auto"/>
          <w:left w:val="single" w:sz="4" w:space="4" w:color="auto"/>
          <w:bottom w:val="single" w:sz="4" w:space="1" w:color="auto"/>
          <w:right w:val="single" w:sz="4" w:space="4" w:color="auto"/>
        </w:pBdr>
        <w:spacing w:after="240"/>
        <w:jc w:val="both"/>
        <w:rPr>
          <w:rFonts w:ascii="Times New Roman" w:hAnsi="Times New Roman"/>
          <w:i/>
          <w:noProof/>
          <w:lang w:val="bg-BG"/>
        </w:rPr>
      </w:pPr>
      <w:r>
        <w:rPr>
          <w:rFonts w:ascii="Times New Roman" w:hAnsi="Times New Roman"/>
          <w:i/>
          <w:noProof/>
          <w:lang w:val="bg-BG"/>
        </w:rPr>
        <w:t>Втори кръг от пакети с ангажименти за реформи би могъл да бъде договорен по време на програмния период, например по искане на ново правителство.</w:t>
      </w:r>
    </w:p>
    <w:p w:rsidR="009E0654" w:rsidRDefault="00567D37">
      <w:pPr>
        <w:numPr>
          <w:ilvl w:val="0"/>
          <w:numId w:val="22"/>
        </w:numPr>
        <w:pBdr>
          <w:top w:val="single" w:sz="4" w:space="1" w:color="auto"/>
          <w:left w:val="single" w:sz="4" w:space="4" w:color="auto"/>
          <w:bottom w:val="single" w:sz="4" w:space="1" w:color="auto"/>
          <w:right w:val="single" w:sz="4" w:space="4" w:color="auto"/>
        </w:pBdr>
        <w:spacing w:after="240"/>
        <w:jc w:val="both"/>
        <w:rPr>
          <w:rFonts w:ascii="Times New Roman" w:hAnsi="Times New Roman"/>
          <w:i/>
          <w:noProof/>
          <w:lang w:val="bg-BG"/>
        </w:rPr>
      </w:pPr>
      <w:r>
        <w:rPr>
          <w:rFonts w:ascii="Times New Roman" w:hAnsi="Times New Roman"/>
          <w:i/>
          <w:noProof/>
          <w:lang w:val="bg-BG"/>
        </w:rPr>
        <w:t>Европейската комисия ще разработи критерии за оценка на напредъка по различни</w:t>
      </w:r>
      <w:r>
        <w:rPr>
          <w:rFonts w:ascii="Times New Roman" w:hAnsi="Times New Roman"/>
          <w:i/>
          <w:noProof/>
          <w:lang w:val="bg-BG"/>
        </w:rPr>
        <w:t>те етапни цели, за да помогне на държавите членки с техните реформи. Количествените и качествените цели и етапните цели ще служат като основа за оценката за финансовата подкрепа.</w:t>
      </w:r>
    </w:p>
    <w:p w:rsidR="009E0654" w:rsidRDefault="00567D37">
      <w:pPr>
        <w:spacing w:after="240"/>
        <w:jc w:val="both"/>
        <w:rPr>
          <w:rFonts w:ascii="Times New Roman" w:hAnsi="Times New Roman"/>
          <w:i/>
          <w:noProof/>
          <w:lang w:val="bg-BG"/>
        </w:rPr>
      </w:pPr>
      <w:r>
        <w:rPr>
          <w:rFonts w:ascii="Times New Roman" w:hAnsi="Times New Roman"/>
          <w:i/>
          <w:noProof/>
          <w:sz w:val="12"/>
          <w:szCs w:val="12"/>
          <w:lang w:val="bg-BG"/>
        </w:rPr>
        <w:br/>
      </w:r>
      <w:r>
        <w:rPr>
          <w:rFonts w:ascii="Times New Roman" w:hAnsi="Times New Roman"/>
          <w:i/>
          <w:noProof/>
          <w:lang w:val="bg-BG"/>
        </w:rPr>
        <w:t>Техническа подкрепа за конкретни действия по искане на държава членка</w:t>
      </w:r>
    </w:p>
    <w:p w:rsidR="009E0654" w:rsidRDefault="00567D37">
      <w:pPr>
        <w:spacing w:after="240"/>
        <w:jc w:val="both"/>
        <w:rPr>
          <w:rFonts w:ascii="Times New Roman" w:hAnsi="Times New Roman"/>
          <w:noProof/>
          <w:lang w:val="bg-BG"/>
        </w:rPr>
      </w:pPr>
      <w:r>
        <w:rPr>
          <w:rFonts w:ascii="Times New Roman" w:hAnsi="Times New Roman"/>
          <w:b/>
          <w:noProof/>
          <w:lang w:val="bg-BG"/>
        </w:rPr>
        <w:t>В допъ</w:t>
      </w:r>
      <w:r>
        <w:rPr>
          <w:rFonts w:ascii="Times New Roman" w:hAnsi="Times New Roman"/>
          <w:b/>
          <w:noProof/>
          <w:lang w:val="bg-BG"/>
        </w:rPr>
        <w:t>лнение, Комисията възнамерява да увеличи значително техническата подкрепа, която предлага на държавите членки за разработването и прилагането на реформи.</w:t>
      </w:r>
      <w:r>
        <w:rPr>
          <w:rFonts w:ascii="Times New Roman" w:hAnsi="Times New Roman"/>
          <w:noProof/>
          <w:lang w:val="bg-BG"/>
        </w:rPr>
        <w:t xml:space="preserve"> От стартирането на Програмата за подкрепа на структурните реформи исканията за подкрепа от държавите ч</w:t>
      </w:r>
      <w:r>
        <w:rPr>
          <w:rFonts w:ascii="Times New Roman" w:hAnsi="Times New Roman"/>
          <w:noProof/>
          <w:lang w:val="bg-BG"/>
        </w:rPr>
        <w:t>ленки значително надвишиха сумата на наличното финансиране за годишните цикли (вж. карето по-долу).</w:t>
      </w:r>
    </w:p>
    <w:p w:rsidR="009E0654" w:rsidRDefault="00567D37">
      <w:pPr>
        <w:spacing w:after="240"/>
        <w:jc w:val="both"/>
        <w:rPr>
          <w:rFonts w:ascii="Times New Roman" w:hAnsi="Times New Roman"/>
          <w:noProof/>
        </w:rPr>
      </w:pPr>
      <w:r>
        <w:rPr>
          <w:rFonts w:ascii="Times New Roman" w:hAnsi="Times New Roman"/>
          <w:b/>
          <w:noProof/>
          <w:lang w:val="bg-BG"/>
        </w:rPr>
        <w:t>Като първа стъпка Комисията предлага да се удвои размерът на финансовия пакет на настоящата Програма за подкрепа на структурните реформи, като по този начин</w:t>
      </w:r>
      <w:r>
        <w:rPr>
          <w:rFonts w:ascii="Times New Roman" w:hAnsi="Times New Roman"/>
          <w:b/>
          <w:noProof/>
          <w:lang w:val="bg-BG"/>
        </w:rPr>
        <w:t xml:space="preserve"> да достигне 300 милиона евро за периода до 2020 г.,</w:t>
      </w:r>
      <w:r>
        <w:rPr>
          <w:rFonts w:ascii="Times New Roman" w:hAnsi="Times New Roman"/>
          <w:noProof/>
          <w:lang w:val="bg-BG"/>
        </w:rPr>
        <w:t>, за покриване на нуждите на държавите членки, които се готвят за присъединяване към еврозоната (вж. по-долу). Това ще даде възможност за бързото предоставяне на допълнителна техническа подкрепа за планир</w:t>
      </w:r>
      <w:r>
        <w:rPr>
          <w:rFonts w:ascii="Times New Roman" w:hAnsi="Times New Roman"/>
          <w:noProof/>
          <w:lang w:val="bg-BG"/>
        </w:rPr>
        <w:t>аните структурни реформи в настоящия момент. Въз основа на този опит Комисията възнамерява също така да предложи програма за последващи действия на Програмата за подкрепа на структурните реформи съгласно многогодишната финансова рамка след 2020 г.</w:t>
      </w:r>
    </w:p>
    <w:p w:rsidR="009E0654" w:rsidRDefault="009E0654">
      <w:pPr>
        <w:spacing w:after="240"/>
        <w:jc w:val="both"/>
        <w:rPr>
          <w:rFonts w:ascii="Times New Roman" w:hAnsi="Times New Roman"/>
          <w:noProof/>
        </w:rPr>
      </w:pPr>
    </w:p>
    <w:p w:rsidR="009E0654" w:rsidRDefault="00567D37">
      <w:pPr>
        <w:pBdr>
          <w:top w:val="single" w:sz="4" w:space="1" w:color="auto"/>
          <w:left w:val="single" w:sz="4" w:space="4" w:color="auto"/>
          <w:bottom w:val="single" w:sz="4" w:space="1" w:color="auto"/>
          <w:right w:val="single" w:sz="4" w:space="4" w:color="auto"/>
        </w:pBdr>
        <w:spacing w:before="120" w:after="120"/>
        <w:jc w:val="both"/>
        <w:rPr>
          <w:rFonts w:ascii="Times New Roman" w:eastAsia="Times New Roman" w:hAnsi="Times New Roman"/>
          <w:b/>
          <w:noProof/>
          <w:lang w:val="bg-BG"/>
        </w:rPr>
      </w:pPr>
      <w:r>
        <w:rPr>
          <w:rFonts w:ascii="Times New Roman" w:hAnsi="Times New Roman"/>
          <w:b/>
          <w:noProof/>
          <w:lang w:val="bg-BG"/>
        </w:rPr>
        <w:t>Програм</w:t>
      </w:r>
      <w:r>
        <w:rPr>
          <w:rFonts w:ascii="Times New Roman" w:hAnsi="Times New Roman"/>
          <w:b/>
          <w:noProof/>
          <w:lang w:val="bg-BG"/>
        </w:rPr>
        <w:t>а за подкрепа на структурните реформи</w:t>
      </w:r>
    </w:p>
    <w:p w:rsidR="009E0654" w:rsidRDefault="00567D37">
      <w:pPr>
        <w:pBdr>
          <w:top w:val="single" w:sz="4" w:space="1" w:color="auto"/>
          <w:left w:val="single" w:sz="4" w:space="4" w:color="auto"/>
          <w:bottom w:val="single" w:sz="4" w:space="1" w:color="auto"/>
          <w:right w:val="single" w:sz="4" w:space="4" w:color="auto"/>
        </w:pBdr>
        <w:spacing w:before="120" w:after="120"/>
        <w:jc w:val="both"/>
        <w:rPr>
          <w:rFonts w:ascii="Times New Roman" w:eastAsia="Times New Roman" w:hAnsi="Times New Roman"/>
          <w:i/>
          <w:noProof/>
          <w:lang w:val="bg-BG"/>
        </w:rPr>
      </w:pPr>
      <w:r>
        <w:rPr>
          <w:rFonts w:ascii="Times New Roman" w:hAnsi="Times New Roman"/>
          <w:i/>
          <w:noProof/>
          <w:lang w:val="bg-BG"/>
        </w:rPr>
        <w:t>Програмата за подкрепа на структурните реформи беше договорена в началото на 2017 г. от Европейския парламент и Съвета по предложение на Комисията. Нейната цел е да се финансира специално адаптирана техническа подкрепа</w:t>
      </w:r>
      <w:r>
        <w:rPr>
          <w:rFonts w:ascii="Times New Roman" w:hAnsi="Times New Roman"/>
          <w:i/>
          <w:noProof/>
          <w:lang w:val="bg-BG"/>
        </w:rPr>
        <w:t xml:space="preserve"> за държавите членки, за да им се помогне с техните планове за реформи. Тя има бюджет от 142,8 милиона евро за периода 2017—2020 г. Подкрепата се предоставя на всички държави членки при искане от тяхна страна и не изисква съфинансиране.</w:t>
      </w:r>
    </w:p>
    <w:p w:rsidR="009E0654" w:rsidRDefault="00567D37">
      <w:pPr>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i/>
          <w:noProof/>
          <w:lang w:val="bg-BG"/>
        </w:rPr>
      </w:pPr>
      <w:r>
        <w:rPr>
          <w:rFonts w:ascii="Times New Roman" w:hAnsi="Times New Roman"/>
          <w:i/>
          <w:noProof/>
          <w:lang w:val="bg-BG"/>
        </w:rPr>
        <w:t>Техническата подкре</w:t>
      </w:r>
      <w:r>
        <w:rPr>
          <w:rFonts w:ascii="Times New Roman" w:hAnsi="Times New Roman"/>
          <w:i/>
          <w:noProof/>
          <w:lang w:val="bg-BG"/>
        </w:rPr>
        <w:t xml:space="preserve">па обхваща реформи в областта на управлението и публичната администрация, управлението на публичните финанси, бизнес средата, пазарите на труда, здравеопазването и социалните услуги, финансовия сектор и достъпа до финансиране. Предложението се основава на </w:t>
      </w:r>
      <w:r>
        <w:rPr>
          <w:rFonts w:ascii="Times New Roman" w:hAnsi="Times New Roman"/>
          <w:i/>
          <w:noProof/>
          <w:lang w:val="bg-BG"/>
        </w:rPr>
        <w:t xml:space="preserve">добрите практики и опит от целия Европейски съюз, както и от международни организации, частния сектор и получения опит в рамките на Комисията. Програмата се осъществява от Службата за подкрепа на структурните реформи към Комисията в сътрудничество с други </w:t>
      </w:r>
      <w:r>
        <w:rPr>
          <w:rFonts w:ascii="Times New Roman" w:hAnsi="Times New Roman"/>
          <w:i/>
          <w:noProof/>
          <w:lang w:val="bg-BG"/>
        </w:rPr>
        <w:t>служби на Комисията и за нея се мобилизират експерти от цяла Европа и извън нея.</w:t>
      </w:r>
    </w:p>
    <w:p w:rsidR="009E0654" w:rsidRDefault="00567D37">
      <w:pPr>
        <w:pBdr>
          <w:top w:val="single" w:sz="4" w:space="1" w:color="auto"/>
          <w:left w:val="single" w:sz="4" w:space="4" w:color="auto"/>
          <w:bottom w:val="single" w:sz="4" w:space="1" w:color="auto"/>
          <w:right w:val="single" w:sz="4" w:space="4" w:color="auto"/>
        </w:pBdr>
        <w:spacing w:before="120" w:after="120"/>
        <w:jc w:val="both"/>
        <w:rPr>
          <w:rFonts w:ascii="Times New Roman" w:eastAsia="Times New Roman" w:hAnsi="Times New Roman"/>
          <w:noProof/>
          <w:lang w:val="bg-BG"/>
        </w:rPr>
      </w:pPr>
      <w:r>
        <w:rPr>
          <w:rFonts w:ascii="Times New Roman" w:hAnsi="Times New Roman"/>
          <w:i/>
          <w:noProof/>
          <w:lang w:val="bg-BG"/>
        </w:rPr>
        <w:t xml:space="preserve">Службата за подкрепа на структурните реформи досега е предоставила подкрепа на 15 държави членки при осъществяването на над 150 проекта. В рамките на цикъла за 2018 г. на </w:t>
      </w:r>
      <w:r>
        <w:rPr>
          <w:rFonts w:ascii="Times New Roman" w:hAnsi="Times New Roman"/>
          <w:i/>
          <w:noProof/>
          <w:lang w:val="bg-BG"/>
        </w:rPr>
        <w:t>Програмата за подкрепа на структурните реформи, Службата за подкрепа на структурните реформи е получила 444 заявления за подкрепа от над 20 държави членки, което води до значително прекомерно търсене спрямо ограничения бюджет на програмата.</w:t>
      </w:r>
    </w:p>
    <w:p w:rsidR="009E0654" w:rsidRDefault="009E0654">
      <w:pPr>
        <w:pStyle w:val="ListParagraph"/>
        <w:jc w:val="both"/>
        <w:rPr>
          <w:rFonts w:ascii="Times New Roman" w:hAnsi="Times New Roman" w:cs="Times New Roman"/>
          <w:b/>
          <w:noProof/>
          <w:u w:val="single"/>
          <w:lang w:val="bg-BG"/>
        </w:rPr>
      </w:pPr>
    </w:p>
    <w:p w:rsidR="009E0654" w:rsidRDefault="009E0654">
      <w:pPr>
        <w:pStyle w:val="ListParagraph"/>
        <w:jc w:val="both"/>
        <w:rPr>
          <w:rFonts w:ascii="Times New Roman" w:hAnsi="Times New Roman" w:cs="Times New Roman"/>
          <w:b/>
          <w:noProof/>
          <w:u w:val="single"/>
          <w:lang w:val="bg-BG"/>
        </w:rPr>
      </w:pPr>
    </w:p>
    <w:p w:rsidR="009E0654" w:rsidRDefault="00567D37">
      <w:pPr>
        <w:pStyle w:val="ListParagraph"/>
        <w:numPr>
          <w:ilvl w:val="0"/>
          <w:numId w:val="34"/>
        </w:numPr>
        <w:jc w:val="both"/>
        <w:rPr>
          <w:rFonts w:ascii="Times New Roman" w:hAnsi="Times New Roman" w:cs="Times New Roman"/>
          <w:b/>
          <w:noProof/>
          <w:u w:val="single"/>
          <w:lang w:val="bg-BG"/>
        </w:rPr>
      </w:pPr>
      <w:r>
        <w:rPr>
          <w:rFonts w:ascii="Times New Roman" w:hAnsi="Times New Roman"/>
          <w:b/>
          <w:noProof/>
          <w:u w:val="single"/>
          <w:lang w:val="bg-BG"/>
        </w:rPr>
        <w:t>СПЕЦИАЛЕН МЕХ</w:t>
      </w:r>
      <w:r>
        <w:rPr>
          <w:rFonts w:ascii="Times New Roman" w:hAnsi="Times New Roman"/>
          <w:b/>
          <w:noProof/>
          <w:u w:val="single"/>
          <w:lang w:val="bg-BG"/>
        </w:rPr>
        <w:t>АНИЗЪМ ЗА СБЛИЖАВАНЕ ЗА ДЪРЖАВИТЕ ЧЛЕНКИ,</w:t>
      </w:r>
      <w:r>
        <w:rPr>
          <w:noProof/>
          <w:lang w:val="bg-BG"/>
        </w:rPr>
        <w:t xml:space="preserve"> </w:t>
      </w:r>
      <w:r>
        <w:rPr>
          <w:rFonts w:ascii="Times New Roman" w:hAnsi="Times New Roman"/>
          <w:b/>
          <w:noProof/>
          <w:u w:val="single"/>
          <w:lang w:val="bg-BG"/>
        </w:rPr>
        <w:t>КОИТО СЕ ГОТВЯТ ЗА ПРИСЪЕДИНЯВАНЕ КЪМ ЕВРОТО</w:t>
      </w:r>
    </w:p>
    <w:p w:rsidR="009E0654" w:rsidRDefault="009E0654">
      <w:pPr>
        <w:pStyle w:val="ListParagraph"/>
        <w:jc w:val="both"/>
        <w:rPr>
          <w:rFonts w:ascii="Times New Roman" w:hAnsi="Times New Roman" w:cs="Times New Roman"/>
          <w:b/>
          <w:noProof/>
          <w:u w:val="single"/>
          <w:lang w:val="bg-BG"/>
        </w:rPr>
      </w:pPr>
    </w:p>
    <w:p w:rsidR="009E0654" w:rsidRDefault="00567D37">
      <w:pPr>
        <w:jc w:val="both"/>
        <w:rPr>
          <w:rFonts w:ascii="Times New Roman" w:hAnsi="Times New Roman"/>
          <w:noProof/>
          <w:lang w:val="bg-BG"/>
        </w:rPr>
      </w:pPr>
      <w:r>
        <w:rPr>
          <w:rFonts w:ascii="Times New Roman" w:hAnsi="Times New Roman"/>
          <w:b/>
          <w:noProof/>
          <w:lang w:val="bg-BG"/>
        </w:rPr>
        <w:t>Еврото е паричната единица на ЕС</w:t>
      </w:r>
      <w:r>
        <w:rPr>
          <w:rStyle w:val="FootnoteReference"/>
          <w:rFonts w:ascii="Times New Roman" w:hAnsi="Times New Roman"/>
          <w:b/>
          <w:noProof/>
          <w:lang w:val="bg-BG"/>
        </w:rPr>
        <w:footnoteReference w:id="19"/>
      </w:r>
      <w:r>
        <w:rPr>
          <w:rFonts w:ascii="Times New Roman" w:hAnsi="Times New Roman"/>
          <w:b/>
          <w:noProof/>
          <w:lang w:val="bg-BG"/>
        </w:rPr>
        <w:t>, а всички държави членки — с изключение на Дания и Обединеното кралство, са правно задължени да се присъединят към еврозоната в крайна</w:t>
      </w:r>
      <w:r>
        <w:rPr>
          <w:rFonts w:ascii="Times New Roman" w:hAnsi="Times New Roman"/>
          <w:b/>
          <w:noProof/>
          <w:lang w:val="bg-BG"/>
        </w:rPr>
        <w:t xml:space="preserve"> сметка.</w:t>
      </w:r>
      <w:r>
        <w:rPr>
          <w:rFonts w:ascii="Times New Roman" w:hAnsi="Times New Roman"/>
          <w:noProof/>
          <w:lang w:val="bg-BG"/>
        </w:rPr>
        <w:t xml:space="preserve"> Както председателят Юнкер каза в своята реч за състоянието на Съюза от 2017 г.: „</w:t>
      </w:r>
      <w:r>
        <w:rPr>
          <w:rStyle w:val="Strong"/>
          <w:rFonts w:ascii="Times New Roman" w:hAnsi="Times New Roman"/>
          <w:b w:val="0"/>
          <w:i/>
          <w:noProof/>
          <w:lang w:val="bg-BG"/>
        </w:rPr>
        <w:t>Еврото</w:t>
      </w:r>
      <w:r>
        <w:rPr>
          <w:rFonts w:ascii="Times New Roman" w:hAnsi="Times New Roman"/>
          <w:b/>
          <w:i/>
          <w:noProof/>
          <w:lang w:val="bg-BG"/>
        </w:rPr>
        <w:t xml:space="preserve"> </w:t>
      </w:r>
      <w:r>
        <w:rPr>
          <w:rStyle w:val="Strong"/>
          <w:rFonts w:ascii="Times New Roman" w:hAnsi="Times New Roman"/>
          <w:b w:val="0"/>
          <w:i/>
          <w:noProof/>
          <w:lang w:val="bg-BG"/>
        </w:rPr>
        <w:t>е замислено като единна валута на Европейския съюз в неговата цялост</w:t>
      </w:r>
      <w:r>
        <w:rPr>
          <w:rFonts w:ascii="Times New Roman" w:hAnsi="Times New Roman"/>
          <w:i/>
          <w:noProof/>
          <w:lang w:val="bg-BG"/>
        </w:rPr>
        <w:t xml:space="preserve">. С изключение само на две държави членки, от всички останали се изисква да се присъединят </w:t>
      </w:r>
      <w:r>
        <w:rPr>
          <w:rFonts w:ascii="Times New Roman" w:hAnsi="Times New Roman"/>
          <w:i/>
          <w:noProof/>
          <w:lang w:val="bg-BG"/>
        </w:rPr>
        <w:t>към еврозоната и те имат правото да го направят веднага щом изпълнят условията</w:t>
      </w:r>
      <w:r>
        <w:rPr>
          <w:rFonts w:ascii="Times New Roman" w:hAnsi="Times New Roman"/>
          <w:noProof/>
          <w:lang w:val="bg-BG"/>
        </w:rPr>
        <w:t xml:space="preserve">.“ </w:t>
      </w:r>
    </w:p>
    <w:p w:rsidR="009E0654" w:rsidRDefault="00567D37">
      <w:pPr>
        <w:jc w:val="both"/>
        <w:rPr>
          <w:rFonts w:ascii="Times New Roman" w:hAnsi="Times New Roman"/>
          <w:b/>
          <w:noProof/>
          <w:lang w:val="bg-BG"/>
        </w:rPr>
      </w:pPr>
      <w:r>
        <w:rPr>
          <w:rFonts w:ascii="Times New Roman" w:hAnsi="Times New Roman"/>
          <w:b/>
          <w:noProof/>
          <w:lang w:val="bg-BG"/>
        </w:rPr>
        <w:t>Както е предвидено в член 140 от Договора за функционирането на ЕС, държавите членки трябва да постигнат висока степен на устойчива конвергенция с оглед приемане на еврото.</w:t>
      </w:r>
      <w:r>
        <w:rPr>
          <w:rFonts w:ascii="Times New Roman" w:hAnsi="Times New Roman"/>
          <w:noProof/>
          <w:lang w:val="bg-BG"/>
        </w:rPr>
        <w:t xml:space="preserve"> Т</w:t>
      </w:r>
      <w:r>
        <w:rPr>
          <w:rFonts w:ascii="Times New Roman" w:hAnsi="Times New Roman"/>
          <w:noProof/>
          <w:lang w:val="bg-BG"/>
        </w:rPr>
        <w:t xml:space="preserve">ова се оценява въз основа на изпълнението на четирите критерия за конвергенция, изброени в член 140 и в Протокол № 13 към Договорите на ЕС. Наред с тези формални критерии, устойчивостта на икономическите структури също е от съществено значение за гладкото </w:t>
      </w:r>
      <w:r>
        <w:rPr>
          <w:rFonts w:ascii="Times New Roman" w:hAnsi="Times New Roman"/>
          <w:noProof/>
          <w:lang w:val="bg-BG"/>
        </w:rPr>
        <w:t xml:space="preserve">преминаване и участие в еврозоната, по-специално за омекотяване на сътресенията.  </w:t>
      </w:r>
    </w:p>
    <w:p w:rsidR="009E0654" w:rsidRDefault="00567D37">
      <w:pPr>
        <w:jc w:val="both"/>
        <w:rPr>
          <w:rFonts w:ascii="Times New Roman" w:hAnsi="Times New Roman"/>
          <w:noProof/>
          <w:lang w:val="bg-BG"/>
        </w:rPr>
      </w:pPr>
      <w:r>
        <w:rPr>
          <w:rFonts w:ascii="Times New Roman" w:hAnsi="Times New Roman"/>
          <w:b/>
          <w:noProof/>
          <w:lang w:val="bg-BG"/>
        </w:rPr>
        <w:t xml:space="preserve">Устойчивостта на икономиките зависи от редица фактори. </w:t>
      </w:r>
      <w:r>
        <w:rPr>
          <w:rFonts w:ascii="Times New Roman" w:hAnsi="Times New Roman"/>
          <w:noProof/>
          <w:lang w:val="bg-BG"/>
        </w:rPr>
        <w:t>Държавите членки следва да управляват бюджетите си в съответствие с принципите на доброто управление на публичните фин</w:t>
      </w:r>
      <w:r>
        <w:rPr>
          <w:rFonts w:ascii="Times New Roman" w:hAnsi="Times New Roman"/>
          <w:noProof/>
          <w:lang w:val="bg-BG"/>
        </w:rPr>
        <w:t>анси, създаването на фискални буфери по време на подем и осигуряването на висока възвръщаемост на публичните разходи, включително чрез добре функциониращи публични администрации.</w:t>
      </w:r>
      <w:r>
        <w:rPr>
          <w:rFonts w:ascii="Times New Roman" w:hAnsi="Times New Roman"/>
          <w:b/>
          <w:noProof/>
          <w:lang w:val="bg-BG"/>
        </w:rPr>
        <w:t xml:space="preserve"> </w:t>
      </w:r>
      <w:r>
        <w:rPr>
          <w:rFonts w:ascii="Times New Roman" w:hAnsi="Times New Roman"/>
          <w:noProof/>
          <w:lang w:val="bg-BG"/>
        </w:rPr>
        <w:t>Техните регулаторни и надзорни институции трябва да имат готовност да участва</w:t>
      </w:r>
      <w:r>
        <w:rPr>
          <w:rFonts w:ascii="Times New Roman" w:hAnsi="Times New Roman"/>
          <w:noProof/>
          <w:lang w:val="bg-BG"/>
        </w:rPr>
        <w:t xml:space="preserve">т в банковия съюз. Правилното функциониране на пазарите на труда и на продуктовите пазари следва да позволява бързото разрастване на нови дейности и високи равнища на заетост и производителност. </w:t>
      </w:r>
    </w:p>
    <w:p w:rsidR="009E0654" w:rsidRDefault="00567D37">
      <w:pPr>
        <w:jc w:val="both"/>
        <w:rPr>
          <w:rFonts w:ascii="Times New Roman" w:hAnsi="Times New Roman"/>
          <w:b/>
          <w:noProof/>
          <w:lang w:val="bg-BG"/>
        </w:rPr>
      </w:pPr>
      <w:r>
        <w:rPr>
          <w:rFonts w:ascii="Times New Roman" w:hAnsi="Times New Roman"/>
          <w:b/>
          <w:noProof/>
          <w:lang w:val="bg-BG"/>
        </w:rPr>
        <w:t xml:space="preserve">Като част от своите дейности за техническа помощ, Комисията </w:t>
      </w:r>
      <w:r>
        <w:rPr>
          <w:rFonts w:ascii="Times New Roman" w:hAnsi="Times New Roman"/>
          <w:b/>
          <w:noProof/>
          <w:lang w:val="bg-BG"/>
        </w:rPr>
        <w:t xml:space="preserve">предлага да се създаде специален работен процес за предоставяне на целева подкрепа на държавите членки, които се готвят за присъединяване към еврото. </w:t>
      </w:r>
      <w:r>
        <w:rPr>
          <w:rFonts w:ascii="Times New Roman" w:hAnsi="Times New Roman"/>
          <w:noProof/>
          <w:lang w:val="bg-BG"/>
        </w:rPr>
        <w:t>Техническата подкрепа ще бъде предоставена при поискване и ще обхваща всички политики, които могат да помо</w:t>
      </w:r>
      <w:r>
        <w:rPr>
          <w:rFonts w:ascii="Times New Roman" w:hAnsi="Times New Roman"/>
          <w:noProof/>
          <w:lang w:val="bg-BG"/>
        </w:rPr>
        <w:t>гнат за постигане на висока степен на сближаване, като например подкрепа за реформите в областта на управлението на публичните финанси, бизнес средата, финансовия сектор, пазара на труда и продуктовите пазари, както и публичната администрация. Тази техниче</w:t>
      </w:r>
      <w:r>
        <w:rPr>
          <w:rFonts w:ascii="Times New Roman" w:hAnsi="Times New Roman"/>
          <w:noProof/>
          <w:lang w:val="bg-BG"/>
        </w:rPr>
        <w:t>ска подкрепа ще бъде финансирана чрез Програмата за подкрепа на структурните реформи. Тя ще бъде изцяло на доброволна основа и без съфинансиране от държавите членки бенефициери. Това предложение е отразено в изменението на Регламента за Програмата за подкр</w:t>
      </w:r>
      <w:r>
        <w:rPr>
          <w:rFonts w:ascii="Times New Roman" w:hAnsi="Times New Roman"/>
          <w:noProof/>
          <w:lang w:val="bg-BG"/>
        </w:rPr>
        <w:t xml:space="preserve">епа на структурните реформи, представено заедно с настоящия пакет. </w:t>
      </w:r>
    </w:p>
    <w:p w:rsidR="009E0654" w:rsidRDefault="00567D37">
      <w:pPr>
        <w:jc w:val="both"/>
        <w:rPr>
          <w:rFonts w:ascii="Times New Roman" w:hAnsi="Times New Roman"/>
          <w:noProof/>
          <w:lang w:val="bg-BG"/>
        </w:rPr>
      </w:pPr>
      <w:r>
        <w:rPr>
          <w:rFonts w:ascii="Times New Roman" w:hAnsi="Times New Roman"/>
          <w:b/>
          <w:noProof/>
          <w:lang w:val="bg-BG"/>
        </w:rPr>
        <w:t>За периода след 2020 г. Комисията ще предложи специален механизъм за сближаване</w:t>
      </w:r>
      <w:r>
        <w:rPr>
          <w:rFonts w:ascii="Times New Roman" w:hAnsi="Times New Roman"/>
          <w:noProof/>
          <w:lang w:val="bg-BG"/>
        </w:rPr>
        <w:t xml:space="preserve"> като част от последващите действия във връзка с Програмата за подкрепа на структурните реформи, за да се под</w:t>
      </w:r>
      <w:r>
        <w:rPr>
          <w:rFonts w:ascii="Times New Roman" w:hAnsi="Times New Roman"/>
          <w:noProof/>
          <w:lang w:val="bg-BG"/>
        </w:rPr>
        <w:t>помогнат държавите членки в тяхната конкретна подготовка за успешно участие в еврозоната. Това е независимо от формалния процес за приемане на еврото, който е част от специфичен процес на мониторинг.</w:t>
      </w:r>
      <w:r>
        <w:rPr>
          <w:rStyle w:val="FootnoteReference"/>
          <w:rFonts w:ascii="Times New Roman" w:hAnsi="Times New Roman"/>
          <w:noProof/>
          <w:lang w:val="bg-BG"/>
        </w:rPr>
        <w:footnoteReference w:id="20"/>
      </w:r>
      <w:r>
        <w:rPr>
          <w:rFonts w:ascii="Times New Roman" w:hAnsi="Times New Roman"/>
          <w:noProof/>
          <w:lang w:val="bg-BG"/>
        </w:rPr>
        <w:t xml:space="preserve"> </w:t>
      </w:r>
    </w:p>
    <w:p w:rsidR="009E0654" w:rsidRDefault="00567D37">
      <w:pPr>
        <w:jc w:val="both"/>
        <w:rPr>
          <w:rFonts w:ascii="Times New Roman" w:hAnsi="Times New Roman"/>
          <w:noProof/>
          <w:lang w:val="bg-BG"/>
        </w:rPr>
      </w:pPr>
      <w:r>
        <w:rPr>
          <w:rFonts w:ascii="Times New Roman" w:hAnsi="Times New Roman"/>
          <w:b/>
          <w:noProof/>
          <w:color w:val="000000"/>
          <w:lang w:val="bg-BG"/>
        </w:rPr>
        <w:t xml:space="preserve">Въпросните държави </w:t>
      </w:r>
      <w:r>
        <w:rPr>
          <w:rFonts w:ascii="Times New Roman" w:hAnsi="Times New Roman"/>
          <w:b/>
          <w:noProof/>
          <w:lang w:val="bg-BG"/>
        </w:rPr>
        <w:t>членки</w:t>
      </w:r>
      <w:r>
        <w:rPr>
          <w:rFonts w:ascii="Times New Roman" w:hAnsi="Times New Roman"/>
          <w:b/>
          <w:noProof/>
          <w:color w:val="000000"/>
          <w:lang w:val="bg-BG"/>
        </w:rPr>
        <w:t xml:space="preserve"> могат </w:t>
      </w:r>
      <w:r>
        <w:rPr>
          <w:rFonts w:ascii="Times New Roman" w:hAnsi="Times New Roman"/>
          <w:b/>
          <w:noProof/>
          <w:lang w:val="bg-BG"/>
        </w:rPr>
        <w:t xml:space="preserve">също да решат, още </w:t>
      </w:r>
      <w:r>
        <w:rPr>
          <w:rFonts w:ascii="Times New Roman" w:hAnsi="Times New Roman"/>
          <w:b/>
          <w:noProof/>
          <w:lang w:val="bg-BG"/>
        </w:rPr>
        <w:t>отсега, да препрограмират част от своя бюджет за техническа помощ, наличен по линия на европейските структурни и инвестиционни фондове,</w:t>
      </w:r>
      <w:r>
        <w:rPr>
          <w:rFonts w:ascii="Times New Roman" w:hAnsi="Times New Roman"/>
          <w:noProof/>
          <w:lang w:val="bg-BG"/>
        </w:rPr>
        <w:t xml:space="preserve"> за проекти, които да бъдат подкрепени от</w:t>
      </w:r>
      <w:r>
        <w:rPr>
          <w:rFonts w:ascii="Times New Roman" w:hAnsi="Times New Roman"/>
          <w:noProof/>
          <w:color w:val="000000"/>
          <w:lang w:val="bg-BG"/>
        </w:rPr>
        <w:t xml:space="preserve"> Службата за подкрепа на структурните реформи</w:t>
      </w:r>
      <w:r>
        <w:rPr>
          <w:rFonts w:ascii="Times New Roman" w:hAnsi="Times New Roman"/>
          <w:noProof/>
          <w:lang w:val="bg-BG"/>
        </w:rPr>
        <w:t xml:space="preserve">. Напредъкът </w:t>
      </w:r>
      <w:r>
        <w:rPr>
          <w:rFonts w:ascii="Times New Roman" w:hAnsi="Times New Roman"/>
          <w:noProof/>
          <w:color w:val="000000"/>
          <w:lang w:val="bg-BG"/>
        </w:rPr>
        <w:t xml:space="preserve">по </w:t>
      </w:r>
      <w:r>
        <w:rPr>
          <w:rFonts w:ascii="Times New Roman" w:hAnsi="Times New Roman"/>
          <w:noProof/>
          <w:lang w:val="bg-BG"/>
        </w:rPr>
        <w:t>отношение на реформ</w:t>
      </w:r>
      <w:r>
        <w:rPr>
          <w:rFonts w:ascii="Times New Roman" w:hAnsi="Times New Roman"/>
          <w:noProof/>
          <w:lang w:val="bg-BG"/>
        </w:rPr>
        <w:t>ите на място, включително този, свързан</w:t>
      </w:r>
      <w:r>
        <w:rPr>
          <w:rFonts w:ascii="Times New Roman" w:hAnsi="Times New Roman"/>
          <w:noProof/>
          <w:color w:val="000000"/>
          <w:lang w:val="bg-BG"/>
        </w:rPr>
        <w:t xml:space="preserve"> с </w:t>
      </w:r>
      <w:r>
        <w:rPr>
          <w:rFonts w:ascii="Times New Roman" w:hAnsi="Times New Roman"/>
          <w:noProof/>
          <w:lang w:val="bg-BG"/>
        </w:rPr>
        <w:t>инструмента за осъществяване на реформи, представен по-горе,</w:t>
      </w:r>
      <w:r>
        <w:rPr>
          <w:rFonts w:ascii="Times New Roman" w:hAnsi="Times New Roman"/>
          <w:noProof/>
          <w:color w:val="000000"/>
          <w:lang w:val="bg-BG"/>
        </w:rPr>
        <w:t xml:space="preserve"> ще </w:t>
      </w:r>
      <w:r>
        <w:rPr>
          <w:rFonts w:ascii="Times New Roman" w:hAnsi="Times New Roman"/>
          <w:noProof/>
          <w:lang w:val="bg-BG"/>
        </w:rPr>
        <w:t>продължи</w:t>
      </w:r>
      <w:r>
        <w:rPr>
          <w:rFonts w:ascii="Times New Roman" w:hAnsi="Times New Roman"/>
          <w:noProof/>
          <w:color w:val="000000"/>
          <w:lang w:val="bg-BG"/>
        </w:rPr>
        <w:t xml:space="preserve"> да </w:t>
      </w:r>
      <w:r>
        <w:rPr>
          <w:rFonts w:ascii="Times New Roman" w:hAnsi="Times New Roman"/>
          <w:noProof/>
          <w:lang w:val="bg-BG"/>
        </w:rPr>
        <w:t>бъде внимателно наблюдаван в контекста на европейския семестър.</w:t>
      </w:r>
    </w:p>
    <w:p w:rsidR="009E0654" w:rsidRDefault="009E0654">
      <w:pPr>
        <w:spacing w:after="0"/>
        <w:jc w:val="both"/>
        <w:rPr>
          <w:rFonts w:ascii="Times New Roman" w:hAnsi="Times New Roman"/>
          <w:noProof/>
          <w:lang w:val="bg-BG"/>
        </w:rPr>
      </w:pPr>
    </w:p>
    <w:p w:rsidR="009E0654" w:rsidRDefault="00567D37">
      <w:pPr>
        <w:pStyle w:val="ListParagraph"/>
        <w:numPr>
          <w:ilvl w:val="0"/>
          <w:numId w:val="34"/>
        </w:numPr>
        <w:ind w:hanging="720"/>
        <w:rPr>
          <w:rFonts w:ascii="Times New Roman" w:hAnsi="Times New Roman" w:cs="Times New Roman"/>
          <w:b/>
          <w:noProof/>
          <w:u w:val="single"/>
          <w:lang w:val="bg-BG"/>
        </w:rPr>
      </w:pPr>
      <w:r>
        <w:rPr>
          <w:rFonts w:ascii="Times New Roman" w:hAnsi="Times New Roman"/>
          <w:b/>
          <w:noProof/>
          <w:u w:val="single"/>
          <w:lang w:val="bg-BG"/>
        </w:rPr>
        <w:t xml:space="preserve">МЕХАНИЗЪМ ЗА ПОДКРЕПА НА БАНКОВИЯ СЪЮЗ </w:t>
      </w:r>
    </w:p>
    <w:p w:rsidR="009E0654" w:rsidRDefault="009E0654">
      <w:pPr>
        <w:pStyle w:val="ListParagraph"/>
        <w:jc w:val="both"/>
        <w:rPr>
          <w:rFonts w:ascii="Times New Roman" w:hAnsi="Times New Roman" w:cs="Times New Roman"/>
          <w:b/>
          <w:noProof/>
          <w:lang w:val="bg-BG"/>
        </w:rPr>
      </w:pPr>
    </w:p>
    <w:p w:rsidR="009E0654" w:rsidRDefault="00567D37">
      <w:pPr>
        <w:jc w:val="both"/>
        <w:rPr>
          <w:rFonts w:ascii="Times New Roman" w:hAnsi="Times New Roman"/>
          <w:b/>
          <w:i/>
          <w:noProof/>
          <w:lang w:val="bg-BG"/>
        </w:rPr>
      </w:pPr>
      <w:r>
        <w:rPr>
          <w:rFonts w:ascii="Times New Roman" w:hAnsi="Times New Roman"/>
          <w:b/>
          <w:noProof/>
          <w:lang w:val="bg-BG"/>
        </w:rPr>
        <w:t xml:space="preserve">Създаването на механизъм за </w:t>
      </w:r>
      <w:r>
        <w:rPr>
          <w:rFonts w:ascii="Times New Roman" w:hAnsi="Times New Roman"/>
          <w:b/>
          <w:noProof/>
          <w:lang w:val="bg-BG"/>
        </w:rPr>
        <w:t>подкрепа за Единния фонд за преструктуриране беше договорено от държавите членки през 2013 г.</w:t>
      </w:r>
      <w:r>
        <w:rPr>
          <w:rFonts w:ascii="Times New Roman" w:hAnsi="Times New Roman"/>
          <w:noProof/>
          <w:lang w:val="bg-BG"/>
        </w:rPr>
        <w:t>, като допълнение към политическото споразумение относно Регламента за Единния механизъм за преструктуриране</w:t>
      </w:r>
      <w:r>
        <w:rPr>
          <w:rStyle w:val="FootnoteReference"/>
          <w:rFonts w:ascii="Times New Roman" w:hAnsi="Times New Roman"/>
          <w:noProof/>
          <w:lang w:val="bg-BG"/>
        </w:rPr>
        <w:footnoteReference w:id="21"/>
      </w:r>
      <w:r>
        <w:rPr>
          <w:rFonts w:ascii="Times New Roman" w:hAnsi="Times New Roman"/>
          <w:noProof/>
          <w:lang w:val="bg-BG"/>
        </w:rPr>
        <w:t>. Като крайно средство за застраховане в случай на пре</w:t>
      </w:r>
      <w:r>
        <w:rPr>
          <w:rFonts w:ascii="Times New Roman" w:hAnsi="Times New Roman"/>
          <w:noProof/>
          <w:lang w:val="bg-BG"/>
        </w:rPr>
        <w:t>структуриране на банка, общият механизъм за подкрепа ще се задейства само в случай че средствата, налични в Единния фонд за преструктуриране, не са достатъчни за финансиране на преструктурирането на въпросната(ите) банка(и). Това ще засили доверието на вси</w:t>
      </w:r>
      <w:r>
        <w:rPr>
          <w:rFonts w:ascii="Times New Roman" w:hAnsi="Times New Roman"/>
          <w:noProof/>
          <w:lang w:val="bg-BG"/>
        </w:rPr>
        <w:t>чки заинтересовани страни в действията, които трябва да бъдат предприети от Единния съвет за преструктуриране.</w:t>
      </w:r>
    </w:p>
    <w:p w:rsidR="009E0654" w:rsidRDefault="00567D37">
      <w:pPr>
        <w:jc w:val="both"/>
        <w:rPr>
          <w:rFonts w:ascii="Times New Roman" w:hAnsi="Times New Roman"/>
          <w:b/>
          <w:noProof/>
          <w:lang w:val="bg-BG"/>
        </w:rPr>
      </w:pPr>
      <w:r>
        <w:rPr>
          <w:rFonts w:ascii="Times New Roman" w:hAnsi="Times New Roman"/>
          <w:b/>
          <w:noProof/>
          <w:lang w:val="bg-BG"/>
        </w:rPr>
        <w:t>Четири години по-късно този механизъм за подкрепа все още не функционира.</w:t>
      </w:r>
      <w:r>
        <w:rPr>
          <w:rFonts w:ascii="Times New Roman" w:hAnsi="Times New Roman"/>
          <w:noProof/>
          <w:lang w:val="bg-BG"/>
        </w:rPr>
        <w:t xml:space="preserve"> В речта за състоянието на Съюза от септември 2017 г. и в Съобщението от</w:t>
      </w:r>
      <w:r>
        <w:rPr>
          <w:rFonts w:ascii="Times New Roman" w:hAnsi="Times New Roman"/>
          <w:noProof/>
          <w:lang w:val="bg-BG"/>
        </w:rPr>
        <w:t>носно завършването на банковия съюз от октомври 2017 г.</w:t>
      </w:r>
      <w:r>
        <w:rPr>
          <w:rStyle w:val="FootnoteReference"/>
          <w:rFonts w:ascii="Times New Roman" w:hAnsi="Times New Roman"/>
          <w:noProof/>
          <w:lang w:val="bg-BG"/>
        </w:rPr>
        <w:footnoteReference w:id="22"/>
      </w:r>
      <w:r>
        <w:rPr>
          <w:rFonts w:ascii="Times New Roman" w:hAnsi="Times New Roman"/>
          <w:noProof/>
          <w:lang w:val="bg-BG"/>
        </w:rPr>
        <w:t xml:space="preserve"> бе подчертана приоритетната необходимост този механизъм за подкрепа да започне да функционира. </w:t>
      </w:r>
    </w:p>
    <w:p w:rsidR="009E0654" w:rsidRDefault="00567D37">
      <w:pPr>
        <w:jc w:val="both"/>
        <w:rPr>
          <w:rFonts w:ascii="Times New Roman" w:hAnsi="Times New Roman"/>
          <w:i/>
          <w:noProof/>
          <w:lang w:val="bg-BG"/>
        </w:rPr>
      </w:pPr>
      <w:r>
        <w:rPr>
          <w:rFonts w:ascii="Times New Roman" w:hAnsi="Times New Roman"/>
          <w:b/>
          <w:noProof/>
          <w:lang w:val="bg-BG"/>
        </w:rPr>
        <w:t>В Документа за размисъл относно задълбочаването на Икономическия и паричен съюз бяха установени определ</w:t>
      </w:r>
      <w:r>
        <w:rPr>
          <w:rFonts w:ascii="Times New Roman" w:hAnsi="Times New Roman"/>
          <w:b/>
          <w:noProof/>
          <w:lang w:val="bg-BG"/>
        </w:rPr>
        <w:t>ени критерии, на които трябва да отговаря механизмът за подкрепа, за да функционира в случай на криза.</w:t>
      </w:r>
      <w:r>
        <w:rPr>
          <w:rFonts w:ascii="Times New Roman" w:hAnsi="Times New Roman"/>
          <w:noProof/>
          <w:lang w:val="bg-BG"/>
        </w:rPr>
        <w:t xml:space="preserve"> Той следва да е достатъчно голям, за да бъде в състояние да изпълни своята роля и да може да бъде задействан бързо в период на криза. Също така следва да</w:t>
      </w:r>
      <w:r>
        <w:rPr>
          <w:rFonts w:ascii="Times New Roman" w:hAnsi="Times New Roman"/>
          <w:noProof/>
          <w:lang w:val="bg-BG"/>
        </w:rPr>
        <w:t xml:space="preserve"> бъде неутрален от данъчна гледна точка, като се има предвид, че в Регламента за Единния механизъм за преструктуриране се посочва, че банковият сектор в банковия съюз трябва да възстанови всички потенциални плащания от Единния фонд за преструктуриране. </w:t>
      </w:r>
    </w:p>
    <w:p w:rsidR="009E0654" w:rsidRDefault="00567D37">
      <w:pPr>
        <w:keepNext/>
        <w:jc w:val="both"/>
        <w:rPr>
          <w:rFonts w:ascii="Times New Roman" w:hAnsi="Times New Roman"/>
          <w:b/>
          <w:noProof/>
          <w:lang w:val="bg-BG"/>
        </w:rPr>
      </w:pPr>
      <w:r>
        <w:rPr>
          <w:rFonts w:ascii="Times New Roman" w:hAnsi="Times New Roman"/>
          <w:i/>
          <w:noProof/>
          <w:lang w:val="bg-BG"/>
        </w:rPr>
        <w:t>Общ механизъм за подкрепа чрез Европейския механизъм за стабилност/Европейския паричен фонд</w:t>
      </w:r>
    </w:p>
    <w:p w:rsidR="009E0654" w:rsidRDefault="00567D37">
      <w:pPr>
        <w:jc w:val="both"/>
        <w:rPr>
          <w:rFonts w:ascii="Times New Roman" w:hAnsi="Times New Roman"/>
          <w:b/>
          <w:noProof/>
          <w:lang w:val="bg-BG"/>
        </w:rPr>
      </w:pPr>
      <w:r>
        <w:rPr>
          <w:rFonts w:ascii="Times New Roman" w:hAnsi="Times New Roman"/>
          <w:b/>
          <w:noProof/>
          <w:lang w:val="bg-BG"/>
        </w:rPr>
        <w:t>Днес Комисията представя предложение за създаване на Европейски паричен фонд</w:t>
      </w:r>
      <w:r>
        <w:rPr>
          <w:rFonts w:ascii="Times New Roman" w:hAnsi="Times New Roman"/>
          <w:noProof/>
          <w:lang w:val="bg-BG"/>
        </w:rPr>
        <w:t>, което предвижда, че бъдещият Европейски паричен фонд следва да предоставя кредитна лин</w:t>
      </w:r>
      <w:r>
        <w:rPr>
          <w:rFonts w:ascii="Times New Roman" w:hAnsi="Times New Roman"/>
          <w:noProof/>
          <w:lang w:val="bg-BG"/>
        </w:rPr>
        <w:t xml:space="preserve">ия или гаранции пряко на Единния фонд за преструктуриране. </w:t>
      </w:r>
    </w:p>
    <w:p w:rsidR="009E0654" w:rsidRDefault="00567D37">
      <w:pPr>
        <w:jc w:val="both"/>
        <w:rPr>
          <w:rFonts w:ascii="Times New Roman" w:hAnsi="Times New Roman"/>
          <w:b/>
          <w:noProof/>
          <w:shd w:val="clear" w:color="auto" w:fill="FFFF00"/>
          <w:lang w:val="bg-BG"/>
        </w:rPr>
      </w:pPr>
      <w:r>
        <w:rPr>
          <w:rFonts w:ascii="Times New Roman" w:hAnsi="Times New Roman"/>
          <w:b/>
          <w:noProof/>
          <w:lang w:val="bg-BG"/>
        </w:rPr>
        <w:t xml:space="preserve">Повечето държави членки изразиха подкрепа за интегрирането на функцията на механизма за подкрепа в Европейския механизъм за стабилност. </w:t>
      </w:r>
      <w:r>
        <w:rPr>
          <w:rFonts w:ascii="Times New Roman" w:hAnsi="Times New Roman"/>
          <w:noProof/>
          <w:lang w:val="bg-BG"/>
        </w:rPr>
        <w:t>Комисията приветства вече извършената подготвителната технич</w:t>
      </w:r>
      <w:r>
        <w:rPr>
          <w:rFonts w:ascii="Times New Roman" w:hAnsi="Times New Roman"/>
          <w:noProof/>
          <w:lang w:val="bg-BG"/>
        </w:rPr>
        <w:t xml:space="preserve">еска работа за тази цел. Това е най-прагматичното и ефикасно решение. Европейският механизъм за стабилност (в бъдеще Европейският паричен фонд) ще се основава на своя опит и доказани резултати в използването възможностите на пазарите, дори в среда, криеща </w:t>
      </w:r>
      <w:r>
        <w:rPr>
          <w:rFonts w:ascii="Times New Roman" w:hAnsi="Times New Roman"/>
          <w:noProof/>
          <w:lang w:val="bg-BG"/>
        </w:rPr>
        <w:t xml:space="preserve">предизвикателства. </w:t>
      </w:r>
    </w:p>
    <w:p w:rsidR="009E0654" w:rsidRDefault="00567D37">
      <w:pPr>
        <w:jc w:val="both"/>
        <w:rPr>
          <w:rFonts w:ascii="Times New Roman" w:hAnsi="Times New Roman"/>
          <w:i/>
          <w:noProof/>
          <w:lang w:val="bg-BG"/>
        </w:rPr>
      </w:pPr>
      <w:r>
        <w:rPr>
          <w:rFonts w:ascii="Times New Roman" w:hAnsi="Times New Roman"/>
          <w:b/>
          <w:noProof/>
          <w:lang w:val="bg-BG"/>
        </w:rPr>
        <w:t xml:space="preserve">Това споразумение следва да бъде разширено, така че да се включат на равни начала всички членове на банковия съюз. </w:t>
      </w:r>
      <w:r>
        <w:rPr>
          <w:rFonts w:ascii="Times New Roman" w:hAnsi="Times New Roman"/>
          <w:noProof/>
          <w:lang w:val="bg-BG"/>
        </w:rPr>
        <w:t xml:space="preserve">Всеки път, когато нова държава членка се присъедини към банковия съюз, без да се присъедини към еврозоната, тя следва да </w:t>
      </w:r>
      <w:r>
        <w:rPr>
          <w:rFonts w:ascii="Times New Roman" w:hAnsi="Times New Roman"/>
          <w:noProof/>
          <w:lang w:val="bg-BG"/>
        </w:rPr>
        <w:t xml:space="preserve">осигури национален паралелен инструмент, който да действа заедно с подкрепата на Европейския паричен фонд за Единния фонд за преструктуриране. Подходящите мерки за управление ще гарантират, че законните интереси на държавите членки извън еврозоната, които </w:t>
      </w:r>
      <w:r>
        <w:rPr>
          <w:rFonts w:ascii="Times New Roman" w:hAnsi="Times New Roman"/>
          <w:noProof/>
          <w:lang w:val="bg-BG"/>
        </w:rPr>
        <w:t>участват в банковия съюз, са взети предвид. Това е предвидено в днешното предложение за създаване на Европейски паричен фонд.</w:t>
      </w:r>
    </w:p>
    <w:p w:rsidR="009E0654" w:rsidRDefault="00567D37">
      <w:pPr>
        <w:jc w:val="both"/>
        <w:rPr>
          <w:rFonts w:ascii="Times New Roman" w:hAnsi="Times New Roman"/>
          <w:b/>
          <w:noProof/>
          <w:lang w:val="bg-BG"/>
        </w:rPr>
      </w:pPr>
      <w:r>
        <w:rPr>
          <w:rFonts w:ascii="Times New Roman" w:hAnsi="Times New Roman"/>
          <w:i/>
          <w:noProof/>
          <w:lang w:val="bg-BG"/>
        </w:rPr>
        <w:t>Управление</w:t>
      </w:r>
    </w:p>
    <w:p w:rsidR="009E0654" w:rsidRDefault="00567D37">
      <w:pPr>
        <w:jc w:val="both"/>
        <w:rPr>
          <w:rFonts w:ascii="Times New Roman" w:hAnsi="Times New Roman"/>
          <w:b/>
          <w:noProof/>
          <w:lang w:val="bg-BG"/>
        </w:rPr>
      </w:pPr>
      <w:r>
        <w:rPr>
          <w:rFonts w:ascii="Times New Roman" w:hAnsi="Times New Roman"/>
          <w:b/>
          <w:noProof/>
          <w:lang w:val="bg-BG"/>
        </w:rPr>
        <w:t>Като се има предвид важността да се управлява неплатежоспособността на дадена банка, като същевременно се избегне евент</w:t>
      </w:r>
      <w:r>
        <w:rPr>
          <w:rFonts w:ascii="Times New Roman" w:hAnsi="Times New Roman"/>
          <w:b/>
          <w:noProof/>
          <w:lang w:val="bg-BG"/>
        </w:rPr>
        <w:t>уална верижна реакция или нарушаване на финансовата стабилност, в Регламента за Единния механизъм за преструктуриране се предвиждат специфични условия за вземане на решения.</w:t>
      </w:r>
      <w:r>
        <w:rPr>
          <w:rFonts w:ascii="Times New Roman" w:hAnsi="Times New Roman"/>
          <w:noProof/>
          <w:lang w:val="bg-BG"/>
        </w:rPr>
        <w:t xml:space="preserve"> Процедурите за вземане на решения за приемането на схема за преструктуриране подле</w:t>
      </w:r>
      <w:r>
        <w:rPr>
          <w:rFonts w:ascii="Times New Roman" w:hAnsi="Times New Roman"/>
          <w:noProof/>
          <w:lang w:val="bg-BG"/>
        </w:rPr>
        <w:t>жат на кратки срокове, така че да могат да бъдат приключени, когато е необходимо, за една нощ, преди отваряне на пазарите</w:t>
      </w:r>
      <w:r>
        <w:rPr>
          <w:rStyle w:val="FootnoteReference"/>
          <w:rFonts w:ascii="Times New Roman" w:hAnsi="Times New Roman"/>
          <w:noProof/>
          <w:lang w:val="bg-BG"/>
        </w:rPr>
        <w:footnoteReference w:id="23"/>
      </w:r>
      <w:r>
        <w:rPr>
          <w:rFonts w:ascii="Times New Roman" w:hAnsi="Times New Roman"/>
          <w:noProof/>
          <w:lang w:val="bg-BG"/>
        </w:rPr>
        <w:t xml:space="preserve">.  </w:t>
      </w:r>
    </w:p>
    <w:p w:rsidR="009E0654" w:rsidRDefault="00567D37">
      <w:pPr>
        <w:jc w:val="both"/>
        <w:rPr>
          <w:rFonts w:ascii="Times New Roman" w:hAnsi="Times New Roman"/>
          <w:noProof/>
          <w:lang w:val="bg-BG"/>
        </w:rPr>
      </w:pPr>
      <w:r>
        <w:rPr>
          <w:rFonts w:ascii="Times New Roman" w:hAnsi="Times New Roman"/>
          <w:b/>
          <w:noProof/>
          <w:lang w:val="bg-BG"/>
        </w:rPr>
        <w:t xml:space="preserve">Механизмът за подкрепа следва да бъде наличен в момента, в който схемата за преструктуриране влезе в сила. </w:t>
      </w:r>
      <w:r>
        <w:rPr>
          <w:rFonts w:ascii="Times New Roman" w:hAnsi="Times New Roman"/>
          <w:noProof/>
          <w:lang w:val="bg-BG"/>
        </w:rPr>
        <w:t>В случай че са необходи</w:t>
      </w:r>
      <w:r>
        <w:rPr>
          <w:rFonts w:ascii="Times New Roman" w:hAnsi="Times New Roman"/>
          <w:noProof/>
          <w:lang w:val="bg-BG"/>
        </w:rPr>
        <w:t>ми допълнителни суми освен тези, налични в Единния фонд за преструктуриране (т.е. механизма за подкрепа), процесът на вземане на решения на Европейския паричен фонд относно използването на механизма за подкрепа трябва да бъде бърз и предвидим. Той не трябв</w:t>
      </w:r>
      <w:r>
        <w:rPr>
          <w:rFonts w:ascii="Times New Roman" w:hAnsi="Times New Roman"/>
          <w:noProof/>
          <w:lang w:val="bg-BG"/>
        </w:rPr>
        <w:t>а да води до допълнителни условия извън изискванията на Регламента за Единния механизъм за преструктуриране</w:t>
      </w:r>
      <w:r>
        <w:rPr>
          <w:rStyle w:val="FootnoteReference"/>
          <w:rFonts w:ascii="Times New Roman" w:hAnsi="Times New Roman"/>
          <w:noProof/>
          <w:lang w:val="bg-BG"/>
        </w:rPr>
        <w:footnoteReference w:id="24"/>
      </w:r>
      <w:r>
        <w:rPr>
          <w:rFonts w:ascii="Times New Roman" w:hAnsi="Times New Roman"/>
          <w:noProof/>
          <w:lang w:val="bg-BG"/>
        </w:rPr>
        <w:t xml:space="preserve">. Подходящите методи за управление следва да бъдат бързи и надеждни, като гарантират равно третиране в рамките на банковия съюз. </w:t>
      </w:r>
    </w:p>
    <w:p w:rsidR="009E0654" w:rsidRDefault="009E0654">
      <w:pPr>
        <w:jc w:val="both"/>
        <w:rPr>
          <w:rFonts w:ascii="Times New Roman" w:hAnsi="Times New Roman"/>
          <w:i/>
          <w:noProof/>
        </w:rPr>
      </w:pPr>
    </w:p>
    <w:p w:rsidR="009E0654" w:rsidRDefault="00567D37">
      <w:pPr>
        <w:pStyle w:val="ListParagraph"/>
        <w:numPr>
          <w:ilvl w:val="0"/>
          <w:numId w:val="34"/>
        </w:numPr>
        <w:ind w:hanging="720"/>
        <w:rPr>
          <w:rFonts w:ascii="Times New Roman" w:hAnsi="Times New Roman" w:cs="Times New Roman"/>
          <w:b/>
          <w:noProof/>
          <w:u w:val="single"/>
          <w:lang w:val="bg-BG"/>
        </w:rPr>
      </w:pPr>
      <w:r>
        <w:rPr>
          <w:noProof/>
          <w:lang w:val="bg-BG"/>
        </w:rPr>
        <w:tab/>
      </w:r>
      <w:r>
        <w:rPr>
          <w:rFonts w:ascii="Times New Roman" w:hAnsi="Times New Roman"/>
          <w:b/>
          <w:noProof/>
          <w:u w:val="single"/>
          <w:lang w:val="bg-BG"/>
        </w:rPr>
        <w:t>ФУНКЦИЯ ЗА СТАБИ</w:t>
      </w:r>
      <w:r>
        <w:rPr>
          <w:rFonts w:ascii="Times New Roman" w:hAnsi="Times New Roman"/>
          <w:b/>
          <w:noProof/>
          <w:u w:val="single"/>
          <w:lang w:val="bg-BG"/>
        </w:rPr>
        <w:t xml:space="preserve">ЛИЗАЦИЯ </w:t>
      </w:r>
    </w:p>
    <w:p w:rsidR="009E0654" w:rsidRDefault="009E0654">
      <w:pPr>
        <w:widowControl w:val="0"/>
        <w:suppressLineNumbers/>
        <w:tabs>
          <w:tab w:val="left" w:pos="5325"/>
        </w:tabs>
        <w:jc w:val="both"/>
        <w:rPr>
          <w:rFonts w:ascii="Times New Roman" w:hAnsi="Times New Roman"/>
          <w:noProof/>
          <w:sz w:val="12"/>
          <w:szCs w:val="12"/>
          <w:lang w:val="bg-BG"/>
        </w:rPr>
      </w:pPr>
    </w:p>
    <w:p w:rsidR="009E0654" w:rsidRDefault="00567D37">
      <w:pPr>
        <w:jc w:val="both"/>
        <w:rPr>
          <w:rFonts w:ascii="Times New Roman" w:hAnsi="Times New Roman"/>
          <w:noProof/>
          <w:lang w:val="bg-BG"/>
        </w:rPr>
      </w:pPr>
      <w:r>
        <w:rPr>
          <w:rFonts w:ascii="Times New Roman" w:hAnsi="Times New Roman"/>
          <w:b/>
          <w:noProof/>
          <w:lang w:val="bg-BG"/>
        </w:rPr>
        <w:t>Една функция за стабилизация на европейско равнище би осигурила възможност за активиране на ресурси за бързо справяне със сътресенията, които не могат да бъдат управлявани само на национално равнище</w:t>
      </w:r>
      <w:r>
        <w:rPr>
          <w:rFonts w:ascii="Times New Roman" w:hAnsi="Times New Roman"/>
          <w:noProof/>
          <w:lang w:val="bg-BG"/>
        </w:rPr>
        <w:t>. В Доклада на петимата председатели и Документа</w:t>
      </w:r>
      <w:r>
        <w:rPr>
          <w:rFonts w:ascii="Times New Roman" w:hAnsi="Times New Roman"/>
          <w:noProof/>
          <w:lang w:val="bg-BG"/>
        </w:rPr>
        <w:t xml:space="preserve"> за размисъл относно задълбочаването на Икономическия и паричен съюз са изложени основанията за такъв инструмент и са установени важни принципи, които остават в сила.</w:t>
      </w:r>
      <w:r>
        <w:rPr>
          <w:rStyle w:val="FootnoteReference"/>
          <w:rFonts w:ascii="Times New Roman" w:hAnsi="Times New Roman"/>
          <w:noProof/>
          <w:lang w:val="bg-BG"/>
        </w:rPr>
        <w:footnoteReference w:id="25"/>
      </w:r>
      <w:r>
        <w:rPr>
          <w:rFonts w:ascii="Times New Roman" w:hAnsi="Times New Roman"/>
          <w:noProof/>
          <w:lang w:val="bg-BG"/>
        </w:rPr>
        <w:t xml:space="preserve"> Достъпът до функцията за стабилизация ще бъде обект на критерии за допустимост и договор</w:t>
      </w:r>
      <w:r>
        <w:rPr>
          <w:rFonts w:ascii="Times New Roman" w:hAnsi="Times New Roman"/>
          <w:noProof/>
          <w:lang w:val="bg-BG"/>
        </w:rPr>
        <w:t>ен механизъм за задействане на нейното използване. Останалата част от този раздел предвижда функция за стабилизация, предназначена за държавите членки от еврозоната и отворена за всички, които желаят да участват.</w:t>
      </w:r>
    </w:p>
    <w:p w:rsidR="009E0654" w:rsidRDefault="00567D37">
      <w:pPr>
        <w:jc w:val="both"/>
        <w:rPr>
          <w:rFonts w:ascii="Times New Roman" w:hAnsi="Times New Roman"/>
          <w:noProof/>
          <w:lang w:val="bg-BG"/>
        </w:rPr>
      </w:pPr>
      <w:r>
        <w:rPr>
          <w:rFonts w:ascii="Times New Roman" w:hAnsi="Times New Roman"/>
          <w:b/>
          <w:noProof/>
          <w:lang w:val="bg-BG"/>
        </w:rPr>
        <w:t>Една такава функция за стабилизация би пред</w:t>
      </w:r>
      <w:r>
        <w:rPr>
          <w:rFonts w:ascii="Times New Roman" w:hAnsi="Times New Roman"/>
          <w:b/>
          <w:noProof/>
          <w:lang w:val="bg-BG"/>
        </w:rPr>
        <w:t>ставлявала само допълнение към стабилизиращата роля, изпълнявана от националните бюджети в случай на големи асиметрични сътресения.</w:t>
      </w:r>
      <w:r>
        <w:rPr>
          <w:rFonts w:ascii="Times New Roman" w:hAnsi="Times New Roman"/>
          <w:noProof/>
          <w:lang w:val="bg-BG"/>
        </w:rPr>
        <w:t xml:space="preserve"> Като се има предвид централната им роля в икономиката, националните бюджети ще продължат да бъдат основният инструмент на фи</w:t>
      </w:r>
      <w:r>
        <w:rPr>
          <w:rFonts w:ascii="Times New Roman" w:hAnsi="Times New Roman"/>
          <w:noProof/>
          <w:lang w:val="bg-BG"/>
        </w:rPr>
        <w:t>скалната политика на държавите членки за адаптиране към променящите се икономически условия. Ето защо държавите членки трябва да продължават да създават и поддържат достатъчни фискални резерви, особено по време на икономически подем, както е предвидено в П</w:t>
      </w:r>
      <w:r>
        <w:rPr>
          <w:rFonts w:ascii="Times New Roman" w:hAnsi="Times New Roman"/>
          <w:noProof/>
          <w:lang w:val="bg-BG"/>
        </w:rPr>
        <w:t>акта за стабилност и растеж</w:t>
      </w:r>
      <w:r>
        <w:rPr>
          <w:rStyle w:val="FootnoteReference"/>
          <w:rFonts w:ascii="Times New Roman" w:hAnsi="Times New Roman"/>
          <w:noProof/>
          <w:lang w:val="bg-BG"/>
        </w:rPr>
        <w:footnoteReference w:id="26"/>
      </w:r>
      <w:r>
        <w:rPr>
          <w:rFonts w:ascii="Times New Roman" w:hAnsi="Times New Roman"/>
          <w:noProof/>
          <w:lang w:val="bg-BG"/>
        </w:rPr>
        <w:t>. В случай на икономически спад държавите членки първо ще използват своите автоматични стабилизатори и дискреционните мерки за фискална политика в съответствие с Пакта за стабилност и растеж. Само ако тези</w:t>
      </w:r>
      <w:r>
        <w:rPr>
          <w:rFonts w:ascii="Times New Roman" w:hAnsi="Times New Roman"/>
          <w:b/>
          <w:noProof/>
          <w:lang w:val="bg-BG"/>
        </w:rPr>
        <w:t xml:space="preserve"> </w:t>
      </w:r>
      <w:r>
        <w:rPr>
          <w:rFonts w:ascii="Times New Roman" w:hAnsi="Times New Roman"/>
          <w:noProof/>
          <w:lang w:val="bg-BG"/>
        </w:rPr>
        <w:t>резерви и стабилизатор</w:t>
      </w:r>
      <w:r>
        <w:rPr>
          <w:rFonts w:ascii="Times New Roman" w:hAnsi="Times New Roman"/>
          <w:noProof/>
          <w:lang w:val="bg-BG"/>
        </w:rPr>
        <w:t xml:space="preserve">и не са достатъчни, в случай на големи асиметрични сътресения, следва да се активира функцията за стабилизация на европейско равнище. </w:t>
      </w:r>
    </w:p>
    <w:p w:rsidR="009E0654" w:rsidRDefault="00567D37">
      <w:pPr>
        <w:jc w:val="both"/>
        <w:rPr>
          <w:rFonts w:ascii="Times New Roman" w:hAnsi="Times New Roman"/>
          <w:noProof/>
          <w:lang w:val="bg-BG"/>
        </w:rPr>
      </w:pPr>
      <w:r>
        <w:rPr>
          <w:rFonts w:ascii="Times New Roman" w:hAnsi="Times New Roman"/>
          <w:b/>
          <w:noProof/>
          <w:lang w:val="bg-BG"/>
        </w:rPr>
        <w:t>Тази функция би спомогнала за смекчаване на последиците от асиметричните шокове и за предотвратяване на риска от отрицате</w:t>
      </w:r>
      <w:r>
        <w:rPr>
          <w:rFonts w:ascii="Times New Roman" w:hAnsi="Times New Roman"/>
          <w:b/>
          <w:noProof/>
          <w:lang w:val="bg-BG"/>
        </w:rPr>
        <w:t>лни странични ефекти.</w:t>
      </w:r>
      <w:r>
        <w:rPr>
          <w:noProof/>
          <w:lang w:val="bg-BG"/>
        </w:rPr>
        <w:t xml:space="preserve"> </w:t>
      </w:r>
      <w:r>
        <w:rPr>
          <w:rFonts w:ascii="Times New Roman" w:hAnsi="Times New Roman"/>
          <w:noProof/>
          <w:lang w:val="bg-BG"/>
        </w:rPr>
        <w:t>Целта е да се предоставят средства на държава членка, засегната от шок, който иначе би я принудил да прибегне до финансиране от пазара — при потенциално трудни обстоятелства — с възможно въздействие върху състоянието на дефицита/дълга</w:t>
      </w:r>
      <w:r>
        <w:rPr>
          <w:rFonts w:ascii="Times New Roman" w:hAnsi="Times New Roman"/>
          <w:noProof/>
          <w:lang w:val="bg-BG"/>
        </w:rPr>
        <w:t xml:space="preserve"> на съответната държава членка.</w:t>
      </w:r>
    </w:p>
    <w:p w:rsidR="009E0654" w:rsidRDefault="00567D37">
      <w:pPr>
        <w:jc w:val="both"/>
        <w:rPr>
          <w:rFonts w:ascii="Times New Roman" w:hAnsi="Times New Roman"/>
          <w:b/>
          <w:noProof/>
          <w:lang w:val="bg-BG"/>
        </w:rPr>
      </w:pPr>
      <w:r>
        <w:rPr>
          <w:rFonts w:ascii="Times New Roman" w:hAnsi="Times New Roman"/>
          <w:i/>
          <w:noProof/>
          <w:lang w:val="bg-BG"/>
        </w:rPr>
        <w:t>Ключови аспекти на функцията за стабилизация</w:t>
      </w:r>
    </w:p>
    <w:p w:rsidR="009E0654" w:rsidRDefault="00567D37">
      <w:pPr>
        <w:jc w:val="both"/>
        <w:rPr>
          <w:rFonts w:ascii="Times New Roman" w:hAnsi="Times New Roman"/>
          <w:noProof/>
          <w:lang w:val="bg-BG"/>
        </w:rPr>
      </w:pPr>
      <w:r>
        <w:rPr>
          <w:rFonts w:ascii="Times New Roman" w:hAnsi="Times New Roman"/>
          <w:noProof/>
          <w:lang w:val="bg-BG"/>
        </w:rPr>
        <w:t>За да бъде ефективна, функцията за стабилизация следва да изпълнява няколко критерия. По-конкретно тя следва да бъде:</w:t>
      </w:r>
    </w:p>
    <w:p w:rsidR="009E0654" w:rsidRDefault="00567D37">
      <w:pPr>
        <w:pStyle w:val="ListParagraph"/>
        <w:numPr>
          <w:ilvl w:val="0"/>
          <w:numId w:val="3"/>
        </w:numPr>
        <w:tabs>
          <w:tab w:val="clear" w:pos="0"/>
          <w:tab w:val="num" w:pos="-714"/>
        </w:tabs>
        <w:suppressAutoHyphens w:val="0"/>
        <w:spacing w:after="200" w:line="276" w:lineRule="auto"/>
        <w:ind w:left="357" w:hanging="357"/>
        <w:jc w:val="both"/>
        <w:rPr>
          <w:rFonts w:ascii="Times New Roman" w:hAnsi="Times New Roman" w:cs="Times New Roman"/>
          <w:b/>
          <w:noProof/>
          <w:sz w:val="22"/>
          <w:szCs w:val="22"/>
          <w:lang w:val="bg-BG"/>
        </w:rPr>
      </w:pPr>
      <w:r>
        <w:rPr>
          <w:rFonts w:ascii="Times New Roman" w:hAnsi="Times New Roman"/>
          <w:b/>
          <w:noProof/>
          <w:sz w:val="22"/>
          <w:lang w:val="bg-BG"/>
        </w:rPr>
        <w:t>Различна и допълваща съществуващите инструменти от инструмент</w:t>
      </w:r>
      <w:r>
        <w:rPr>
          <w:rFonts w:ascii="Times New Roman" w:hAnsi="Times New Roman"/>
          <w:b/>
          <w:noProof/>
          <w:sz w:val="22"/>
          <w:lang w:val="bg-BG"/>
        </w:rPr>
        <w:t>ариума на публичните финанси на ЕС</w:t>
      </w:r>
      <w:r>
        <w:rPr>
          <w:noProof/>
          <w:lang w:val="bg-BG"/>
        </w:rPr>
        <w:t>.</w:t>
      </w:r>
      <w:r>
        <w:rPr>
          <w:rFonts w:ascii="Times New Roman" w:hAnsi="Times New Roman"/>
          <w:noProof/>
          <w:sz w:val="22"/>
          <w:lang w:val="bg-BG"/>
        </w:rPr>
        <w:t xml:space="preserve"> Тази функция следва да запълни празнината между съществуващите инструменти, финансирани от бюджета на ЕС, за работни места, растеж и инвестиции, и от друга страна, финансовата помощ от Европейския паричен фонд в крайни с</w:t>
      </w:r>
      <w:r>
        <w:rPr>
          <w:rFonts w:ascii="Times New Roman" w:hAnsi="Times New Roman"/>
          <w:noProof/>
          <w:sz w:val="22"/>
          <w:lang w:val="bg-BG"/>
        </w:rPr>
        <w:t>лучаи. В бъдеще също така е важно да се отчете ролята на съществуващите инструменти в рамките на бюджета на ЕС с някои стабилизиращ ефекти.</w:t>
      </w:r>
      <w:r>
        <w:rPr>
          <w:rStyle w:val="FootnoteReference"/>
          <w:rFonts w:ascii="Times New Roman" w:hAnsi="Times New Roman"/>
          <w:noProof/>
          <w:sz w:val="22"/>
          <w:lang w:val="bg-BG"/>
        </w:rPr>
        <w:footnoteReference w:id="27"/>
      </w:r>
      <w:r>
        <w:rPr>
          <w:rFonts w:ascii="Times New Roman" w:hAnsi="Times New Roman"/>
          <w:noProof/>
          <w:sz w:val="22"/>
          <w:lang w:val="bg-BG"/>
        </w:rPr>
        <w:t xml:space="preserve"> Тези инструменти също могат да бъдат подобрени, за да спомогнат за смекчаване на сътресенията по-ефективно в бъдеще</w:t>
      </w:r>
      <w:r>
        <w:rPr>
          <w:rFonts w:ascii="Times New Roman" w:hAnsi="Times New Roman"/>
          <w:noProof/>
          <w:sz w:val="22"/>
          <w:lang w:val="bg-BG"/>
        </w:rPr>
        <w:t xml:space="preserve">, в допълнение към това, което е представено тук. </w:t>
      </w:r>
      <w:r>
        <w:rPr>
          <w:rFonts w:ascii="Times New Roman" w:hAnsi="Times New Roman"/>
          <w:noProof/>
          <w:lang w:val="bg-BG"/>
        </w:rPr>
        <w:t xml:space="preserve">По същия начин следва да се обмисли идеята за временно увеличаване на процента на съфинансиране на ЕС и/или възможността за модулиране на равнището на предварителното финансиране от европейските структурни </w:t>
      </w:r>
      <w:r>
        <w:rPr>
          <w:rFonts w:ascii="Times New Roman" w:hAnsi="Times New Roman"/>
          <w:noProof/>
          <w:lang w:val="bg-BG"/>
        </w:rPr>
        <w:t>и инвестиционни фондове в зависимост от обстоятелствата.</w:t>
      </w:r>
      <w:r>
        <w:rPr>
          <w:rStyle w:val="FootnoteReference"/>
          <w:rFonts w:ascii="Times New Roman" w:hAnsi="Times New Roman"/>
          <w:noProof/>
          <w:sz w:val="22"/>
          <w:lang w:val="bg-BG"/>
        </w:rPr>
        <w:footnoteReference w:id="28"/>
      </w:r>
    </w:p>
    <w:p w:rsidR="009E0654" w:rsidRDefault="00567D37">
      <w:pPr>
        <w:pStyle w:val="ListParagraph"/>
        <w:numPr>
          <w:ilvl w:val="0"/>
          <w:numId w:val="3"/>
        </w:numPr>
        <w:tabs>
          <w:tab w:val="clear" w:pos="0"/>
          <w:tab w:val="num" w:pos="-357"/>
        </w:tabs>
        <w:suppressAutoHyphens w:val="0"/>
        <w:spacing w:after="200" w:line="276" w:lineRule="auto"/>
        <w:ind w:left="357" w:hanging="357"/>
        <w:jc w:val="both"/>
        <w:rPr>
          <w:rFonts w:ascii="Times New Roman" w:hAnsi="Times New Roman" w:cs="Times New Roman"/>
          <w:b/>
          <w:noProof/>
          <w:sz w:val="22"/>
          <w:szCs w:val="22"/>
          <w:lang w:val="bg-BG"/>
        </w:rPr>
      </w:pPr>
      <w:r>
        <w:rPr>
          <w:rFonts w:ascii="Times New Roman" w:hAnsi="Times New Roman"/>
          <w:b/>
          <w:noProof/>
          <w:sz w:val="22"/>
          <w:lang w:val="bg-BG"/>
        </w:rPr>
        <w:t xml:space="preserve">Неутрална в средносрочен план и не водеща до постоянни трансфери между държавите членки. </w:t>
      </w:r>
      <w:r>
        <w:rPr>
          <w:rFonts w:ascii="Times New Roman" w:hAnsi="Times New Roman"/>
          <w:noProof/>
          <w:sz w:val="22"/>
          <w:lang w:val="bg-BG"/>
        </w:rPr>
        <w:t>Функцията за стабилизация следва да бъде създадена по такъв начин, че всички участващи държави членки да имат</w:t>
      </w:r>
      <w:r>
        <w:rPr>
          <w:rFonts w:ascii="Times New Roman" w:hAnsi="Times New Roman"/>
          <w:noProof/>
          <w:sz w:val="22"/>
          <w:lang w:val="bg-BG"/>
        </w:rPr>
        <w:t xml:space="preserve"> еднаква вероятност да се възползват от нея и да допринасят последователно за нея.</w:t>
      </w:r>
    </w:p>
    <w:p w:rsidR="009E0654" w:rsidRDefault="00567D37">
      <w:pPr>
        <w:pStyle w:val="ListParagraph"/>
        <w:numPr>
          <w:ilvl w:val="0"/>
          <w:numId w:val="3"/>
        </w:numPr>
        <w:suppressAutoHyphens w:val="0"/>
        <w:spacing w:after="200" w:line="276" w:lineRule="auto"/>
        <w:ind w:left="357" w:hanging="357"/>
        <w:jc w:val="both"/>
        <w:rPr>
          <w:rFonts w:ascii="Times New Roman" w:hAnsi="Times New Roman" w:cs="Times New Roman"/>
          <w:b/>
          <w:noProof/>
          <w:sz w:val="22"/>
          <w:szCs w:val="22"/>
          <w:lang w:val="bg-BG"/>
        </w:rPr>
      </w:pPr>
      <w:r>
        <w:rPr>
          <w:rFonts w:ascii="Times New Roman" w:hAnsi="Times New Roman"/>
          <w:b/>
          <w:noProof/>
          <w:sz w:val="22"/>
          <w:lang w:val="bg-BG"/>
        </w:rPr>
        <w:t>Допринасяща за стабилна фискална политика и свеждаща до минимум моралния риск.</w:t>
      </w:r>
      <w:r>
        <w:rPr>
          <w:rFonts w:ascii="Times New Roman" w:hAnsi="Times New Roman"/>
          <w:noProof/>
          <w:sz w:val="22"/>
          <w:lang w:val="bg-BG"/>
        </w:rPr>
        <w:t xml:space="preserve"> Подпомагането няма да бъде обвързано с условия, но ще са налице стриктни, предварително опреде</w:t>
      </w:r>
      <w:r>
        <w:rPr>
          <w:rFonts w:ascii="Times New Roman" w:hAnsi="Times New Roman"/>
          <w:noProof/>
          <w:sz w:val="22"/>
          <w:lang w:val="bg-BG"/>
        </w:rPr>
        <w:t>лени критерии за допустимост, основани на стабилни макроикономически политики, за да се получи достъп до функцията за стабилизация. Като общ принцип само държавите членки, които са постигнали съответствие с надзорната рамка на ЕС по време на периода, предш</w:t>
      </w:r>
      <w:r>
        <w:rPr>
          <w:rFonts w:ascii="Times New Roman" w:hAnsi="Times New Roman"/>
          <w:noProof/>
          <w:sz w:val="22"/>
          <w:lang w:val="bg-BG"/>
        </w:rPr>
        <w:t xml:space="preserve">естващ големите асиметрични сътресения, следва да отговарят на условията за достъп. По този начин ще се избегне моралния риск и ще се създаде допълнителен стимул за съблюдаване на стабилни фискални и структурни политики. </w:t>
      </w:r>
    </w:p>
    <w:p w:rsidR="009E0654" w:rsidRDefault="00567D37">
      <w:pPr>
        <w:pStyle w:val="ListParagraph"/>
        <w:numPr>
          <w:ilvl w:val="0"/>
          <w:numId w:val="3"/>
        </w:numPr>
        <w:suppressAutoHyphens w:val="0"/>
        <w:spacing w:after="200" w:line="276" w:lineRule="auto"/>
        <w:ind w:left="357" w:hanging="357"/>
        <w:jc w:val="both"/>
        <w:rPr>
          <w:rFonts w:ascii="Times New Roman" w:hAnsi="Times New Roman" w:cs="Times New Roman"/>
          <w:b/>
          <w:noProof/>
          <w:sz w:val="22"/>
          <w:szCs w:val="22"/>
          <w:lang w:val="bg-BG"/>
        </w:rPr>
      </w:pPr>
      <w:r>
        <w:rPr>
          <w:rFonts w:ascii="Times New Roman" w:hAnsi="Times New Roman"/>
          <w:b/>
          <w:noProof/>
          <w:sz w:val="22"/>
          <w:lang w:val="bg-BG"/>
        </w:rPr>
        <w:t>Допринасяща за финансовата стабилн</w:t>
      </w:r>
      <w:r>
        <w:rPr>
          <w:rFonts w:ascii="Times New Roman" w:hAnsi="Times New Roman"/>
          <w:b/>
          <w:noProof/>
          <w:sz w:val="22"/>
          <w:lang w:val="bg-BG"/>
        </w:rPr>
        <w:t>ост.</w:t>
      </w:r>
      <w:r>
        <w:rPr>
          <w:rFonts w:ascii="Times New Roman" w:hAnsi="Times New Roman"/>
          <w:noProof/>
          <w:sz w:val="22"/>
          <w:lang w:val="bg-BG"/>
        </w:rPr>
        <w:t xml:space="preserve"> Тази функция следва да намали риска от това държава членка, ползваща се от нея, да изпадне в нужда от програма от Европейския паричен фонд. </w:t>
      </w:r>
    </w:p>
    <w:p w:rsidR="009E0654" w:rsidRDefault="00567D37">
      <w:pPr>
        <w:pStyle w:val="ListParagraph"/>
        <w:numPr>
          <w:ilvl w:val="0"/>
          <w:numId w:val="3"/>
        </w:numPr>
        <w:suppressAutoHyphens w:val="0"/>
        <w:spacing w:after="200" w:line="276" w:lineRule="auto"/>
        <w:ind w:left="357" w:hanging="357"/>
        <w:jc w:val="both"/>
        <w:rPr>
          <w:rFonts w:ascii="Times New Roman" w:hAnsi="Times New Roman" w:cs="Times New Roman"/>
          <w:b/>
          <w:noProof/>
          <w:sz w:val="22"/>
          <w:szCs w:val="22"/>
          <w:lang w:val="bg-BG"/>
        </w:rPr>
      </w:pPr>
      <w:r>
        <w:rPr>
          <w:rFonts w:ascii="Times New Roman" w:hAnsi="Times New Roman"/>
          <w:b/>
          <w:noProof/>
          <w:sz w:val="22"/>
          <w:lang w:val="bg-BG"/>
        </w:rPr>
        <w:t>Икономически значима при липса на сътресение.</w:t>
      </w:r>
      <w:r>
        <w:rPr>
          <w:rFonts w:ascii="Times New Roman" w:hAnsi="Times New Roman"/>
          <w:noProof/>
          <w:sz w:val="22"/>
          <w:lang w:val="bg-BG"/>
        </w:rPr>
        <w:t xml:space="preserve"> Тя следва да е достатъчно мащабна, за да осигури реално стабилизиране на равнището на държавите членки. Оценките сочат, че за да бъде ефективна в еврозоната, тази функция следва да позволява общи нетни плащания от най-малко 1 % от брутния вътрешен продукт</w:t>
      </w:r>
      <w:r>
        <w:rPr>
          <w:rFonts w:ascii="Times New Roman" w:hAnsi="Times New Roman"/>
          <w:noProof/>
          <w:sz w:val="22"/>
          <w:lang w:val="bg-BG"/>
        </w:rPr>
        <w:t>. Освен това, за да бъде убедителна, функцията на стабилизация трябва да разполага с достатъчно налични средства, дори по време на икономическия спад. Това може да налага някаква форма на капацитет за вземане на заеми, като се има предвид необходимостта да</w:t>
      </w:r>
      <w:r>
        <w:rPr>
          <w:rFonts w:ascii="Times New Roman" w:hAnsi="Times New Roman"/>
          <w:noProof/>
          <w:sz w:val="22"/>
          <w:lang w:val="bg-BG"/>
        </w:rPr>
        <w:t xml:space="preserve"> се гарантира, че бюджетът на ЕС остава балансиран. </w:t>
      </w:r>
    </w:p>
    <w:p w:rsidR="009E0654" w:rsidRDefault="00567D37">
      <w:pPr>
        <w:pStyle w:val="ListParagraph"/>
        <w:numPr>
          <w:ilvl w:val="0"/>
          <w:numId w:val="3"/>
        </w:numPr>
        <w:tabs>
          <w:tab w:val="clear" w:pos="0"/>
          <w:tab w:val="num" w:pos="-357"/>
        </w:tabs>
        <w:suppressAutoHyphens w:val="0"/>
        <w:spacing w:after="200" w:line="276" w:lineRule="auto"/>
        <w:ind w:left="357" w:hanging="357"/>
        <w:jc w:val="both"/>
        <w:rPr>
          <w:rFonts w:ascii="Times New Roman" w:hAnsi="Times New Roman" w:cs="Times New Roman"/>
          <w:b/>
          <w:noProof/>
          <w:sz w:val="22"/>
          <w:szCs w:val="22"/>
          <w:lang w:val="bg-BG"/>
        </w:rPr>
      </w:pPr>
      <w:r>
        <w:rPr>
          <w:rFonts w:ascii="Times New Roman" w:hAnsi="Times New Roman"/>
          <w:b/>
          <w:noProof/>
          <w:sz w:val="22"/>
          <w:lang w:val="bg-BG"/>
        </w:rPr>
        <w:t>Навременна и ефективна.</w:t>
      </w:r>
      <w:r>
        <w:rPr>
          <w:rFonts w:ascii="Times New Roman" w:hAnsi="Times New Roman"/>
          <w:noProof/>
          <w:sz w:val="22"/>
          <w:lang w:val="bg-BG"/>
        </w:rPr>
        <w:t xml:space="preserve"> За държавите членки, които отговарят на критериите за  получаване на достъп до функцията за стабилизация, задействането ѝ следва да бъде бързо и автоматично въз основа на предвари</w:t>
      </w:r>
      <w:r>
        <w:rPr>
          <w:rFonts w:ascii="Times New Roman" w:hAnsi="Times New Roman"/>
          <w:noProof/>
          <w:sz w:val="22"/>
          <w:lang w:val="bg-BG"/>
        </w:rPr>
        <w:t xml:space="preserve">телно определени параметри (например, въз основа на голямо временно отрицателно отклонение от тенденциите им по отношение на безработицата или инвестициите). </w:t>
      </w:r>
    </w:p>
    <w:p w:rsidR="009E0654" w:rsidRDefault="00567D37">
      <w:pPr>
        <w:numPr>
          <w:ilvl w:val="0"/>
          <w:numId w:val="3"/>
        </w:numPr>
        <w:suppressAutoHyphens/>
        <w:ind w:left="357" w:hanging="357"/>
        <w:jc w:val="both"/>
        <w:rPr>
          <w:rFonts w:ascii="Times New Roman" w:hAnsi="Times New Roman"/>
          <w:noProof/>
          <w:lang w:val="bg-BG"/>
        </w:rPr>
      </w:pPr>
      <w:r>
        <w:rPr>
          <w:rFonts w:ascii="Times New Roman" w:hAnsi="Times New Roman"/>
          <w:b/>
          <w:noProof/>
          <w:lang w:val="bg-BG"/>
        </w:rPr>
        <w:t>Съдържаща елемент на бюджетна подкрепа/безвъзмездни средства.</w:t>
      </w:r>
      <w:r>
        <w:rPr>
          <w:rFonts w:ascii="Times New Roman" w:hAnsi="Times New Roman"/>
          <w:noProof/>
          <w:lang w:val="bg-BG"/>
        </w:rPr>
        <w:t xml:space="preserve"> Разчитането само на система от заем</w:t>
      </w:r>
      <w:r>
        <w:rPr>
          <w:rFonts w:ascii="Times New Roman" w:hAnsi="Times New Roman"/>
          <w:noProof/>
          <w:lang w:val="bg-BG"/>
        </w:rPr>
        <w:t>и може да има ограничено въздействие, тъй като държавата членка би могла просто да заема средства на пазарите или да използва една от съществуващите превантивни кредитни линии. От друга страна, кредитният компонент е решение на някои възможни проблеми с ли</w:t>
      </w:r>
      <w:r>
        <w:rPr>
          <w:rFonts w:ascii="Times New Roman" w:hAnsi="Times New Roman"/>
          <w:noProof/>
          <w:lang w:val="bg-BG"/>
        </w:rPr>
        <w:t xml:space="preserve">квидността, без да се създава риск от постоянни трансфери. Инструмент за стабилизиране чрез система за отпускане на безвъзмездни средства би могъл да има още по-значими и по-непосредствени макроикономически последици. </w:t>
      </w:r>
    </w:p>
    <w:p w:rsidR="009E0654" w:rsidRDefault="00567D37">
      <w:pPr>
        <w:jc w:val="both"/>
        <w:rPr>
          <w:rFonts w:ascii="Times New Roman" w:hAnsi="Times New Roman"/>
          <w:b/>
          <w:noProof/>
          <w:lang w:val="bg-BG"/>
        </w:rPr>
      </w:pPr>
      <w:r>
        <w:rPr>
          <w:rFonts w:ascii="Times New Roman" w:hAnsi="Times New Roman"/>
          <w:b/>
          <w:noProof/>
          <w:lang w:val="bg-BG"/>
        </w:rPr>
        <w:t>Съществуват различни начини за опреде</w:t>
      </w:r>
      <w:r>
        <w:rPr>
          <w:rFonts w:ascii="Times New Roman" w:hAnsi="Times New Roman"/>
          <w:b/>
          <w:noProof/>
          <w:lang w:val="bg-BG"/>
        </w:rPr>
        <w:t>ляне на такава функция за стабилизация.</w:t>
      </w:r>
      <w:r>
        <w:rPr>
          <w:rFonts w:ascii="Times New Roman" w:hAnsi="Times New Roman"/>
          <w:noProof/>
          <w:lang w:val="bg-BG"/>
        </w:rPr>
        <w:t xml:space="preserve"> Комисията очерта три различни варианта в своя Документ за размисъл относно задълбочаването на Икономическия и паричен съюз. Първо, европейска схема за защита на инвестициите може да осигури защита на инвестициите в с</w:t>
      </w:r>
      <w:r>
        <w:rPr>
          <w:rFonts w:ascii="Times New Roman" w:hAnsi="Times New Roman"/>
          <w:noProof/>
          <w:lang w:val="bg-BG"/>
        </w:rPr>
        <w:t>лучай на спад, чрез оказване на подкрепа за ясно определени приоритети и вече планирани проекти или дейности на национално равнище, като инфраструктура или развиване на уменията. Второ, европейска презастрахователна схема за обезщетения при безработица мож</w:t>
      </w:r>
      <w:r>
        <w:rPr>
          <w:rFonts w:ascii="Times New Roman" w:hAnsi="Times New Roman"/>
          <w:noProof/>
          <w:lang w:val="bg-BG"/>
        </w:rPr>
        <w:t>е да играе ролята на „фонд за презастраховане“ на националните схеми за обезщетения при безработица. Трето, един „фонд за черни дни“ би могъл да акумулира редовно финансови средства от държавите членки, а плащанията ще бъдат задействани на предварително оп</w:t>
      </w:r>
      <w:r>
        <w:rPr>
          <w:rFonts w:ascii="Times New Roman" w:hAnsi="Times New Roman"/>
          <w:noProof/>
          <w:lang w:val="bg-BG"/>
        </w:rPr>
        <w:t>ределена основа. Всички тези варианти разполагат със съответните си предимства и могат също да бъдат съчетани с течение на времето.</w:t>
      </w:r>
    </w:p>
    <w:p w:rsidR="009E0654" w:rsidRDefault="00567D37">
      <w:pPr>
        <w:jc w:val="both"/>
        <w:rPr>
          <w:rFonts w:ascii="Times New Roman" w:hAnsi="Times New Roman"/>
          <w:noProof/>
          <w:lang w:val="bg-BG"/>
        </w:rPr>
      </w:pPr>
      <w:r>
        <w:rPr>
          <w:rFonts w:ascii="Times New Roman" w:hAnsi="Times New Roman"/>
          <w:b/>
          <w:noProof/>
          <w:lang w:val="bg-BG"/>
        </w:rPr>
        <w:t>Това, което Комисията предвижда тук, е функция за стабилизация, която може да подкрепя инвестиции на национално равнище и ко</w:t>
      </w:r>
      <w:r>
        <w:rPr>
          <w:rFonts w:ascii="Times New Roman" w:hAnsi="Times New Roman"/>
          <w:b/>
          <w:noProof/>
          <w:lang w:val="bg-BG"/>
        </w:rPr>
        <w:t>ято може да се развива с течение на времето</w:t>
      </w:r>
      <w:r>
        <w:rPr>
          <w:rFonts w:ascii="Times New Roman" w:hAnsi="Times New Roman"/>
          <w:noProof/>
          <w:lang w:val="bg-BG"/>
        </w:rPr>
        <w:t>, като се започне със заеми и относително ограничен елемент на безвъзмездна помощ. Това би съответствало на важността, която придава Комисията на инвестициите като двигател за дългосрочния растеж, и би позволило п</w:t>
      </w:r>
      <w:r>
        <w:rPr>
          <w:rFonts w:ascii="Times New Roman" w:hAnsi="Times New Roman"/>
          <w:noProof/>
          <w:lang w:val="bg-BG"/>
        </w:rPr>
        <w:t>о-бързо разгръщане в сравнение с другите два варианта. Като се имат предвид структурата и съставът на бюджета на ЕС (годишен баланс и ограничение за собствените ресурси), функцията за стабилизация би трябвало да бъде конструирана по такъв начин, че да може</w:t>
      </w:r>
      <w:r>
        <w:rPr>
          <w:rFonts w:ascii="Times New Roman" w:hAnsi="Times New Roman"/>
          <w:noProof/>
          <w:lang w:val="bg-BG"/>
        </w:rPr>
        <w:t xml:space="preserve"> да разгърне пълния си потенциал през определен период от време, за да постигне необходимата финансова мощ.</w:t>
      </w:r>
    </w:p>
    <w:p w:rsidR="009E0654" w:rsidRDefault="00567D37">
      <w:pPr>
        <w:jc w:val="both"/>
        <w:rPr>
          <w:rFonts w:ascii="Times New Roman" w:hAnsi="Times New Roman"/>
          <w:i/>
          <w:noProof/>
          <w:lang w:val="bg-BG"/>
        </w:rPr>
      </w:pPr>
      <w:r>
        <w:rPr>
          <w:rFonts w:ascii="Times New Roman" w:hAnsi="Times New Roman"/>
          <w:i/>
          <w:noProof/>
          <w:lang w:val="bg-BG"/>
        </w:rPr>
        <w:t>Функцията за стабилизация: специален механизъм, който обединява публичните финанси на ЕС, за да се отговори на големи асиметрични сътресения</w:t>
      </w:r>
    </w:p>
    <w:p w:rsidR="009E0654" w:rsidRDefault="00567D37">
      <w:pPr>
        <w:jc w:val="both"/>
        <w:rPr>
          <w:rFonts w:ascii="Times New Roman" w:hAnsi="Times New Roman"/>
          <w:noProof/>
          <w:lang w:val="bg-BG"/>
        </w:rPr>
      </w:pPr>
      <w:r>
        <w:rPr>
          <w:rFonts w:ascii="Times New Roman" w:hAnsi="Times New Roman"/>
          <w:b/>
          <w:noProof/>
          <w:lang w:val="bg-BG"/>
        </w:rPr>
        <w:t>При тоз</w:t>
      </w:r>
      <w:r>
        <w:rPr>
          <w:rFonts w:ascii="Times New Roman" w:hAnsi="Times New Roman"/>
          <w:b/>
          <w:noProof/>
          <w:lang w:val="bg-BG"/>
        </w:rPr>
        <w:t xml:space="preserve">и вариант специален механизъм, който се управлява от Комисията, може обедини различни източници на финансиране на европейско равнище по ефикасен начин, за да се осигури функцията за стабилизация. </w:t>
      </w:r>
      <w:r>
        <w:rPr>
          <w:rFonts w:ascii="Times New Roman" w:hAnsi="Times New Roman"/>
          <w:noProof/>
          <w:lang w:val="bg-BG"/>
        </w:rPr>
        <w:t>Този механизъм ще се основава на логиката на европейска схем</w:t>
      </w:r>
      <w:r>
        <w:rPr>
          <w:rFonts w:ascii="Times New Roman" w:hAnsi="Times New Roman"/>
          <w:noProof/>
          <w:lang w:val="bg-BG"/>
        </w:rPr>
        <w:t xml:space="preserve">а за защита на инвестициите и ще има за цел предоставянето на подкрепа за ясно определени приоритети и вече планирани проекти или дейности на национално равнище, като например определените в контекста на националните платформи, посочени по-горе. </w:t>
      </w:r>
    </w:p>
    <w:p w:rsidR="009E0654" w:rsidRDefault="00567D37">
      <w:pPr>
        <w:jc w:val="both"/>
        <w:rPr>
          <w:rFonts w:ascii="Times New Roman" w:hAnsi="Times New Roman"/>
          <w:noProof/>
          <w:lang w:val="bg-BG"/>
        </w:rPr>
      </w:pPr>
      <w:r>
        <w:rPr>
          <w:rFonts w:ascii="Times New Roman" w:hAnsi="Times New Roman"/>
          <w:b/>
          <w:noProof/>
          <w:lang w:val="bg-BG"/>
        </w:rPr>
        <w:t>При спазв</w:t>
      </w:r>
      <w:r>
        <w:rPr>
          <w:rFonts w:ascii="Times New Roman" w:hAnsi="Times New Roman"/>
          <w:b/>
          <w:noProof/>
          <w:lang w:val="bg-BG"/>
        </w:rPr>
        <w:t>ане на строги критерии за допустимост държавата членка, изправена пред големи асиметрични сътресения, ще получава автоматично правото да се ползва от помощта, предоставена чрез функцията за стабилизация.</w:t>
      </w:r>
      <w:r>
        <w:rPr>
          <w:rFonts w:ascii="Times New Roman" w:hAnsi="Times New Roman"/>
          <w:noProof/>
          <w:lang w:val="bg-BG"/>
        </w:rPr>
        <w:t xml:space="preserve"> Ще се задейства смесена подкрепа въз основа на заеми</w:t>
      </w:r>
      <w:r>
        <w:rPr>
          <w:rFonts w:ascii="Times New Roman" w:hAnsi="Times New Roman"/>
          <w:noProof/>
          <w:lang w:val="bg-BG"/>
        </w:rPr>
        <w:t xml:space="preserve"> и бюджетна подкрепа, която може да се основава на трите елемента, които могат да бъдат разгърнати постепенно:</w:t>
      </w:r>
    </w:p>
    <w:p w:rsidR="009E0654" w:rsidRDefault="00567D37">
      <w:pPr>
        <w:pStyle w:val="ListParagraph"/>
        <w:numPr>
          <w:ilvl w:val="0"/>
          <w:numId w:val="36"/>
        </w:numPr>
        <w:spacing w:line="276" w:lineRule="auto"/>
        <w:jc w:val="both"/>
        <w:rPr>
          <w:rFonts w:ascii="Times New Roman" w:eastAsia="Calibri" w:hAnsi="Times New Roman" w:cs="Times New Roman"/>
          <w:noProof/>
          <w:color w:val="auto"/>
          <w:sz w:val="22"/>
          <w:szCs w:val="22"/>
          <w:lang w:val="bg-BG"/>
        </w:rPr>
      </w:pPr>
      <w:r>
        <w:rPr>
          <w:rFonts w:ascii="Times New Roman" w:hAnsi="Times New Roman"/>
          <w:b/>
          <w:noProof/>
          <w:sz w:val="22"/>
          <w:lang w:val="bg-BG"/>
        </w:rPr>
        <w:t>Бюджетът на ЕС и Европейският паричен фонд биха могли да предоставят заеми, гарантирани от бюджета на ЕС, на засегнатата държава членка.</w:t>
      </w:r>
      <w:r>
        <w:rPr>
          <w:rFonts w:ascii="Times New Roman" w:hAnsi="Times New Roman"/>
          <w:noProof/>
          <w:sz w:val="22"/>
          <w:lang w:val="bg-BG"/>
        </w:rPr>
        <w:t xml:space="preserve"> </w:t>
      </w:r>
      <w:r>
        <w:rPr>
          <w:rFonts w:ascii="Times New Roman" w:hAnsi="Times New Roman"/>
          <w:noProof/>
          <w:color w:val="auto"/>
          <w:sz w:val="22"/>
          <w:lang w:val="bg-BG"/>
        </w:rPr>
        <w:t>Европейс</w:t>
      </w:r>
      <w:r>
        <w:rPr>
          <w:rFonts w:ascii="Times New Roman" w:hAnsi="Times New Roman"/>
          <w:noProof/>
          <w:color w:val="auto"/>
          <w:sz w:val="22"/>
          <w:lang w:val="bg-BG"/>
        </w:rPr>
        <w:t>кият паричен фонд би могъл да играе роля на бек-офис за функцията за стабилизация, като осигурява превантивни заеми за предоставяне на краткосрочна помощ за ликвидност. Това ще се допълва от заемите „бек-ту-бек“, гарантирани от бюджета на ЕС (за тази цел в</w:t>
      </w:r>
      <w:r>
        <w:rPr>
          <w:rFonts w:ascii="Times New Roman" w:hAnsi="Times New Roman"/>
          <w:noProof/>
          <w:color w:val="auto"/>
          <w:sz w:val="22"/>
          <w:lang w:val="bg-BG"/>
        </w:rPr>
        <w:t xml:space="preserve"> многогодишната финансова рамка след 2020 г. може да бъде включен ограничен капацитет за вземане на заеми</w:t>
      </w:r>
      <w:r>
        <w:rPr>
          <w:rStyle w:val="FootnoteReference"/>
          <w:rFonts w:ascii="Times New Roman" w:hAnsi="Times New Roman"/>
          <w:noProof/>
          <w:color w:val="auto"/>
          <w:sz w:val="22"/>
          <w:lang w:val="bg-BG"/>
        </w:rPr>
        <w:footnoteReference w:id="29"/>
      </w:r>
      <w:r>
        <w:rPr>
          <w:rFonts w:ascii="Times New Roman" w:hAnsi="Times New Roman"/>
          <w:noProof/>
          <w:color w:val="auto"/>
          <w:sz w:val="22"/>
          <w:lang w:val="bg-BG"/>
        </w:rPr>
        <w:t>). Държавата членка бенефициер ще възстанови тези заеми на функцията за стабилизация.</w:t>
      </w:r>
      <w:r>
        <w:rPr>
          <w:rFonts w:ascii="Times New Roman" w:hAnsi="Times New Roman"/>
          <w:noProof/>
          <w:sz w:val="22"/>
          <w:lang w:val="bg-BG"/>
        </w:rPr>
        <w:t xml:space="preserve"> </w:t>
      </w:r>
    </w:p>
    <w:p w:rsidR="009E0654" w:rsidRDefault="009E0654">
      <w:pPr>
        <w:pStyle w:val="ListParagraph"/>
        <w:spacing w:line="276" w:lineRule="auto"/>
        <w:jc w:val="both"/>
        <w:rPr>
          <w:rFonts w:ascii="Times New Roman" w:hAnsi="Times New Roman"/>
          <w:noProof/>
          <w:color w:val="auto"/>
          <w:sz w:val="22"/>
          <w:szCs w:val="22"/>
          <w:lang w:val="bg-BG"/>
        </w:rPr>
      </w:pPr>
    </w:p>
    <w:p w:rsidR="009E0654" w:rsidRDefault="00567D37">
      <w:pPr>
        <w:pStyle w:val="ListParagraph"/>
        <w:numPr>
          <w:ilvl w:val="0"/>
          <w:numId w:val="36"/>
        </w:numPr>
        <w:spacing w:line="276" w:lineRule="auto"/>
        <w:jc w:val="both"/>
        <w:rPr>
          <w:rFonts w:ascii="Times New Roman" w:eastAsia="Calibri" w:hAnsi="Times New Roman" w:cs="Times New Roman"/>
          <w:noProof/>
          <w:color w:val="auto"/>
          <w:sz w:val="22"/>
          <w:szCs w:val="22"/>
          <w:lang w:val="bg-BG"/>
        </w:rPr>
      </w:pPr>
      <w:r>
        <w:rPr>
          <w:rFonts w:ascii="Times New Roman" w:hAnsi="Times New Roman"/>
          <w:b/>
          <w:noProof/>
          <w:sz w:val="22"/>
          <w:lang w:val="bg-BG"/>
        </w:rPr>
        <w:t xml:space="preserve">Бюджетът на ЕС би могъл да предоставя известна ограничена </w:t>
      </w:r>
      <w:r>
        <w:rPr>
          <w:rFonts w:ascii="Times New Roman" w:hAnsi="Times New Roman"/>
          <w:b/>
          <w:noProof/>
          <w:sz w:val="22"/>
          <w:lang w:val="bg-BG"/>
        </w:rPr>
        <w:t>подкрепа, вписана в бюджета на годишна основа, под формата на безвъзмездни средства на съответните държави членки.</w:t>
      </w:r>
      <w:r>
        <w:rPr>
          <w:rFonts w:ascii="Times New Roman" w:hAnsi="Times New Roman"/>
          <w:noProof/>
          <w:sz w:val="22"/>
          <w:lang w:val="bg-BG"/>
        </w:rPr>
        <w:t xml:space="preserve"> Съответните бюджетни кредити ще бъдат вписани в определен бюджетен ред, възможно е да са част от европейските структурни и инвестиционни фонд</w:t>
      </w:r>
      <w:r>
        <w:rPr>
          <w:rFonts w:ascii="Times New Roman" w:hAnsi="Times New Roman"/>
          <w:noProof/>
          <w:sz w:val="22"/>
          <w:lang w:val="bg-BG"/>
        </w:rPr>
        <w:t>ове за участващите държави членки. Средствата по този бюджетен ред ще бъдат използвани всяка година за функцията за стабилизация, за да се подпомогне изграждането на капитала ѝ. За да се избегне изместването на ресурсите за други политики на ЕС, съответнит</w:t>
      </w:r>
      <w:r>
        <w:rPr>
          <w:rFonts w:ascii="Times New Roman" w:hAnsi="Times New Roman"/>
          <w:noProof/>
          <w:sz w:val="22"/>
          <w:lang w:val="bg-BG"/>
        </w:rPr>
        <w:t>е включени в бюджета разходи ще се приспадат от „маржа“ между многогодишната финансова рамка и тавана на собствените ресурси</w:t>
      </w:r>
      <w:r>
        <w:rPr>
          <w:rStyle w:val="FootnoteReference"/>
          <w:rFonts w:ascii="Times New Roman" w:hAnsi="Times New Roman"/>
          <w:noProof/>
          <w:sz w:val="22"/>
          <w:lang w:val="bg-BG"/>
        </w:rPr>
        <w:footnoteReference w:id="30"/>
      </w:r>
      <w:r>
        <w:rPr>
          <w:rFonts w:ascii="Times New Roman" w:hAnsi="Times New Roman"/>
          <w:noProof/>
          <w:sz w:val="22"/>
          <w:lang w:val="bg-BG"/>
        </w:rPr>
        <w:t>.</w:t>
      </w:r>
    </w:p>
    <w:p w:rsidR="009E0654" w:rsidRDefault="00567D37">
      <w:pPr>
        <w:pStyle w:val="ListParagraph"/>
        <w:spacing w:line="276" w:lineRule="auto"/>
        <w:jc w:val="both"/>
        <w:rPr>
          <w:rFonts w:ascii="Times New Roman" w:hAnsi="Times New Roman"/>
          <w:noProof/>
          <w:sz w:val="22"/>
          <w:szCs w:val="22"/>
        </w:rPr>
      </w:pPr>
      <w:r>
        <w:rPr>
          <w:rFonts w:ascii="Times New Roman" w:hAnsi="Times New Roman"/>
          <w:noProof/>
          <w:sz w:val="22"/>
          <w:lang w:val="bg-BG"/>
        </w:rPr>
        <w:t xml:space="preserve"> </w:t>
      </w:r>
    </w:p>
    <w:p w:rsidR="009E0654" w:rsidRDefault="00567D37">
      <w:pPr>
        <w:numPr>
          <w:ilvl w:val="0"/>
          <w:numId w:val="36"/>
        </w:numPr>
        <w:jc w:val="both"/>
        <w:rPr>
          <w:rFonts w:ascii="Times New Roman" w:hAnsi="Times New Roman"/>
          <w:b/>
          <w:noProof/>
          <w:lang w:val="bg-BG"/>
        </w:rPr>
      </w:pPr>
      <w:r>
        <w:rPr>
          <w:rFonts w:ascii="Times New Roman" w:hAnsi="Times New Roman"/>
          <w:b/>
          <w:noProof/>
          <w:lang w:val="bg-BG"/>
        </w:rPr>
        <w:t>Застрахователен механизъм, основан на доброволните вноски на държавите членки, може да допълва подкрепата с безвъзмездни средст</w:t>
      </w:r>
      <w:r>
        <w:rPr>
          <w:rFonts w:ascii="Times New Roman" w:hAnsi="Times New Roman"/>
          <w:b/>
          <w:noProof/>
          <w:lang w:val="bg-BG"/>
        </w:rPr>
        <w:t>ва по функцията за стабилизация с течение на времето.</w:t>
      </w:r>
      <w:r>
        <w:rPr>
          <w:rFonts w:ascii="Times New Roman" w:hAnsi="Times New Roman"/>
          <w:noProof/>
          <w:lang w:val="bg-BG"/>
        </w:rPr>
        <w:t xml:space="preserve"> Държавите членки могат да правят годишни вноски към този специален фонд извън бюджета на ЕС и/или да договорят създаването на специален работен поток от ресурси. След като държавите членки са се ангажир</w:t>
      </w:r>
      <w:r>
        <w:rPr>
          <w:rFonts w:ascii="Times New Roman" w:hAnsi="Times New Roman"/>
          <w:noProof/>
          <w:lang w:val="bg-BG"/>
        </w:rPr>
        <w:t xml:space="preserve">али да правят вноски и са натрупани достатъчно ресурси, този механизъм ще повиши капацитета на функцията за стабилизация. </w:t>
      </w:r>
      <w:r>
        <w:rPr>
          <w:rFonts w:ascii="Times New Roman" w:hAnsi="Times New Roman"/>
          <w:b/>
          <w:noProof/>
          <w:lang w:val="bg-BG"/>
        </w:rPr>
        <w:br/>
      </w:r>
      <w:r>
        <w:rPr>
          <w:rFonts w:ascii="Times New Roman" w:hAnsi="Times New Roman"/>
          <w:b/>
          <w:noProof/>
          <w:lang w:val="bg-BG"/>
        </w:rPr>
        <w:br/>
        <w:t>Европейска функция за стабилизация в подкрепа на инвестициите</w:t>
      </w:r>
    </w:p>
    <w:p w:rsidR="009E0654" w:rsidRDefault="00567D37">
      <w:pPr>
        <w:spacing w:after="0"/>
        <w:jc w:val="center"/>
        <w:rPr>
          <w:rFonts w:ascii="Times New Roman" w:hAnsi="Times New Roman"/>
          <w:noProof/>
          <w:lang w:val="bg-BG"/>
        </w:rPr>
      </w:pPr>
      <w:r>
        <w:rPr>
          <w:noProof/>
          <w:lang w:eastAsia="en-GB"/>
        </w:rPr>
        <w:drawing>
          <wp:inline distT="0" distB="0" distL="0" distR="0">
            <wp:extent cx="5000625" cy="376402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001157" cy="3764426"/>
                    </a:xfrm>
                    <a:prstGeom prst="rect">
                      <a:avLst/>
                    </a:prstGeom>
                  </pic:spPr>
                </pic:pic>
              </a:graphicData>
            </a:graphic>
          </wp:inline>
        </w:drawing>
      </w:r>
    </w:p>
    <w:p w:rsidR="009E0654" w:rsidRDefault="00567D37">
      <w:pPr>
        <w:rPr>
          <w:noProof/>
          <w:lang w:val="bg-BG"/>
        </w:rPr>
      </w:pPr>
      <w:r>
        <w:rPr>
          <w:rFonts w:ascii="Times New Roman" w:hAnsi="Times New Roman"/>
          <w:i/>
          <w:noProof/>
          <w:lang w:val="bg-BG"/>
        </w:rPr>
        <w:t>Източник: Европейската комисия</w:t>
      </w:r>
    </w:p>
    <w:p w:rsidR="009E0654" w:rsidRDefault="00567D37">
      <w:pPr>
        <w:jc w:val="both"/>
        <w:rPr>
          <w:rFonts w:ascii="Times New Roman" w:hAnsi="Times New Roman"/>
          <w:noProof/>
          <w:lang w:val="bg-BG"/>
        </w:rPr>
      </w:pPr>
      <w:r>
        <w:rPr>
          <w:rFonts w:ascii="Times New Roman" w:hAnsi="Times New Roman"/>
          <w:noProof/>
          <w:lang w:val="bg-BG"/>
        </w:rPr>
        <w:br/>
        <w:t xml:space="preserve">Комисията ще продължи да оценява </w:t>
      </w:r>
      <w:r>
        <w:rPr>
          <w:rFonts w:ascii="Times New Roman" w:hAnsi="Times New Roman"/>
          <w:noProof/>
          <w:lang w:val="bg-BG"/>
        </w:rPr>
        <w:t>допълнителните последици за бюджета на ЕС в контекста на подготовката на многогодишната финансова рамка след 2020 г. и ще направи необходимите предложения.</w:t>
      </w:r>
    </w:p>
    <w:p w:rsidR="009E0654" w:rsidRDefault="009E0654">
      <w:pPr>
        <w:rPr>
          <w:rFonts w:ascii="Times New Roman" w:hAnsi="Times New Roman"/>
          <w:i/>
          <w:noProof/>
        </w:rPr>
      </w:pPr>
    </w:p>
    <w:p w:rsidR="009E0654" w:rsidRDefault="00567D37">
      <w:pPr>
        <w:pStyle w:val="ListParagraph"/>
        <w:numPr>
          <w:ilvl w:val="0"/>
          <w:numId w:val="34"/>
        </w:numPr>
        <w:ind w:hanging="720"/>
        <w:rPr>
          <w:rFonts w:ascii="Times New Roman" w:hAnsi="Times New Roman" w:cs="Times New Roman"/>
          <w:b/>
          <w:noProof/>
          <w:u w:val="single"/>
          <w:lang w:val="bg-BG"/>
        </w:rPr>
      </w:pPr>
      <w:r>
        <w:rPr>
          <w:rFonts w:ascii="Times New Roman" w:hAnsi="Times New Roman"/>
          <w:b/>
          <w:noProof/>
          <w:u w:val="single"/>
          <w:lang w:val="bg-BG"/>
        </w:rPr>
        <w:t xml:space="preserve">ЗАКЛЮЧЕНИЯ </w:t>
      </w:r>
    </w:p>
    <w:p w:rsidR="009E0654" w:rsidRDefault="009E0654">
      <w:pPr>
        <w:pStyle w:val="ListParagraph"/>
        <w:jc w:val="both"/>
        <w:rPr>
          <w:rFonts w:ascii="Times New Roman" w:hAnsi="Times New Roman" w:cs="Times New Roman"/>
          <w:b/>
          <w:bCs/>
          <w:noProof/>
          <w:lang w:val="bg-BG"/>
        </w:rPr>
      </w:pPr>
    </w:p>
    <w:p w:rsidR="009E0654" w:rsidRDefault="00567D37">
      <w:pPr>
        <w:jc w:val="both"/>
        <w:rPr>
          <w:rFonts w:ascii="Times New Roman" w:hAnsi="Times New Roman"/>
          <w:bCs/>
          <w:noProof/>
          <w:lang w:val="bg-BG"/>
        </w:rPr>
      </w:pPr>
      <w:r>
        <w:rPr>
          <w:rFonts w:ascii="Times New Roman" w:hAnsi="Times New Roman"/>
          <w:noProof/>
          <w:lang w:val="bg-BG"/>
        </w:rPr>
        <w:t xml:space="preserve">С настоящото съобщение Комисията представя идеи за нови бюджетни инструменти за </w:t>
      </w:r>
      <w:r>
        <w:rPr>
          <w:rFonts w:ascii="Times New Roman" w:hAnsi="Times New Roman"/>
          <w:noProof/>
          <w:lang w:val="bg-BG"/>
        </w:rPr>
        <w:t>стабилна еврозона в правната уредба на Съюза.</w:t>
      </w:r>
    </w:p>
    <w:p w:rsidR="009E0654" w:rsidRDefault="00567D37">
      <w:pPr>
        <w:jc w:val="both"/>
        <w:rPr>
          <w:rFonts w:ascii="Times New Roman" w:hAnsi="Times New Roman"/>
          <w:bCs/>
          <w:noProof/>
          <w:lang w:val="bg-BG"/>
        </w:rPr>
      </w:pPr>
      <w:r>
        <w:rPr>
          <w:rFonts w:ascii="Times New Roman" w:hAnsi="Times New Roman"/>
          <w:noProof/>
          <w:lang w:val="bg-BG"/>
        </w:rPr>
        <w:t xml:space="preserve">За периода 2018—2020 г. Комисията предлага: </w:t>
      </w:r>
    </w:p>
    <w:p w:rsidR="009E0654" w:rsidRDefault="00567D37">
      <w:pPr>
        <w:pStyle w:val="ListParagraph"/>
        <w:numPr>
          <w:ilvl w:val="0"/>
          <w:numId w:val="36"/>
        </w:numPr>
        <w:spacing w:after="240" w:line="276" w:lineRule="auto"/>
        <w:ind w:left="357" w:hanging="357"/>
        <w:jc w:val="both"/>
        <w:rPr>
          <w:rFonts w:ascii="Times New Roman" w:hAnsi="Times New Roman"/>
          <w:noProof/>
          <w:sz w:val="22"/>
          <w:szCs w:val="22"/>
          <w:lang w:val="bg-BG"/>
        </w:rPr>
      </w:pPr>
      <w:r>
        <w:rPr>
          <w:rFonts w:ascii="Times New Roman" w:hAnsi="Times New Roman"/>
          <w:noProof/>
          <w:sz w:val="22"/>
          <w:lang w:val="bg-BG"/>
        </w:rPr>
        <w:t>Да се гарантира бързо приемане до средата на 2018 г. и въвеждане в действие до 2019 г. на механизъм за подкрепа за Единния фонд за преструктуриране. Това предложение</w:t>
      </w:r>
      <w:r>
        <w:rPr>
          <w:rFonts w:ascii="Times New Roman" w:hAnsi="Times New Roman"/>
          <w:noProof/>
          <w:sz w:val="22"/>
          <w:lang w:val="bg-BG"/>
        </w:rPr>
        <w:t xml:space="preserve"> се съдържа в предложението за създаване на Европейски паричен фонд в правната уредба на Съюза.</w:t>
      </w:r>
    </w:p>
    <w:p w:rsidR="009E0654" w:rsidRDefault="00567D37">
      <w:pPr>
        <w:pStyle w:val="ListParagraph"/>
        <w:numPr>
          <w:ilvl w:val="0"/>
          <w:numId w:val="36"/>
        </w:numPr>
        <w:spacing w:after="240" w:line="276" w:lineRule="auto"/>
        <w:ind w:left="357" w:hanging="357"/>
        <w:jc w:val="both"/>
        <w:rPr>
          <w:rFonts w:ascii="Times New Roman" w:hAnsi="Times New Roman"/>
          <w:noProof/>
          <w:sz w:val="22"/>
          <w:szCs w:val="22"/>
          <w:lang w:val="bg-BG"/>
        </w:rPr>
      </w:pPr>
      <w:r>
        <w:rPr>
          <w:rFonts w:ascii="Times New Roman" w:hAnsi="Times New Roman"/>
          <w:noProof/>
          <w:sz w:val="22"/>
          <w:lang w:val="bg-BG"/>
        </w:rPr>
        <w:t>Да се укрепи дейността на Службата за подкрепа на структурните реформи, за да се подкрепят реформите във всички държави членки, и да се въведе специален работен</w:t>
      </w:r>
      <w:r>
        <w:rPr>
          <w:rFonts w:ascii="Times New Roman" w:hAnsi="Times New Roman"/>
          <w:noProof/>
          <w:sz w:val="22"/>
          <w:lang w:val="bg-BG"/>
        </w:rPr>
        <w:t xml:space="preserve"> процес за държавите членки по пътя им към присъединяването към еврото. Това е отразено в предложението за изменение на Регламента относно програмата за подкрепа на структурните реформи с цел удвояване на бюджета за дейностите на Службата за подкрепа на ст</w:t>
      </w:r>
      <w:r>
        <w:rPr>
          <w:rFonts w:ascii="Times New Roman" w:hAnsi="Times New Roman"/>
          <w:noProof/>
          <w:sz w:val="22"/>
          <w:lang w:val="bg-BG"/>
        </w:rPr>
        <w:t xml:space="preserve">руктурните реформи за периода до 2020 г. </w:t>
      </w:r>
    </w:p>
    <w:p w:rsidR="009E0654" w:rsidRDefault="00567D37">
      <w:pPr>
        <w:pStyle w:val="ListParagraph"/>
        <w:numPr>
          <w:ilvl w:val="0"/>
          <w:numId w:val="36"/>
        </w:numPr>
        <w:spacing w:line="276" w:lineRule="auto"/>
        <w:jc w:val="both"/>
        <w:rPr>
          <w:rFonts w:ascii="Times New Roman" w:hAnsi="Times New Roman"/>
          <w:noProof/>
          <w:sz w:val="22"/>
          <w:szCs w:val="22"/>
          <w:lang w:val="bg-BG"/>
        </w:rPr>
      </w:pPr>
      <w:r>
        <w:rPr>
          <w:rFonts w:ascii="Times New Roman" w:hAnsi="Times New Roman"/>
          <w:noProof/>
          <w:sz w:val="22"/>
          <w:lang w:val="bg-BG"/>
        </w:rPr>
        <w:t>Да се разшири възможността за използване на съществуващия резерв за изпълнение на европейските структурни и инвестиционни фондове в подкрепа на структурните реформи, като начин за изпробване на идеята за инструмент</w:t>
      </w:r>
      <w:r>
        <w:rPr>
          <w:rFonts w:ascii="Times New Roman" w:hAnsi="Times New Roman"/>
          <w:noProof/>
          <w:sz w:val="22"/>
          <w:lang w:val="bg-BG"/>
        </w:rPr>
        <w:t xml:space="preserve"> за осъществяване на реформи на пилотен етап. Това е отразено в целенасочените промени в Регламента за определяне на общоприложими разпоредби, обхващащ европейските структурни и инвестиционни фондове.</w:t>
      </w:r>
    </w:p>
    <w:p w:rsidR="009E0654" w:rsidRDefault="009E0654">
      <w:pPr>
        <w:pStyle w:val="ListParagraph"/>
        <w:spacing w:line="276" w:lineRule="auto"/>
        <w:ind w:left="360"/>
        <w:jc w:val="both"/>
        <w:rPr>
          <w:rFonts w:ascii="Times New Roman" w:hAnsi="Times New Roman"/>
          <w:noProof/>
          <w:lang w:val="bg-BG"/>
        </w:rPr>
      </w:pPr>
    </w:p>
    <w:p w:rsidR="009E0654" w:rsidRDefault="00567D37">
      <w:pPr>
        <w:jc w:val="both"/>
        <w:rPr>
          <w:rFonts w:ascii="Times New Roman" w:hAnsi="Times New Roman"/>
          <w:noProof/>
          <w:lang w:val="bg-BG"/>
        </w:rPr>
      </w:pPr>
      <w:r>
        <w:rPr>
          <w:rFonts w:ascii="Times New Roman" w:hAnsi="Times New Roman"/>
          <w:noProof/>
          <w:lang w:val="bg-BG"/>
        </w:rPr>
        <w:t>За периода след 2020 г. Комисията възнамерява да предс</w:t>
      </w:r>
      <w:r>
        <w:rPr>
          <w:rFonts w:ascii="Times New Roman" w:hAnsi="Times New Roman"/>
          <w:noProof/>
          <w:lang w:val="bg-BG"/>
        </w:rPr>
        <w:t xml:space="preserve">тави предложенията си през май 2018 г. като част от многогодишната финансова рамка след 2020 г., сред които предложения са следните: </w:t>
      </w:r>
    </w:p>
    <w:p w:rsidR="009E0654" w:rsidRDefault="00567D37">
      <w:pPr>
        <w:pStyle w:val="ListParagraph"/>
        <w:numPr>
          <w:ilvl w:val="0"/>
          <w:numId w:val="36"/>
        </w:numPr>
        <w:spacing w:line="276" w:lineRule="auto"/>
        <w:jc w:val="both"/>
        <w:rPr>
          <w:rFonts w:ascii="Times New Roman" w:hAnsi="Times New Roman"/>
          <w:noProof/>
          <w:sz w:val="22"/>
          <w:szCs w:val="22"/>
          <w:lang w:val="bg-BG"/>
        </w:rPr>
      </w:pPr>
      <w:r>
        <w:rPr>
          <w:rFonts w:ascii="Times New Roman" w:hAnsi="Times New Roman"/>
          <w:noProof/>
          <w:sz w:val="22"/>
          <w:lang w:val="bg-BG"/>
        </w:rPr>
        <w:t xml:space="preserve">Инструмент за осъществяване на реформи за подкрепа за ангажиментите за реформи на държавите членки. </w:t>
      </w:r>
    </w:p>
    <w:p w:rsidR="009E0654" w:rsidRDefault="009E0654">
      <w:pPr>
        <w:pStyle w:val="ListParagraph"/>
        <w:spacing w:line="276" w:lineRule="auto"/>
        <w:ind w:left="360"/>
        <w:jc w:val="both"/>
        <w:rPr>
          <w:rFonts w:ascii="Times New Roman" w:hAnsi="Times New Roman"/>
          <w:noProof/>
          <w:sz w:val="22"/>
          <w:szCs w:val="22"/>
          <w:lang w:val="bg-BG"/>
        </w:rPr>
      </w:pPr>
    </w:p>
    <w:p w:rsidR="009E0654" w:rsidRDefault="00567D37">
      <w:pPr>
        <w:pStyle w:val="ListParagraph"/>
        <w:numPr>
          <w:ilvl w:val="0"/>
          <w:numId w:val="36"/>
        </w:numPr>
        <w:spacing w:line="276" w:lineRule="auto"/>
        <w:jc w:val="both"/>
        <w:rPr>
          <w:rFonts w:ascii="Times New Roman" w:hAnsi="Times New Roman"/>
          <w:noProof/>
          <w:sz w:val="22"/>
          <w:szCs w:val="22"/>
          <w:lang w:val="bg-BG"/>
        </w:rPr>
      </w:pPr>
      <w:r>
        <w:rPr>
          <w:rFonts w:ascii="Times New Roman" w:hAnsi="Times New Roman"/>
          <w:noProof/>
          <w:sz w:val="22"/>
          <w:lang w:val="bg-BG"/>
        </w:rPr>
        <w:t>Допълнително техниче</w:t>
      </w:r>
      <w:r>
        <w:rPr>
          <w:rFonts w:ascii="Times New Roman" w:hAnsi="Times New Roman"/>
          <w:noProof/>
          <w:sz w:val="22"/>
          <w:lang w:val="bg-BG"/>
        </w:rPr>
        <w:t>ско подпомагане за конкретни действия по искане на държавите членки.</w:t>
      </w:r>
    </w:p>
    <w:p w:rsidR="009E0654" w:rsidRDefault="009E0654">
      <w:pPr>
        <w:pStyle w:val="ListParagraph"/>
        <w:spacing w:line="276" w:lineRule="auto"/>
        <w:ind w:left="360"/>
        <w:jc w:val="both"/>
        <w:rPr>
          <w:rFonts w:ascii="Times New Roman" w:hAnsi="Times New Roman"/>
          <w:noProof/>
          <w:sz w:val="22"/>
          <w:szCs w:val="22"/>
          <w:lang w:val="bg-BG"/>
        </w:rPr>
      </w:pPr>
    </w:p>
    <w:p w:rsidR="009E0654" w:rsidRDefault="00567D37">
      <w:pPr>
        <w:pStyle w:val="ListParagraph"/>
        <w:numPr>
          <w:ilvl w:val="0"/>
          <w:numId w:val="36"/>
        </w:numPr>
        <w:spacing w:line="276" w:lineRule="auto"/>
        <w:jc w:val="both"/>
        <w:rPr>
          <w:rFonts w:ascii="Times New Roman" w:hAnsi="Times New Roman"/>
          <w:noProof/>
          <w:sz w:val="22"/>
          <w:szCs w:val="22"/>
          <w:lang w:val="bg-BG"/>
        </w:rPr>
      </w:pPr>
      <w:r>
        <w:rPr>
          <w:rFonts w:ascii="Times New Roman" w:hAnsi="Times New Roman"/>
          <w:noProof/>
          <w:sz w:val="22"/>
          <w:lang w:val="bg-BG"/>
        </w:rPr>
        <w:t>Специален механизъм за сближаване за държавите членки по пътя им към присъединяване към еврото.</w:t>
      </w:r>
    </w:p>
    <w:p w:rsidR="009E0654" w:rsidRDefault="009E0654">
      <w:pPr>
        <w:pStyle w:val="ListParagraph"/>
        <w:spacing w:line="276" w:lineRule="auto"/>
        <w:ind w:left="360"/>
        <w:jc w:val="both"/>
        <w:rPr>
          <w:rFonts w:ascii="Times New Roman" w:hAnsi="Times New Roman"/>
          <w:noProof/>
          <w:sz w:val="22"/>
          <w:szCs w:val="22"/>
          <w:lang w:val="bg-BG"/>
        </w:rPr>
      </w:pPr>
    </w:p>
    <w:p w:rsidR="009E0654" w:rsidRDefault="00567D37">
      <w:pPr>
        <w:pStyle w:val="ListParagraph"/>
        <w:numPr>
          <w:ilvl w:val="0"/>
          <w:numId w:val="36"/>
        </w:numPr>
        <w:spacing w:line="276" w:lineRule="auto"/>
        <w:jc w:val="both"/>
        <w:rPr>
          <w:rFonts w:ascii="Times New Roman" w:hAnsi="Times New Roman"/>
          <w:noProof/>
          <w:lang w:val="bg-BG"/>
        </w:rPr>
        <w:sectPr w:rsidR="009E0654" w:rsidSect="00567D37">
          <w:headerReference w:type="even" r:id="rId19"/>
          <w:headerReference w:type="default" r:id="rId20"/>
          <w:footerReference w:type="even" r:id="rId21"/>
          <w:footerReference w:type="default" r:id="rId22"/>
          <w:headerReference w:type="first" r:id="rId23"/>
          <w:footerReference w:type="first" r:id="rId24"/>
          <w:pgSz w:w="11907" w:h="16839" w:code="9"/>
          <w:pgMar w:top="1417" w:right="1417" w:bottom="1417" w:left="1417" w:header="720" w:footer="720" w:gutter="0"/>
          <w:cols w:space="720"/>
          <w:docGrid w:linePitch="600" w:charSpace="32768"/>
        </w:sectPr>
      </w:pPr>
      <w:r>
        <w:rPr>
          <w:rFonts w:ascii="Times New Roman" w:hAnsi="Times New Roman"/>
          <w:noProof/>
          <w:sz w:val="22"/>
          <w:lang w:val="bg-BG"/>
        </w:rPr>
        <w:t xml:space="preserve">Функция за стабилизация за държавите членки от еврозоната, която </w:t>
      </w:r>
      <w:r>
        <w:rPr>
          <w:rFonts w:ascii="Times New Roman" w:hAnsi="Times New Roman"/>
          <w:noProof/>
          <w:sz w:val="22"/>
          <w:lang w:val="bg-BG"/>
        </w:rPr>
        <w:t>също е отворена за всички, в случай на големи асиметрични сътресения.</w:t>
      </w:r>
      <w:r>
        <w:rPr>
          <w:rFonts w:ascii="Times New Roman" w:hAnsi="Times New Roman"/>
          <w:noProof/>
          <w:sz w:val="22"/>
        </w:rPr>
        <w:tab/>
      </w:r>
    </w:p>
    <w:p w:rsidR="009E0654" w:rsidRDefault="00567D37">
      <w:pPr>
        <w:pageBreakBefore/>
        <w:spacing w:after="0"/>
        <w:rPr>
          <w:rFonts w:ascii="Times New Roman" w:hAnsi="Times New Roman"/>
          <w:b/>
          <w:noProof/>
          <w:sz w:val="8"/>
          <w:szCs w:val="24"/>
        </w:rPr>
      </w:pPr>
      <w:r>
        <w:rPr>
          <w:rFonts w:ascii="Times New Roman" w:hAnsi="Times New Roman"/>
          <w:b/>
          <w:noProof/>
          <w:sz w:val="24"/>
          <w:u w:val="single"/>
          <w:lang w:val="bg-BG"/>
        </w:rPr>
        <w:t>Допълнение 1</w:t>
      </w:r>
      <w:r>
        <w:rPr>
          <w:noProof/>
          <w:lang w:val="bg-BG"/>
        </w:rPr>
        <w:t>:</w:t>
      </w:r>
      <w:r>
        <w:rPr>
          <w:rFonts w:ascii="Times New Roman" w:hAnsi="Times New Roman"/>
          <w:b/>
          <w:noProof/>
          <w:sz w:val="24"/>
          <w:lang w:val="bg-BG"/>
        </w:rPr>
        <w:t xml:space="preserve"> Преглед на наличните средства и защитни стени</w:t>
      </w:r>
      <w:r>
        <w:rPr>
          <w:rFonts w:ascii="Times New Roman" w:hAnsi="Times New Roman"/>
          <w:b/>
          <w:noProof/>
          <w:sz w:val="24"/>
        </w:rPr>
        <w:br/>
      </w:r>
    </w:p>
    <w:p w:rsidR="009E0654" w:rsidRDefault="00567D37">
      <w:pPr>
        <w:rPr>
          <w:rFonts w:ascii="Times New Roman" w:hAnsi="Times New Roman"/>
          <w:i/>
          <w:noProof/>
          <w:lang w:val="bg-BG"/>
        </w:rPr>
      </w:pPr>
      <w:r>
        <w:rPr>
          <w:noProof/>
          <w:lang w:eastAsia="en-GB"/>
        </w:rPr>
        <w:drawing>
          <wp:inline distT="0" distB="0" distL="0" distR="0">
            <wp:extent cx="7867650" cy="5133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7869754" cy="5135348"/>
                    </a:xfrm>
                    <a:prstGeom prst="rect">
                      <a:avLst/>
                    </a:prstGeom>
                  </pic:spPr>
                </pic:pic>
              </a:graphicData>
            </a:graphic>
          </wp:inline>
        </w:drawing>
      </w:r>
    </w:p>
    <w:p w:rsidR="009E0654" w:rsidRDefault="00567D37">
      <w:pPr>
        <w:pStyle w:val="ListParagraph"/>
        <w:rPr>
          <w:rFonts w:ascii="Times New Roman" w:hAnsi="Times New Roman"/>
          <w:noProof/>
          <w:lang w:val="bg-BG"/>
        </w:rPr>
      </w:pPr>
      <w:r>
        <w:rPr>
          <w:rFonts w:ascii="Times New Roman" w:hAnsi="Times New Roman"/>
          <w:i/>
          <w:noProof/>
          <w:lang w:val="bg-BG"/>
        </w:rPr>
        <w:t>Източник: Европейската комисия</w:t>
      </w:r>
    </w:p>
    <w:sectPr w:rsidR="009E0654">
      <w:headerReference w:type="even" r:id="rId26"/>
      <w:headerReference w:type="default" r:id="rId27"/>
      <w:footerReference w:type="even" r:id="rId28"/>
      <w:footerReference w:type="default" r:id="rId29"/>
      <w:headerReference w:type="first" r:id="rId30"/>
      <w:footerReference w:type="first" r:id="rId31"/>
      <w:pgSz w:w="16839" w:h="11907" w:orient="landscape" w:code="9"/>
      <w:pgMar w:top="1417" w:right="1417" w:bottom="1417" w:left="1417"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654" w:rsidRDefault="00567D37">
      <w:pPr>
        <w:spacing w:after="0" w:line="240" w:lineRule="auto"/>
      </w:pPr>
      <w:r>
        <w:separator/>
      </w:r>
    </w:p>
  </w:endnote>
  <w:endnote w:type="continuationSeparator" w:id="0">
    <w:p w:rsidR="009E0654" w:rsidRDefault="00567D37">
      <w:pPr>
        <w:spacing w:after="0" w:line="240" w:lineRule="auto"/>
      </w:pPr>
      <w:r>
        <w:continuationSeparator/>
      </w:r>
    </w:p>
  </w:endnote>
  <w:endnote w:type="continuationNotice" w:id="1">
    <w:p w:rsidR="009E0654" w:rsidRDefault="009E06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C Square Sans Pro">
    <w:panose1 w:val="020B0506040000020004"/>
    <w:charset w:val="00"/>
    <w:family w:val="swiss"/>
    <w:pitch w:val="variable"/>
    <w:sig w:usb0="A00002BF"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54" w:rsidRDefault="009E06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54" w:rsidRDefault="00567D37">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54" w:rsidRDefault="009E0654">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54" w:rsidRDefault="009E065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54" w:rsidRDefault="00567D37">
    <w:pPr>
      <w:pStyle w:val="Footer"/>
      <w:jc w:val="right"/>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1</w:t>
    </w:r>
    <w:r>
      <w:rPr>
        <w:rFonts w:ascii="Times New Roman" w:hAnsi="Times New Roman"/>
      </w:rPr>
      <w:fldChar w:fldCharType="end"/>
    </w:r>
  </w:p>
  <w:p w:rsidR="009E0654" w:rsidRDefault="009E065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54" w:rsidRDefault="009E0654"/>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54" w:rsidRDefault="009E065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54" w:rsidRDefault="00567D37">
    <w:pPr>
      <w:pStyle w:val="Footer"/>
      <w:jc w:val="right"/>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21</w:t>
    </w:r>
    <w:r>
      <w:rPr>
        <w:rFonts w:ascii="Times New Roman" w:hAnsi="Times New Roman"/>
      </w:rPr>
      <w:fldChar w:fldCharType="end"/>
    </w:r>
  </w:p>
  <w:p w:rsidR="009E0654" w:rsidRDefault="009E0654">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54" w:rsidRDefault="009E06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654" w:rsidRDefault="00567D37">
      <w:pPr>
        <w:spacing w:after="0" w:line="240" w:lineRule="auto"/>
      </w:pPr>
      <w:r>
        <w:separator/>
      </w:r>
    </w:p>
  </w:footnote>
  <w:footnote w:type="continuationSeparator" w:id="0">
    <w:p w:rsidR="009E0654" w:rsidRDefault="00567D37">
      <w:pPr>
        <w:spacing w:after="0" w:line="240" w:lineRule="auto"/>
      </w:pPr>
      <w:r>
        <w:continuationSeparator/>
      </w:r>
    </w:p>
  </w:footnote>
  <w:footnote w:type="continuationNotice" w:id="1">
    <w:p w:rsidR="009E0654" w:rsidRDefault="009E0654">
      <w:pPr>
        <w:spacing w:after="0" w:line="240" w:lineRule="auto"/>
      </w:pPr>
    </w:p>
  </w:footnote>
  <w:footnote w:id="2">
    <w:p w:rsidR="009E0654" w:rsidRDefault="00567D37">
      <w:pPr>
        <w:pStyle w:val="FootnoteText"/>
        <w:tabs>
          <w:tab w:val="left" w:pos="284"/>
        </w:tabs>
        <w:spacing w:line="240" w:lineRule="auto"/>
        <w:ind w:left="284" w:hanging="284"/>
        <w:jc w:val="both"/>
        <w:rPr>
          <w:rFonts w:ascii="Times New Roman" w:hAnsi="Times New Roman" w:cs="Times New Roman"/>
          <w:lang w:val="ru-RU"/>
        </w:rPr>
      </w:pPr>
      <w:r>
        <w:rPr>
          <w:rStyle w:val="FootnoteReference"/>
          <w:rFonts w:ascii="Times New Roman" w:hAnsi="Times New Roman"/>
        </w:rPr>
        <w:footnoteRef/>
      </w:r>
      <w:r>
        <w:rPr>
          <w:rFonts w:ascii="Times New Roman" w:hAnsi="Times New Roman"/>
          <w:lang w:val="ru-RU"/>
        </w:rPr>
        <w:t xml:space="preserve"> </w:t>
      </w:r>
      <w:r>
        <w:rPr>
          <w:lang w:val="ru-RU"/>
        </w:rPr>
        <w:tab/>
      </w:r>
      <w:r>
        <w:rPr>
          <w:rFonts w:ascii="Times New Roman" w:hAnsi="Times New Roman"/>
          <w:lang w:val="ru-RU"/>
        </w:rPr>
        <w:t>С</w:t>
      </w:r>
      <w:r>
        <w:rPr>
          <w:rFonts w:ascii="Times New Roman" w:hAnsi="Times New Roman"/>
        </w:rPr>
        <w:t>OM</w:t>
      </w:r>
      <w:r>
        <w:rPr>
          <w:rFonts w:ascii="Times New Roman" w:hAnsi="Times New Roman"/>
          <w:lang w:val="ru-RU"/>
        </w:rPr>
        <w:t>(2017) 821, 6 декември 2017 г.</w:t>
      </w:r>
    </w:p>
  </w:footnote>
  <w:footnote w:id="3">
    <w:p w:rsidR="009E0654" w:rsidRDefault="00567D37">
      <w:pPr>
        <w:pStyle w:val="FootnoteText"/>
        <w:tabs>
          <w:tab w:val="left" w:pos="284"/>
        </w:tabs>
        <w:spacing w:line="240" w:lineRule="auto"/>
        <w:ind w:left="284" w:hanging="284"/>
        <w:jc w:val="both"/>
        <w:rPr>
          <w:rFonts w:ascii="Times New Roman" w:hAnsi="Times New Roman" w:cs="Times New Roman"/>
          <w:lang w:val="ru-RU"/>
        </w:rPr>
      </w:pPr>
      <w:r>
        <w:rPr>
          <w:rStyle w:val="FootnoteReference"/>
          <w:rFonts w:ascii="Times New Roman" w:hAnsi="Times New Roman"/>
        </w:rPr>
        <w:footnoteRef/>
      </w:r>
      <w:r>
        <w:rPr>
          <w:rFonts w:ascii="Times New Roman" w:hAnsi="Times New Roman"/>
          <w:lang w:val="ru-RU"/>
        </w:rPr>
        <w:t xml:space="preserve"> </w:t>
      </w:r>
      <w:r>
        <w:rPr>
          <w:lang w:val="ru-RU"/>
        </w:rPr>
        <w:tab/>
      </w:r>
      <w:r>
        <w:rPr>
          <w:rFonts w:ascii="Times New Roman" w:hAnsi="Times New Roman"/>
          <w:lang w:val="ru-RU"/>
        </w:rPr>
        <w:t xml:space="preserve">„Завършване на европейския </w:t>
      </w:r>
      <w:r>
        <w:rPr>
          <w:rFonts w:ascii="Times New Roman" w:hAnsi="Times New Roman"/>
          <w:lang w:val="ru-RU"/>
        </w:rPr>
        <w:t>икономически и паричен съюз“ — доклад на Жан-Клод Юнкер в тясно сътрудничество с Доналд Туск, Йерун Дейселблум, Марио Драги и Мартин Шулц, 22 юни 2015</w:t>
      </w:r>
      <w:r>
        <w:rPr>
          <w:rFonts w:ascii="Times New Roman" w:hAnsi="Times New Roman"/>
        </w:rPr>
        <w:t> </w:t>
      </w:r>
      <w:r>
        <w:rPr>
          <w:rFonts w:ascii="Times New Roman" w:hAnsi="Times New Roman"/>
          <w:lang w:val="ru-RU"/>
        </w:rPr>
        <w:t>г.</w:t>
      </w:r>
    </w:p>
  </w:footnote>
  <w:footnote w:id="4">
    <w:p w:rsidR="009E0654" w:rsidRDefault="00567D37">
      <w:pPr>
        <w:pStyle w:val="FootnoteText"/>
        <w:tabs>
          <w:tab w:val="left" w:pos="284"/>
        </w:tabs>
        <w:spacing w:line="240" w:lineRule="auto"/>
        <w:ind w:left="284" w:hanging="284"/>
        <w:jc w:val="both"/>
        <w:rPr>
          <w:rFonts w:ascii="Times New Roman" w:hAnsi="Times New Roman" w:cs="Times New Roman"/>
          <w:lang w:val="ru-RU"/>
        </w:rPr>
      </w:pPr>
      <w:r>
        <w:rPr>
          <w:rStyle w:val="FootnoteReference"/>
          <w:rFonts w:ascii="Times New Roman" w:hAnsi="Times New Roman"/>
        </w:rPr>
        <w:footnoteRef/>
      </w:r>
      <w:r>
        <w:rPr>
          <w:rFonts w:ascii="Times New Roman" w:hAnsi="Times New Roman"/>
          <w:lang w:val="ru-RU"/>
        </w:rPr>
        <w:t xml:space="preserve"> </w:t>
      </w:r>
      <w:r>
        <w:rPr>
          <w:lang w:val="ru-RU"/>
        </w:rPr>
        <w:tab/>
      </w:r>
      <w:r>
        <w:rPr>
          <w:rFonts w:ascii="Times New Roman" w:hAnsi="Times New Roman"/>
          <w:lang w:val="ru-RU"/>
        </w:rPr>
        <w:t>С</w:t>
      </w:r>
      <w:r>
        <w:rPr>
          <w:rFonts w:ascii="Times New Roman" w:hAnsi="Times New Roman"/>
        </w:rPr>
        <w:t>OM</w:t>
      </w:r>
      <w:r>
        <w:rPr>
          <w:rFonts w:ascii="Times New Roman" w:hAnsi="Times New Roman"/>
          <w:lang w:val="ru-RU"/>
        </w:rPr>
        <w:t>(2017) 291, 31 май 2017 г.</w:t>
      </w:r>
    </w:p>
  </w:footnote>
  <w:footnote w:id="5">
    <w:p w:rsidR="009E0654" w:rsidRDefault="00567D37">
      <w:pPr>
        <w:pStyle w:val="FootnoteText"/>
        <w:tabs>
          <w:tab w:val="left" w:pos="284"/>
        </w:tabs>
        <w:spacing w:line="240" w:lineRule="auto"/>
        <w:ind w:left="284" w:hanging="284"/>
        <w:rPr>
          <w:rFonts w:ascii="Times New Roman" w:hAnsi="Times New Roman" w:cs="Times New Roman"/>
          <w:lang w:val="ru-RU"/>
        </w:rPr>
      </w:pPr>
      <w:r>
        <w:rPr>
          <w:rStyle w:val="FootnoteReference"/>
          <w:rFonts w:ascii="Times New Roman" w:hAnsi="Times New Roman"/>
        </w:rPr>
        <w:footnoteRef/>
      </w:r>
      <w:r>
        <w:rPr>
          <w:rFonts w:ascii="Times New Roman" w:hAnsi="Times New Roman"/>
          <w:lang w:val="ru-RU"/>
        </w:rPr>
        <w:t xml:space="preserve"> </w:t>
      </w:r>
      <w:r>
        <w:rPr>
          <w:lang w:val="ru-RU"/>
        </w:rPr>
        <w:tab/>
      </w:r>
      <w:r>
        <w:rPr>
          <w:rFonts w:ascii="Times New Roman" w:hAnsi="Times New Roman"/>
          <w:lang w:val="ru-RU"/>
        </w:rPr>
        <w:t>С</w:t>
      </w:r>
      <w:r>
        <w:rPr>
          <w:rFonts w:ascii="Times New Roman" w:hAnsi="Times New Roman"/>
        </w:rPr>
        <w:t>OM</w:t>
      </w:r>
      <w:r>
        <w:rPr>
          <w:rFonts w:ascii="Times New Roman" w:hAnsi="Times New Roman"/>
          <w:lang w:val="ru-RU"/>
        </w:rPr>
        <w:t>(2017) 2025,1 март 2017 г.</w:t>
      </w:r>
    </w:p>
  </w:footnote>
  <w:footnote w:id="6">
    <w:p w:rsidR="009E0654" w:rsidRDefault="00567D37">
      <w:pPr>
        <w:pStyle w:val="FootnoteText"/>
        <w:tabs>
          <w:tab w:val="left" w:pos="284"/>
        </w:tabs>
        <w:spacing w:line="240" w:lineRule="auto"/>
        <w:ind w:left="284" w:hanging="284"/>
        <w:rPr>
          <w:rFonts w:ascii="Times New Roman" w:hAnsi="Times New Roman" w:cs="Times New Roman"/>
          <w:lang w:val="ru-RU"/>
        </w:rPr>
      </w:pPr>
      <w:r>
        <w:rPr>
          <w:rStyle w:val="FootnoteReference"/>
          <w:rFonts w:ascii="Times New Roman" w:hAnsi="Times New Roman"/>
        </w:rPr>
        <w:footnoteRef/>
      </w:r>
      <w:r>
        <w:rPr>
          <w:rFonts w:ascii="Times New Roman" w:hAnsi="Times New Roman"/>
          <w:lang w:val="ru-RU"/>
        </w:rPr>
        <w:t xml:space="preserve"> </w:t>
      </w:r>
      <w:r>
        <w:rPr>
          <w:lang w:val="ru-RU"/>
        </w:rPr>
        <w:tab/>
      </w:r>
      <w:r>
        <w:rPr>
          <w:rFonts w:ascii="Times New Roman" w:hAnsi="Times New Roman"/>
          <w:lang w:val="ru-RU"/>
        </w:rPr>
        <w:t>С</w:t>
      </w:r>
      <w:r>
        <w:rPr>
          <w:rFonts w:ascii="Times New Roman" w:hAnsi="Times New Roman"/>
        </w:rPr>
        <w:t>OM</w:t>
      </w:r>
      <w:r>
        <w:rPr>
          <w:rFonts w:ascii="Times New Roman" w:hAnsi="Times New Roman"/>
          <w:lang w:val="ru-RU"/>
        </w:rPr>
        <w:t>(2017) 358, 28 юни 2017 г.</w:t>
      </w:r>
    </w:p>
  </w:footnote>
  <w:footnote w:id="7">
    <w:p w:rsidR="009E0654" w:rsidRDefault="00567D37">
      <w:pPr>
        <w:pStyle w:val="Pa3"/>
        <w:tabs>
          <w:tab w:val="left" w:pos="284"/>
        </w:tabs>
        <w:ind w:left="284" w:hanging="284"/>
        <w:jc w:val="both"/>
        <w:rPr>
          <w:rFonts w:ascii="Times New Roman" w:hAnsi="Times New Roman"/>
          <w:color w:val="000000"/>
          <w:sz w:val="20"/>
          <w:szCs w:val="20"/>
          <w:lang w:val="ru-RU"/>
        </w:rPr>
      </w:pPr>
      <w:r>
        <w:rPr>
          <w:rStyle w:val="FootnoteReference"/>
          <w:rFonts w:ascii="Times New Roman" w:hAnsi="Times New Roman"/>
          <w:sz w:val="20"/>
        </w:rPr>
        <w:footnoteRef/>
      </w:r>
      <w:r>
        <w:rPr>
          <w:rFonts w:ascii="Times New Roman" w:hAnsi="Times New Roman"/>
          <w:sz w:val="20"/>
          <w:lang w:val="ru-RU"/>
        </w:rPr>
        <w:t xml:space="preserve">   </w:t>
      </w:r>
      <w:r>
        <w:rPr>
          <w:lang w:val="ru-RU"/>
        </w:rPr>
        <w:tab/>
      </w:r>
      <w:r>
        <w:rPr>
          <w:rStyle w:val="A3"/>
          <w:rFonts w:ascii="Times New Roman" w:hAnsi="Times New Roman"/>
          <w:sz w:val="20"/>
          <w:lang w:val="ru-RU"/>
        </w:rPr>
        <w:t>На 15 юли 2015</w:t>
      </w:r>
      <w:r>
        <w:rPr>
          <w:rStyle w:val="A3"/>
          <w:rFonts w:ascii="Times New Roman" w:hAnsi="Times New Roman"/>
          <w:sz w:val="20"/>
        </w:rPr>
        <w:t> </w:t>
      </w:r>
      <w:r>
        <w:rPr>
          <w:rStyle w:val="A3"/>
          <w:rFonts w:ascii="Times New Roman" w:hAnsi="Times New Roman"/>
          <w:sz w:val="20"/>
          <w:lang w:val="ru-RU"/>
        </w:rPr>
        <w:t>г. Комисията представи съобщението „Ново начало за работни места и растеж в Гърция“ (</w:t>
      </w:r>
      <w:r>
        <w:rPr>
          <w:rStyle w:val="A3"/>
          <w:rFonts w:ascii="Times New Roman" w:hAnsi="Times New Roman"/>
          <w:sz w:val="20"/>
        </w:rPr>
        <w:t>COM</w:t>
      </w:r>
      <w:r>
        <w:rPr>
          <w:rStyle w:val="A3"/>
          <w:rFonts w:ascii="Times New Roman" w:hAnsi="Times New Roman"/>
          <w:sz w:val="20"/>
          <w:lang w:val="ru-RU"/>
        </w:rPr>
        <w:t xml:space="preserve"> (2015) 400) и предложи редица извънредни мерки, които спомогнаха за оптималното усвояване на средства от фондовете на ЕС в подкрепа на реалната икон</w:t>
      </w:r>
      <w:r>
        <w:rPr>
          <w:rStyle w:val="A3"/>
          <w:rFonts w:ascii="Times New Roman" w:hAnsi="Times New Roman"/>
          <w:sz w:val="20"/>
          <w:lang w:val="ru-RU"/>
        </w:rPr>
        <w:t>омика на Гърция</w:t>
      </w:r>
      <w:r>
        <w:rPr>
          <w:rStyle w:val="FootnoteCharacters"/>
          <w:rFonts w:ascii="Times New Roman" w:hAnsi="Times New Roman"/>
          <w:sz w:val="20"/>
          <w:lang w:val="ru-RU"/>
        </w:rPr>
        <w:t>.</w:t>
      </w:r>
    </w:p>
  </w:footnote>
  <w:footnote w:id="8">
    <w:p w:rsidR="009E0654" w:rsidRDefault="00567D37">
      <w:pPr>
        <w:tabs>
          <w:tab w:val="left" w:pos="284"/>
        </w:tabs>
        <w:spacing w:after="0" w:line="240" w:lineRule="auto"/>
        <w:ind w:left="284" w:hanging="284"/>
        <w:jc w:val="both"/>
        <w:rPr>
          <w:rFonts w:ascii="Times New Roman" w:hAnsi="Times New Roman"/>
          <w:sz w:val="20"/>
          <w:szCs w:val="20"/>
          <w:lang w:val="ru-RU"/>
        </w:rPr>
      </w:pPr>
      <w:r>
        <w:rPr>
          <w:rStyle w:val="FootnoteCharacters"/>
          <w:rFonts w:ascii="Times New Roman" w:hAnsi="Times New Roman"/>
          <w:sz w:val="20"/>
          <w:vertAlign w:val="superscript"/>
        </w:rPr>
        <w:footnoteRef/>
      </w:r>
      <w:r>
        <w:rPr>
          <w:rStyle w:val="FootnoteCharacters"/>
          <w:rFonts w:ascii="Times New Roman" w:hAnsi="Times New Roman"/>
          <w:sz w:val="20"/>
          <w:lang w:val="ru-RU"/>
        </w:rPr>
        <w:t xml:space="preserve">   </w:t>
      </w:r>
      <w:r>
        <w:rPr>
          <w:lang w:val="ru-RU"/>
        </w:rPr>
        <w:tab/>
      </w:r>
      <w:r>
        <w:rPr>
          <w:rStyle w:val="FootnoteCharacters"/>
          <w:rFonts w:ascii="Times New Roman" w:hAnsi="Times New Roman"/>
          <w:sz w:val="20"/>
          <w:lang w:val="ru-RU"/>
        </w:rPr>
        <w:t>Сред другите такива механизми са инициативата за младежка заетост, чрез която се предоставя подкрепа на държавите членки и регионите с висок процент на младежка безработица; фонд „Солидарност“ на Европейския съюз, който предоставя фин</w:t>
      </w:r>
      <w:r>
        <w:rPr>
          <w:rStyle w:val="FootnoteCharacters"/>
          <w:rFonts w:ascii="Times New Roman" w:hAnsi="Times New Roman"/>
          <w:sz w:val="20"/>
          <w:lang w:val="ru-RU"/>
        </w:rPr>
        <w:t>ансово подпомагане за държавите членки/регионите, засегнати от големи бедствия; и Европейският фонд за приспособяване към глобализацията, който осигурява подкрепа за хората, които губят работата си в резултат на големи структурни промени в моделите на свет</w:t>
      </w:r>
      <w:r>
        <w:rPr>
          <w:rStyle w:val="FootnoteCharacters"/>
          <w:rFonts w:ascii="Times New Roman" w:hAnsi="Times New Roman"/>
          <w:sz w:val="20"/>
          <w:lang w:val="ru-RU"/>
        </w:rPr>
        <w:t xml:space="preserve">овната търговия или в резултат на световната икономическа и финансова криза. </w:t>
      </w:r>
    </w:p>
  </w:footnote>
  <w:footnote w:id="9">
    <w:p w:rsidR="009E0654" w:rsidRDefault="00567D37">
      <w:pPr>
        <w:tabs>
          <w:tab w:val="left" w:pos="284"/>
        </w:tabs>
        <w:spacing w:after="0" w:line="240" w:lineRule="auto"/>
        <w:ind w:left="284" w:hanging="284"/>
        <w:jc w:val="both"/>
        <w:rPr>
          <w:rFonts w:ascii="Times New Roman" w:hAnsi="Times New Roman"/>
          <w:sz w:val="20"/>
          <w:szCs w:val="20"/>
          <w:lang w:val="ru-RU"/>
        </w:rPr>
      </w:pPr>
      <w:r>
        <w:rPr>
          <w:rStyle w:val="FootnoteReference"/>
          <w:rFonts w:ascii="Times New Roman" w:hAnsi="Times New Roman"/>
          <w:sz w:val="20"/>
        </w:rPr>
        <w:footnoteRef/>
      </w:r>
      <w:r>
        <w:rPr>
          <w:rFonts w:ascii="Times New Roman" w:hAnsi="Times New Roman"/>
          <w:sz w:val="20"/>
          <w:lang w:val="ru-RU"/>
        </w:rPr>
        <w:t xml:space="preserve">   </w:t>
      </w:r>
      <w:r>
        <w:rPr>
          <w:lang w:val="ru-RU"/>
        </w:rPr>
        <w:tab/>
      </w:r>
      <w:r>
        <w:rPr>
          <w:rStyle w:val="FootnoteCharacters"/>
          <w:rFonts w:ascii="Times New Roman" w:hAnsi="Times New Roman"/>
          <w:sz w:val="20"/>
          <w:lang w:val="ru-RU"/>
        </w:rPr>
        <w:t>До края на ноември 2017</w:t>
      </w:r>
      <w:r>
        <w:rPr>
          <w:rStyle w:val="FootnoteCharacters"/>
          <w:rFonts w:ascii="Times New Roman" w:hAnsi="Times New Roman"/>
          <w:sz w:val="20"/>
        </w:rPr>
        <w:t> </w:t>
      </w:r>
      <w:r>
        <w:rPr>
          <w:rStyle w:val="FootnoteCharacters"/>
          <w:rFonts w:ascii="Times New Roman" w:hAnsi="Times New Roman"/>
          <w:sz w:val="20"/>
          <w:lang w:val="ru-RU"/>
        </w:rPr>
        <w:t xml:space="preserve">г. сделките, одобрени за финансиране от Европейския фонд за стратегически инвестиции (ЕФСИ), възлизат на 49,6 милиарда евро и се осъществяват във </w:t>
      </w:r>
      <w:r>
        <w:rPr>
          <w:rStyle w:val="FootnoteCharacters"/>
          <w:rFonts w:ascii="Times New Roman" w:hAnsi="Times New Roman"/>
          <w:sz w:val="20"/>
          <w:lang w:val="ru-RU"/>
        </w:rPr>
        <w:t>всички 28 държави членки, като се очаква Европейският фонд за стратегически инвестиции да доведе до общи инвестиции в размер на общо 251,6 милиарда евро. Очаква се около 528 000 малки и средни предприятия (МСП) да се възползват от подобрен достъп до финанс</w:t>
      </w:r>
      <w:r>
        <w:rPr>
          <w:rStyle w:val="FootnoteCharacters"/>
          <w:rFonts w:ascii="Times New Roman" w:hAnsi="Times New Roman"/>
          <w:sz w:val="20"/>
          <w:lang w:val="ru-RU"/>
        </w:rPr>
        <w:t>иране.</w:t>
      </w:r>
    </w:p>
  </w:footnote>
  <w:footnote w:id="10">
    <w:p w:rsidR="009E0654" w:rsidRDefault="00567D37">
      <w:pPr>
        <w:pStyle w:val="FootnoteText"/>
        <w:tabs>
          <w:tab w:val="left" w:pos="284"/>
        </w:tabs>
        <w:spacing w:line="240" w:lineRule="auto"/>
        <w:ind w:left="284" w:hanging="284"/>
        <w:jc w:val="both"/>
        <w:rPr>
          <w:rStyle w:val="FootnoteCharacters"/>
          <w:rFonts w:ascii="Times New Roman" w:eastAsia="Calibri" w:hAnsi="Times New Roman" w:cs="Times New Roman"/>
          <w:color w:val="auto"/>
          <w:lang w:val="ru-RU" w:eastAsia="en-US"/>
        </w:rPr>
      </w:pPr>
      <w:r>
        <w:rPr>
          <w:rStyle w:val="FootnoteReference"/>
          <w:rFonts w:ascii="Times New Roman" w:hAnsi="Times New Roman"/>
        </w:rPr>
        <w:footnoteRef/>
      </w:r>
      <w:r>
        <w:rPr>
          <w:rStyle w:val="FootnoteReference"/>
          <w:rFonts w:ascii="Times New Roman" w:hAnsi="Times New Roman"/>
          <w:lang w:val="ru-RU"/>
        </w:rPr>
        <w:t xml:space="preserve"> </w:t>
      </w:r>
      <w:r>
        <w:rPr>
          <w:rFonts w:ascii="Times New Roman" w:hAnsi="Times New Roman"/>
          <w:lang w:val="ru-RU"/>
        </w:rPr>
        <w:t xml:space="preserve"> </w:t>
      </w:r>
      <w:r>
        <w:rPr>
          <w:lang w:val="ru-RU"/>
        </w:rPr>
        <w:tab/>
      </w:r>
      <w:r>
        <w:rPr>
          <w:rStyle w:val="FootnoteCharacters"/>
          <w:rFonts w:ascii="Times New Roman" w:hAnsi="Times New Roman"/>
          <w:color w:val="auto"/>
          <w:lang w:val="ru-RU"/>
        </w:rPr>
        <w:t>Регламент (ЕО) № 332/2002 на Съвета от 18 февруари 2002 г. за установяване на механизъм, осигуряващ средносрочна финансова подкрепа за платежния баланс на държавите-членки (</w:t>
      </w:r>
      <w:r>
        <w:rPr>
          <w:rStyle w:val="FootnoteCharacters"/>
          <w:rFonts w:ascii="Times New Roman" w:hAnsi="Times New Roman"/>
          <w:color w:val="auto"/>
        </w:rPr>
        <w:t>O</w:t>
      </w:r>
      <w:r>
        <w:rPr>
          <w:rStyle w:val="FootnoteCharacters"/>
          <w:rFonts w:ascii="Times New Roman" w:hAnsi="Times New Roman"/>
          <w:color w:val="auto"/>
          <w:lang w:val="ru-RU"/>
        </w:rPr>
        <w:t xml:space="preserve">В </w:t>
      </w:r>
      <w:r>
        <w:rPr>
          <w:rStyle w:val="FootnoteCharacters"/>
          <w:rFonts w:ascii="Times New Roman" w:hAnsi="Times New Roman"/>
          <w:color w:val="auto"/>
        </w:rPr>
        <w:t>L</w:t>
      </w:r>
      <w:r>
        <w:rPr>
          <w:rStyle w:val="FootnoteCharacters"/>
          <w:rFonts w:ascii="Times New Roman" w:hAnsi="Times New Roman"/>
          <w:color w:val="auto"/>
          <w:lang w:val="ru-RU"/>
        </w:rPr>
        <w:t xml:space="preserve"> 53, 22 февруари 2002</w:t>
      </w:r>
      <w:r>
        <w:rPr>
          <w:rStyle w:val="FootnoteCharacters"/>
          <w:rFonts w:ascii="Times New Roman" w:hAnsi="Times New Roman"/>
          <w:color w:val="auto"/>
        </w:rPr>
        <w:t> </w:t>
      </w:r>
      <w:r>
        <w:rPr>
          <w:rStyle w:val="FootnoteCharacters"/>
          <w:rFonts w:ascii="Times New Roman" w:hAnsi="Times New Roman"/>
          <w:color w:val="auto"/>
          <w:lang w:val="ru-RU"/>
        </w:rPr>
        <w:t>г., стр. 1).</w:t>
      </w:r>
    </w:p>
  </w:footnote>
  <w:footnote w:id="11">
    <w:p w:rsidR="009E0654" w:rsidRDefault="00567D37">
      <w:pPr>
        <w:pStyle w:val="FootnoteText"/>
        <w:tabs>
          <w:tab w:val="left" w:pos="284"/>
        </w:tabs>
        <w:ind w:left="284" w:hanging="284"/>
        <w:jc w:val="both"/>
        <w:rPr>
          <w:rFonts w:ascii="Times New Roman" w:hAnsi="Times New Roman" w:cs="Times New Roman"/>
          <w:lang w:val="ru-RU"/>
        </w:rPr>
      </w:pPr>
      <w:r>
        <w:rPr>
          <w:rStyle w:val="FootnoteReference"/>
          <w:rFonts w:ascii="Times New Roman" w:hAnsi="Times New Roman"/>
        </w:rPr>
        <w:footnoteRef/>
      </w:r>
      <w:r>
        <w:rPr>
          <w:rFonts w:ascii="Times New Roman" w:hAnsi="Times New Roman"/>
          <w:lang w:val="ru-RU"/>
        </w:rPr>
        <w:t xml:space="preserve">  </w:t>
      </w:r>
      <w:r>
        <w:rPr>
          <w:lang w:val="ru-RU"/>
        </w:rPr>
        <w:tab/>
      </w:r>
      <w:r>
        <w:rPr>
          <w:rStyle w:val="FootnoteCharacters"/>
          <w:rFonts w:ascii="Times New Roman" w:hAnsi="Times New Roman"/>
          <w:lang w:val="ru-RU"/>
        </w:rPr>
        <w:t>Европейският</w:t>
      </w:r>
      <w:r>
        <w:rPr>
          <w:lang w:val="ru-RU"/>
        </w:rPr>
        <w:t xml:space="preserve"> </w:t>
      </w:r>
      <w:r>
        <w:rPr>
          <w:rFonts w:ascii="Times New Roman" w:hAnsi="Times New Roman"/>
          <w:lang w:val="ru-RU"/>
        </w:rPr>
        <w:t>механизъм за фин</w:t>
      </w:r>
      <w:r>
        <w:rPr>
          <w:rFonts w:ascii="Times New Roman" w:hAnsi="Times New Roman"/>
          <w:lang w:val="ru-RU"/>
        </w:rPr>
        <w:t xml:space="preserve">ансово стабилизиране </w:t>
      </w:r>
      <w:r>
        <w:rPr>
          <w:rStyle w:val="FootnoteCharacters"/>
          <w:rFonts w:ascii="Times New Roman" w:hAnsi="Times New Roman"/>
          <w:lang w:val="ru-RU"/>
        </w:rPr>
        <w:t>бе създаден на 11 май 2010</w:t>
      </w:r>
      <w:r>
        <w:rPr>
          <w:rStyle w:val="FootnoteCharacters"/>
          <w:rFonts w:ascii="Times New Roman" w:hAnsi="Times New Roman"/>
        </w:rPr>
        <w:t> </w:t>
      </w:r>
      <w:r>
        <w:rPr>
          <w:rStyle w:val="FootnoteCharacters"/>
          <w:rFonts w:ascii="Times New Roman" w:hAnsi="Times New Roman"/>
          <w:lang w:val="ru-RU"/>
        </w:rPr>
        <w:t>г. въз основа на Регламент (ЕС) №</w:t>
      </w:r>
      <w:r>
        <w:rPr>
          <w:rStyle w:val="FootnoteCharacters"/>
          <w:rFonts w:ascii="Times New Roman" w:hAnsi="Times New Roman"/>
        </w:rPr>
        <w:t> </w:t>
      </w:r>
      <w:r>
        <w:rPr>
          <w:rStyle w:val="FootnoteCharacters"/>
          <w:rFonts w:ascii="Times New Roman" w:hAnsi="Times New Roman"/>
          <w:lang w:val="ru-RU"/>
        </w:rPr>
        <w:t>407/2010 на Съвета от 11 май 2010</w:t>
      </w:r>
      <w:r>
        <w:rPr>
          <w:rStyle w:val="FootnoteCharacters"/>
          <w:rFonts w:ascii="Times New Roman" w:hAnsi="Times New Roman"/>
        </w:rPr>
        <w:t> </w:t>
      </w:r>
      <w:r>
        <w:rPr>
          <w:rStyle w:val="FootnoteCharacters"/>
          <w:rFonts w:ascii="Times New Roman" w:hAnsi="Times New Roman"/>
          <w:lang w:val="ru-RU"/>
        </w:rPr>
        <w:t xml:space="preserve">г. (ОВ </w:t>
      </w:r>
      <w:r>
        <w:rPr>
          <w:rStyle w:val="FootnoteCharacters"/>
          <w:rFonts w:ascii="Times New Roman" w:hAnsi="Times New Roman"/>
        </w:rPr>
        <w:t>L</w:t>
      </w:r>
      <w:r>
        <w:rPr>
          <w:rStyle w:val="FootnoteCharacters"/>
          <w:rFonts w:ascii="Times New Roman" w:hAnsi="Times New Roman"/>
          <w:lang w:val="ru-RU"/>
        </w:rPr>
        <w:t xml:space="preserve"> 118, 12 май 2010</w:t>
      </w:r>
      <w:r>
        <w:rPr>
          <w:rStyle w:val="FootnoteCharacters"/>
          <w:rFonts w:ascii="Times New Roman" w:hAnsi="Times New Roman"/>
        </w:rPr>
        <w:t> </w:t>
      </w:r>
      <w:r>
        <w:rPr>
          <w:rStyle w:val="FootnoteCharacters"/>
          <w:rFonts w:ascii="Times New Roman" w:hAnsi="Times New Roman"/>
          <w:lang w:val="ru-RU"/>
        </w:rPr>
        <w:t>г., стр.</w:t>
      </w:r>
      <w:r>
        <w:rPr>
          <w:rStyle w:val="FootnoteCharacters"/>
          <w:rFonts w:ascii="Times New Roman" w:hAnsi="Times New Roman"/>
        </w:rPr>
        <w:t> </w:t>
      </w:r>
      <w:r>
        <w:rPr>
          <w:rStyle w:val="FootnoteCharacters"/>
          <w:rFonts w:ascii="Times New Roman" w:hAnsi="Times New Roman"/>
          <w:lang w:val="ru-RU"/>
        </w:rPr>
        <w:t>1)</w:t>
      </w:r>
      <w:r>
        <w:rPr>
          <w:rFonts w:ascii="Times New Roman" w:hAnsi="Times New Roman"/>
          <w:lang w:val="ru-RU"/>
        </w:rPr>
        <w:t>.</w:t>
      </w:r>
      <w:r>
        <w:rPr>
          <w:rStyle w:val="FootnoteCharacters"/>
          <w:rFonts w:ascii="Times New Roman" w:hAnsi="Times New Roman"/>
          <w:lang w:val="ru-RU"/>
        </w:rPr>
        <w:t xml:space="preserve"> Той функционира подобно на механизма за подкрепа на платежния баланс, но е на разположение на всички </w:t>
      </w:r>
      <w:r>
        <w:rPr>
          <w:rStyle w:val="FootnoteCharacters"/>
          <w:rFonts w:ascii="Times New Roman" w:hAnsi="Times New Roman"/>
          <w:lang w:val="ru-RU"/>
        </w:rPr>
        <w:t>държави членки, включително държави членки от еврозоната</w:t>
      </w:r>
      <w:r>
        <w:rPr>
          <w:rFonts w:ascii="Times New Roman" w:hAnsi="Times New Roman"/>
          <w:lang w:val="ru-RU"/>
        </w:rPr>
        <w:t xml:space="preserve">. </w:t>
      </w:r>
    </w:p>
  </w:footnote>
  <w:footnote w:id="12">
    <w:p w:rsidR="009E0654" w:rsidRDefault="00567D37">
      <w:pPr>
        <w:pStyle w:val="FootnoteText"/>
        <w:tabs>
          <w:tab w:val="left" w:pos="284"/>
        </w:tabs>
        <w:ind w:left="284" w:hanging="284"/>
        <w:rPr>
          <w:rFonts w:ascii="Times New Roman" w:hAnsi="Times New Roman" w:cs="Times New Roman"/>
          <w:lang w:val="ru-RU"/>
        </w:rPr>
      </w:pPr>
      <w:r>
        <w:rPr>
          <w:rStyle w:val="FootnoteReference"/>
          <w:rFonts w:ascii="Times New Roman" w:hAnsi="Times New Roman"/>
        </w:rPr>
        <w:footnoteRef/>
      </w:r>
      <w:r>
        <w:rPr>
          <w:rFonts w:ascii="Times New Roman" w:hAnsi="Times New Roman"/>
          <w:lang w:val="ru-RU"/>
        </w:rPr>
        <w:t xml:space="preserve"> </w:t>
      </w:r>
      <w:r>
        <w:rPr>
          <w:lang w:val="ru-RU"/>
        </w:rPr>
        <w:tab/>
      </w:r>
      <w:r>
        <w:rPr>
          <w:rFonts w:ascii="Times New Roman" w:hAnsi="Times New Roman"/>
          <w:lang w:val="ru-RU"/>
        </w:rPr>
        <w:t>С</w:t>
      </w:r>
      <w:r>
        <w:rPr>
          <w:rFonts w:ascii="Times New Roman" w:hAnsi="Times New Roman"/>
        </w:rPr>
        <w:t>OM</w:t>
      </w:r>
      <w:r>
        <w:rPr>
          <w:rFonts w:ascii="Times New Roman" w:hAnsi="Times New Roman"/>
          <w:lang w:val="ru-RU"/>
        </w:rPr>
        <w:t>(2017) 821, 6 декември 2017 г.</w:t>
      </w:r>
    </w:p>
  </w:footnote>
  <w:footnote w:id="13">
    <w:p w:rsidR="009E0654" w:rsidRDefault="00567D37">
      <w:pPr>
        <w:pStyle w:val="FootnoteText"/>
        <w:tabs>
          <w:tab w:val="left" w:pos="284"/>
        </w:tabs>
        <w:ind w:left="284" w:hanging="284"/>
        <w:jc w:val="both"/>
        <w:rPr>
          <w:rFonts w:ascii="Times New Roman" w:hAnsi="Times New Roman" w:cs="Times New Roman"/>
          <w:lang w:val="ru-RU"/>
        </w:rPr>
      </w:pPr>
      <w:r>
        <w:rPr>
          <w:rStyle w:val="FootnoteReference"/>
          <w:rFonts w:ascii="Times New Roman" w:hAnsi="Times New Roman"/>
        </w:rPr>
        <w:footnoteRef/>
      </w:r>
      <w:r>
        <w:rPr>
          <w:rStyle w:val="FootnoteCharacters"/>
          <w:rFonts w:ascii="Times New Roman" w:hAnsi="Times New Roman"/>
          <w:lang w:val="ru-RU"/>
        </w:rPr>
        <w:t xml:space="preserve">  Фактът, че тези вноски се базират на </w:t>
      </w:r>
      <w:r>
        <w:rPr>
          <w:rFonts w:ascii="Times New Roman" w:hAnsi="Times New Roman"/>
          <w:lang w:val="ru-RU"/>
        </w:rPr>
        <w:t>брутния национален доход</w:t>
      </w:r>
      <w:r>
        <w:rPr>
          <w:rStyle w:val="FootnoteCharacters"/>
          <w:rFonts w:ascii="Times New Roman" w:hAnsi="Times New Roman"/>
          <w:lang w:val="ru-RU"/>
        </w:rPr>
        <w:t xml:space="preserve"> на всяка държава членка, означава, че тяхната абсолютна стойност се променя с времето в зависимост от икономическия цикъл, при равни други условия.</w:t>
      </w:r>
    </w:p>
  </w:footnote>
  <w:footnote w:id="14">
    <w:p w:rsidR="009E0654" w:rsidRDefault="00567D37">
      <w:pPr>
        <w:pStyle w:val="FootnoteText"/>
        <w:tabs>
          <w:tab w:val="left" w:pos="284"/>
        </w:tabs>
        <w:ind w:left="284" w:hanging="284"/>
        <w:jc w:val="both"/>
        <w:rPr>
          <w:rFonts w:ascii="Times New Roman" w:hAnsi="Times New Roman" w:cs="Times New Roman"/>
          <w:lang w:val="ru-RU"/>
        </w:rPr>
      </w:pPr>
      <w:r>
        <w:rPr>
          <w:rFonts w:ascii="Times New Roman" w:hAnsi="Times New Roman"/>
          <w:vertAlign w:val="superscript"/>
        </w:rPr>
        <w:footnoteRef/>
      </w:r>
      <w:r>
        <w:rPr>
          <w:rFonts w:ascii="Times New Roman" w:hAnsi="Times New Roman"/>
          <w:color w:val="auto"/>
          <w:lang w:val="ru-RU"/>
        </w:rPr>
        <w:t xml:space="preserve"> </w:t>
      </w:r>
      <w:r>
        <w:rPr>
          <w:lang w:val="ru-RU"/>
        </w:rPr>
        <w:tab/>
      </w:r>
      <w:r>
        <w:rPr>
          <w:rFonts w:ascii="Times New Roman" w:hAnsi="Times New Roman"/>
          <w:color w:val="auto"/>
          <w:lang w:val="ru-RU"/>
        </w:rPr>
        <w:t>За разлика от националните бюджети</w:t>
      </w:r>
      <w:r>
        <w:rPr>
          <w:rFonts w:ascii="Times New Roman" w:hAnsi="Times New Roman"/>
          <w:lang w:val="ru-RU"/>
        </w:rPr>
        <w:t>,</w:t>
      </w:r>
      <w:r>
        <w:rPr>
          <w:rFonts w:ascii="Times New Roman" w:hAnsi="Times New Roman"/>
          <w:color w:val="auto"/>
          <w:lang w:val="ru-RU"/>
        </w:rPr>
        <w:t xml:space="preserve"> в бюджета на ЕС </w:t>
      </w:r>
      <w:r>
        <w:rPr>
          <w:rFonts w:ascii="Times New Roman" w:hAnsi="Times New Roman"/>
          <w:lang w:val="ru-RU"/>
        </w:rPr>
        <w:t>не могат да възникнат дългове, тъй като неговите при</w:t>
      </w:r>
      <w:r>
        <w:rPr>
          <w:rFonts w:ascii="Times New Roman" w:hAnsi="Times New Roman"/>
          <w:lang w:val="ru-RU"/>
        </w:rPr>
        <w:t xml:space="preserve">ходи и разходи трябва да бъдат в равновесие. </w:t>
      </w:r>
      <w:r>
        <w:rPr>
          <w:rFonts w:ascii="Times New Roman" w:hAnsi="Times New Roman"/>
          <w:color w:val="auto"/>
          <w:lang w:val="ru-RU"/>
        </w:rPr>
        <w:t xml:space="preserve">Вместо това той разчита на финансиране чрез </w:t>
      </w:r>
      <w:r>
        <w:rPr>
          <w:rFonts w:ascii="Times New Roman" w:hAnsi="Times New Roman"/>
          <w:lang w:val="ru-RU"/>
        </w:rPr>
        <w:t>„</w:t>
      </w:r>
      <w:r>
        <w:rPr>
          <w:rFonts w:ascii="Times New Roman" w:hAnsi="Times New Roman"/>
          <w:color w:val="auto"/>
          <w:lang w:val="ru-RU"/>
        </w:rPr>
        <w:t>собствени ресурси“.</w:t>
      </w:r>
      <w:r>
        <w:rPr>
          <w:rFonts w:ascii="Times New Roman" w:hAnsi="Times New Roman"/>
          <w:lang w:val="ru-RU"/>
        </w:rPr>
        <w:t xml:space="preserve"> В момента има три основни вида собствени ресурси: вноски от държавите членки въз основа на техните доходи, измерени чрез брутния национален доход,</w:t>
      </w:r>
      <w:r>
        <w:rPr>
          <w:rFonts w:ascii="Times New Roman" w:hAnsi="Times New Roman"/>
          <w:lang w:val="ru-RU"/>
        </w:rPr>
        <w:t xml:space="preserve"> вноски въз основа на данък добавена стойност и мита, събирани по външните граници на Съюза.</w:t>
      </w:r>
    </w:p>
  </w:footnote>
  <w:footnote w:id="15">
    <w:p w:rsidR="009E0654" w:rsidRDefault="00567D37">
      <w:pPr>
        <w:pStyle w:val="FootnoteText"/>
        <w:tabs>
          <w:tab w:val="left" w:pos="284"/>
        </w:tabs>
        <w:ind w:left="284" w:hanging="284"/>
        <w:jc w:val="both"/>
        <w:rPr>
          <w:rFonts w:ascii="Times New Roman" w:hAnsi="Times New Roman" w:cs="Times New Roman"/>
          <w:lang w:val="ru-RU"/>
        </w:rPr>
      </w:pPr>
      <w:r>
        <w:rPr>
          <w:rFonts w:ascii="Times New Roman" w:hAnsi="Times New Roman"/>
          <w:vertAlign w:val="superscript"/>
        </w:rPr>
        <w:footnoteRef/>
      </w:r>
      <w:r>
        <w:rPr>
          <w:rFonts w:ascii="Times New Roman" w:hAnsi="Times New Roman"/>
          <w:lang w:val="ru-RU"/>
        </w:rPr>
        <w:t xml:space="preserve"> </w:t>
      </w:r>
      <w:r>
        <w:rPr>
          <w:lang w:val="ru-RU"/>
        </w:rPr>
        <w:tab/>
      </w:r>
      <w:r>
        <w:rPr>
          <w:rFonts w:ascii="Times New Roman" w:hAnsi="Times New Roman"/>
          <w:lang w:val="ru-RU"/>
        </w:rPr>
        <w:t>Вж. Документа за размисъл относно бъдещето на финансите на ЕС от 28 юни 2017</w:t>
      </w:r>
      <w:r>
        <w:rPr>
          <w:rFonts w:ascii="Times New Roman" w:hAnsi="Times New Roman"/>
        </w:rPr>
        <w:t> </w:t>
      </w:r>
      <w:r>
        <w:rPr>
          <w:rFonts w:ascii="Times New Roman" w:hAnsi="Times New Roman"/>
          <w:lang w:val="ru-RU"/>
        </w:rPr>
        <w:t>г., който черпи вдъхновение и от окончателния доклад и препоръките на Групата на ви</w:t>
      </w:r>
      <w:r>
        <w:rPr>
          <w:rFonts w:ascii="Times New Roman" w:hAnsi="Times New Roman"/>
          <w:lang w:val="ru-RU"/>
        </w:rPr>
        <w:t>соко равнище за собствените ресурси, декември 2016</w:t>
      </w:r>
      <w:r>
        <w:rPr>
          <w:rFonts w:ascii="Times New Roman" w:hAnsi="Times New Roman"/>
        </w:rPr>
        <w:t> </w:t>
      </w:r>
      <w:r>
        <w:rPr>
          <w:rFonts w:ascii="Times New Roman" w:hAnsi="Times New Roman"/>
          <w:lang w:val="ru-RU"/>
        </w:rPr>
        <w:t>г. Тази група беше председателствана от бившия министър-председател на Италия и бивш комисар Марио Монти и беше съставена от членове, определени от Европейския парламент, Съвета и Европейската комисия.</w:t>
      </w:r>
    </w:p>
  </w:footnote>
  <w:footnote w:id="16">
    <w:p w:rsidR="009E0654" w:rsidRDefault="00567D37">
      <w:pPr>
        <w:pStyle w:val="FootnoteText"/>
        <w:tabs>
          <w:tab w:val="left" w:pos="284"/>
        </w:tabs>
        <w:ind w:left="284" w:hanging="284"/>
        <w:jc w:val="both"/>
        <w:rPr>
          <w:rFonts w:ascii="Times New Roman" w:hAnsi="Times New Roman" w:cs="Times New Roman"/>
          <w:lang w:val="ru-RU"/>
        </w:rPr>
      </w:pPr>
      <w:r>
        <w:rPr>
          <w:rStyle w:val="FootnoteReference"/>
          <w:rFonts w:ascii="Times New Roman" w:hAnsi="Times New Roman"/>
        </w:rPr>
        <w:footnoteRef/>
      </w:r>
      <w:r>
        <w:rPr>
          <w:rFonts w:ascii="Times New Roman" w:hAnsi="Times New Roman"/>
          <w:lang w:val="ru-RU"/>
        </w:rPr>
        <w:t xml:space="preserve">  </w:t>
      </w:r>
      <w:r>
        <w:rPr>
          <w:lang w:val="ru-RU"/>
        </w:rPr>
        <w:tab/>
      </w:r>
      <w:r>
        <w:rPr>
          <w:rFonts w:ascii="Times New Roman" w:hAnsi="Times New Roman"/>
          <w:lang w:val="ru-RU"/>
        </w:rPr>
        <w:t>Вж. също член</w:t>
      </w:r>
      <w:r>
        <w:rPr>
          <w:rFonts w:ascii="Times New Roman" w:hAnsi="Times New Roman"/>
        </w:rPr>
        <w:t> </w:t>
      </w:r>
      <w:r>
        <w:rPr>
          <w:rFonts w:ascii="Times New Roman" w:hAnsi="Times New Roman"/>
          <w:lang w:val="ru-RU"/>
        </w:rPr>
        <w:t xml:space="preserve">4 от Регламента за общоприложимите разпоредби </w:t>
      </w:r>
      <w:r>
        <w:rPr>
          <w:rStyle w:val="tgc"/>
          <w:rFonts w:ascii="Times New Roman" w:hAnsi="Times New Roman"/>
          <w:lang w:val="ru-RU"/>
        </w:rPr>
        <w:t>(Регламент (ЕС) №</w:t>
      </w:r>
      <w:r>
        <w:rPr>
          <w:rStyle w:val="tgc"/>
          <w:rFonts w:ascii="Times New Roman" w:hAnsi="Times New Roman"/>
        </w:rPr>
        <w:t> </w:t>
      </w:r>
      <w:r>
        <w:rPr>
          <w:rStyle w:val="tgc"/>
          <w:rFonts w:ascii="Times New Roman" w:hAnsi="Times New Roman"/>
          <w:lang w:val="ru-RU"/>
        </w:rPr>
        <w:t>1303/2013 на Европейския парламент и на Съвета от 17 декември 2013</w:t>
      </w:r>
      <w:r>
        <w:rPr>
          <w:rStyle w:val="tgc"/>
          <w:rFonts w:ascii="Times New Roman" w:hAnsi="Times New Roman"/>
        </w:rPr>
        <w:t> </w:t>
      </w:r>
      <w:r>
        <w:rPr>
          <w:rStyle w:val="tgc"/>
          <w:rFonts w:ascii="Times New Roman" w:hAnsi="Times New Roman"/>
          <w:lang w:val="ru-RU"/>
        </w:rPr>
        <w:t>г.)</w:t>
      </w:r>
    </w:p>
  </w:footnote>
  <w:footnote w:id="17">
    <w:p w:rsidR="009E0654" w:rsidRDefault="00567D37">
      <w:pPr>
        <w:pStyle w:val="FootnoteText"/>
        <w:tabs>
          <w:tab w:val="left" w:pos="284"/>
        </w:tabs>
        <w:ind w:left="284" w:hanging="284"/>
        <w:rPr>
          <w:rFonts w:ascii="Times New Roman" w:hAnsi="Times New Roman" w:cs="Times New Roman"/>
          <w:lang w:val="ru-RU"/>
        </w:rPr>
      </w:pPr>
      <w:r>
        <w:rPr>
          <w:rStyle w:val="FootnoteReference"/>
          <w:rFonts w:ascii="Times New Roman" w:hAnsi="Times New Roman"/>
        </w:rPr>
        <w:footnoteRef/>
      </w:r>
      <w:r>
        <w:rPr>
          <w:rFonts w:ascii="Times New Roman" w:hAnsi="Times New Roman"/>
          <w:lang w:val="ru-RU"/>
        </w:rPr>
        <w:t xml:space="preserve">  </w:t>
      </w:r>
      <w:r>
        <w:rPr>
          <w:lang w:val="ru-RU"/>
        </w:rPr>
        <w:tab/>
      </w:r>
      <w:r>
        <w:rPr>
          <w:rFonts w:ascii="Times New Roman" w:hAnsi="Times New Roman"/>
        </w:rPr>
        <w:t>COM</w:t>
      </w:r>
      <w:r>
        <w:rPr>
          <w:rFonts w:ascii="Times New Roman" w:hAnsi="Times New Roman"/>
          <w:lang w:val="ru-RU"/>
        </w:rPr>
        <w:t xml:space="preserve"> (2015) 12, 13 януари 2015 г. </w:t>
      </w:r>
    </w:p>
  </w:footnote>
  <w:footnote w:id="18">
    <w:p w:rsidR="009E0654" w:rsidRDefault="00567D37">
      <w:pPr>
        <w:pStyle w:val="FootnoteText"/>
        <w:tabs>
          <w:tab w:val="left" w:pos="284"/>
        </w:tabs>
        <w:ind w:left="284" w:hanging="284"/>
        <w:rPr>
          <w:rFonts w:ascii="Times New Roman" w:hAnsi="Times New Roman" w:cs="Times New Roman"/>
          <w:lang w:val="ru-RU"/>
        </w:rPr>
      </w:pPr>
      <w:r>
        <w:rPr>
          <w:rStyle w:val="FootnoteReference"/>
          <w:rFonts w:ascii="Times New Roman" w:hAnsi="Times New Roman"/>
        </w:rPr>
        <w:footnoteRef/>
      </w:r>
      <w:r>
        <w:rPr>
          <w:rFonts w:ascii="Times New Roman" w:hAnsi="Times New Roman"/>
          <w:lang w:val="ru-RU"/>
        </w:rPr>
        <w:t xml:space="preserve"> </w:t>
      </w:r>
      <w:r>
        <w:rPr>
          <w:lang w:val="ru-RU"/>
        </w:rPr>
        <w:tab/>
      </w:r>
      <w:r>
        <w:rPr>
          <w:rFonts w:ascii="Times New Roman" w:hAnsi="Times New Roman"/>
        </w:rPr>
        <w:t>COM</w:t>
      </w:r>
      <w:r>
        <w:rPr>
          <w:rFonts w:ascii="Times New Roman" w:hAnsi="Times New Roman"/>
          <w:lang w:val="ru-RU"/>
        </w:rPr>
        <w:t>(2017) 690, 22 ноември 2017</w:t>
      </w:r>
      <w:r>
        <w:rPr>
          <w:rFonts w:ascii="Times New Roman" w:hAnsi="Times New Roman"/>
        </w:rPr>
        <w:t> </w:t>
      </w:r>
      <w:r>
        <w:rPr>
          <w:rFonts w:ascii="Times New Roman" w:hAnsi="Times New Roman"/>
          <w:lang w:val="ru-RU"/>
        </w:rPr>
        <w:t>г.</w:t>
      </w:r>
    </w:p>
  </w:footnote>
  <w:footnote w:id="19">
    <w:p w:rsidR="009E0654" w:rsidRDefault="00567D37">
      <w:pPr>
        <w:pStyle w:val="FootnoteText"/>
        <w:jc w:val="both"/>
        <w:rPr>
          <w:rFonts w:ascii="Times New Roman" w:hAnsi="Times New Roman" w:cs="Times New Roman"/>
          <w:lang w:val="ru-RU"/>
        </w:rPr>
      </w:pPr>
      <w:r>
        <w:rPr>
          <w:rFonts w:ascii="Times New Roman" w:hAnsi="Times New Roman"/>
          <w:color w:val="auto"/>
          <w:vertAlign w:val="superscript"/>
        </w:rPr>
        <w:footnoteRef/>
      </w:r>
      <w:r>
        <w:rPr>
          <w:rFonts w:ascii="Times New Roman" w:hAnsi="Times New Roman"/>
          <w:color w:val="auto"/>
          <w:vertAlign w:val="superscript"/>
          <w:lang w:val="ru-RU"/>
        </w:rPr>
        <w:t xml:space="preserve"> </w:t>
      </w:r>
      <w:r>
        <w:rPr>
          <w:lang w:val="ru-RU"/>
        </w:rPr>
        <w:tab/>
      </w:r>
      <w:r>
        <w:rPr>
          <w:rFonts w:ascii="Times New Roman" w:hAnsi="Times New Roman"/>
          <w:lang w:val="ru-RU"/>
        </w:rPr>
        <w:t>В Декларация 52, приложена к</w:t>
      </w:r>
      <w:r>
        <w:rPr>
          <w:rFonts w:ascii="Times New Roman" w:hAnsi="Times New Roman"/>
          <w:lang w:val="ru-RU"/>
        </w:rPr>
        <w:t>ъм Договора от Лисабон, 16 държави членки (Белгия, България, Германия, Гърция, Испания, Италия, Кипър, Литва, Люксембург, Унгария, Малта, Австрия, Португалия, Румъния, Словения и Словакия) заявиха, че за тях „еврото като валута на Европейския съюз“ ще прод</w:t>
      </w:r>
      <w:r>
        <w:rPr>
          <w:rFonts w:ascii="Times New Roman" w:hAnsi="Times New Roman"/>
          <w:lang w:val="ru-RU"/>
        </w:rPr>
        <w:t>ължи да бъде символ на общата принадлежност на гражданите към Европейския съюз и на тяхната връзка с него</w:t>
      </w:r>
      <w:r>
        <w:rPr>
          <w:sz w:val="19"/>
          <w:szCs w:val="19"/>
          <w:lang w:val="ru-RU"/>
        </w:rPr>
        <w:t>.</w:t>
      </w:r>
      <w:r>
        <w:rPr>
          <w:rFonts w:ascii="Times New Roman" w:hAnsi="Times New Roman"/>
          <w:lang w:val="ru-RU"/>
        </w:rPr>
        <w:t>. Чрез парламентарна резолюция от 27 ноември 2017</w:t>
      </w:r>
      <w:r>
        <w:rPr>
          <w:rFonts w:ascii="Times New Roman" w:hAnsi="Times New Roman"/>
        </w:rPr>
        <w:t> </w:t>
      </w:r>
      <w:r>
        <w:rPr>
          <w:rFonts w:ascii="Times New Roman" w:hAnsi="Times New Roman"/>
          <w:lang w:val="ru-RU"/>
        </w:rPr>
        <w:t>г. на Националното събрание на Френската република, Франция е предприела стъпки, за да се присъедини</w:t>
      </w:r>
      <w:r>
        <w:rPr>
          <w:rFonts w:ascii="Times New Roman" w:hAnsi="Times New Roman"/>
          <w:lang w:val="ru-RU"/>
        </w:rPr>
        <w:t xml:space="preserve"> към тази декларация.</w:t>
      </w:r>
    </w:p>
  </w:footnote>
  <w:footnote w:id="20">
    <w:p w:rsidR="009E0654" w:rsidRDefault="00567D37">
      <w:pPr>
        <w:pStyle w:val="FootnoteText"/>
        <w:tabs>
          <w:tab w:val="left" w:pos="284"/>
        </w:tabs>
        <w:ind w:left="284" w:hanging="284"/>
        <w:rPr>
          <w:rFonts w:ascii="Times New Roman" w:hAnsi="Times New Roman" w:cs="Times New Roman"/>
          <w:lang w:val="ru-RU"/>
        </w:rPr>
      </w:pPr>
      <w:r>
        <w:rPr>
          <w:rStyle w:val="FootnoteReference"/>
          <w:rFonts w:ascii="Times New Roman" w:hAnsi="Times New Roman"/>
        </w:rPr>
        <w:footnoteRef/>
      </w:r>
      <w:r>
        <w:rPr>
          <w:rFonts w:ascii="Times New Roman" w:hAnsi="Times New Roman"/>
          <w:lang w:val="ru-RU"/>
        </w:rPr>
        <w:t xml:space="preserve"> </w:t>
      </w:r>
      <w:r>
        <w:rPr>
          <w:lang w:val="ru-RU"/>
        </w:rPr>
        <w:tab/>
      </w:r>
      <w:r>
        <w:rPr>
          <w:rFonts w:ascii="Times New Roman" w:hAnsi="Times New Roman"/>
          <w:color w:val="auto"/>
          <w:lang w:val="ru-RU"/>
        </w:rPr>
        <w:t>Съгласно член</w:t>
      </w:r>
      <w:r>
        <w:rPr>
          <w:rFonts w:ascii="Times New Roman" w:hAnsi="Times New Roman"/>
          <w:color w:val="auto"/>
        </w:rPr>
        <w:t> </w:t>
      </w:r>
      <w:r>
        <w:rPr>
          <w:rFonts w:ascii="Times New Roman" w:hAnsi="Times New Roman"/>
          <w:color w:val="auto"/>
          <w:lang w:val="ru-RU"/>
        </w:rPr>
        <w:t>140 от Договора за функционирането на Европейския съюз Комисията и Европейската централна банка представят доклад поне веднъж на всеки две години. Следващите доклади се очакват през май 2018</w:t>
      </w:r>
      <w:r>
        <w:rPr>
          <w:rFonts w:ascii="Times New Roman" w:hAnsi="Times New Roman"/>
          <w:color w:val="auto"/>
        </w:rPr>
        <w:t> </w:t>
      </w:r>
      <w:r>
        <w:rPr>
          <w:rFonts w:ascii="Times New Roman" w:hAnsi="Times New Roman"/>
          <w:color w:val="auto"/>
          <w:lang w:val="ru-RU"/>
        </w:rPr>
        <w:t>г.</w:t>
      </w:r>
    </w:p>
  </w:footnote>
  <w:footnote w:id="21">
    <w:p w:rsidR="009E0654" w:rsidRDefault="00567D37">
      <w:pPr>
        <w:tabs>
          <w:tab w:val="left" w:pos="284"/>
        </w:tabs>
        <w:spacing w:after="0"/>
        <w:ind w:left="284" w:hanging="284"/>
        <w:jc w:val="both"/>
        <w:rPr>
          <w:rFonts w:ascii="Times New Roman" w:hAnsi="Times New Roman"/>
          <w:sz w:val="20"/>
          <w:szCs w:val="20"/>
          <w:lang w:val="ru-RU"/>
        </w:rPr>
      </w:pPr>
      <w:r>
        <w:rPr>
          <w:rStyle w:val="FootnoteCharacters"/>
          <w:rFonts w:ascii="Times New Roman" w:hAnsi="Times New Roman"/>
          <w:sz w:val="20"/>
          <w:vertAlign w:val="superscript"/>
        </w:rPr>
        <w:footnoteRef/>
      </w:r>
      <w:r>
        <w:rPr>
          <w:rFonts w:ascii="Times New Roman" w:hAnsi="Times New Roman"/>
          <w:sz w:val="20"/>
          <w:vertAlign w:val="superscript"/>
          <w:lang w:val="ru-RU"/>
        </w:rPr>
        <w:t xml:space="preserve">  </w:t>
      </w:r>
      <w:r>
        <w:rPr>
          <w:lang w:val="ru-RU"/>
        </w:rPr>
        <w:tab/>
      </w:r>
      <w:r>
        <w:rPr>
          <w:rFonts w:ascii="Times New Roman" w:hAnsi="Times New Roman"/>
          <w:sz w:val="20"/>
          <w:lang w:val="ru-RU"/>
        </w:rPr>
        <w:t xml:space="preserve">Изявление на </w:t>
      </w:r>
      <w:r>
        <w:rPr>
          <w:rFonts w:ascii="Times New Roman" w:hAnsi="Times New Roman"/>
          <w:sz w:val="20"/>
          <w:lang w:val="ru-RU"/>
        </w:rPr>
        <w:t>Еврогрупата и министрите от Съвета по икономически и финансови въпроси по механизма за подкрепа за Единния механизъм за преструктуриране, 18 декември 2013</w:t>
      </w:r>
      <w:r>
        <w:rPr>
          <w:rFonts w:ascii="Times New Roman" w:hAnsi="Times New Roman"/>
          <w:sz w:val="20"/>
        </w:rPr>
        <w:t> </w:t>
      </w:r>
      <w:r>
        <w:rPr>
          <w:rFonts w:ascii="Times New Roman" w:hAnsi="Times New Roman"/>
          <w:sz w:val="20"/>
          <w:lang w:val="ru-RU"/>
        </w:rPr>
        <w:t>г.</w:t>
      </w:r>
    </w:p>
  </w:footnote>
  <w:footnote w:id="22">
    <w:p w:rsidR="009E0654" w:rsidRDefault="00567D37">
      <w:pPr>
        <w:tabs>
          <w:tab w:val="left" w:pos="284"/>
        </w:tabs>
        <w:spacing w:after="0"/>
        <w:ind w:left="284" w:hanging="284"/>
        <w:rPr>
          <w:rFonts w:ascii="Times New Roman" w:hAnsi="Times New Roman"/>
          <w:sz w:val="20"/>
          <w:szCs w:val="20"/>
          <w:lang w:val="ru-RU"/>
        </w:rPr>
      </w:pPr>
      <w:r>
        <w:rPr>
          <w:rStyle w:val="FootnoteCharacters"/>
          <w:rFonts w:ascii="Times New Roman" w:hAnsi="Times New Roman"/>
          <w:sz w:val="20"/>
          <w:vertAlign w:val="superscript"/>
        </w:rPr>
        <w:footnoteRef/>
      </w:r>
      <w:r>
        <w:rPr>
          <w:rFonts w:ascii="Times New Roman" w:hAnsi="Times New Roman"/>
          <w:sz w:val="20"/>
          <w:lang w:val="ru-RU"/>
        </w:rPr>
        <w:t xml:space="preserve">  </w:t>
      </w:r>
      <w:r>
        <w:rPr>
          <w:lang w:val="ru-RU"/>
        </w:rPr>
        <w:tab/>
      </w:r>
      <w:r>
        <w:rPr>
          <w:rFonts w:ascii="Times New Roman" w:hAnsi="Times New Roman"/>
          <w:sz w:val="20"/>
        </w:rPr>
        <w:t>COM</w:t>
      </w:r>
      <w:r>
        <w:rPr>
          <w:rFonts w:ascii="Times New Roman" w:hAnsi="Times New Roman"/>
          <w:sz w:val="20"/>
          <w:lang w:val="ru-RU"/>
        </w:rPr>
        <w:t>(2017) 592, 11 октомври 2017 г.</w:t>
      </w:r>
    </w:p>
  </w:footnote>
  <w:footnote w:id="23">
    <w:p w:rsidR="009E0654" w:rsidRDefault="00567D37">
      <w:pPr>
        <w:tabs>
          <w:tab w:val="left" w:pos="284"/>
        </w:tabs>
        <w:spacing w:after="0"/>
        <w:ind w:left="284" w:hanging="284"/>
        <w:rPr>
          <w:rFonts w:ascii="Times New Roman" w:hAnsi="Times New Roman"/>
          <w:sz w:val="20"/>
          <w:szCs w:val="20"/>
          <w:lang w:val="ru-RU"/>
        </w:rPr>
      </w:pPr>
      <w:r>
        <w:rPr>
          <w:rStyle w:val="FootnoteCharacters"/>
          <w:rFonts w:ascii="Times New Roman" w:hAnsi="Times New Roman"/>
          <w:sz w:val="20"/>
          <w:vertAlign w:val="superscript"/>
        </w:rPr>
        <w:footnoteRef/>
      </w:r>
      <w:r>
        <w:rPr>
          <w:rFonts w:ascii="Times New Roman" w:hAnsi="Times New Roman"/>
          <w:sz w:val="20"/>
          <w:lang w:val="ru-RU"/>
        </w:rPr>
        <w:t xml:space="preserve">  </w:t>
      </w:r>
      <w:r>
        <w:rPr>
          <w:lang w:val="ru-RU"/>
        </w:rPr>
        <w:tab/>
      </w:r>
      <w:r>
        <w:rPr>
          <w:rFonts w:ascii="Times New Roman" w:hAnsi="Times New Roman"/>
          <w:color w:val="000000"/>
          <w:sz w:val="20"/>
          <w:lang w:val="ru-RU"/>
        </w:rPr>
        <w:t>Чл. 18 от Регламента за Единния механизъм за преструкту</w:t>
      </w:r>
      <w:r>
        <w:rPr>
          <w:rFonts w:ascii="Times New Roman" w:hAnsi="Times New Roman"/>
          <w:color w:val="000000"/>
          <w:sz w:val="20"/>
          <w:lang w:val="ru-RU"/>
        </w:rPr>
        <w:t>риране.</w:t>
      </w:r>
    </w:p>
  </w:footnote>
  <w:footnote w:id="24">
    <w:p w:rsidR="009E0654" w:rsidRDefault="00567D37">
      <w:pPr>
        <w:pStyle w:val="FootnoteText"/>
        <w:tabs>
          <w:tab w:val="left" w:pos="284"/>
        </w:tabs>
        <w:ind w:left="284" w:hanging="284"/>
        <w:jc w:val="both"/>
        <w:rPr>
          <w:rFonts w:ascii="Times New Roman" w:hAnsi="Times New Roman" w:cs="Times New Roman"/>
          <w:lang w:val="ru-RU"/>
        </w:rPr>
      </w:pPr>
      <w:r>
        <w:rPr>
          <w:rStyle w:val="FootnoteReference"/>
          <w:rFonts w:ascii="Times New Roman" w:hAnsi="Times New Roman"/>
        </w:rPr>
        <w:footnoteRef/>
      </w:r>
      <w:r>
        <w:rPr>
          <w:rFonts w:ascii="Times New Roman" w:hAnsi="Times New Roman"/>
          <w:lang w:val="ru-RU"/>
        </w:rPr>
        <w:t xml:space="preserve"> </w:t>
      </w:r>
      <w:r>
        <w:rPr>
          <w:lang w:val="ru-RU"/>
        </w:rPr>
        <w:tab/>
      </w:r>
      <w:r>
        <w:rPr>
          <w:rStyle w:val="Strong"/>
          <w:rFonts w:ascii="Times New Roman" w:hAnsi="Times New Roman"/>
          <w:b w:val="0"/>
          <w:lang w:val="ru-RU"/>
        </w:rPr>
        <w:t xml:space="preserve">Регламент (ЕС) № 806/2014 на Европейския парламент и на Съвета от 15 юли 2014 г. за установяването на еднообразни правила и еднообразна процедура за преструктурирането на кредитни институции и някои инвестиционни посредници в рамките на Единния </w:t>
      </w:r>
      <w:r>
        <w:rPr>
          <w:rStyle w:val="Strong"/>
          <w:rFonts w:ascii="Times New Roman" w:hAnsi="Times New Roman"/>
          <w:b w:val="0"/>
          <w:lang w:val="ru-RU"/>
        </w:rPr>
        <w:t>механизъм за преструктуриране и Единния фонд за преструктуриране и за изменение на Регламент (ЕС) №</w:t>
      </w:r>
      <w:r>
        <w:rPr>
          <w:rStyle w:val="Strong"/>
          <w:rFonts w:ascii="Times New Roman" w:hAnsi="Times New Roman"/>
          <w:b w:val="0"/>
        </w:rPr>
        <w:t> </w:t>
      </w:r>
      <w:r>
        <w:rPr>
          <w:rStyle w:val="Strong"/>
          <w:rFonts w:ascii="Times New Roman" w:hAnsi="Times New Roman"/>
          <w:b w:val="0"/>
          <w:lang w:val="ru-RU"/>
        </w:rPr>
        <w:t>1093/2010; вж. чл. 18.</w:t>
      </w:r>
    </w:p>
  </w:footnote>
  <w:footnote w:id="25">
    <w:p w:rsidR="009E0654" w:rsidRDefault="00567D37">
      <w:pPr>
        <w:pStyle w:val="FootnoteText"/>
        <w:tabs>
          <w:tab w:val="left" w:pos="284"/>
        </w:tabs>
        <w:ind w:left="284" w:hanging="284"/>
        <w:jc w:val="both"/>
        <w:rPr>
          <w:rFonts w:ascii="Times New Roman" w:hAnsi="Times New Roman" w:cs="Times New Roman"/>
          <w:lang w:val="ru-RU"/>
        </w:rPr>
      </w:pPr>
      <w:r>
        <w:rPr>
          <w:rStyle w:val="FootnoteReference"/>
          <w:rFonts w:ascii="Times New Roman" w:hAnsi="Times New Roman"/>
        </w:rPr>
        <w:footnoteRef/>
      </w:r>
      <w:r>
        <w:rPr>
          <w:rFonts w:ascii="Times New Roman" w:hAnsi="Times New Roman"/>
          <w:lang w:val="ru-RU"/>
        </w:rPr>
        <w:t xml:space="preserve"> </w:t>
      </w:r>
      <w:r>
        <w:rPr>
          <w:lang w:val="ru-RU"/>
        </w:rPr>
        <w:tab/>
      </w:r>
      <w:r>
        <w:rPr>
          <w:rFonts w:ascii="Times New Roman" w:hAnsi="Times New Roman"/>
          <w:lang w:val="ru-RU"/>
        </w:rPr>
        <w:t xml:space="preserve">Бяха споменати редица ръководни принципи. Един инструмент за стабилизиране следва </w:t>
      </w:r>
      <w:r>
        <w:rPr>
          <w:rFonts w:ascii="Times New Roman" w:hAnsi="Times New Roman"/>
        </w:rPr>
        <w:t>i</w:t>
      </w:r>
      <w:r>
        <w:rPr>
          <w:rFonts w:ascii="Times New Roman" w:hAnsi="Times New Roman"/>
          <w:lang w:val="ru-RU"/>
        </w:rPr>
        <w:t xml:space="preserve">) да свежда до минимум моралния риск и да не води до постоянни трансфери, </w:t>
      </w:r>
      <w:r>
        <w:rPr>
          <w:rFonts w:ascii="Times New Roman" w:hAnsi="Times New Roman"/>
        </w:rPr>
        <w:t>ii</w:t>
      </w:r>
      <w:r>
        <w:rPr>
          <w:rFonts w:ascii="Times New Roman" w:hAnsi="Times New Roman"/>
          <w:lang w:val="ru-RU"/>
        </w:rPr>
        <w:t>) да се предоставя при строго спазване на условието за ясни критерии и непрекъснато следване на стабилни политики, по-специално тези, водещи до по-голямо сближаване в рамките на ев</w:t>
      </w:r>
      <w:r>
        <w:rPr>
          <w:rFonts w:ascii="Times New Roman" w:hAnsi="Times New Roman"/>
          <w:lang w:val="ru-RU"/>
        </w:rPr>
        <w:t xml:space="preserve">розоната, </w:t>
      </w:r>
      <w:r>
        <w:rPr>
          <w:rFonts w:ascii="Times New Roman" w:hAnsi="Times New Roman"/>
        </w:rPr>
        <w:t>iii</w:t>
      </w:r>
      <w:r>
        <w:rPr>
          <w:rFonts w:ascii="Times New Roman" w:hAnsi="Times New Roman"/>
          <w:lang w:val="ru-RU"/>
        </w:rPr>
        <w:t xml:space="preserve">) да бъде разработен в рамките на нормативната уредба на ЕС, </w:t>
      </w:r>
      <w:r>
        <w:rPr>
          <w:rFonts w:ascii="Times New Roman" w:hAnsi="Times New Roman"/>
        </w:rPr>
        <w:t>iv</w:t>
      </w:r>
      <w:r>
        <w:rPr>
          <w:rFonts w:ascii="Times New Roman" w:hAnsi="Times New Roman"/>
          <w:lang w:val="ru-RU"/>
        </w:rPr>
        <w:t xml:space="preserve">) да е отворен и прозрачен за всички държави — членки на ЕС, и </w:t>
      </w:r>
      <w:r>
        <w:rPr>
          <w:rFonts w:ascii="Times New Roman" w:hAnsi="Times New Roman"/>
        </w:rPr>
        <w:t>v</w:t>
      </w:r>
      <w:r>
        <w:rPr>
          <w:rFonts w:ascii="Times New Roman" w:hAnsi="Times New Roman"/>
          <w:lang w:val="ru-RU"/>
        </w:rPr>
        <w:t>) да не дублира ролята на Европейския механизъм за стабилност — бъдещия Европейски паричен фонд — като инструмент за</w:t>
      </w:r>
      <w:r>
        <w:rPr>
          <w:rFonts w:ascii="Times New Roman" w:hAnsi="Times New Roman"/>
          <w:lang w:val="ru-RU"/>
        </w:rPr>
        <w:t xml:space="preserve"> управление на кризи.</w:t>
      </w:r>
    </w:p>
  </w:footnote>
  <w:footnote w:id="26">
    <w:p w:rsidR="009E0654" w:rsidRDefault="00567D37">
      <w:pPr>
        <w:tabs>
          <w:tab w:val="left" w:pos="284"/>
        </w:tabs>
        <w:spacing w:after="0" w:line="240" w:lineRule="auto"/>
        <w:ind w:left="284" w:hanging="284"/>
        <w:jc w:val="both"/>
        <w:rPr>
          <w:rFonts w:ascii="Times New Roman" w:eastAsia="SimSun" w:hAnsi="Times New Roman"/>
          <w:color w:val="000000"/>
          <w:sz w:val="20"/>
          <w:szCs w:val="20"/>
          <w:lang w:val="ru-RU" w:eastAsia="ar-SA"/>
        </w:rPr>
      </w:pPr>
      <w:r>
        <w:rPr>
          <w:rStyle w:val="FootnoteReference"/>
          <w:rFonts w:ascii="Times New Roman" w:hAnsi="Times New Roman"/>
          <w:sz w:val="20"/>
        </w:rPr>
        <w:footnoteRef/>
      </w:r>
      <w:r>
        <w:rPr>
          <w:rFonts w:ascii="Times New Roman" w:hAnsi="Times New Roman"/>
          <w:sz w:val="20"/>
          <w:lang w:val="ru-RU"/>
        </w:rPr>
        <w:t xml:space="preserve">  </w:t>
      </w:r>
      <w:r>
        <w:rPr>
          <w:lang w:val="ru-RU"/>
        </w:rPr>
        <w:tab/>
      </w:r>
      <w:r>
        <w:rPr>
          <w:rFonts w:ascii="Times New Roman" w:hAnsi="Times New Roman"/>
          <w:color w:val="000000"/>
          <w:sz w:val="20"/>
          <w:lang w:val="ru-RU"/>
        </w:rPr>
        <w:t>През последните години Пактът за стабилност и растеж беше засилен, за да се вземе под внимание онова, което има смисъл за дадена държава членка на конкретния етап от нейния икономическия цикъл, като например да се избегне рестрикт</w:t>
      </w:r>
      <w:r>
        <w:rPr>
          <w:rFonts w:ascii="Times New Roman" w:hAnsi="Times New Roman"/>
          <w:color w:val="000000"/>
          <w:sz w:val="20"/>
          <w:lang w:val="ru-RU"/>
        </w:rPr>
        <w:t>ивна политика, когато обстоятелствата изискват обратното</w:t>
      </w:r>
      <w:r>
        <w:rPr>
          <w:rFonts w:ascii="Times New Roman" w:hAnsi="Times New Roman"/>
          <w:color w:val="000000"/>
          <w:sz w:val="20"/>
          <w:lang w:val="bg-BG"/>
        </w:rPr>
        <w:t>.</w:t>
      </w:r>
      <w:r>
        <w:rPr>
          <w:rFonts w:ascii="Times New Roman" w:hAnsi="Times New Roman"/>
          <w:color w:val="000000"/>
          <w:sz w:val="20"/>
          <w:lang w:val="ru-RU"/>
        </w:rPr>
        <w:t xml:space="preserve"> Пактът за стабилност и растеж предвижда допълнителни буфери по време на икономически подем и необходимост от по-малка структурна корекция при трудни икономически условия.</w:t>
      </w:r>
    </w:p>
  </w:footnote>
  <w:footnote w:id="27">
    <w:p w:rsidR="009E0654" w:rsidRDefault="00567D37">
      <w:pPr>
        <w:pStyle w:val="FootnoteText"/>
        <w:rPr>
          <w:rFonts w:ascii="Times New Roman" w:hAnsi="Times New Roman" w:cs="Times New Roman"/>
          <w:lang w:val="ru-RU"/>
        </w:rPr>
      </w:pPr>
      <w:r>
        <w:rPr>
          <w:rStyle w:val="FootnoteReference"/>
          <w:rFonts w:ascii="Times New Roman" w:hAnsi="Times New Roman"/>
        </w:rPr>
        <w:footnoteRef/>
      </w:r>
      <w:r>
        <w:rPr>
          <w:rFonts w:ascii="Times New Roman" w:hAnsi="Times New Roman"/>
          <w:lang w:val="ru-RU"/>
        </w:rPr>
        <w:t xml:space="preserve"> </w:t>
      </w:r>
      <w:r>
        <w:rPr>
          <w:lang w:val="ru-RU"/>
        </w:rPr>
        <w:tab/>
      </w:r>
      <w:r>
        <w:rPr>
          <w:rFonts w:ascii="Times New Roman" w:hAnsi="Times New Roman"/>
          <w:lang w:val="ru-RU"/>
        </w:rPr>
        <w:t>Вж. по-специално бележка</w:t>
      </w:r>
      <w:r>
        <w:rPr>
          <w:rFonts w:ascii="Times New Roman" w:hAnsi="Times New Roman"/>
          <w:lang w:val="ru-RU"/>
        </w:rPr>
        <w:t xml:space="preserve"> под линия 7 за примери на съществуващи инструменти на ЕС, предназначени да смекчават и/или поемат сътресения.</w:t>
      </w:r>
    </w:p>
  </w:footnote>
  <w:footnote w:id="28">
    <w:p w:rsidR="009E0654" w:rsidRDefault="00567D37">
      <w:pPr>
        <w:pStyle w:val="FootnoteText"/>
        <w:tabs>
          <w:tab w:val="left" w:pos="284"/>
        </w:tabs>
        <w:ind w:left="284" w:hanging="284"/>
        <w:jc w:val="both"/>
        <w:rPr>
          <w:rFonts w:ascii="Times New Roman" w:hAnsi="Times New Roman" w:cs="Times New Roman"/>
          <w:lang w:val="ru-RU"/>
        </w:rPr>
      </w:pPr>
      <w:r>
        <w:rPr>
          <w:rStyle w:val="FootnoteReference"/>
          <w:rFonts w:ascii="Times New Roman" w:hAnsi="Times New Roman"/>
        </w:rPr>
        <w:footnoteRef/>
      </w:r>
      <w:r>
        <w:rPr>
          <w:rFonts w:ascii="Times New Roman" w:hAnsi="Times New Roman"/>
          <w:lang w:val="ru-RU"/>
        </w:rPr>
        <w:t xml:space="preserve"> </w:t>
      </w:r>
      <w:r>
        <w:rPr>
          <w:lang w:val="ru-RU"/>
        </w:rPr>
        <w:tab/>
      </w:r>
      <w:r>
        <w:rPr>
          <w:rFonts w:ascii="Times New Roman" w:hAnsi="Times New Roman"/>
          <w:lang w:val="ru-RU"/>
        </w:rPr>
        <w:t>Такива извънредни мерки бяха предприети за подпомагане на Гърция през последните години. Модулирането на процентите на съфинансиране може да и</w:t>
      </w:r>
      <w:r>
        <w:rPr>
          <w:rFonts w:ascii="Times New Roman" w:hAnsi="Times New Roman"/>
          <w:lang w:val="ru-RU"/>
        </w:rPr>
        <w:t>ма еднократен стабилизиращ ефект и би помогнало за това публичните инвестиции да се задържат на равнища, които държавите членки иначе не биха могли да финансират. Адаптирането на равнището на предварителното финансиране може например да означава по-ранно и</w:t>
      </w:r>
      <w:r>
        <w:rPr>
          <w:rFonts w:ascii="Times New Roman" w:hAnsi="Times New Roman"/>
          <w:lang w:val="ru-RU"/>
        </w:rPr>
        <w:t>звършване на плащанията от европейските структурни и инвестиционни фондове, договорени за целия период от многогодишната финансова рамка, при условие че по-късно плащанията са на по-ниски равнища.</w:t>
      </w:r>
    </w:p>
  </w:footnote>
  <w:footnote w:id="29">
    <w:p w:rsidR="009E0654" w:rsidRDefault="00567D37">
      <w:pPr>
        <w:pStyle w:val="FootnoteText"/>
        <w:tabs>
          <w:tab w:val="left" w:pos="284"/>
        </w:tabs>
        <w:ind w:left="284" w:hanging="284"/>
        <w:jc w:val="both"/>
        <w:rPr>
          <w:rFonts w:ascii="Times New Roman" w:hAnsi="Times New Roman" w:cs="Times New Roman"/>
          <w:lang w:val="ru-RU"/>
        </w:rPr>
      </w:pPr>
      <w:r>
        <w:rPr>
          <w:rStyle w:val="FootnoteReference"/>
          <w:rFonts w:ascii="Times New Roman" w:hAnsi="Times New Roman"/>
        </w:rPr>
        <w:footnoteRef/>
      </w:r>
      <w:r>
        <w:rPr>
          <w:rFonts w:ascii="Times New Roman" w:hAnsi="Times New Roman"/>
          <w:lang w:val="ru-RU"/>
        </w:rPr>
        <w:t xml:space="preserve"> </w:t>
      </w:r>
      <w:r>
        <w:rPr>
          <w:lang w:val="ru-RU"/>
        </w:rPr>
        <w:tab/>
      </w:r>
      <w:r>
        <w:rPr>
          <w:rFonts w:ascii="Times New Roman" w:hAnsi="Times New Roman"/>
          <w:lang w:val="ru-RU"/>
        </w:rPr>
        <w:t>Трябва да се отбележи, че би могло да се наложи увеличав</w:t>
      </w:r>
      <w:r>
        <w:rPr>
          <w:rFonts w:ascii="Times New Roman" w:hAnsi="Times New Roman"/>
          <w:lang w:val="ru-RU"/>
        </w:rPr>
        <w:t xml:space="preserve">ане на тавана на собствените ресурси в зависимост от предвидения размер. </w:t>
      </w:r>
    </w:p>
  </w:footnote>
  <w:footnote w:id="30">
    <w:p w:rsidR="009E0654" w:rsidRDefault="00567D37">
      <w:pPr>
        <w:pStyle w:val="FootnoteText"/>
        <w:tabs>
          <w:tab w:val="left" w:pos="284"/>
        </w:tabs>
        <w:ind w:left="284" w:hanging="284"/>
        <w:jc w:val="both"/>
        <w:rPr>
          <w:rFonts w:ascii="Times New Roman" w:hAnsi="Times New Roman" w:cs="Times New Roman"/>
          <w:lang w:val="ru-RU"/>
        </w:rPr>
      </w:pPr>
      <w:r>
        <w:rPr>
          <w:rFonts w:ascii="Times New Roman" w:hAnsi="Times New Roman"/>
          <w:vertAlign w:val="superscript"/>
        </w:rPr>
        <w:footnoteRef/>
      </w:r>
      <w:r>
        <w:rPr>
          <w:rFonts w:ascii="Times New Roman" w:hAnsi="Times New Roman"/>
          <w:lang w:val="ru-RU"/>
        </w:rPr>
        <w:t xml:space="preserve"> </w:t>
      </w:r>
      <w:r>
        <w:rPr>
          <w:lang w:val="ru-RU"/>
        </w:rPr>
        <w:tab/>
      </w:r>
      <w:r>
        <w:rPr>
          <w:rFonts w:ascii="Times New Roman" w:hAnsi="Times New Roman"/>
          <w:lang w:val="ru-RU"/>
        </w:rPr>
        <w:t>Решението за собствените ресурси и Регламентът относно многогодишната финансова рамка ще трябва да бъдат съответно коригирани.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54" w:rsidRDefault="009E06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54" w:rsidRDefault="009E0654">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54" w:rsidRDefault="009E0654">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54" w:rsidRDefault="009E065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54" w:rsidRDefault="009E065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54" w:rsidRDefault="009E065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54" w:rsidRDefault="009E065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54" w:rsidRDefault="009E065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54" w:rsidRDefault="009E06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decimal"/>
      <w:lvlText w:val="%1."/>
      <w:lvlJc w:val="left"/>
      <w:pPr>
        <w:tabs>
          <w:tab w:val="num" w:pos="-360"/>
        </w:tabs>
        <w:ind w:left="360" w:hanging="360"/>
      </w:pPr>
      <w:rPr>
        <w:rFonts w:ascii="Times New Roman" w:hAnsi="Times New Roman" w:cs="Times New Roman"/>
        <w:b/>
        <w:bCs/>
        <w:color w:val="00000A"/>
        <w:sz w:val="20"/>
        <w:szCs w:val="20"/>
        <w:u w:val="none"/>
      </w:r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1">
    <w:nsid w:val="00000003"/>
    <w:multiLevelType w:val="multilevel"/>
    <w:tmpl w:val="00000003"/>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4"/>
    <w:multiLevelType w:val="singleLevel"/>
    <w:tmpl w:val="00000004"/>
    <w:lvl w:ilvl="0">
      <w:start w:val="1"/>
      <w:numFmt w:val="bullet"/>
      <w:lvlText w:val=""/>
      <w:lvlJc w:val="left"/>
      <w:pPr>
        <w:tabs>
          <w:tab w:val="num" w:pos="0"/>
        </w:tabs>
        <w:ind w:left="720" w:hanging="360"/>
      </w:pPr>
      <w:rPr>
        <w:rFonts w:ascii="Symbol" w:hAnsi="Symbol" w:cs="Symbol" w:hint="default"/>
      </w:rPr>
    </w:lvl>
  </w:abstractNum>
  <w:abstractNum w:abstractNumId="3">
    <w:nsid w:val="00F3095B"/>
    <w:multiLevelType w:val="hybridMultilevel"/>
    <w:tmpl w:val="455A1F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1246FCC"/>
    <w:multiLevelType w:val="hybridMultilevel"/>
    <w:tmpl w:val="6BEA9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26D4A7E"/>
    <w:multiLevelType w:val="hybridMultilevel"/>
    <w:tmpl w:val="A02EA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5385F75"/>
    <w:multiLevelType w:val="hybridMultilevel"/>
    <w:tmpl w:val="983CC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72937A4"/>
    <w:multiLevelType w:val="hybridMultilevel"/>
    <w:tmpl w:val="019C03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A82064"/>
    <w:multiLevelType w:val="hybridMultilevel"/>
    <w:tmpl w:val="F2B6C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F385AB4"/>
    <w:multiLevelType w:val="hybridMultilevel"/>
    <w:tmpl w:val="EE6649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19C23B9"/>
    <w:multiLevelType w:val="multilevel"/>
    <w:tmpl w:val="00000002"/>
    <w:lvl w:ilvl="0">
      <w:start w:val="1"/>
      <w:numFmt w:val="decimal"/>
      <w:lvlText w:val="%1."/>
      <w:lvlJc w:val="left"/>
      <w:pPr>
        <w:tabs>
          <w:tab w:val="num" w:pos="0"/>
        </w:tabs>
        <w:ind w:left="720" w:hanging="360"/>
      </w:pPr>
      <w:rPr>
        <w:rFonts w:ascii="Times New Roman" w:hAnsi="Times New Roman" w:cs="Times New Roman"/>
        <w:b/>
        <w:bCs/>
        <w:color w:val="00000A"/>
        <w:sz w:val="20"/>
        <w:szCs w:val="20"/>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nsid w:val="29C82794"/>
    <w:multiLevelType w:val="hybridMultilevel"/>
    <w:tmpl w:val="198EA7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565731"/>
    <w:multiLevelType w:val="hybridMultilevel"/>
    <w:tmpl w:val="9D263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D696156"/>
    <w:multiLevelType w:val="hybridMultilevel"/>
    <w:tmpl w:val="A16E8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0918CD"/>
    <w:multiLevelType w:val="hybridMultilevel"/>
    <w:tmpl w:val="219E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D42FB5"/>
    <w:multiLevelType w:val="hybridMultilevel"/>
    <w:tmpl w:val="0574887E"/>
    <w:lvl w:ilvl="0" w:tplc="23525DD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334C187D"/>
    <w:multiLevelType w:val="hybridMultilevel"/>
    <w:tmpl w:val="5AE689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B367C0"/>
    <w:multiLevelType w:val="multilevel"/>
    <w:tmpl w:val="00000002"/>
    <w:lvl w:ilvl="0">
      <w:start w:val="1"/>
      <w:numFmt w:val="decimal"/>
      <w:lvlText w:val="%1."/>
      <w:lvlJc w:val="left"/>
      <w:pPr>
        <w:tabs>
          <w:tab w:val="num" w:pos="0"/>
        </w:tabs>
        <w:ind w:left="720" w:hanging="360"/>
      </w:pPr>
      <w:rPr>
        <w:rFonts w:ascii="Times New Roman" w:hAnsi="Times New Roman" w:cs="Times New Roman"/>
        <w:b/>
        <w:bCs/>
        <w:color w:val="00000A"/>
        <w:sz w:val="20"/>
        <w:szCs w:val="20"/>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nsid w:val="35A667A3"/>
    <w:multiLevelType w:val="hybridMultilevel"/>
    <w:tmpl w:val="54CEED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2E1778"/>
    <w:multiLevelType w:val="hybridMultilevel"/>
    <w:tmpl w:val="FC167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82A6A2E"/>
    <w:multiLevelType w:val="hybridMultilevel"/>
    <w:tmpl w:val="0C463D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40123C42"/>
    <w:multiLevelType w:val="hybridMultilevel"/>
    <w:tmpl w:val="F2AA0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8B02FC"/>
    <w:multiLevelType w:val="hybridMultilevel"/>
    <w:tmpl w:val="57B052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6F55E49"/>
    <w:multiLevelType w:val="hybridMultilevel"/>
    <w:tmpl w:val="AED265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C4D646B"/>
    <w:multiLevelType w:val="hybridMultilevel"/>
    <w:tmpl w:val="C788243A"/>
    <w:lvl w:ilvl="0" w:tplc="F35A66CA">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D3E00DF"/>
    <w:multiLevelType w:val="hybridMultilevel"/>
    <w:tmpl w:val="518CDC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D952595"/>
    <w:multiLevelType w:val="multilevel"/>
    <w:tmpl w:val="1218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DA3532"/>
    <w:multiLevelType w:val="hybridMultilevel"/>
    <w:tmpl w:val="02E67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F5548C8"/>
    <w:multiLevelType w:val="hybridMultilevel"/>
    <w:tmpl w:val="7FEE4B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3411FDF"/>
    <w:multiLevelType w:val="hybridMultilevel"/>
    <w:tmpl w:val="D0C484FC"/>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770392B"/>
    <w:multiLevelType w:val="hybridMultilevel"/>
    <w:tmpl w:val="B9C409A4"/>
    <w:lvl w:ilvl="0" w:tplc="0809000F">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A984FF8"/>
    <w:multiLevelType w:val="hybridMultilevel"/>
    <w:tmpl w:val="276E025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F020E82"/>
    <w:multiLevelType w:val="hybridMultilevel"/>
    <w:tmpl w:val="3D46F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0A26A09"/>
    <w:multiLevelType w:val="hybridMultilevel"/>
    <w:tmpl w:val="562C6B0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2187119"/>
    <w:multiLevelType w:val="hybridMultilevel"/>
    <w:tmpl w:val="5E86C4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64B551D4"/>
    <w:multiLevelType w:val="hybridMultilevel"/>
    <w:tmpl w:val="A3162874"/>
    <w:lvl w:ilvl="0" w:tplc="CCBA9F08">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534478E"/>
    <w:multiLevelType w:val="hybridMultilevel"/>
    <w:tmpl w:val="2C52D4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B0C6F66"/>
    <w:multiLevelType w:val="hybridMultilevel"/>
    <w:tmpl w:val="B998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7900FB9"/>
    <w:multiLevelType w:val="hybridMultilevel"/>
    <w:tmpl w:val="B846F556"/>
    <w:lvl w:ilvl="0" w:tplc="F35A66CA">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B50787A"/>
    <w:multiLevelType w:val="hybridMultilevel"/>
    <w:tmpl w:val="4D7851C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nsid w:val="7F1A66F6"/>
    <w:multiLevelType w:val="hybridMultilevel"/>
    <w:tmpl w:val="3B6E3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20"/>
  </w:num>
  <w:num w:numId="6">
    <w:abstractNumId w:val="17"/>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3"/>
  </w:num>
  <w:num w:numId="10">
    <w:abstractNumId w:val="39"/>
  </w:num>
  <w:num w:numId="11">
    <w:abstractNumId w:val="10"/>
  </w:num>
  <w:num w:numId="12">
    <w:abstractNumId w:val="8"/>
  </w:num>
  <w:num w:numId="13">
    <w:abstractNumId w:val="40"/>
  </w:num>
  <w:num w:numId="14">
    <w:abstractNumId w:val="34"/>
  </w:num>
  <w:num w:numId="15">
    <w:abstractNumId w:val="13"/>
  </w:num>
  <w:num w:numId="16">
    <w:abstractNumId w:val="27"/>
  </w:num>
  <w:num w:numId="17">
    <w:abstractNumId w:val="19"/>
  </w:num>
  <w:num w:numId="18">
    <w:abstractNumId w:val="37"/>
  </w:num>
  <w:num w:numId="19">
    <w:abstractNumId w:val="14"/>
  </w:num>
  <w:num w:numId="20">
    <w:abstractNumId w:val="29"/>
  </w:num>
  <w:num w:numId="21">
    <w:abstractNumId w:val="6"/>
  </w:num>
  <w:num w:numId="22">
    <w:abstractNumId w:val="31"/>
  </w:num>
  <w:num w:numId="23">
    <w:abstractNumId w:val="33"/>
  </w:num>
  <w:num w:numId="24">
    <w:abstractNumId w:val="35"/>
  </w:num>
  <w:num w:numId="25">
    <w:abstractNumId w:val="11"/>
  </w:num>
  <w:num w:numId="26">
    <w:abstractNumId w:val="36"/>
  </w:num>
  <w:num w:numId="27">
    <w:abstractNumId w:val="9"/>
  </w:num>
  <w:num w:numId="28">
    <w:abstractNumId w:val="25"/>
  </w:num>
  <w:num w:numId="29">
    <w:abstractNumId w:val="26"/>
  </w:num>
  <w:num w:numId="30">
    <w:abstractNumId w:val="22"/>
  </w:num>
  <w:num w:numId="31">
    <w:abstractNumId w:val="24"/>
  </w:num>
  <w:num w:numId="32">
    <w:abstractNumId w:val="30"/>
  </w:num>
  <w:num w:numId="33">
    <w:abstractNumId w:val="38"/>
  </w:num>
  <w:num w:numId="34">
    <w:abstractNumId w:val="28"/>
  </w:num>
  <w:num w:numId="35">
    <w:abstractNumId w:val="32"/>
  </w:num>
  <w:num w:numId="36">
    <w:abstractNumId w:val="12"/>
  </w:num>
  <w:num w:numId="37">
    <w:abstractNumId w:val="18"/>
  </w:num>
  <w:num w:numId="38">
    <w:abstractNumId w:val="7"/>
  </w:num>
  <w:num w:numId="39">
    <w:abstractNumId w:val="16"/>
  </w:num>
  <w:num w:numId="40">
    <w:abstractNumId w:val="3"/>
  </w:num>
  <w:num w:numId="41">
    <w:abstractNumId w:val="4"/>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CORRIGENDUM" w:val="&lt;UNUSED&gt;"/>
    <w:docVar w:name="LW_COVERPAGE_EXISTS" w:val="True"/>
    <w:docVar w:name="LW_COVERPAGE_GUID" w:val="0042C7B1-CD4C-4E54-944D-BA3B3D215334"/>
    <w:docVar w:name="LW_COVERPAGE_TYPE" w:val="1"/>
    <w:docVar w:name="LW_CROSSREFERENCE" w:val="&lt;UNUSED&gt;"/>
    <w:docVar w:name="LW_DocType" w:val="NORMAL"/>
    <w:docVar w:name="LW_EMISSION" w:val="6.12.2017"/>
    <w:docVar w:name="LW_EMISSION_ISODATE" w:val="2017-12-06"/>
    <w:docVar w:name="LW_EMISSION_LOCATION" w:val="BRX"/>
    <w:docVar w:name="LW_EMISSION_PREFIX" w:val="Брюксел, "/>
    <w:docVar w:name="LW_EMISSION_SUFFIX" w:val="\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8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53?\u1054?\u1042?\u1048? \u1041?\u1070?\u1044?\u1046?\u1045?\u1058?\u1053?\u1048? \u1048?\u1053?\u1057?\u1058?\u1056?\u1059?\u1052?\u1045?\u1053?\u1058?\u1048? \u1047?\u1040? \u1057?\u1058?\u1040?\u1041?\u1048?\u1051?\u1053?\u1040? \u1045?\u1042?\u1056?\u1054?\u1047?\u1054?\u1053?\u1040? \u1042? \u1055?\u1056?\u1040?\u1042?\u1053?\u1040?\u1058?\u1040? \u1059?\u1056?\u1045?\u1044?\u1041?\u1040? \u1053?\u1040? \u1057?\u1066?\u1070?\u1047?\u1040?"/>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5?\u1042?\u1056?\u1054?\u1055?\u1045?\u1049?\u1057?\u1050?\u1048?\u1071? \u1057?\u1066?\u1042?\u1045?\u1058?, \u1057?\u1066?\u1042?\u1045?\u1058?\u1040? \u1048? _x000b_\u1045?\u1042?\u1056?\u1054?\u1055?\u1045?\u1049?\u1057?\u1050?\u1040? \u1062?\u1045?\u1053?\u1058?\u1056?\u1040?\u1051?\u1053?\u1040? \u1041?\u1040?\u1053?\u1050?\u1040?"/>
  </w:docVars>
  <w:rsids>
    <w:rsidRoot w:val="009E0654"/>
    <w:rsid w:val="00567D37"/>
    <w:rsid w:val="009E065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link w:val="HeaderSensitivity"/>
    <w:rPr>
      <w:rFonts w:ascii="Times New Roman" w:hAnsi="Times New Roman"/>
      <w:b/>
      <w:sz w:val="32"/>
      <w:szCs w:val="22"/>
      <w:lang w:eastAsia="en-US"/>
    </w:rPr>
  </w:style>
  <w:style w:type="character" w:styleId="Hyperlink">
    <w:name w:val="Hyperlink"/>
    <w:rPr>
      <w:color w:val="0000FF"/>
      <w:u w:val="single"/>
    </w:rPr>
  </w:style>
  <w:style w:type="character" w:customStyle="1" w:styleId="FootnoteCharacters">
    <w:name w:val="Footnote Characters"/>
  </w:style>
  <w:style w:type="character" w:styleId="FootnoteReference">
    <w:name w:val="footnote reference"/>
    <w:uiPriority w:val="99"/>
    <w:rPr>
      <w:vertAlign w:val="superscript"/>
    </w:rPr>
  </w:style>
  <w:style w:type="paragraph" w:styleId="ListParagraph">
    <w:name w:val="List Paragraph"/>
    <w:basedOn w:val="Normal"/>
    <w:uiPriority w:val="34"/>
    <w:qFormat/>
    <w:pPr>
      <w:suppressAutoHyphens/>
      <w:spacing w:after="0" w:line="100" w:lineRule="atLeast"/>
      <w:ind w:left="720"/>
    </w:pPr>
    <w:rPr>
      <w:rFonts w:ascii="EC Square Sans Pro" w:eastAsia="SimSun" w:hAnsi="EC Square Sans Pro" w:cs="EC Square Sans Pro"/>
      <w:color w:val="000000"/>
      <w:sz w:val="24"/>
      <w:szCs w:val="24"/>
      <w:lang w:eastAsia="ar-SA"/>
    </w:rPr>
  </w:style>
  <w:style w:type="paragraph" w:styleId="NormalWeb">
    <w:name w:val="Normal (Web)"/>
    <w:basedOn w:val="Normal"/>
    <w:uiPriority w:val="99"/>
    <w:pPr>
      <w:suppressAutoHyphens/>
      <w:spacing w:before="100" w:after="100" w:line="100" w:lineRule="atLeast"/>
    </w:pPr>
    <w:rPr>
      <w:rFonts w:ascii="Times New Roman" w:eastAsia="Times New Roman" w:hAnsi="Times New Roman"/>
      <w:color w:val="000000"/>
      <w:sz w:val="24"/>
      <w:szCs w:val="24"/>
      <w:lang w:eastAsia="ar-SA"/>
    </w:rPr>
  </w:style>
  <w:style w:type="paragraph" w:styleId="FootnoteText">
    <w:name w:val="footnote text"/>
    <w:basedOn w:val="Normal"/>
    <w:link w:val="FootnoteTextChar"/>
    <w:uiPriority w:val="99"/>
    <w:pPr>
      <w:suppressLineNumbers/>
      <w:suppressAutoHyphens/>
      <w:spacing w:after="0" w:line="100" w:lineRule="atLeast"/>
      <w:ind w:left="283" w:hanging="283"/>
    </w:pPr>
    <w:rPr>
      <w:rFonts w:ascii="EC Square Sans Pro" w:eastAsia="SimSun" w:hAnsi="EC Square Sans Pro" w:cs="EC Square Sans Pro"/>
      <w:color w:val="000000"/>
      <w:sz w:val="20"/>
      <w:szCs w:val="20"/>
      <w:lang w:eastAsia="ar-SA"/>
    </w:rPr>
  </w:style>
  <w:style w:type="character" w:customStyle="1" w:styleId="FootnoteTextChar">
    <w:name w:val="Footnote Text Char"/>
    <w:link w:val="FootnoteText"/>
    <w:uiPriority w:val="99"/>
    <w:rPr>
      <w:rFonts w:ascii="EC Square Sans Pro" w:eastAsia="SimSun" w:hAnsi="EC Square Sans Pro" w:cs="EC Square Sans Pro"/>
      <w:color w:val="000000"/>
      <w:sz w:val="20"/>
      <w:szCs w:val="20"/>
      <w:lang w:eastAsia="ar-SA"/>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pPr>
      <w:suppressAutoHyphens/>
      <w:spacing w:after="0" w:line="100" w:lineRule="atLeast"/>
    </w:pPr>
    <w:rPr>
      <w:rFonts w:ascii="EC Square Sans Pro" w:eastAsia="SimSun" w:hAnsi="EC Square Sans Pro" w:cs="EC Square Sans Pro"/>
      <w:color w:val="000000"/>
      <w:sz w:val="20"/>
      <w:szCs w:val="20"/>
      <w:lang w:eastAsia="ar-SA"/>
    </w:rPr>
  </w:style>
  <w:style w:type="character" w:customStyle="1" w:styleId="CommentTextChar">
    <w:name w:val="Comment Text Char"/>
    <w:link w:val="CommentText"/>
    <w:rPr>
      <w:rFonts w:ascii="EC Square Sans Pro" w:eastAsia="SimSun" w:hAnsi="EC Square Sans Pro" w:cs="EC Square Sans Pro"/>
      <w:color w:val="000000"/>
      <w:lang w:eastAsia="ar-SA"/>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uiPriority w:val="99"/>
    <w:pPr>
      <w:autoSpaceDE w:val="0"/>
      <w:autoSpaceDN w:val="0"/>
      <w:spacing w:after="0" w:line="241" w:lineRule="atLeast"/>
    </w:pPr>
    <w:rPr>
      <w:rFonts w:ascii="EC Square Sans Pro" w:hAnsi="EC Square Sans Pro"/>
      <w:sz w:val="24"/>
      <w:szCs w:val="24"/>
    </w:rPr>
  </w:style>
  <w:style w:type="character" w:customStyle="1" w:styleId="A3">
    <w:name w:val="A3"/>
    <w:uiPriority w:val="99"/>
    <w:rPr>
      <w:rFonts w:ascii="EC Square Sans Pro" w:hAnsi="EC Square Sans Pro" w:hint="default"/>
      <w:color w:val="000000"/>
    </w:rPr>
  </w:style>
  <w:style w:type="character" w:customStyle="1" w:styleId="tgc">
    <w:name w:val="_tgc"/>
  </w:style>
  <w:style w:type="character" w:styleId="Strong">
    <w:name w:val="Strong"/>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link w:val="HeaderSensitivity"/>
    <w:rPr>
      <w:rFonts w:ascii="Times New Roman" w:hAnsi="Times New Roman"/>
      <w:b/>
      <w:sz w:val="32"/>
      <w:szCs w:val="22"/>
      <w:lang w:eastAsia="en-US"/>
    </w:rPr>
  </w:style>
  <w:style w:type="character" w:styleId="Hyperlink">
    <w:name w:val="Hyperlink"/>
    <w:rPr>
      <w:color w:val="0000FF"/>
      <w:u w:val="single"/>
    </w:rPr>
  </w:style>
  <w:style w:type="character" w:customStyle="1" w:styleId="FootnoteCharacters">
    <w:name w:val="Footnote Characters"/>
  </w:style>
  <w:style w:type="character" w:styleId="FootnoteReference">
    <w:name w:val="footnote reference"/>
    <w:uiPriority w:val="99"/>
    <w:rPr>
      <w:vertAlign w:val="superscript"/>
    </w:rPr>
  </w:style>
  <w:style w:type="paragraph" w:styleId="ListParagraph">
    <w:name w:val="List Paragraph"/>
    <w:basedOn w:val="Normal"/>
    <w:uiPriority w:val="34"/>
    <w:qFormat/>
    <w:pPr>
      <w:suppressAutoHyphens/>
      <w:spacing w:after="0" w:line="100" w:lineRule="atLeast"/>
      <w:ind w:left="720"/>
    </w:pPr>
    <w:rPr>
      <w:rFonts w:ascii="EC Square Sans Pro" w:eastAsia="SimSun" w:hAnsi="EC Square Sans Pro" w:cs="EC Square Sans Pro"/>
      <w:color w:val="000000"/>
      <w:sz w:val="24"/>
      <w:szCs w:val="24"/>
      <w:lang w:eastAsia="ar-SA"/>
    </w:rPr>
  </w:style>
  <w:style w:type="paragraph" w:styleId="NormalWeb">
    <w:name w:val="Normal (Web)"/>
    <w:basedOn w:val="Normal"/>
    <w:uiPriority w:val="99"/>
    <w:pPr>
      <w:suppressAutoHyphens/>
      <w:spacing w:before="100" w:after="100" w:line="100" w:lineRule="atLeast"/>
    </w:pPr>
    <w:rPr>
      <w:rFonts w:ascii="Times New Roman" w:eastAsia="Times New Roman" w:hAnsi="Times New Roman"/>
      <w:color w:val="000000"/>
      <w:sz w:val="24"/>
      <w:szCs w:val="24"/>
      <w:lang w:eastAsia="ar-SA"/>
    </w:rPr>
  </w:style>
  <w:style w:type="paragraph" w:styleId="FootnoteText">
    <w:name w:val="footnote text"/>
    <w:basedOn w:val="Normal"/>
    <w:link w:val="FootnoteTextChar"/>
    <w:uiPriority w:val="99"/>
    <w:pPr>
      <w:suppressLineNumbers/>
      <w:suppressAutoHyphens/>
      <w:spacing w:after="0" w:line="100" w:lineRule="atLeast"/>
      <w:ind w:left="283" w:hanging="283"/>
    </w:pPr>
    <w:rPr>
      <w:rFonts w:ascii="EC Square Sans Pro" w:eastAsia="SimSun" w:hAnsi="EC Square Sans Pro" w:cs="EC Square Sans Pro"/>
      <w:color w:val="000000"/>
      <w:sz w:val="20"/>
      <w:szCs w:val="20"/>
      <w:lang w:eastAsia="ar-SA"/>
    </w:rPr>
  </w:style>
  <w:style w:type="character" w:customStyle="1" w:styleId="FootnoteTextChar">
    <w:name w:val="Footnote Text Char"/>
    <w:link w:val="FootnoteText"/>
    <w:uiPriority w:val="99"/>
    <w:rPr>
      <w:rFonts w:ascii="EC Square Sans Pro" w:eastAsia="SimSun" w:hAnsi="EC Square Sans Pro" w:cs="EC Square Sans Pro"/>
      <w:color w:val="000000"/>
      <w:sz w:val="20"/>
      <w:szCs w:val="20"/>
      <w:lang w:eastAsia="ar-SA"/>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pPr>
      <w:suppressAutoHyphens/>
      <w:spacing w:after="0" w:line="100" w:lineRule="atLeast"/>
    </w:pPr>
    <w:rPr>
      <w:rFonts w:ascii="EC Square Sans Pro" w:eastAsia="SimSun" w:hAnsi="EC Square Sans Pro" w:cs="EC Square Sans Pro"/>
      <w:color w:val="000000"/>
      <w:sz w:val="20"/>
      <w:szCs w:val="20"/>
      <w:lang w:eastAsia="ar-SA"/>
    </w:rPr>
  </w:style>
  <w:style w:type="character" w:customStyle="1" w:styleId="CommentTextChar">
    <w:name w:val="Comment Text Char"/>
    <w:link w:val="CommentText"/>
    <w:rPr>
      <w:rFonts w:ascii="EC Square Sans Pro" w:eastAsia="SimSun" w:hAnsi="EC Square Sans Pro" w:cs="EC Square Sans Pro"/>
      <w:color w:val="000000"/>
      <w:lang w:eastAsia="ar-SA"/>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uiPriority w:val="99"/>
    <w:pPr>
      <w:autoSpaceDE w:val="0"/>
      <w:autoSpaceDN w:val="0"/>
      <w:spacing w:after="0" w:line="241" w:lineRule="atLeast"/>
    </w:pPr>
    <w:rPr>
      <w:rFonts w:ascii="EC Square Sans Pro" w:hAnsi="EC Square Sans Pro"/>
      <w:sz w:val="24"/>
      <w:szCs w:val="24"/>
    </w:rPr>
  </w:style>
  <w:style w:type="character" w:customStyle="1" w:styleId="A3">
    <w:name w:val="A3"/>
    <w:uiPriority w:val="99"/>
    <w:rPr>
      <w:rFonts w:ascii="EC Square Sans Pro" w:hAnsi="EC Square Sans Pro" w:hint="default"/>
      <w:color w:val="000000"/>
    </w:rPr>
  </w:style>
  <w:style w:type="character" w:customStyle="1" w:styleId="tgc">
    <w:name w:val="_tgc"/>
  </w:style>
  <w:style w:type="character" w:styleId="Strong">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37936">
      <w:bodyDiv w:val="1"/>
      <w:marLeft w:val="0"/>
      <w:marRight w:val="0"/>
      <w:marTop w:val="0"/>
      <w:marBottom w:val="0"/>
      <w:divBdr>
        <w:top w:val="none" w:sz="0" w:space="0" w:color="auto"/>
        <w:left w:val="none" w:sz="0" w:space="0" w:color="auto"/>
        <w:bottom w:val="none" w:sz="0" w:space="0" w:color="auto"/>
        <w:right w:val="none" w:sz="0" w:space="0" w:color="auto"/>
      </w:divBdr>
    </w:div>
    <w:div w:id="167141592">
      <w:bodyDiv w:val="1"/>
      <w:marLeft w:val="0"/>
      <w:marRight w:val="0"/>
      <w:marTop w:val="0"/>
      <w:marBottom w:val="0"/>
      <w:divBdr>
        <w:top w:val="none" w:sz="0" w:space="0" w:color="auto"/>
        <w:left w:val="none" w:sz="0" w:space="0" w:color="auto"/>
        <w:bottom w:val="none" w:sz="0" w:space="0" w:color="auto"/>
        <w:right w:val="none" w:sz="0" w:space="0" w:color="auto"/>
      </w:divBdr>
    </w:div>
    <w:div w:id="171336875">
      <w:bodyDiv w:val="1"/>
      <w:marLeft w:val="0"/>
      <w:marRight w:val="0"/>
      <w:marTop w:val="0"/>
      <w:marBottom w:val="0"/>
      <w:divBdr>
        <w:top w:val="none" w:sz="0" w:space="0" w:color="auto"/>
        <w:left w:val="none" w:sz="0" w:space="0" w:color="auto"/>
        <w:bottom w:val="none" w:sz="0" w:space="0" w:color="auto"/>
        <w:right w:val="none" w:sz="0" w:space="0" w:color="auto"/>
      </w:divBdr>
    </w:div>
    <w:div w:id="233010879">
      <w:bodyDiv w:val="1"/>
      <w:marLeft w:val="0"/>
      <w:marRight w:val="0"/>
      <w:marTop w:val="0"/>
      <w:marBottom w:val="0"/>
      <w:divBdr>
        <w:top w:val="none" w:sz="0" w:space="0" w:color="auto"/>
        <w:left w:val="none" w:sz="0" w:space="0" w:color="auto"/>
        <w:bottom w:val="none" w:sz="0" w:space="0" w:color="auto"/>
        <w:right w:val="none" w:sz="0" w:space="0" w:color="auto"/>
      </w:divBdr>
    </w:div>
    <w:div w:id="948051515">
      <w:bodyDiv w:val="1"/>
      <w:marLeft w:val="0"/>
      <w:marRight w:val="0"/>
      <w:marTop w:val="0"/>
      <w:marBottom w:val="0"/>
      <w:divBdr>
        <w:top w:val="none" w:sz="0" w:space="0" w:color="auto"/>
        <w:left w:val="none" w:sz="0" w:space="0" w:color="auto"/>
        <w:bottom w:val="none" w:sz="0" w:space="0" w:color="auto"/>
        <w:right w:val="none" w:sz="0" w:space="0" w:color="auto"/>
      </w:divBdr>
    </w:div>
    <w:div w:id="1492451802">
      <w:bodyDiv w:val="1"/>
      <w:marLeft w:val="0"/>
      <w:marRight w:val="0"/>
      <w:marTop w:val="0"/>
      <w:marBottom w:val="0"/>
      <w:divBdr>
        <w:top w:val="none" w:sz="0" w:space="0" w:color="auto"/>
        <w:left w:val="none" w:sz="0" w:space="0" w:color="auto"/>
        <w:bottom w:val="none" w:sz="0" w:space="0" w:color="auto"/>
        <w:right w:val="none" w:sz="0" w:space="0" w:color="auto"/>
      </w:divBdr>
    </w:div>
    <w:div w:id="1769041812">
      <w:bodyDiv w:val="1"/>
      <w:marLeft w:val="0"/>
      <w:marRight w:val="0"/>
      <w:marTop w:val="0"/>
      <w:marBottom w:val="0"/>
      <w:divBdr>
        <w:top w:val="none" w:sz="0" w:space="0" w:color="auto"/>
        <w:left w:val="none" w:sz="0" w:space="0" w:color="auto"/>
        <w:bottom w:val="none" w:sz="0" w:space="0" w:color="auto"/>
        <w:right w:val="none" w:sz="0" w:space="0" w:color="auto"/>
      </w:divBdr>
    </w:div>
    <w:div w:id="197259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5.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6BB26-C9A8-4C15-8C11-0B76426E3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22</Pages>
  <Words>7997</Words>
  <Characters>40467</Characters>
  <Application>Microsoft Office Word</Application>
  <DocSecurity>0</DocSecurity>
  <Lines>879</Lines>
  <Paragraphs>444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50</cp:revision>
  <cp:lastPrinted>2017-12-05T20:51:00Z</cp:lastPrinted>
  <dcterms:created xsi:type="dcterms:W3CDTF">2017-12-06T06:19:00Z</dcterms:created>
  <dcterms:modified xsi:type="dcterms:W3CDTF">2017-12-06T18:35:00Z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