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02FF" w:rsidRDefault="00640120" w:rsidP="00640120">
      <w:pPr>
        <w:pStyle w:val="Pagedecouverture"/>
        <w:rPr>
          <w:noProof/>
        </w:rPr>
      </w:pPr>
      <w:bookmarkStart w:id="0" w:name="LW_BM_COVERPAGE"/>
      <w:bookmarkStart w:id="1" w:name="_GoBack"/>
      <w:bookmarkEnd w:id="1"/>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F970C53C-2DFF-4B45-933B-8CAB9B9DA3EA" style="width:450.7pt;height:307.65pt">
            <v:imagedata r:id="rId9" o:title=""/>
          </v:shape>
        </w:pict>
      </w:r>
    </w:p>
    <w:bookmarkEnd w:id="0"/>
    <w:p w:rsidR="004902FF" w:rsidRDefault="004902FF">
      <w:pPr>
        <w:rPr>
          <w:noProof/>
        </w:rPr>
        <w:sectPr w:rsidR="004902FF" w:rsidSect="00640120">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rsidR="004902FF" w:rsidRDefault="00640120">
      <w:pPr>
        <w:pStyle w:val="ListParagraph"/>
        <w:numPr>
          <w:ilvl w:val="0"/>
          <w:numId w:val="1"/>
        </w:numPr>
        <w:jc w:val="both"/>
        <w:rPr>
          <w:rFonts w:ascii="Times New Roman" w:hAnsi="Times New Roman" w:cs="Times New Roman"/>
          <w:b/>
          <w:noProof/>
          <w:sz w:val="24"/>
          <w:szCs w:val="24"/>
          <w:u w:val="single"/>
        </w:rPr>
      </w:pPr>
      <w:r>
        <w:rPr>
          <w:rFonts w:ascii="Times New Roman" w:hAnsi="Times New Roman"/>
          <w:b/>
          <w:noProof/>
          <w:sz w:val="24"/>
          <w:u w:val="single"/>
        </w:rPr>
        <w:lastRenderedPageBreak/>
        <w:t>ВЪВЕДЕНИЕ</w:t>
      </w:r>
    </w:p>
    <w:p w:rsidR="004902FF" w:rsidRDefault="00640120">
      <w:pPr>
        <w:jc w:val="both"/>
        <w:rPr>
          <w:rFonts w:ascii="Times New Roman" w:hAnsi="Times New Roman" w:cs="Times New Roman"/>
          <w:noProof/>
        </w:rPr>
      </w:pPr>
      <w:r>
        <w:rPr>
          <w:rFonts w:ascii="Times New Roman" w:hAnsi="Times New Roman"/>
          <w:b/>
          <w:noProof/>
        </w:rPr>
        <w:t xml:space="preserve">В речта си за състоянието на Съюза от 2017 г. и в придружаващото я писмо за намеренията председателят Юнкер спомена за евентуалното създаване </w:t>
      </w:r>
      <w:r>
        <w:rPr>
          <w:rFonts w:ascii="Times New Roman" w:hAnsi="Times New Roman"/>
          <w:b/>
          <w:noProof/>
        </w:rPr>
        <w:t>на длъжността европейски министър на икономиката и финансите</w:t>
      </w:r>
      <w:r>
        <w:rPr>
          <w:rStyle w:val="FootnoteReference"/>
          <w:rFonts w:ascii="Times New Roman" w:hAnsi="Times New Roman"/>
          <w:noProof/>
        </w:rPr>
        <w:footnoteReference w:id="1"/>
      </w:r>
      <w:r>
        <w:rPr>
          <w:noProof/>
        </w:rPr>
        <w:t>.</w:t>
      </w:r>
      <w:r>
        <w:rPr>
          <w:rFonts w:ascii="Times New Roman" w:hAnsi="Times New Roman"/>
          <w:b/>
          <w:noProof/>
        </w:rPr>
        <w:t xml:space="preserve"> </w:t>
      </w:r>
      <w:r>
        <w:rPr>
          <w:rFonts w:ascii="Times New Roman" w:hAnsi="Times New Roman"/>
          <w:noProof/>
        </w:rPr>
        <w:t xml:space="preserve">По думите му </w:t>
      </w:r>
      <w:r>
        <w:rPr>
          <w:rFonts w:ascii="Times New Roman" w:hAnsi="Times New Roman"/>
          <w:i/>
          <w:noProof/>
        </w:rPr>
        <w:t>Комисарят по икономическите въпроси — който в идеалния случай би бил и заместник-председател — трябва да изпълнява ролята на икономически и финансов министър. Той или тя трябва същ</w:t>
      </w:r>
      <w:r>
        <w:rPr>
          <w:rFonts w:ascii="Times New Roman" w:hAnsi="Times New Roman"/>
          <w:i/>
          <w:noProof/>
        </w:rPr>
        <w:t>о така да председателства Еврогрупата.</w:t>
      </w:r>
      <w:r>
        <w:rPr>
          <w:rFonts w:ascii="Times New Roman" w:hAnsi="Times New Roman"/>
          <w:noProof/>
        </w:rPr>
        <w:t xml:space="preserve"> Настоящото съобщение представлява последващо действие на това обявление. То се опира на дебата, проведен на основата на Документа за размисъл относно задълбочаването на икономическия и паричен съюз</w:t>
      </w:r>
      <w:r>
        <w:rPr>
          <w:rFonts w:ascii="Times New Roman" w:hAnsi="Times New Roman"/>
          <w:noProof/>
          <w:vertAlign w:val="superscript"/>
        </w:rPr>
        <w:footnoteReference w:id="2"/>
      </w:r>
      <w:r>
        <w:rPr>
          <w:rFonts w:ascii="Times New Roman" w:hAnsi="Times New Roman"/>
          <w:noProof/>
        </w:rPr>
        <w:t>, и в него се предл</w:t>
      </w:r>
      <w:r>
        <w:rPr>
          <w:rFonts w:ascii="Times New Roman" w:hAnsi="Times New Roman"/>
          <w:noProof/>
        </w:rPr>
        <w:t>агат практически средства за постигане на напредък. Съобщението се опира и на идеите в доклада на петимата председатели</w:t>
      </w:r>
      <w:r>
        <w:rPr>
          <w:rStyle w:val="FootnoteReference"/>
          <w:rFonts w:ascii="Times New Roman" w:hAnsi="Times New Roman"/>
          <w:noProof/>
        </w:rPr>
        <w:footnoteReference w:id="3"/>
      </w:r>
      <w:r>
        <w:rPr>
          <w:rFonts w:ascii="Times New Roman" w:hAnsi="Times New Roman"/>
          <w:noProof/>
        </w:rPr>
        <w:t>, на идеи, изразени от Европейския парламент</w:t>
      </w:r>
      <w:r>
        <w:rPr>
          <w:rStyle w:val="FootnoteReference"/>
          <w:rFonts w:ascii="Times New Roman" w:hAnsi="Times New Roman"/>
          <w:noProof/>
        </w:rPr>
        <w:footnoteReference w:id="4"/>
      </w:r>
      <w:r>
        <w:rPr>
          <w:rFonts w:ascii="Times New Roman" w:hAnsi="Times New Roman"/>
          <w:noProof/>
        </w:rPr>
        <w:t>, и на такива, изразени на срещата на върха на държавите от еврозоната през октомври 2011 г</w:t>
      </w:r>
      <w:r>
        <w:rPr>
          <w:rFonts w:ascii="Times New Roman" w:hAnsi="Times New Roman"/>
          <w:noProof/>
        </w:rPr>
        <w:t>., на която държавните и правителствените ръководители вече обсъждаха възможността за постоянен председател на Еврогрупата</w:t>
      </w:r>
      <w:r>
        <w:rPr>
          <w:rStyle w:val="FootnoteReference"/>
          <w:rFonts w:ascii="Times New Roman" w:hAnsi="Times New Roman"/>
          <w:noProof/>
        </w:rPr>
        <w:footnoteReference w:id="5"/>
      </w:r>
      <w:r>
        <w:rPr>
          <w:noProof/>
        </w:rPr>
        <w:t>.</w:t>
      </w:r>
      <w:r>
        <w:rPr>
          <w:rFonts w:ascii="Times New Roman" w:hAnsi="Times New Roman"/>
          <w:noProof/>
        </w:rPr>
        <w:t xml:space="preserve"> </w:t>
      </w:r>
    </w:p>
    <w:p w:rsidR="004902FF" w:rsidRDefault="00640120">
      <w:pPr>
        <w:jc w:val="both"/>
        <w:rPr>
          <w:rFonts w:ascii="Times New Roman" w:hAnsi="Times New Roman" w:cs="Times New Roman"/>
          <w:noProof/>
        </w:rPr>
      </w:pPr>
      <w:r>
        <w:rPr>
          <w:rFonts w:ascii="Times New Roman" w:hAnsi="Times New Roman"/>
          <w:b/>
          <w:noProof/>
        </w:rPr>
        <w:t>Настоящата структура на икономическия и паричен съюз се отличава със своята сложност.</w:t>
      </w:r>
      <w:r>
        <w:rPr>
          <w:rFonts w:ascii="Times New Roman" w:hAnsi="Times New Roman"/>
          <w:noProof/>
        </w:rPr>
        <w:t xml:space="preserve"> В сравнение с паричната политика, която е ед</w:t>
      </w:r>
      <w:r>
        <w:rPr>
          <w:rFonts w:ascii="Times New Roman" w:hAnsi="Times New Roman"/>
          <w:noProof/>
        </w:rPr>
        <w:t>инна за държавите членки от еврозоната и лесно разбираема за гражданите, икономическата политика  се управлява основно от отделните държави членки, а за координацията на равнището на ЕС и еврозоната отговарят голям брой участници. С времето съответните инс</w:t>
      </w:r>
      <w:r>
        <w:rPr>
          <w:rFonts w:ascii="Times New Roman" w:hAnsi="Times New Roman"/>
          <w:noProof/>
        </w:rPr>
        <w:t xml:space="preserve">титуции претърпяха постепенно развитие, като те съчетават институциите на ЕС и някои междуправителствени органи. </w:t>
      </w:r>
      <w:r>
        <w:rPr>
          <w:rFonts w:ascii="Times New Roman" w:hAnsi="Times New Roman" w:cs="Times New Roman"/>
          <w:noProof/>
        </w:rPr>
        <w:br/>
      </w:r>
      <w:r>
        <w:rPr>
          <w:rFonts w:ascii="Times New Roman" w:hAnsi="Times New Roman"/>
          <w:noProof/>
        </w:rPr>
        <w:t>Тези органи имат свои собствени председатели и системи за отчетност и функционират в различни и понякога припокриващи се правни уредби. Това д</w:t>
      </w:r>
      <w:r>
        <w:rPr>
          <w:rFonts w:ascii="Times New Roman" w:hAnsi="Times New Roman"/>
          <w:noProof/>
        </w:rPr>
        <w:t>оведе до сложни процеси на вземане на решения, които често пъти бяха подложени на критика за това, че не са достатъчно разбираеми и ефикасни. Това означава също така, че политиките и инструментите на ЕС изискват значителна координация между участниците, ко</w:t>
      </w:r>
      <w:r>
        <w:rPr>
          <w:rFonts w:ascii="Times New Roman" w:hAnsi="Times New Roman"/>
          <w:noProof/>
        </w:rPr>
        <w:t xml:space="preserve">ето да позволи тяхното прилагане по напълно съгласуван начин. </w:t>
      </w:r>
    </w:p>
    <w:p w:rsidR="004902FF" w:rsidRDefault="00640120">
      <w:pPr>
        <w:jc w:val="both"/>
        <w:rPr>
          <w:rFonts w:ascii="Times New Roman" w:hAnsi="Times New Roman" w:cs="Times New Roman"/>
          <w:noProof/>
        </w:rPr>
      </w:pPr>
      <w:r>
        <w:rPr>
          <w:rFonts w:ascii="Times New Roman" w:hAnsi="Times New Roman"/>
          <w:b/>
          <w:noProof/>
        </w:rPr>
        <w:t>Както се подчертава в доклада на петимата председатели, ефективното управление и допълнителното засилване на демократичната отчетност са ключови елементи за завършването на икономическия и пари</w:t>
      </w:r>
      <w:r>
        <w:rPr>
          <w:rFonts w:ascii="Times New Roman" w:hAnsi="Times New Roman"/>
          <w:b/>
          <w:noProof/>
        </w:rPr>
        <w:t>чен съюз.</w:t>
      </w:r>
      <w:r>
        <w:rPr>
          <w:rFonts w:ascii="Times New Roman" w:hAnsi="Times New Roman"/>
          <w:noProof/>
        </w:rPr>
        <w:t xml:space="preserve"> Създаването на длъжността европейски министър на икономиката и финансите ще бъде допълнителна важна стъпка в тази посока. Посредством съчетаването на съществуващите функции на равнището на ЕС и обединяването на тясно свързани инструменти на полит</w:t>
      </w:r>
      <w:r>
        <w:rPr>
          <w:rFonts w:ascii="Times New Roman" w:hAnsi="Times New Roman"/>
          <w:noProof/>
        </w:rPr>
        <w:t xml:space="preserve">иката министърът ще спомогне за създаването на нови полезни взаимодействия и по този начин за подобряването на цялостната съгласуваност и </w:t>
      </w:r>
      <w:r>
        <w:rPr>
          <w:rFonts w:ascii="Times New Roman" w:hAnsi="Times New Roman"/>
          <w:noProof/>
        </w:rPr>
        <w:lastRenderedPageBreak/>
        <w:t>ефективност на икономическата политика на ЕС. Изпълнявайки своите функции в рамките на правната уредба на ЕС, министър</w:t>
      </w:r>
      <w:r>
        <w:rPr>
          <w:rFonts w:ascii="Times New Roman" w:hAnsi="Times New Roman"/>
          <w:noProof/>
        </w:rPr>
        <w:t>ът също така ще спомогне за увеличаване на прозрачността на процеса на вземане на решения в ЕС, за засилване на отчетността пред Европейския парламент и за подобряване на взаимодействието с националните органи, без да се засягат областите на национална ком</w:t>
      </w:r>
      <w:r>
        <w:rPr>
          <w:rFonts w:ascii="Times New Roman" w:hAnsi="Times New Roman"/>
          <w:noProof/>
        </w:rPr>
        <w:t>петентност или въпросите, които се уреждат най-добре на национално равнище.</w:t>
      </w:r>
    </w:p>
    <w:p w:rsidR="004902FF" w:rsidRDefault="00640120">
      <w:pPr>
        <w:jc w:val="both"/>
        <w:rPr>
          <w:rFonts w:ascii="Times New Roman" w:hAnsi="Times New Roman" w:cs="Times New Roman"/>
          <w:noProof/>
        </w:rPr>
      </w:pPr>
      <w:r>
        <w:rPr>
          <w:rFonts w:ascii="Times New Roman" w:hAnsi="Times New Roman"/>
          <w:b/>
          <w:noProof/>
        </w:rPr>
        <w:t xml:space="preserve">През последните години Комисията постепенно засили координацията на икономическите въпроси в рамките на колегиума. </w:t>
      </w:r>
      <w:r>
        <w:rPr>
          <w:rFonts w:ascii="Times New Roman" w:hAnsi="Times New Roman"/>
          <w:noProof/>
        </w:rPr>
        <w:t xml:space="preserve">В Комисията под председателството на Жан-Клод Юнкер ролята на </w:t>
      </w:r>
      <w:r>
        <w:rPr>
          <w:rFonts w:ascii="Times New Roman" w:hAnsi="Times New Roman"/>
          <w:noProof/>
        </w:rPr>
        <w:t>заместник-председателите, включително по въпроси, свързани с еврото, европейския семестър за координация на икономическите политики и социалния диалог, бе допълнително подсилена и те вече изпълняват все по-съществени координационни функции. Това им позволя</w:t>
      </w:r>
      <w:r>
        <w:rPr>
          <w:rFonts w:ascii="Times New Roman" w:hAnsi="Times New Roman"/>
          <w:noProof/>
        </w:rPr>
        <w:t>ва да добият цялостен поглед върху голям набор от теми, свързани с няколко ресорни досиета и съответните служби, отговарящи за тях.</w:t>
      </w:r>
    </w:p>
    <w:p w:rsidR="004902FF" w:rsidRDefault="00640120">
      <w:pPr>
        <w:jc w:val="both"/>
        <w:rPr>
          <w:rFonts w:ascii="Times New Roman" w:hAnsi="Times New Roman" w:cs="Times New Roman"/>
          <w:b/>
          <w:noProof/>
        </w:rPr>
      </w:pPr>
      <w:r>
        <w:rPr>
          <w:rFonts w:ascii="Times New Roman" w:hAnsi="Times New Roman"/>
          <w:b/>
          <w:noProof/>
        </w:rPr>
        <w:t>Настоящото управление на икономическия и паричен съюз се характеризира със своята сложност</w:t>
      </w:r>
    </w:p>
    <w:p w:rsidR="004902FF" w:rsidRDefault="00640120">
      <w:pPr>
        <w:spacing w:after="0" w:line="240" w:lineRule="auto"/>
        <w:jc w:val="center"/>
        <w:rPr>
          <w:rFonts w:ascii="Times New Roman" w:hAnsi="Times New Roman" w:cs="Times New Roman"/>
          <w:b/>
          <w:noProof/>
        </w:rPr>
      </w:pPr>
      <w:r>
        <w:rPr>
          <w:noProof/>
          <w:lang w:val="en-GB" w:eastAsia="en-GB" w:bidi="ar-SA"/>
        </w:rPr>
        <w:drawing>
          <wp:inline distT="0" distB="0" distL="0" distR="0" wp14:anchorId="23E3F78B" wp14:editId="7B9C637D">
            <wp:extent cx="5760720" cy="337277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760720" cy="3372771"/>
                    </a:xfrm>
                    <a:prstGeom prst="rect">
                      <a:avLst/>
                    </a:prstGeom>
                  </pic:spPr>
                </pic:pic>
              </a:graphicData>
            </a:graphic>
          </wp:inline>
        </w:drawing>
      </w:r>
    </w:p>
    <w:p w:rsidR="004902FF" w:rsidRDefault="00640120">
      <w:pPr>
        <w:spacing w:after="0" w:line="240" w:lineRule="auto"/>
        <w:jc w:val="both"/>
        <w:rPr>
          <w:rFonts w:ascii="Times New Roman" w:hAnsi="Times New Roman" w:cs="Times New Roman"/>
          <w:i/>
          <w:noProof/>
        </w:rPr>
      </w:pPr>
      <w:r>
        <w:rPr>
          <w:rFonts w:ascii="Times New Roman" w:hAnsi="Times New Roman"/>
          <w:i/>
          <w:noProof/>
        </w:rPr>
        <w:t>Източник: Европейска комисия</w:t>
      </w:r>
    </w:p>
    <w:p w:rsidR="004902FF" w:rsidRDefault="004902FF">
      <w:pPr>
        <w:spacing w:after="0" w:line="240" w:lineRule="auto"/>
        <w:jc w:val="both"/>
        <w:rPr>
          <w:rFonts w:ascii="Times New Roman" w:hAnsi="Times New Roman" w:cs="Times New Roman"/>
          <w:i/>
          <w:noProof/>
        </w:rPr>
      </w:pPr>
    </w:p>
    <w:p w:rsidR="004902FF" w:rsidRDefault="00640120">
      <w:pPr>
        <w:jc w:val="both"/>
        <w:rPr>
          <w:rFonts w:ascii="Times New Roman" w:hAnsi="Times New Roman" w:cs="Times New Roman"/>
          <w:noProof/>
          <w:spacing w:val="4"/>
        </w:rPr>
      </w:pPr>
      <w:r>
        <w:rPr>
          <w:rFonts w:ascii="Times New Roman" w:hAnsi="Times New Roman"/>
          <w:b/>
          <w:noProof/>
          <w:spacing w:val="4"/>
        </w:rPr>
        <w:t xml:space="preserve">С настоящото съобщение Комисията излага своите идеи за мястото на бъдещия европейски министър на икономиката и финансите в структурата на управление на икономическия и паричен съюз. </w:t>
      </w:r>
      <w:r>
        <w:rPr>
          <w:rFonts w:ascii="Times New Roman" w:hAnsi="Times New Roman"/>
          <w:noProof/>
          <w:spacing w:val="4"/>
        </w:rPr>
        <w:t>За тази цел в съобщението се излагат подробно ключовите функции на европей</w:t>
      </w:r>
      <w:r>
        <w:rPr>
          <w:rFonts w:ascii="Times New Roman" w:hAnsi="Times New Roman"/>
          <w:noProof/>
          <w:spacing w:val="4"/>
        </w:rPr>
        <w:t>ския министър на икономиката и финансите, очертава се институционалната рамка, в която ще работи министърът, и се посочва евентуалният график за създаването на тази нова длъжност. По-специално, в съобщението се разглежда добавената стойност на окончателнот</w:t>
      </w:r>
      <w:r>
        <w:rPr>
          <w:rFonts w:ascii="Times New Roman" w:hAnsi="Times New Roman"/>
          <w:noProof/>
          <w:spacing w:val="4"/>
        </w:rPr>
        <w:t xml:space="preserve">о сливане на функциите на заместник-председателя на Комисията, отговарящ за икономическия и паричен съюз, с тези на председателя на Еврогрупата, и се подчертава, че това вече е възможно в рамките на съществуващите Договори на Съюза.   </w:t>
      </w:r>
    </w:p>
    <w:p w:rsidR="004902FF" w:rsidRDefault="00640120">
      <w:pPr>
        <w:jc w:val="both"/>
        <w:rPr>
          <w:rFonts w:ascii="Times New Roman" w:hAnsi="Times New Roman" w:cs="Times New Roman"/>
          <w:i/>
          <w:noProof/>
        </w:rPr>
      </w:pPr>
      <w:r>
        <w:rPr>
          <w:rFonts w:ascii="Times New Roman" w:hAnsi="Times New Roman"/>
          <w:b/>
          <w:noProof/>
        </w:rPr>
        <w:lastRenderedPageBreak/>
        <w:t xml:space="preserve">Възможни правомощия </w:t>
      </w:r>
      <w:r>
        <w:rPr>
          <w:rFonts w:ascii="Times New Roman" w:hAnsi="Times New Roman"/>
          <w:b/>
          <w:noProof/>
        </w:rPr>
        <w:t>на европейския министър на икономиката и финансите</w:t>
      </w:r>
    </w:p>
    <w:p w:rsidR="004902FF" w:rsidRDefault="00640120">
      <w:pPr>
        <w:jc w:val="center"/>
        <w:rPr>
          <w:rFonts w:ascii="Times New Roman" w:hAnsi="Times New Roman" w:cs="Times New Roman"/>
          <w:i/>
          <w:noProof/>
        </w:rPr>
      </w:pPr>
      <w:r>
        <w:rPr>
          <w:rFonts w:ascii="Times New Roman" w:hAnsi="Times New Roman" w:cs="Times New Roman"/>
          <w:i/>
          <w:noProof/>
          <w:lang w:val="en-GB" w:eastAsia="en-GB" w:bidi="ar-SA"/>
        </w:rPr>
        <w:drawing>
          <wp:inline distT="0" distB="0" distL="0" distR="0" wp14:anchorId="39A1A401" wp14:editId="091D7BEE">
            <wp:extent cx="5760720" cy="292036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17">
                      <a:extLst>
                        <a:ext uri="{28A0092B-C50C-407E-A947-70E740481C1C}">
                          <a14:useLocalDpi xmlns:a14="http://schemas.microsoft.com/office/drawing/2010/main" val="0"/>
                        </a:ext>
                      </a:extLst>
                    </a:blip>
                    <a:stretch>
                      <a:fillRect/>
                    </a:stretch>
                  </pic:blipFill>
                  <pic:spPr>
                    <a:xfrm>
                      <a:off x="0" y="0"/>
                      <a:ext cx="5760720" cy="2920365"/>
                    </a:xfrm>
                    <a:prstGeom prst="rect">
                      <a:avLst/>
                    </a:prstGeom>
                  </pic:spPr>
                </pic:pic>
              </a:graphicData>
            </a:graphic>
          </wp:inline>
        </w:drawing>
      </w:r>
    </w:p>
    <w:p w:rsidR="004902FF" w:rsidRDefault="00640120">
      <w:pPr>
        <w:jc w:val="both"/>
        <w:rPr>
          <w:rFonts w:ascii="Times New Roman" w:hAnsi="Times New Roman" w:cs="Times New Roman"/>
          <w:i/>
          <w:noProof/>
        </w:rPr>
      </w:pPr>
      <w:r>
        <w:rPr>
          <w:rFonts w:ascii="Times New Roman" w:hAnsi="Times New Roman"/>
          <w:i/>
          <w:noProof/>
        </w:rPr>
        <w:t>Източник: Европейска комисия</w:t>
      </w:r>
    </w:p>
    <w:p w:rsidR="004902FF" w:rsidRDefault="00640120">
      <w:pPr>
        <w:pStyle w:val="ListParagraph"/>
        <w:numPr>
          <w:ilvl w:val="0"/>
          <w:numId w:val="1"/>
        </w:numPr>
        <w:jc w:val="both"/>
        <w:rPr>
          <w:rFonts w:ascii="Times New Roman" w:hAnsi="Times New Roman" w:cs="Times New Roman"/>
          <w:b/>
          <w:noProof/>
          <w:sz w:val="24"/>
          <w:szCs w:val="24"/>
          <w:u w:val="single"/>
        </w:rPr>
      </w:pPr>
      <w:r>
        <w:rPr>
          <w:rFonts w:ascii="Times New Roman" w:hAnsi="Times New Roman"/>
          <w:b/>
          <w:noProof/>
          <w:sz w:val="24"/>
          <w:u w:val="single"/>
        </w:rPr>
        <w:t>ФУНКЦИИ НА ЕВРОПЕЙСКИЯ МИНИСТЪР НА ИКОНОМИКАТА И ФИНАНСИТЕ: ОСИГУРЯВАНЕ НА СЪГЛАСУВАНОСТ И ЕФЕКТИВНОСТ</w:t>
      </w:r>
    </w:p>
    <w:p w:rsidR="004902FF" w:rsidRDefault="00640120">
      <w:pPr>
        <w:jc w:val="both"/>
        <w:rPr>
          <w:rFonts w:ascii="Times New Roman" w:hAnsi="Times New Roman" w:cs="Times New Roman"/>
          <w:noProof/>
        </w:rPr>
      </w:pPr>
      <w:r>
        <w:rPr>
          <w:rFonts w:ascii="Times New Roman" w:hAnsi="Times New Roman"/>
          <w:noProof/>
        </w:rPr>
        <w:t>Възможните основни функции на европейския министър на икономиката и фин</w:t>
      </w:r>
      <w:r>
        <w:rPr>
          <w:rFonts w:ascii="Times New Roman" w:hAnsi="Times New Roman"/>
          <w:noProof/>
        </w:rPr>
        <w:t xml:space="preserve">ансите в окончателния им вид са посочени по-долу. Обединяването на тези функции ще спомогне да се засилят цялостната съгласуваност и ефикасност на икономическата политика на ЕС. </w:t>
      </w:r>
    </w:p>
    <w:p w:rsidR="004902FF" w:rsidRDefault="00640120">
      <w:pPr>
        <w:jc w:val="both"/>
        <w:rPr>
          <w:rFonts w:ascii="Times New Roman" w:hAnsi="Times New Roman" w:cs="Times New Roman"/>
          <w:i/>
          <w:noProof/>
        </w:rPr>
      </w:pPr>
      <w:r>
        <w:rPr>
          <w:rFonts w:ascii="Times New Roman" w:hAnsi="Times New Roman"/>
          <w:i/>
          <w:noProof/>
        </w:rPr>
        <w:t>Преследване на общия интерес на икономиката на ЕС и на еврозоната и представл</w:t>
      </w:r>
      <w:r>
        <w:rPr>
          <w:rFonts w:ascii="Times New Roman" w:hAnsi="Times New Roman"/>
          <w:i/>
          <w:noProof/>
        </w:rPr>
        <w:t>яване на този общ интерес на световно равнище</w:t>
      </w:r>
    </w:p>
    <w:p w:rsidR="004902FF" w:rsidRDefault="00640120">
      <w:pPr>
        <w:jc w:val="both"/>
        <w:rPr>
          <w:rFonts w:ascii="Times New Roman" w:hAnsi="Times New Roman" w:cs="Times New Roman"/>
          <w:noProof/>
        </w:rPr>
      </w:pPr>
      <w:r>
        <w:rPr>
          <w:rFonts w:ascii="Times New Roman" w:hAnsi="Times New Roman"/>
          <w:b/>
          <w:noProof/>
        </w:rPr>
        <w:t xml:space="preserve">Понастоящем общият интерес на ЕС и еврозоната все още не се представлява достатъчно ефективно в обществените дискусии и при вземането на решения навсякъде в Европа. </w:t>
      </w:r>
      <w:r>
        <w:rPr>
          <w:rFonts w:ascii="Times New Roman" w:hAnsi="Times New Roman"/>
          <w:noProof/>
        </w:rPr>
        <w:t>Паричната политика е централизирана на равнищ</w:t>
      </w:r>
      <w:r>
        <w:rPr>
          <w:rFonts w:ascii="Times New Roman" w:hAnsi="Times New Roman"/>
          <w:noProof/>
        </w:rPr>
        <w:t>ето на еврозоната, но бюджетните, данъчните и секторните политики са децентрализирани, като те отразяват областите на национална компетентност и националната конкретика, без непосредствено или непременно да отразяват общите приоритети. Издаването на препор</w:t>
      </w:r>
      <w:r>
        <w:rPr>
          <w:rFonts w:ascii="Times New Roman" w:hAnsi="Times New Roman"/>
          <w:noProof/>
        </w:rPr>
        <w:t>ъка относно икономическата политика на еврозоната в рамките на европейския семестър подобри координацията на политиките в еврозоната през последните години. Въпреки това нейното изпълнение зависи от колективната готовност на държавите членки, а координация</w:t>
      </w:r>
      <w:r>
        <w:rPr>
          <w:rFonts w:ascii="Times New Roman" w:hAnsi="Times New Roman"/>
          <w:noProof/>
        </w:rPr>
        <w:t xml:space="preserve">та на политиките изисква непрекъснато насочване и наблюдение на равнището на ЕС. </w:t>
      </w:r>
    </w:p>
    <w:p w:rsidR="004902FF" w:rsidRDefault="00640120">
      <w:pPr>
        <w:jc w:val="both"/>
        <w:rPr>
          <w:rFonts w:ascii="Times New Roman" w:hAnsi="Times New Roman" w:cs="Times New Roman"/>
          <w:b/>
          <w:noProof/>
        </w:rPr>
      </w:pPr>
      <w:r>
        <w:rPr>
          <w:rFonts w:ascii="Times New Roman" w:hAnsi="Times New Roman"/>
          <w:b/>
          <w:noProof/>
        </w:rPr>
        <w:t>В същото време, въпреки че еврото се утвърди като водеща световна валута, представителството му на световно равнище продължава да е разпокъсано.</w:t>
      </w:r>
      <w:r>
        <w:rPr>
          <w:rFonts w:ascii="Times New Roman" w:hAnsi="Times New Roman"/>
          <w:noProof/>
        </w:rPr>
        <w:t xml:space="preserve"> От създаването му еврото се превърна във втората най-често използвана валута в света. Въпреки това в рамките на международните финансови институции, като например Международния валутен фонд, еврозоната не се представлява като единен субект. Външното иконо</w:t>
      </w:r>
      <w:r>
        <w:rPr>
          <w:rFonts w:ascii="Times New Roman" w:hAnsi="Times New Roman"/>
          <w:noProof/>
        </w:rPr>
        <w:t>мическо представителство на ЕС и на еврозоната понастоящем е разделено, като различните функции са възложени на Комисията, Европейската централна банка, председателя на Еврогрупата и председателството на Съвета на ЕС. Това фрагментирано представителство че</w:t>
      </w:r>
      <w:r>
        <w:rPr>
          <w:rFonts w:ascii="Times New Roman" w:hAnsi="Times New Roman"/>
          <w:noProof/>
        </w:rPr>
        <w:t>сто означава, че на световната сцена еврозоната не упражнява влиянието, което съответства на нейната политическа и икономическа тежест.</w:t>
      </w:r>
    </w:p>
    <w:p w:rsidR="004902FF" w:rsidRDefault="00640120">
      <w:pPr>
        <w:jc w:val="both"/>
        <w:rPr>
          <w:rFonts w:ascii="Times New Roman" w:hAnsi="Times New Roman" w:cs="Times New Roman"/>
          <w:bCs/>
          <w:noProof/>
        </w:rPr>
      </w:pPr>
      <w:r>
        <w:rPr>
          <w:rFonts w:ascii="Times New Roman" w:hAnsi="Times New Roman"/>
          <w:b/>
          <w:noProof/>
        </w:rPr>
        <w:t xml:space="preserve">Европейският министър на икономиката и финансите може да допринесе за по-доброто отстояване на общия интерес на Съюза и </w:t>
      </w:r>
      <w:r>
        <w:rPr>
          <w:rFonts w:ascii="Times New Roman" w:hAnsi="Times New Roman"/>
          <w:b/>
          <w:noProof/>
        </w:rPr>
        <w:t xml:space="preserve">на икономиката на еврозоната както във вътрешен план, така и в световен мащаб. </w:t>
      </w:r>
      <w:r>
        <w:rPr>
          <w:rFonts w:ascii="Times New Roman" w:hAnsi="Times New Roman"/>
          <w:noProof/>
        </w:rPr>
        <w:t>Със създаването на длъжността на министъра ще бъде определено основно лице за контакт на равнището на ЕС в областта на икономическата, фискалната и финансовата политика за инсти</w:t>
      </w:r>
      <w:r>
        <w:rPr>
          <w:rFonts w:ascii="Times New Roman" w:hAnsi="Times New Roman"/>
          <w:noProof/>
        </w:rPr>
        <w:t>туциите и органите на ЕС, държавите членки и широката общественост. Министърът ще поеме логично и функцията по външното представителство на еврото</w:t>
      </w:r>
      <w:r>
        <w:rPr>
          <w:rStyle w:val="FootnoteReference"/>
          <w:rFonts w:ascii="Times New Roman" w:hAnsi="Times New Roman"/>
          <w:noProof/>
        </w:rPr>
        <w:footnoteReference w:id="6"/>
      </w:r>
      <w:r>
        <w:rPr>
          <w:noProof/>
        </w:rPr>
        <w:t>.</w:t>
      </w:r>
    </w:p>
    <w:p w:rsidR="004902FF" w:rsidRDefault="00640120">
      <w:pPr>
        <w:jc w:val="both"/>
        <w:rPr>
          <w:rFonts w:ascii="Times New Roman" w:hAnsi="Times New Roman" w:cs="Times New Roman"/>
          <w:i/>
          <w:noProof/>
        </w:rPr>
      </w:pPr>
      <w:r>
        <w:rPr>
          <w:rFonts w:ascii="Times New Roman" w:hAnsi="Times New Roman"/>
          <w:i/>
          <w:noProof/>
        </w:rPr>
        <w:t>Засилване на координацията на политиките и упражняване на надзор върху икономическите, фискалните и финансо</w:t>
      </w:r>
      <w:r>
        <w:rPr>
          <w:rFonts w:ascii="Times New Roman" w:hAnsi="Times New Roman"/>
          <w:i/>
          <w:noProof/>
        </w:rPr>
        <w:t>вите правила</w:t>
      </w:r>
    </w:p>
    <w:p w:rsidR="004902FF" w:rsidRDefault="00640120">
      <w:pPr>
        <w:jc w:val="both"/>
        <w:rPr>
          <w:rFonts w:ascii="Times New Roman" w:hAnsi="Times New Roman" w:cs="Times New Roman"/>
          <w:noProof/>
        </w:rPr>
      </w:pPr>
      <w:r>
        <w:rPr>
          <w:rFonts w:ascii="Times New Roman" w:hAnsi="Times New Roman"/>
          <w:b/>
          <w:noProof/>
        </w:rPr>
        <w:t>Вследствие на икономическата и финансовата криза координацията на икономическите политики в ЕС бе значително подсилена.</w:t>
      </w:r>
      <w:r>
        <w:rPr>
          <w:rFonts w:ascii="Times New Roman" w:hAnsi="Times New Roman"/>
          <w:noProof/>
        </w:rPr>
        <w:t xml:space="preserve"> Европейският семестър беше предмет на непрекъснати подобрения, имащи за цел да се насърчат започването и осъществяването на</w:t>
      </w:r>
      <w:r>
        <w:rPr>
          <w:rFonts w:ascii="Times New Roman" w:hAnsi="Times New Roman"/>
          <w:noProof/>
        </w:rPr>
        <w:t xml:space="preserve"> реформи. Наскоро създадената Служба за подкрепа на структурните реформи на Комисията оказва техническа подкрепа на държавите членки в тези усилия. В подкрепа на този процес на равнището на ЕС бяха предприети допълнителни инициативи, включително за преодол</w:t>
      </w:r>
      <w:r>
        <w:rPr>
          <w:rFonts w:ascii="Times New Roman" w:hAnsi="Times New Roman"/>
          <w:noProof/>
        </w:rPr>
        <w:t>яване на младежката безработица, борбата с избягването на данъчно облагане и неотдавнашното прогласяване на европейския стълб на социалните права. ЕС предприе също и решителни действия за създаване на съюз на капиталовите пазари и за завършване на банковия</w:t>
      </w:r>
      <w:r>
        <w:rPr>
          <w:rFonts w:ascii="Times New Roman" w:hAnsi="Times New Roman"/>
          <w:noProof/>
        </w:rPr>
        <w:t xml:space="preserve"> съюз. Усилията в тази посока трябва да продължат. Въпреки това осъществяването на реформи в държавите членки продължава да е неравномерно. По отношение на подобряването на координацията и ученето на държавите една от друга също се наблюдават пропуснати въ</w:t>
      </w:r>
      <w:r>
        <w:rPr>
          <w:rFonts w:ascii="Times New Roman" w:hAnsi="Times New Roman"/>
          <w:noProof/>
        </w:rPr>
        <w:t xml:space="preserve">зможности и е налице постоянна необходимост от хармонизиране на националните приоритети и приоритетите на равнището на ЕС с оглед на променящите се обстоятелства. </w:t>
      </w:r>
    </w:p>
    <w:p w:rsidR="004902FF" w:rsidRDefault="00640120">
      <w:pPr>
        <w:jc w:val="both"/>
        <w:rPr>
          <w:rFonts w:ascii="Times New Roman" w:hAnsi="Times New Roman" w:cs="Times New Roman"/>
          <w:noProof/>
        </w:rPr>
      </w:pPr>
      <w:r>
        <w:rPr>
          <w:rFonts w:ascii="Times New Roman" w:hAnsi="Times New Roman"/>
          <w:b/>
          <w:noProof/>
        </w:rPr>
        <w:t>Европейският министър на икономиката и финансите може да спомогне за допълнителното засилван</w:t>
      </w:r>
      <w:r>
        <w:rPr>
          <w:rFonts w:ascii="Times New Roman" w:hAnsi="Times New Roman"/>
          <w:b/>
          <w:noProof/>
        </w:rPr>
        <w:t xml:space="preserve">е на координацията на икономическите политики и за осигуряването на съгласуваност между отделните области на политика, като той стъпи на вече свършената от Комисията и държавите членки работа. </w:t>
      </w:r>
      <w:r>
        <w:rPr>
          <w:rFonts w:ascii="Times New Roman" w:hAnsi="Times New Roman"/>
          <w:noProof/>
        </w:rPr>
        <w:t>Работейки в тесен двустранен и многостранен диалог с национални</w:t>
      </w:r>
      <w:r>
        <w:rPr>
          <w:rFonts w:ascii="Times New Roman" w:hAnsi="Times New Roman"/>
          <w:noProof/>
        </w:rPr>
        <w:t xml:space="preserve">те органи и Европейския парламент, министърът може да насърчава координацията и осъществяването на реформи в държавите членки. Предвид факта, че структурните реформи могат да имат положително въздействие върху други области, министърът би могъл освен това </w:t>
      </w:r>
      <w:r>
        <w:rPr>
          <w:rFonts w:ascii="Times New Roman" w:hAnsi="Times New Roman"/>
          <w:noProof/>
        </w:rPr>
        <w:t>да внесе добавена стойност, като даде своя принос за оптимална програма за реформа за ЕС и за еврозоната като цяло</w:t>
      </w:r>
      <w:r>
        <w:rPr>
          <w:rStyle w:val="FootnoteReference"/>
          <w:rFonts w:ascii="Times New Roman" w:hAnsi="Times New Roman"/>
          <w:noProof/>
        </w:rPr>
        <w:footnoteReference w:id="7"/>
      </w:r>
      <w:r>
        <w:rPr>
          <w:noProof/>
        </w:rPr>
        <w:t>.</w:t>
      </w:r>
      <w:r>
        <w:rPr>
          <w:rFonts w:ascii="Times New Roman" w:hAnsi="Times New Roman"/>
          <w:noProof/>
        </w:rPr>
        <w:t xml:space="preserve"> </w:t>
      </w:r>
    </w:p>
    <w:p w:rsidR="004902FF" w:rsidRDefault="00640120">
      <w:pPr>
        <w:jc w:val="both"/>
        <w:rPr>
          <w:rFonts w:ascii="Times New Roman" w:hAnsi="Times New Roman" w:cs="Times New Roman"/>
          <w:i/>
          <w:noProof/>
        </w:rPr>
      </w:pPr>
      <w:r>
        <w:rPr>
          <w:rFonts w:ascii="Times New Roman" w:hAnsi="Times New Roman"/>
          <w:i/>
          <w:noProof/>
        </w:rPr>
        <w:t>Изразяване на позиция относно подходящата фискална политика за еврозоната в подкрепа на паричната политика на Европейската централна банка</w:t>
      </w:r>
    </w:p>
    <w:p w:rsidR="004902FF" w:rsidRDefault="00640120">
      <w:pPr>
        <w:autoSpaceDE w:val="0"/>
        <w:autoSpaceDN w:val="0"/>
        <w:adjustRightInd w:val="0"/>
        <w:spacing w:after="0"/>
        <w:jc w:val="both"/>
        <w:rPr>
          <w:rFonts w:ascii="Times New Roman" w:hAnsi="Times New Roman" w:cs="Times New Roman"/>
          <w:b/>
          <w:noProof/>
        </w:rPr>
      </w:pPr>
      <w:r>
        <w:rPr>
          <w:rFonts w:ascii="Times New Roman" w:hAnsi="Times New Roman"/>
          <w:b/>
          <w:noProof/>
        </w:rPr>
        <w:t>Наред с паричната политика, фискалната политика играе ключова роля за стабилизирането на макроикономическата среда, като същевременно служи за постигането на по-общите цели за фискална устойчивост и преразпределение</w:t>
      </w:r>
      <w:r>
        <w:rPr>
          <w:rStyle w:val="FootnoteReference"/>
          <w:rFonts w:ascii="Times New Roman" w:hAnsi="Times New Roman"/>
          <w:noProof/>
        </w:rPr>
        <w:footnoteReference w:id="8"/>
      </w:r>
      <w:r>
        <w:rPr>
          <w:noProof/>
        </w:rPr>
        <w:t>.</w:t>
      </w:r>
      <w:r>
        <w:rPr>
          <w:rFonts w:ascii="Times New Roman" w:hAnsi="Times New Roman"/>
          <w:b/>
          <w:noProof/>
        </w:rPr>
        <w:t xml:space="preserve"> </w:t>
      </w:r>
      <w:r>
        <w:rPr>
          <w:rFonts w:ascii="Times New Roman" w:hAnsi="Times New Roman"/>
          <w:noProof/>
        </w:rPr>
        <w:t>Комисията редовно представя пред Съве</w:t>
      </w:r>
      <w:r>
        <w:rPr>
          <w:rFonts w:ascii="Times New Roman" w:hAnsi="Times New Roman"/>
          <w:noProof/>
        </w:rPr>
        <w:t>та препоръки относно фискалните политики на държавите членки, отчитайки гъвкавостта, заложена в съществуващите фискални правила на ЕС</w:t>
      </w:r>
      <w:r>
        <w:rPr>
          <w:rStyle w:val="FootnoteReference"/>
          <w:rFonts w:ascii="Times New Roman" w:hAnsi="Times New Roman"/>
          <w:noProof/>
        </w:rPr>
        <w:footnoteReference w:id="9"/>
      </w:r>
      <w:r>
        <w:rPr>
          <w:noProof/>
        </w:rPr>
        <w:t>.</w:t>
      </w:r>
      <w:r>
        <w:rPr>
          <w:rFonts w:ascii="Times New Roman" w:hAnsi="Times New Roman"/>
          <w:noProof/>
          <w:color w:val="000000"/>
          <w:sz w:val="24"/>
        </w:rPr>
        <w:t xml:space="preserve"> </w:t>
      </w:r>
      <w:r>
        <w:rPr>
          <w:rFonts w:ascii="Times New Roman" w:hAnsi="Times New Roman"/>
          <w:noProof/>
        </w:rPr>
        <w:t>През последните години Комисията и Съветът също така наблегнаха в по-голяма степен върху общата фискална позиция на евро</w:t>
      </w:r>
      <w:r>
        <w:rPr>
          <w:rFonts w:ascii="Times New Roman" w:hAnsi="Times New Roman"/>
          <w:noProof/>
        </w:rPr>
        <w:t>зоната, отчитайки общия интерес и колективната отговорност за еврозоната като цяло</w:t>
      </w:r>
      <w:r>
        <w:rPr>
          <w:rFonts w:ascii="Times New Roman" w:hAnsi="Times New Roman"/>
          <w:noProof/>
          <w:vertAlign w:val="superscript"/>
        </w:rPr>
        <w:footnoteReference w:id="10"/>
      </w:r>
      <w:r>
        <w:rPr>
          <w:rFonts w:ascii="Times New Roman" w:hAnsi="Times New Roman"/>
          <w:noProof/>
        </w:rPr>
        <w:t>. За успешното прилагане на подходяща обща фискална позиция за еврозоната обаче се изисква държавите членки да проявят индивидуална и колективна готовност.</w:t>
      </w:r>
    </w:p>
    <w:p w:rsidR="004902FF" w:rsidRDefault="004902FF">
      <w:pPr>
        <w:autoSpaceDE w:val="0"/>
        <w:autoSpaceDN w:val="0"/>
        <w:adjustRightInd w:val="0"/>
        <w:spacing w:after="0"/>
        <w:jc w:val="both"/>
        <w:rPr>
          <w:rFonts w:ascii="Times New Roman" w:hAnsi="Times New Roman" w:cs="Times New Roman"/>
          <w:noProof/>
        </w:rPr>
      </w:pPr>
    </w:p>
    <w:p w:rsidR="004902FF" w:rsidRDefault="00640120">
      <w:pPr>
        <w:autoSpaceDE w:val="0"/>
        <w:autoSpaceDN w:val="0"/>
        <w:adjustRightInd w:val="0"/>
        <w:spacing w:after="0"/>
        <w:jc w:val="both"/>
        <w:rPr>
          <w:rFonts w:ascii="Times New Roman" w:hAnsi="Times New Roman" w:cs="Times New Roman"/>
          <w:noProof/>
        </w:rPr>
      </w:pPr>
      <w:r>
        <w:rPr>
          <w:rFonts w:ascii="Times New Roman" w:hAnsi="Times New Roman"/>
          <w:b/>
          <w:noProof/>
        </w:rPr>
        <w:t>Европейският мин</w:t>
      </w:r>
      <w:r>
        <w:rPr>
          <w:rFonts w:ascii="Times New Roman" w:hAnsi="Times New Roman"/>
          <w:b/>
          <w:noProof/>
        </w:rPr>
        <w:t xml:space="preserve">истър на икономиката и финансите може да спомогне за определянето и провеждането на подходяща фискална политика за еврозоната като цяло. </w:t>
      </w:r>
      <w:r>
        <w:rPr>
          <w:rFonts w:ascii="Times New Roman" w:hAnsi="Times New Roman"/>
          <w:noProof/>
        </w:rPr>
        <w:t>Като член на Комисията министърът ще координира надзора на фискалните политики на държавите членки, като осигурява фиск</w:t>
      </w:r>
      <w:r>
        <w:rPr>
          <w:rFonts w:ascii="Times New Roman" w:hAnsi="Times New Roman"/>
          <w:noProof/>
        </w:rPr>
        <w:t>ална устойчивост и прилага Пакта за стабилност и растеж въз основа на икономическото тълкуване, заложено в правилата. Част от тази задача ще бъде също</w:t>
      </w:r>
      <w:r>
        <w:rPr>
          <w:rFonts w:ascii="Times New Roman" w:hAnsi="Times New Roman"/>
          <w:b/>
          <w:noProof/>
        </w:rPr>
        <w:t xml:space="preserve"> </w:t>
      </w:r>
      <w:r>
        <w:rPr>
          <w:rFonts w:ascii="Times New Roman" w:hAnsi="Times New Roman"/>
          <w:noProof/>
        </w:rPr>
        <w:t>да се направи оценка на целесъобразността на фискалната позиция на еврозоната, с което се допринася за по</w:t>
      </w:r>
      <w:r>
        <w:rPr>
          <w:rFonts w:ascii="Times New Roman" w:hAnsi="Times New Roman"/>
          <w:noProof/>
        </w:rPr>
        <w:t>стигането на баланс между фискалните интереси на държавите членки и най-доброто решение за еврозоната като цяло. Друга негова задача ще бъде да насърчава качеството и възможно най-подходящия състав на публичните финанси, както и функционирането на национал</w:t>
      </w:r>
      <w:r>
        <w:rPr>
          <w:rFonts w:ascii="Times New Roman" w:hAnsi="Times New Roman"/>
          <w:noProof/>
        </w:rPr>
        <w:t>ните фискални рамки с цел да се постигне максимално въздействие върху работните места и растежа. В изпълнението на тази си задача министърът ще стъпи на мненията на европейския фискален съвет</w:t>
      </w:r>
      <w:r>
        <w:rPr>
          <w:rStyle w:val="FootnoteReference"/>
          <w:rFonts w:ascii="Times New Roman" w:hAnsi="Times New Roman"/>
          <w:noProof/>
        </w:rPr>
        <w:footnoteReference w:id="11"/>
      </w:r>
      <w:r>
        <w:rPr>
          <w:rFonts w:ascii="Times New Roman" w:hAnsi="Times New Roman"/>
          <w:noProof/>
        </w:rPr>
        <w:t xml:space="preserve"> и ще бъде основното лице за контакт за националните фискални съ</w:t>
      </w:r>
      <w:r>
        <w:rPr>
          <w:rFonts w:ascii="Times New Roman" w:hAnsi="Times New Roman"/>
          <w:noProof/>
        </w:rPr>
        <w:t>вети.</w:t>
      </w:r>
    </w:p>
    <w:p w:rsidR="004902FF" w:rsidRDefault="004902FF">
      <w:pPr>
        <w:autoSpaceDE w:val="0"/>
        <w:autoSpaceDN w:val="0"/>
        <w:adjustRightInd w:val="0"/>
        <w:spacing w:after="0"/>
        <w:jc w:val="both"/>
        <w:rPr>
          <w:rFonts w:ascii="Times New Roman" w:hAnsi="Times New Roman" w:cs="Times New Roman"/>
          <w:noProof/>
        </w:rPr>
      </w:pPr>
    </w:p>
    <w:p w:rsidR="004902FF" w:rsidRDefault="00640120">
      <w:pPr>
        <w:jc w:val="both"/>
        <w:rPr>
          <w:rFonts w:ascii="Times New Roman" w:hAnsi="Times New Roman" w:cs="Times New Roman"/>
          <w:i/>
          <w:noProof/>
        </w:rPr>
      </w:pPr>
      <w:r>
        <w:rPr>
          <w:rFonts w:ascii="Times New Roman" w:hAnsi="Times New Roman"/>
          <w:i/>
          <w:noProof/>
        </w:rPr>
        <w:t>Упражняване на надзор върху използването на бюджетните инструменти на ЕС и на еврозоната, включително инструментите в подкрепа на реформите, макроикономическата стабилизация и сближаването</w:t>
      </w:r>
    </w:p>
    <w:p w:rsidR="004902FF" w:rsidRDefault="00640120">
      <w:pPr>
        <w:jc w:val="both"/>
        <w:rPr>
          <w:rFonts w:ascii="Times New Roman" w:hAnsi="Times New Roman" w:cs="Times New Roman"/>
          <w:b/>
          <w:noProof/>
        </w:rPr>
      </w:pPr>
      <w:r>
        <w:rPr>
          <w:rFonts w:ascii="Times New Roman" w:hAnsi="Times New Roman"/>
          <w:b/>
          <w:noProof/>
        </w:rPr>
        <w:t>Бюджетът на ЕС и другите бюджетни инструменти на ЕС и на евр</w:t>
      </w:r>
      <w:r>
        <w:rPr>
          <w:rFonts w:ascii="Times New Roman" w:hAnsi="Times New Roman"/>
          <w:b/>
          <w:noProof/>
        </w:rPr>
        <w:t xml:space="preserve">озоната вече играят стратегическа роля, като подпомагат държавите членки в укрепването на сближаването, дългосрочния растеж, инвестициите и финансовата стабилност. </w:t>
      </w:r>
      <w:r>
        <w:rPr>
          <w:rFonts w:ascii="Times New Roman" w:hAnsi="Times New Roman"/>
          <w:noProof/>
        </w:rPr>
        <w:t>Около половината от финансирането от ЕС понастоящем е насочено към конкретни проекти посредс</w:t>
      </w:r>
      <w:r>
        <w:rPr>
          <w:rFonts w:ascii="Times New Roman" w:hAnsi="Times New Roman"/>
          <w:noProof/>
        </w:rPr>
        <w:t>твом петте европейски структурни и инвестиционни фонда. Връзката между тези фондове и приоритетите на европейския семестър през годините бе подсилена с цел подкрепа на общите приоритети.</w:t>
      </w:r>
      <w:r>
        <w:rPr>
          <w:noProof/>
        </w:rPr>
        <w:t xml:space="preserve"> </w:t>
      </w:r>
      <w:r>
        <w:rPr>
          <w:rFonts w:ascii="Times New Roman" w:hAnsi="Times New Roman"/>
          <w:noProof/>
        </w:rPr>
        <w:t xml:space="preserve">Действията, които получават подкрепа от бюджета на ЕС, се допълват с </w:t>
      </w:r>
      <w:r>
        <w:rPr>
          <w:rFonts w:ascii="Times New Roman" w:hAnsi="Times New Roman"/>
          <w:noProof/>
        </w:rPr>
        <w:t>редица инструменти и органи на ЕС и на еврозоната, като например Европейската инвестиционна банка и Европейския механизъм за стабилност. Кризата обаче показа, че съставът и обхватът на публичните финанси на ЕС все още не отразяват напълно специфичните нужд</w:t>
      </w:r>
      <w:r>
        <w:rPr>
          <w:rFonts w:ascii="Times New Roman" w:hAnsi="Times New Roman"/>
          <w:noProof/>
        </w:rPr>
        <w:t>и на еврозоната. Въпреки че през последните години ЕС и еврозоната увеличиха своя капацитет за отпускане на заеми, потенциалът за макроикономическа стабилизация и подпомагане на сближаването все още е ограничен</w:t>
      </w:r>
      <w:r>
        <w:rPr>
          <w:rStyle w:val="FootnoteReference"/>
          <w:rFonts w:ascii="Times New Roman" w:hAnsi="Times New Roman"/>
          <w:noProof/>
        </w:rPr>
        <w:footnoteReference w:id="12"/>
      </w:r>
      <w:r>
        <w:rPr>
          <w:noProof/>
        </w:rPr>
        <w:t>.</w:t>
      </w:r>
      <w:r>
        <w:rPr>
          <w:rFonts w:ascii="Times New Roman" w:hAnsi="Times New Roman"/>
          <w:noProof/>
        </w:rPr>
        <w:t xml:space="preserve"> С поглед към бъдещето днес Комисията предла</w:t>
      </w:r>
      <w:r>
        <w:rPr>
          <w:rFonts w:ascii="Times New Roman" w:hAnsi="Times New Roman"/>
          <w:noProof/>
        </w:rPr>
        <w:t>га няколко нови бюджетни инструменти за стабилна еврозона в рамките на правната уредба на Съюза</w:t>
      </w:r>
      <w:r>
        <w:rPr>
          <w:rStyle w:val="FootnoteReference"/>
          <w:rFonts w:ascii="Times New Roman" w:hAnsi="Times New Roman"/>
          <w:noProof/>
        </w:rPr>
        <w:footnoteReference w:id="13"/>
      </w:r>
      <w:r>
        <w:rPr>
          <w:noProof/>
        </w:rPr>
        <w:t>.</w:t>
      </w:r>
      <w:r>
        <w:rPr>
          <w:rFonts w:ascii="Times New Roman" w:hAnsi="Times New Roman"/>
          <w:noProof/>
        </w:rPr>
        <w:t xml:space="preserve"> </w:t>
      </w:r>
    </w:p>
    <w:p w:rsidR="004902FF" w:rsidRDefault="00640120">
      <w:pPr>
        <w:jc w:val="both"/>
        <w:rPr>
          <w:rFonts w:ascii="Times New Roman" w:hAnsi="Times New Roman" w:cs="Times New Roman"/>
          <w:noProof/>
        </w:rPr>
      </w:pPr>
      <w:r>
        <w:rPr>
          <w:rFonts w:ascii="Times New Roman" w:hAnsi="Times New Roman"/>
          <w:b/>
          <w:noProof/>
        </w:rPr>
        <w:t xml:space="preserve">Европейският министър на икономиката и финансите ще координира използването на съответните бюджетни инструменти на ЕС и на еврозоната и ще осигурява тяхното максимално въздействие в подкрепа на общите приоритети. </w:t>
      </w:r>
      <w:r>
        <w:rPr>
          <w:rFonts w:ascii="Times New Roman" w:hAnsi="Times New Roman"/>
          <w:noProof/>
        </w:rPr>
        <w:t>Министърът ще се стреми да гарантира, че те</w:t>
      </w:r>
      <w:r>
        <w:rPr>
          <w:rFonts w:ascii="Times New Roman" w:hAnsi="Times New Roman"/>
          <w:noProof/>
        </w:rPr>
        <w:t xml:space="preserve">зи инструменти се използват последователно и ефективно и постоянно ще търси полезни взаимодействия при тяхното прилагане, като работи в тясно сътрудничество с членовете на Комисията, отговарящи за съответния ресор, и с публичните органи на всички равнища. </w:t>
      </w:r>
      <w:r>
        <w:rPr>
          <w:rFonts w:ascii="Times New Roman" w:hAnsi="Times New Roman"/>
          <w:noProof/>
        </w:rPr>
        <w:t>Координирането на работата на Комисията във връзка с Плана за инвестиции за Европа ще бъде особено важна задача</w:t>
      </w:r>
      <w:r>
        <w:rPr>
          <w:rStyle w:val="FootnoteReference"/>
          <w:rFonts w:ascii="Times New Roman" w:hAnsi="Times New Roman"/>
          <w:noProof/>
        </w:rPr>
        <w:footnoteReference w:id="14"/>
      </w:r>
      <w:r>
        <w:rPr>
          <w:noProof/>
        </w:rPr>
        <w:t>.</w:t>
      </w:r>
      <w:r>
        <w:rPr>
          <w:rFonts w:ascii="Times New Roman" w:hAnsi="Times New Roman"/>
          <w:noProof/>
        </w:rPr>
        <w:t xml:space="preserve"> В тази си функция министърът ще отговаря и за отношенията на Комисията с Европейската инвестиционна банка. </w:t>
      </w:r>
    </w:p>
    <w:p w:rsidR="004902FF" w:rsidRDefault="004902FF">
      <w:pPr>
        <w:jc w:val="both"/>
        <w:rPr>
          <w:rFonts w:ascii="Times New Roman" w:hAnsi="Times New Roman" w:cs="Times New Roman"/>
          <w:noProof/>
        </w:rPr>
      </w:pPr>
    </w:p>
    <w:p w:rsidR="004902FF" w:rsidRDefault="00640120">
      <w:pPr>
        <w:pStyle w:val="ListParagraph"/>
        <w:numPr>
          <w:ilvl w:val="0"/>
          <w:numId w:val="1"/>
        </w:numPr>
        <w:spacing w:before="360"/>
        <w:ind w:left="357" w:hanging="357"/>
        <w:contextualSpacing w:val="0"/>
        <w:jc w:val="both"/>
        <w:rPr>
          <w:rFonts w:ascii="Times New Roman" w:hAnsi="Times New Roman" w:cs="Times New Roman"/>
          <w:b/>
          <w:noProof/>
          <w:sz w:val="24"/>
          <w:szCs w:val="24"/>
          <w:u w:val="single"/>
        </w:rPr>
      </w:pPr>
      <w:r>
        <w:rPr>
          <w:rFonts w:ascii="Times New Roman" w:hAnsi="Times New Roman"/>
          <w:b/>
          <w:noProof/>
          <w:sz w:val="24"/>
          <w:u w:val="single"/>
        </w:rPr>
        <w:t xml:space="preserve">ИНСТИТУЦИОНАЛНИ АСПЕКТИ: </w:t>
      </w:r>
      <w:r>
        <w:rPr>
          <w:rFonts w:ascii="Times New Roman" w:hAnsi="Times New Roman"/>
          <w:b/>
          <w:noProof/>
          <w:sz w:val="24"/>
          <w:u w:val="single"/>
        </w:rPr>
        <w:t>ДЕМОКРАТИЧНА ОТЧЕТНОСТ И ЛЕГИТИМНОСТ</w:t>
      </w:r>
    </w:p>
    <w:p w:rsidR="004902FF" w:rsidRDefault="00640120">
      <w:pPr>
        <w:jc w:val="both"/>
        <w:rPr>
          <w:rFonts w:ascii="Times New Roman" w:hAnsi="Times New Roman" w:cs="Times New Roman"/>
          <w:noProof/>
        </w:rPr>
      </w:pPr>
      <w:r>
        <w:rPr>
          <w:rFonts w:ascii="Times New Roman" w:hAnsi="Times New Roman"/>
          <w:b/>
          <w:noProof/>
        </w:rPr>
        <w:t>Новата длъжност на европейски министър на икономиката и финансите може да допринесе за по-нататъшното рационализиране на рамката за управление на ЕС и за укрепването на европейското измерение на икономическите политики.</w:t>
      </w:r>
      <w:r>
        <w:rPr>
          <w:rFonts w:ascii="Times New Roman" w:hAnsi="Times New Roman"/>
          <w:noProof/>
        </w:rPr>
        <w:t xml:space="preserve"> Всъщност предвиденото съвместяване на двете функции — член на Комисията и председател на Еврогрупата — вече е възможно в рамките на съществуващите Договори. В член 2 от Протокол № 14 относно Еврогрупата, приложен към Договорите, се посочва, че </w:t>
      </w:r>
      <w:r>
        <w:rPr>
          <w:rFonts w:ascii="Times New Roman" w:hAnsi="Times New Roman"/>
          <w:i/>
          <w:noProof/>
        </w:rPr>
        <w:t>[м]инистрит</w:t>
      </w:r>
      <w:r>
        <w:rPr>
          <w:rFonts w:ascii="Times New Roman" w:hAnsi="Times New Roman"/>
          <w:i/>
          <w:noProof/>
        </w:rPr>
        <w:t>е на държавите членки, чиято парична единица е еврото, избират председател за срок от две години и половина с мнозинството от гласовете на тези държави членки.</w:t>
      </w:r>
      <w:r>
        <w:rPr>
          <w:rStyle w:val="FootnoteReference"/>
          <w:rFonts w:ascii="Times New Roman" w:hAnsi="Times New Roman"/>
          <w:noProof/>
        </w:rPr>
        <w:footnoteReference w:id="15"/>
      </w:r>
      <w:r>
        <w:rPr>
          <w:rFonts w:ascii="Times New Roman" w:hAnsi="Times New Roman"/>
          <w:noProof/>
        </w:rPr>
        <w:t xml:space="preserve"> Министърът няма да създаде нова наднационална бюрократична система и няма да засяга областите н</w:t>
      </w:r>
      <w:r>
        <w:rPr>
          <w:rFonts w:ascii="Times New Roman" w:hAnsi="Times New Roman"/>
          <w:noProof/>
        </w:rPr>
        <w:t>а национална компетентност.</w:t>
      </w:r>
      <w:r>
        <w:rPr>
          <w:noProof/>
        </w:rPr>
        <w:t xml:space="preserve"> </w:t>
      </w:r>
      <w:r>
        <w:rPr>
          <w:rFonts w:ascii="Times New Roman" w:hAnsi="Times New Roman"/>
          <w:noProof/>
        </w:rPr>
        <w:t xml:space="preserve">Обединявайки съществуващите функции и наличния опит на равнището на ЕС, министърът ще спомогне за създаването на полезни взаимодействия и по този начин ще допринесе за създаването на по-ефективна рамка за управление.  </w:t>
      </w:r>
    </w:p>
    <w:p w:rsidR="004902FF" w:rsidRDefault="00640120">
      <w:pPr>
        <w:jc w:val="both"/>
        <w:rPr>
          <w:rFonts w:ascii="Times New Roman" w:hAnsi="Times New Roman" w:cs="Times New Roman"/>
          <w:i/>
          <w:noProof/>
        </w:rPr>
      </w:pPr>
      <w:r>
        <w:rPr>
          <w:rFonts w:ascii="Times New Roman" w:hAnsi="Times New Roman"/>
          <w:i/>
          <w:noProof/>
        </w:rPr>
        <w:t>Министъръ</w:t>
      </w:r>
      <w:r>
        <w:rPr>
          <w:rFonts w:ascii="Times New Roman" w:hAnsi="Times New Roman"/>
          <w:i/>
          <w:noProof/>
        </w:rPr>
        <w:t>т като заместник-председател на Комисията</w:t>
      </w:r>
    </w:p>
    <w:p w:rsidR="004902FF" w:rsidRDefault="00640120">
      <w:pPr>
        <w:jc w:val="both"/>
        <w:rPr>
          <w:rFonts w:ascii="Times New Roman" w:hAnsi="Times New Roman" w:cs="Times New Roman"/>
          <w:noProof/>
        </w:rPr>
      </w:pPr>
      <w:r>
        <w:rPr>
          <w:rFonts w:ascii="Times New Roman" w:hAnsi="Times New Roman"/>
          <w:b/>
          <w:noProof/>
        </w:rPr>
        <w:t xml:space="preserve">Като се има предвид институционалната роля на Комисията като защитник на общия интерес, един от заместник-председателите на Комисията би могъл да поеме ролята на европейски министър на икономиката и финансите. </w:t>
      </w:r>
      <w:r>
        <w:rPr>
          <w:rFonts w:ascii="Times New Roman" w:hAnsi="Times New Roman"/>
          <w:noProof/>
        </w:rPr>
        <w:t>Това</w:t>
      </w:r>
      <w:r>
        <w:rPr>
          <w:rFonts w:ascii="Times New Roman" w:hAnsi="Times New Roman"/>
          <w:noProof/>
        </w:rPr>
        <w:t xml:space="preserve"> ще даде възможност да бъде определен един-единствен представител по икономическите и фискални интереси за целия ЕС и еврозоната, на който е предоставен ясен мандат и който е основно лице за контакт в рамките на Комисията и извън нея. </w:t>
      </w:r>
    </w:p>
    <w:p w:rsidR="004902FF" w:rsidRDefault="00640120">
      <w:pPr>
        <w:jc w:val="both"/>
        <w:rPr>
          <w:rFonts w:ascii="Times New Roman" w:hAnsi="Times New Roman" w:cs="Times New Roman"/>
          <w:b/>
          <w:noProof/>
        </w:rPr>
      </w:pPr>
      <w:r>
        <w:rPr>
          <w:rFonts w:ascii="Times New Roman" w:hAnsi="Times New Roman"/>
          <w:b/>
          <w:noProof/>
        </w:rPr>
        <w:t>Министърът може да н</w:t>
      </w:r>
      <w:r>
        <w:rPr>
          <w:rFonts w:ascii="Times New Roman" w:hAnsi="Times New Roman"/>
          <w:b/>
          <w:noProof/>
        </w:rPr>
        <w:t>аправлява и координира работата на няколко ресора</w:t>
      </w:r>
      <w:r>
        <w:rPr>
          <w:rFonts w:ascii="Times New Roman" w:hAnsi="Times New Roman"/>
          <w:noProof/>
        </w:rPr>
        <w:t xml:space="preserve"> и служби в цялата Комисия. Той/тя ще представлява Комисията на заседанията на Управителния съвет на Европейската централна банка, без да разполага с право на глас в съответствие с член 284, параграф 1 от До</w:t>
      </w:r>
      <w:r>
        <w:rPr>
          <w:rFonts w:ascii="Times New Roman" w:hAnsi="Times New Roman"/>
          <w:noProof/>
        </w:rPr>
        <w:t>говора за функционирането на Европейския съюз. Той/тя ще отговаря също така за социалния диалог на равнище ЕС и за взаимодействието с ключови заинтересовани страни.</w:t>
      </w:r>
      <w:r>
        <w:rPr>
          <w:rFonts w:ascii="Times New Roman" w:hAnsi="Times New Roman"/>
          <w:b/>
          <w:noProof/>
        </w:rPr>
        <w:t xml:space="preserve"> </w:t>
      </w:r>
    </w:p>
    <w:p w:rsidR="004902FF" w:rsidRDefault="00640120">
      <w:pPr>
        <w:jc w:val="both"/>
        <w:rPr>
          <w:rFonts w:ascii="Times New Roman" w:hAnsi="Times New Roman" w:cs="Times New Roman"/>
          <w:i/>
          <w:noProof/>
        </w:rPr>
      </w:pPr>
      <w:r>
        <w:rPr>
          <w:rFonts w:ascii="Times New Roman" w:hAnsi="Times New Roman"/>
          <w:i/>
          <w:noProof/>
        </w:rPr>
        <w:t>Министърът като председател на Еврогрупата</w:t>
      </w:r>
    </w:p>
    <w:p w:rsidR="004902FF" w:rsidRDefault="00640120">
      <w:pPr>
        <w:spacing w:after="120"/>
        <w:jc w:val="both"/>
        <w:rPr>
          <w:rFonts w:ascii="Times New Roman" w:hAnsi="Times New Roman" w:cs="Times New Roman"/>
          <w:b/>
          <w:noProof/>
        </w:rPr>
      </w:pPr>
      <w:r>
        <w:rPr>
          <w:rFonts w:ascii="Times New Roman" w:hAnsi="Times New Roman"/>
          <w:b/>
          <w:noProof/>
        </w:rPr>
        <w:t>Европейският</w:t>
      </w:r>
      <w:r>
        <w:rPr>
          <w:b/>
          <w:noProof/>
        </w:rPr>
        <w:t xml:space="preserve"> </w:t>
      </w:r>
      <w:r>
        <w:rPr>
          <w:rFonts w:ascii="Times New Roman" w:hAnsi="Times New Roman"/>
          <w:b/>
          <w:noProof/>
        </w:rPr>
        <w:t>министър на икономиката и финансит</w:t>
      </w:r>
      <w:r>
        <w:rPr>
          <w:rFonts w:ascii="Times New Roman" w:hAnsi="Times New Roman"/>
          <w:b/>
          <w:noProof/>
        </w:rPr>
        <w:t>е може да бъде избран за председател на Еврогрупата с цел да бъдат взети предвид интересите на еврозоната като цяло.</w:t>
      </w:r>
      <w:r>
        <w:rPr>
          <w:rFonts w:ascii="Times New Roman" w:hAnsi="Times New Roman"/>
          <w:noProof/>
        </w:rPr>
        <w:t xml:space="preserve"> Досега председател на Еврогрупата беше министърът на финансите на една от държавите членки от еврозоната. Като председател на Еврогрупата, </w:t>
      </w:r>
      <w:r>
        <w:rPr>
          <w:rFonts w:ascii="Times New Roman" w:hAnsi="Times New Roman"/>
          <w:noProof/>
        </w:rPr>
        <w:t>министърът</w:t>
      </w:r>
      <w:r>
        <w:rPr>
          <w:rFonts w:ascii="Times New Roman" w:hAnsi="Times New Roman"/>
          <w:b/>
          <w:noProof/>
        </w:rPr>
        <w:t xml:space="preserve"> </w:t>
      </w:r>
      <w:r>
        <w:rPr>
          <w:rFonts w:ascii="Times New Roman" w:hAnsi="Times New Roman"/>
          <w:noProof/>
        </w:rPr>
        <w:t xml:space="preserve">ще представя и търси консенсус по общите насоки на политиката и цялостната стратегия за еврозоната, като помага за балансирането и доближаването на мненията на националните министри до общите приоритети, преследвани на равнището на еврозоната и </w:t>
      </w:r>
      <w:r>
        <w:rPr>
          <w:rFonts w:ascii="Times New Roman" w:hAnsi="Times New Roman"/>
          <w:noProof/>
        </w:rPr>
        <w:t>ЕС. Министърът ще гарантира също така съгласуваната подготовка на срещите на върха на държавите от еврозоната.</w:t>
      </w:r>
    </w:p>
    <w:p w:rsidR="004902FF" w:rsidRDefault="004902FF">
      <w:pPr>
        <w:spacing w:after="0"/>
        <w:jc w:val="both"/>
        <w:rPr>
          <w:rFonts w:ascii="Times New Roman" w:hAnsi="Times New Roman" w:cs="Times New Roman"/>
          <w:b/>
          <w:noProof/>
        </w:rPr>
      </w:pPr>
    </w:p>
    <w:tbl>
      <w:tblPr>
        <w:tblStyle w:val="TableGrid"/>
        <w:tblW w:w="0" w:type="auto"/>
        <w:tblLook w:val="04A0" w:firstRow="1" w:lastRow="0" w:firstColumn="1" w:lastColumn="0" w:noHBand="0" w:noVBand="1"/>
      </w:tblPr>
      <w:tblGrid>
        <w:gridCol w:w="9288"/>
      </w:tblGrid>
      <w:tr w:rsidR="004902FF">
        <w:tc>
          <w:tcPr>
            <w:tcW w:w="9288" w:type="dxa"/>
          </w:tcPr>
          <w:p w:rsidR="004902FF" w:rsidRDefault="00640120">
            <w:pPr>
              <w:jc w:val="both"/>
              <w:rPr>
                <w:b/>
                <w:bCs/>
                <w:noProof/>
              </w:rPr>
            </w:pPr>
            <w:r>
              <w:rPr>
                <w:rFonts w:ascii="Times New Roman" w:hAnsi="Times New Roman"/>
                <w:b/>
                <w:i/>
                <w:noProof/>
              </w:rPr>
              <w:t>Ролята на Еврогрупата и на нейния председател с течение на времето</w:t>
            </w:r>
          </w:p>
          <w:p w:rsidR="004902FF" w:rsidRDefault="004902FF">
            <w:pPr>
              <w:jc w:val="both"/>
              <w:rPr>
                <w:rFonts w:ascii="Times New Roman" w:hAnsi="Times New Roman" w:cs="Times New Roman"/>
                <w:bCs/>
                <w:i/>
                <w:noProof/>
                <w:sz w:val="12"/>
                <w:szCs w:val="12"/>
              </w:rPr>
            </w:pPr>
          </w:p>
          <w:p w:rsidR="004902FF" w:rsidRDefault="00640120">
            <w:pPr>
              <w:jc w:val="both"/>
              <w:rPr>
                <w:rFonts w:ascii="Times New Roman" w:hAnsi="Times New Roman" w:cs="Times New Roman"/>
                <w:bCs/>
                <w:i/>
                <w:noProof/>
              </w:rPr>
            </w:pPr>
            <w:r>
              <w:rPr>
                <w:rFonts w:ascii="Times New Roman" w:hAnsi="Times New Roman"/>
                <w:i/>
                <w:noProof/>
              </w:rPr>
              <w:t>Еврогрупата е неформален орган, в рамките на който министрите на финансите на държавите членки от еврозоната обсъждат въпроси, отнасящи се до техните общи отговорности, свързани с еврото. Основната ѝ задача е да осигурява тясна координация на икономическит</w:t>
            </w:r>
            <w:r>
              <w:rPr>
                <w:rFonts w:ascii="Times New Roman" w:hAnsi="Times New Roman"/>
                <w:i/>
                <w:noProof/>
              </w:rPr>
              <w:t xml:space="preserve">е политики между държавите членки от еврозоната при пълно спазване на правомощията, предоставени на Съвета по силата на член 121 от ДФЕС. </w:t>
            </w:r>
          </w:p>
          <w:p w:rsidR="004902FF" w:rsidRDefault="004902FF">
            <w:pPr>
              <w:jc w:val="both"/>
              <w:rPr>
                <w:rFonts w:ascii="Times New Roman" w:hAnsi="Times New Roman" w:cs="Times New Roman"/>
                <w:b/>
                <w:bCs/>
                <w:i/>
                <w:noProof/>
                <w:sz w:val="12"/>
                <w:szCs w:val="12"/>
              </w:rPr>
            </w:pPr>
          </w:p>
          <w:p w:rsidR="004902FF" w:rsidRDefault="00640120">
            <w:pPr>
              <w:jc w:val="both"/>
              <w:rPr>
                <w:rFonts w:ascii="Times New Roman" w:hAnsi="Times New Roman" w:cs="Times New Roman"/>
                <w:i/>
                <w:noProof/>
              </w:rPr>
            </w:pPr>
            <w:r>
              <w:rPr>
                <w:rFonts w:ascii="Times New Roman" w:hAnsi="Times New Roman"/>
                <w:i/>
                <w:noProof/>
              </w:rPr>
              <w:t>Европейският съвет одобри създаването на Еврогрупата на 13 декември 1997 г.</w:t>
            </w:r>
            <w:r>
              <w:rPr>
                <w:rStyle w:val="FootnoteReference"/>
                <w:rFonts w:ascii="Times New Roman" w:hAnsi="Times New Roman"/>
                <w:i/>
                <w:noProof/>
              </w:rPr>
              <w:footnoteReference w:id="16"/>
            </w:r>
            <w:r>
              <w:rPr>
                <w:rFonts w:ascii="Times New Roman" w:hAnsi="Times New Roman"/>
                <w:i/>
                <w:noProof/>
              </w:rPr>
              <w:t xml:space="preserve"> В резолюция относно координацията на ик</w:t>
            </w:r>
            <w:r>
              <w:rPr>
                <w:rFonts w:ascii="Times New Roman" w:hAnsi="Times New Roman"/>
                <w:i/>
                <w:noProof/>
              </w:rPr>
              <w:t>ономическата политика Съветът заключи, че „министрите на държавите, участващи в еврозоната, могат да се срещат неформално с цел да обсъждат въпроси, свързани с техните споделени специфични отговорности за единната валута.“. Първото заседание на Еврогрупата</w:t>
            </w:r>
            <w:r>
              <w:rPr>
                <w:rFonts w:ascii="Times New Roman" w:hAnsi="Times New Roman"/>
                <w:i/>
                <w:noProof/>
              </w:rPr>
              <w:t xml:space="preserve"> беше проведено на 4 юни 1998 г. В първите години след своето създаване Еврогрупата беше председателствана от ротационното председателство на Съвета, освен когато председателството на Съвета се поемаше от държава членка извън еврозоната, в който случай Евр</w:t>
            </w:r>
            <w:r>
              <w:rPr>
                <w:rFonts w:ascii="Times New Roman" w:hAnsi="Times New Roman"/>
                <w:i/>
                <w:noProof/>
              </w:rPr>
              <w:t xml:space="preserve">огрупата се председателстваше от следващата държава членка от еврозоната, която трябваше да поеме председателството на Съвета. </w:t>
            </w:r>
          </w:p>
          <w:p w:rsidR="004902FF" w:rsidRDefault="004902FF">
            <w:pPr>
              <w:jc w:val="both"/>
              <w:rPr>
                <w:rFonts w:ascii="Times New Roman" w:hAnsi="Times New Roman" w:cs="Times New Roman"/>
                <w:i/>
                <w:noProof/>
                <w:sz w:val="12"/>
                <w:szCs w:val="12"/>
              </w:rPr>
            </w:pPr>
          </w:p>
          <w:p w:rsidR="004902FF" w:rsidRDefault="00640120">
            <w:pPr>
              <w:jc w:val="both"/>
              <w:rPr>
                <w:rFonts w:ascii="Times New Roman" w:hAnsi="Times New Roman" w:cs="Times New Roman"/>
                <w:i/>
                <w:noProof/>
              </w:rPr>
            </w:pPr>
            <w:r>
              <w:rPr>
                <w:rFonts w:ascii="Times New Roman" w:hAnsi="Times New Roman"/>
                <w:i/>
                <w:noProof/>
              </w:rPr>
              <w:t>На 10 септември 2004 г. Еврогрупата взе решение да има постоянен председател, който се назначава за срок от две години. По врем</w:t>
            </w:r>
            <w:r>
              <w:rPr>
                <w:rFonts w:ascii="Times New Roman" w:hAnsi="Times New Roman"/>
                <w:i/>
                <w:noProof/>
              </w:rPr>
              <w:t xml:space="preserve">е на неформална среща на Съвета по икономическите и финансовите въпроси в Шевенинген, Нидерландия, Жан-Клод Юнкер бе избран за първия постоянен председател на Еврогрупата. </w:t>
            </w:r>
          </w:p>
          <w:p w:rsidR="004902FF" w:rsidRDefault="004902FF">
            <w:pPr>
              <w:jc w:val="both"/>
              <w:rPr>
                <w:rFonts w:ascii="Times New Roman" w:hAnsi="Times New Roman" w:cs="Times New Roman"/>
                <w:i/>
                <w:noProof/>
                <w:sz w:val="12"/>
                <w:szCs w:val="12"/>
              </w:rPr>
            </w:pPr>
          </w:p>
          <w:p w:rsidR="004902FF" w:rsidRDefault="00640120">
            <w:pPr>
              <w:jc w:val="both"/>
              <w:rPr>
                <w:rFonts w:ascii="Times New Roman" w:hAnsi="Times New Roman" w:cs="Times New Roman"/>
                <w:i/>
                <w:noProof/>
              </w:rPr>
            </w:pPr>
            <w:r>
              <w:rPr>
                <w:rFonts w:ascii="Times New Roman" w:hAnsi="Times New Roman"/>
                <w:i/>
                <w:noProof/>
              </w:rPr>
              <w:t>Протокол № 14 относно Еврогрупата влезе в сила с Договора от Лисабон на 1 декември</w:t>
            </w:r>
            <w:r>
              <w:rPr>
                <w:rFonts w:ascii="Times New Roman" w:hAnsi="Times New Roman"/>
                <w:i/>
                <w:noProof/>
              </w:rPr>
              <w:t xml:space="preserve"> 2009 г. Съгласно протокола министрите на държавите членки, чиято парична единица е еврото, се събират на неофициални срещи за обсъждане на въпроси, свързани с общите им специфични отговорности по отношение на единната валута, и избират председател за срок</w:t>
            </w:r>
            <w:r>
              <w:rPr>
                <w:rFonts w:ascii="Times New Roman" w:hAnsi="Times New Roman"/>
                <w:i/>
                <w:noProof/>
              </w:rPr>
              <w:t xml:space="preserve"> от две години и половина с мнозинството от гласовете на тези държави членки. </w:t>
            </w:r>
          </w:p>
          <w:p w:rsidR="004902FF" w:rsidRDefault="004902FF">
            <w:pPr>
              <w:jc w:val="both"/>
              <w:rPr>
                <w:rFonts w:ascii="Times New Roman" w:hAnsi="Times New Roman" w:cs="Times New Roman"/>
                <w:i/>
                <w:noProof/>
                <w:sz w:val="12"/>
                <w:szCs w:val="12"/>
              </w:rPr>
            </w:pPr>
          </w:p>
          <w:p w:rsidR="004902FF" w:rsidRDefault="00640120">
            <w:pPr>
              <w:jc w:val="both"/>
              <w:rPr>
                <w:rFonts w:ascii="Times New Roman" w:hAnsi="Times New Roman" w:cs="Times New Roman"/>
                <w:i/>
                <w:noProof/>
                <w:spacing w:val="-2"/>
              </w:rPr>
            </w:pPr>
            <w:r>
              <w:rPr>
                <w:rFonts w:ascii="Times New Roman" w:hAnsi="Times New Roman"/>
                <w:i/>
                <w:noProof/>
                <w:spacing w:val="-2"/>
              </w:rPr>
              <w:t>От октомври 2008 г. насам се провеждат редовни срещи на държавните и правителствените ръководители на еврозоната. На своята среща на 26 октомври 2011 г. държавните и правителст</w:t>
            </w:r>
            <w:r>
              <w:rPr>
                <w:rFonts w:ascii="Times New Roman" w:hAnsi="Times New Roman"/>
                <w:i/>
                <w:noProof/>
                <w:spacing w:val="-2"/>
              </w:rPr>
              <w:t>вените ръководители се договориха, че „към момента на изтичането на мандата на сегашния титуляр на длъжността ще бъде взето решение дали председателят да се избира измежду членовете на Еврогрупата или да бъде постоянен председател, установен в Брюксел“. Ос</w:t>
            </w:r>
            <w:r>
              <w:rPr>
                <w:rFonts w:ascii="Times New Roman" w:hAnsi="Times New Roman"/>
                <w:i/>
                <w:noProof/>
                <w:spacing w:val="-2"/>
              </w:rPr>
              <w:t>вен това беше договорено, че Работната група за Еврогрупата ще подготвя срещите на Еврогрупата с помощта на експертния опит на Комисията. В допълнение беше пояснено, че Работната група за Еврогрупата ще бъде председателствана от постоянен председател в Брю</w:t>
            </w:r>
            <w:r>
              <w:rPr>
                <w:rFonts w:ascii="Times New Roman" w:hAnsi="Times New Roman"/>
                <w:i/>
                <w:noProof/>
                <w:spacing w:val="-2"/>
              </w:rPr>
              <w:t>ксел, който по принцип се избира едновременно с председателя на Икономическия и финансов комитет, за период от две години, който може да бъде удължен.</w:t>
            </w:r>
            <w:r>
              <w:rPr>
                <w:rStyle w:val="FootnoteReference"/>
                <w:rFonts w:ascii="Times New Roman" w:hAnsi="Times New Roman"/>
                <w:i/>
                <w:noProof/>
                <w:spacing w:val="-2"/>
              </w:rPr>
              <w:t xml:space="preserve"> </w:t>
            </w:r>
            <w:r>
              <w:rPr>
                <w:rStyle w:val="FootnoteReference"/>
                <w:rFonts w:ascii="Times New Roman" w:hAnsi="Times New Roman"/>
                <w:i/>
                <w:noProof/>
                <w:spacing w:val="-2"/>
              </w:rPr>
              <w:footnoteReference w:id="17"/>
            </w:r>
            <w:r>
              <w:rPr>
                <w:rFonts w:ascii="Times New Roman" w:hAnsi="Times New Roman"/>
                <w:i/>
                <w:noProof/>
                <w:spacing w:val="-2"/>
              </w:rPr>
              <w:t xml:space="preserve"> </w:t>
            </w:r>
          </w:p>
        </w:tc>
      </w:tr>
    </w:tbl>
    <w:p w:rsidR="004902FF" w:rsidRDefault="004902FF">
      <w:pPr>
        <w:spacing w:after="0" w:line="240" w:lineRule="auto"/>
        <w:jc w:val="both"/>
        <w:rPr>
          <w:rFonts w:ascii="Times New Roman" w:hAnsi="Times New Roman" w:cs="Times New Roman"/>
          <w:b/>
          <w:noProof/>
          <w:sz w:val="24"/>
          <w:szCs w:val="32"/>
        </w:rPr>
      </w:pPr>
    </w:p>
    <w:p w:rsidR="004902FF" w:rsidRDefault="00640120">
      <w:pPr>
        <w:jc w:val="both"/>
        <w:rPr>
          <w:rFonts w:ascii="Times New Roman" w:hAnsi="Times New Roman" w:cs="Times New Roman"/>
          <w:noProof/>
        </w:rPr>
      </w:pPr>
      <w:r>
        <w:rPr>
          <w:rFonts w:ascii="Times New Roman" w:hAnsi="Times New Roman"/>
          <w:b/>
          <w:noProof/>
        </w:rPr>
        <w:t xml:space="preserve">В Еврогрупата може да бъде постигнато споразумение министърът да бъде избран за неин председател за </w:t>
      </w:r>
      <w:r>
        <w:rPr>
          <w:rFonts w:ascii="Times New Roman" w:hAnsi="Times New Roman"/>
          <w:b/>
          <w:noProof/>
        </w:rPr>
        <w:t>целия срок на мандата на Комисията.</w:t>
      </w:r>
      <w:r>
        <w:rPr>
          <w:rFonts w:ascii="Times New Roman" w:hAnsi="Times New Roman"/>
          <w:noProof/>
        </w:rPr>
        <w:t xml:space="preserve"> Това ще бъде съвместимо със задълженията на министъра като член на Комисията, който представлява общия интерес, и няма да изисква промяна в Договора</w:t>
      </w:r>
      <w:r>
        <w:rPr>
          <w:rStyle w:val="FootnoteReference"/>
          <w:rFonts w:ascii="Times New Roman" w:hAnsi="Times New Roman"/>
          <w:noProof/>
        </w:rPr>
        <w:footnoteReference w:id="18"/>
      </w:r>
      <w:r>
        <w:rPr>
          <w:noProof/>
        </w:rPr>
        <w:t>.</w:t>
      </w:r>
    </w:p>
    <w:p w:rsidR="004902FF" w:rsidRDefault="00640120">
      <w:pPr>
        <w:jc w:val="both"/>
        <w:rPr>
          <w:rFonts w:ascii="Times New Roman" w:hAnsi="Times New Roman" w:cs="Times New Roman"/>
          <w:noProof/>
        </w:rPr>
      </w:pPr>
      <w:r>
        <w:rPr>
          <w:rFonts w:ascii="Times New Roman" w:hAnsi="Times New Roman"/>
          <w:b/>
          <w:noProof/>
        </w:rPr>
        <w:t>При подготовката на срещите на Еврогрупата европейският министър ще б</w:t>
      </w:r>
      <w:r>
        <w:rPr>
          <w:rFonts w:ascii="Times New Roman" w:hAnsi="Times New Roman"/>
          <w:b/>
          <w:noProof/>
        </w:rPr>
        <w:t>ъде подпомаган от постоянния председател на Европейския икономически и финансов комитет/Работната група за Еврогрупата</w:t>
      </w:r>
      <w:r>
        <w:rPr>
          <w:rFonts w:ascii="Times New Roman" w:hAnsi="Times New Roman"/>
          <w:noProof/>
        </w:rPr>
        <w:t xml:space="preserve"> и от секретариат, използващ наличен експертен опит, като по този начин се гарантира, че няма да бъдат създавани допълнителни структури ил</w:t>
      </w:r>
      <w:r>
        <w:rPr>
          <w:rFonts w:ascii="Times New Roman" w:hAnsi="Times New Roman"/>
          <w:noProof/>
        </w:rPr>
        <w:t>и дублирани съществуващи такива</w:t>
      </w:r>
      <w:r>
        <w:rPr>
          <w:rStyle w:val="FootnoteReference"/>
          <w:rFonts w:ascii="Times New Roman" w:hAnsi="Times New Roman"/>
          <w:noProof/>
        </w:rPr>
        <w:footnoteReference w:id="19"/>
      </w:r>
      <w:r>
        <w:rPr>
          <w:noProof/>
        </w:rPr>
        <w:t>.</w:t>
      </w:r>
    </w:p>
    <w:p w:rsidR="004902FF" w:rsidRDefault="00640120">
      <w:pPr>
        <w:jc w:val="both"/>
        <w:rPr>
          <w:rFonts w:ascii="Times New Roman" w:hAnsi="Times New Roman" w:cs="Times New Roman"/>
          <w:i/>
          <w:noProof/>
        </w:rPr>
      </w:pPr>
      <w:r>
        <w:rPr>
          <w:rFonts w:ascii="Times New Roman" w:hAnsi="Times New Roman"/>
          <w:i/>
          <w:noProof/>
        </w:rPr>
        <w:t>Министърът упражнява надзор върху работата на Европейския паричен фонд</w:t>
      </w:r>
    </w:p>
    <w:p w:rsidR="004902FF" w:rsidRDefault="00640120">
      <w:pPr>
        <w:jc w:val="both"/>
        <w:rPr>
          <w:rFonts w:ascii="Times New Roman" w:hAnsi="Times New Roman" w:cs="Times New Roman"/>
          <w:noProof/>
        </w:rPr>
      </w:pPr>
      <w:r>
        <w:rPr>
          <w:rFonts w:ascii="Times New Roman" w:hAnsi="Times New Roman"/>
          <w:b/>
          <w:noProof/>
        </w:rPr>
        <w:t>Понастоящем председателят на Еврогрупата председателства Съвета на управителите на Европейския механизъм за стабилност.</w:t>
      </w:r>
      <w:r>
        <w:rPr>
          <w:rFonts w:ascii="Times New Roman" w:hAnsi="Times New Roman"/>
          <w:noProof/>
        </w:rPr>
        <w:t xml:space="preserve"> Европейският механизъм за стаби</w:t>
      </w:r>
      <w:r>
        <w:rPr>
          <w:rFonts w:ascii="Times New Roman" w:hAnsi="Times New Roman"/>
          <w:noProof/>
        </w:rPr>
        <w:t xml:space="preserve">лност беше създаден на междуправителствена основа по време на кризата с цел предоставяне на подкрепа на държавите членки, изправени пред финансови затруднения. На основата на Европейския механизъм за стабилност днес Комисията предлага Европейският паричен </w:t>
      </w:r>
      <w:r>
        <w:rPr>
          <w:rFonts w:ascii="Times New Roman" w:hAnsi="Times New Roman"/>
          <w:noProof/>
        </w:rPr>
        <w:t>фонд да бъде включен в правната уредба на Съюза</w:t>
      </w:r>
      <w:r>
        <w:rPr>
          <w:rStyle w:val="FootnoteReference"/>
          <w:rFonts w:ascii="Times New Roman" w:hAnsi="Times New Roman"/>
          <w:noProof/>
        </w:rPr>
        <w:footnoteReference w:id="20"/>
      </w:r>
      <w:r>
        <w:rPr>
          <w:noProof/>
        </w:rPr>
        <w:t>.</w:t>
      </w:r>
      <w:r>
        <w:rPr>
          <w:rFonts w:ascii="Times New Roman" w:hAnsi="Times New Roman"/>
          <w:noProof/>
        </w:rPr>
        <w:t xml:space="preserve"> </w:t>
      </w:r>
    </w:p>
    <w:p w:rsidR="004902FF" w:rsidRDefault="00640120">
      <w:pPr>
        <w:jc w:val="both"/>
        <w:rPr>
          <w:rFonts w:ascii="Times New Roman" w:hAnsi="Times New Roman" w:cs="Times New Roman"/>
          <w:b/>
          <w:noProof/>
        </w:rPr>
      </w:pPr>
      <w:r>
        <w:rPr>
          <w:rFonts w:ascii="Times New Roman" w:hAnsi="Times New Roman"/>
          <w:b/>
          <w:noProof/>
        </w:rPr>
        <w:t>Като председател на Еврогрупата министърът ще председателства също и заседанията на Съвета на управителите на Европейския паричен фонд</w:t>
      </w:r>
      <w:r>
        <w:rPr>
          <w:rFonts w:ascii="Times New Roman" w:hAnsi="Times New Roman"/>
          <w:noProof/>
        </w:rPr>
        <w:t xml:space="preserve">. По този начин министърът ще изпълнява неутрална роля, като отчита по </w:t>
      </w:r>
      <w:r>
        <w:rPr>
          <w:rFonts w:ascii="Times New Roman" w:hAnsi="Times New Roman"/>
          <w:noProof/>
        </w:rPr>
        <w:t xml:space="preserve">балансиран начин интересите на акционерите на Европейския паричен фонд. </w:t>
      </w:r>
    </w:p>
    <w:p w:rsidR="004902FF" w:rsidRDefault="00640120">
      <w:pPr>
        <w:jc w:val="both"/>
        <w:rPr>
          <w:rFonts w:ascii="Times New Roman" w:hAnsi="Times New Roman" w:cs="Times New Roman"/>
          <w:i/>
          <w:noProof/>
        </w:rPr>
      </w:pPr>
      <w:r>
        <w:rPr>
          <w:rFonts w:ascii="Times New Roman" w:hAnsi="Times New Roman"/>
          <w:i/>
          <w:noProof/>
        </w:rPr>
        <w:t xml:space="preserve">Отчетност пред Европейския парламент </w:t>
      </w:r>
    </w:p>
    <w:p w:rsidR="004902FF" w:rsidRDefault="00640120">
      <w:pPr>
        <w:jc w:val="both"/>
        <w:rPr>
          <w:rFonts w:ascii="Times New Roman" w:hAnsi="Times New Roman" w:cs="Times New Roman"/>
          <w:bCs/>
          <w:noProof/>
        </w:rPr>
      </w:pPr>
      <w:r>
        <w:rPr>
          <w:rFonts w:ascii="Times New Roman" w:hAnsi="Times New Roman"/>
          <w:b/>
          <w:noProof/>
        </w:rPr>
        <w:t xml:space="preserve">Комисията се отчита пред Европейския парламент. </w:t>
      </w:r>
      <w:r>
        <w:rPr>
          <w:rFonts w:ascii="Times New Roman" w:hAnsi="Times New Roman"/>
          <w:noProof/>
        </w:rPr>
        <w:t>Членовете на Комисията също си сътрудничат активно с Европейския парламент по икономически и фиск</w:t>
      </w:r>
      <w:r>
        <w:rPr>
          <w:rFonts w:ascii="Times New Roman" w:hAnsi="Times New Roman"/>
          <w:noProof/>
        </w:rPr>
        <w:t>ални въпроси, по-специално посредством икономическите диалози, предвидени в пакета от шест законодателни акта и пакета от два законодателни акта</w:t>
      </w:r>
      <w:r>
        <w:rPr>
          <w:rStyle w:val="FootnoteReference"/>
          <w:rFonts w:ascii="Times New Roman" w:hAnsi="Times New Roman"/>
          <w:noProof/>
        </w:rPr>
        <w:footnoteReference w:id="21"/>
      </w:r>
      <w:r>
        <w:rPr>
          <w:noProof/>
        </w:rPr>
        <w:t>.</w:t>
      </w:r>
      <w:r>
        <w:rPr>
          <w:rFonts w:ascii="Times New Roman" w:hAnsi="Times New Roman"/>
          <w:noProof/>
        </w:rPr>
        <w:t xml:space="preserve"> Еврогрупата и Европейският механизъм за стабилност си сътрудничат с Европейския парламент на доброволна основ</w:t>
      </w:r>
      <w:r>
        <w:rPr>
          <w:rFonts w:ascii="Times New Roman" w:hAnsi="Times New Roman"/>
          <w:noProof/>
        </w:rPr>
        <w:t xml:space="preserve">а. </w:t>
      </w:r>
    </w:p>
    <w:p w:rsidR="004902FF" w:rsidRDefault="00640120">
      <w:pPr>
        <w:jc w:val="both"/>
        <w:rPr>
          <w:rFonts w:ascii="Times New Roman" w:eastAsia="Times New Roman" w:hAnsi="Times New Roman" w:cs="Times New Roman"/>
          <w:noProof/>
        </w:rPr>
      </w:pPr>
      <w:r>
        <w:rPr>
          <w:rFonts w:ascii="Times New Roman" w:hAnsi="Times New Roman"/>
          <w:b/>
          <w:noProof/>
        </w:rPr>
        <w:t xml:space="preserve">Министърът ще се отчита пред Европейския парламент по всички въпроси, свързани с функциите си, и ще бъде на разположение за участие в диалог с националните парламенти. </w:t>
      </w:r>
      <w:r>
        <w:rPr>
          <w:rFonts w:ascii="Times New Roman" w:hAnsi="Times New Roman"/>
          <w:noProof/>
        </w:rPr>
        <w:t xml:space="preserve">Като член на колегиума на членовете на Комисията министърът ще участва в изслушване </w:t>
      </w:r>
      <w:r>
        <w:rPr>
          <w:rFonts w:ascii="Times New Roman" w:hAnsi="Times New Roman"/>
          <w:noProof/>
        </w:rPr>
        <w:t>от Европейския парламент. След гласуване на одобрението министърът ще бъде назначен като част от колегиума на членовете на Комисията. Министърът ще продължи да провежда редовни диалози с Европейския парламент и националните парламенти. Освен това, в съотве</w:t>
      </w:r>
      <w:r>
        <w:rPr>
          <w:rFonts w:ascii="Times New Roman" w:hAnsi="Times New Roman"/>
          <w:noProof/>
        </w:rPr>
        <w:t>тствие със съществуващата процедура за разглеждане на проектите на бюджетни планове на държавите членки от еврозоната, националните парламенти могат да изискат от министъра да им представи становището на Комисията относно съответния проект на бюджетен план</w:t>
      </w:r>
      <w:r>
        <w:rPr>
          <w:rFonts w:ascii="Times New Roman" w:hAnsi="Times New Roman"/>
          <w:noProof/>
        </w:rPr>
        <w:t>.</w:t>
      </w:r>
    </w:p>
    <w:p w:rsidR="004902FF" w:rsidRDefault="004902FF">
      <w:pPr>
        <w:jc w:val="both"/>
        <w:rPr>
          <w:rFonts w:ascii="Times New Roman" w:eastAsia="Times New Roman" w:hAnsi="Times New Roman" w:cs="Times New Roman"/>
          <w:noProof/>
        </w:rPr>
      </w:pPr>
    </w:p>
    <w:p w:rsidR="004902FF" w:rsidRDefault="00640120">
      <w:pPr>
        <w:pStyle w:val="ListParagraph"/>
        <w:numPr>
          <w:ilvl w:val="0"/>
          <w:numId w:val="1"/>
        </w:numPr>
        <w:spacing w:before="360"/>
        <w:ind w:left="357" w:hanging="357"/>
        <w:contextualSpacing w:val="0"/>
        <w:jc w:val="both"/>
        <w:rPr>
          <w:rFonts w:ascii="Times New Roman" w:hAnsi="Times New Roman" w:cs="Times New Roman"/>
          <w:b/>
          <w:noProof/>
          <w:sz w:val="24"/>
          <w:szCs w:val="24"/>
          <w:u w:val="single"/>
        </w:rPr>
      </w:pPr>
      <w:r>
        <w:rPr>
          <w:rFonts w:ascii="Times New Roman" w:hAnsi="Times New Roman"/>
          <w:b/>
          <w:noProof/>
          <w:sz w:val="24"/>
          <w:u w:val="single"/>
        </w:rPr>
        <w:t>ЗАКЛЮЧЕНИЯ</w:t>
      </w:r>
    </w:p>
    <w:p w:rsidR="004902FF" w:rsidRDefault="00640120">
      <w:pPr>
        <w:jc w:val="both"/>
        <w:rPr>
          <w:rFonts w:ascii="Times New Roman" w:hAnsi="Times New Roman" w:cs="Times New Roman"/>
          <w:bCs/>
          <w:noProof/>
        </w:rPr>
      </w:pPr>
      <w:r>
        <w:rPr>
          <w:rFonts w:ascii="Times New Roman" w:hAnsi="Times New Roman"/>
          <w:noProof/>
        </w:rPr>
        <w:t xml:space="preserve">Комисията вярва, че длъжността на европейски министър на икономиката и финансите ще бъде важна институционална стъпка към по-съгласувано, по-ефективно и по-отчетно икономическо управление в Европейския съюз. </w:t>
      </w:r>
    </w:p>
    <w:p w:rsidR="004902FF" w:rsidRDefault="00640120">
      <w:pPr>
        <w:jc w:val="both"/>
        <w:rPr>
          <w:noProof/>
        </w:rPr>
      </w:pPr>
      <w:r>
        <w:rPr>
          <w:rFonts w:ascii="Times New Roman" w:hAnsi="Times New Roman"/>
          <w:noProof/>
        </w:rPr>
        <w:t xml:space="preserve">Тя призовава Европейския </w:t>
      </w:r>
      <w:r>
        <w:rPr>
          <w:rFonts w:ascii="Times New Roman" w:hAnsi="Times New Roman"/>
          <w:noProof/>
        </w:rPr>
        <w:t>парламент и Съвета, както и държавите членки, да обмислят идеите, изложени в настоящото съобщение, с оглед постигане на общо разбиране в контекста на обсъжданията относно задълбочаването на икономическия и паричен съюз, предвиден в програмата на лидерите.</w:t>
      </w:r>
    </w:p>
    <w:p w:rsidR="004902FF" w:rsidRDefault="00640120">
      <w:pPr>
        <w:spacing w:after="0"/>
        <w:jc w:val="both"/>
        <w:rPr>
          <w:rFonts w:ascii="Times New Roman" w:hAnsi="Times New Roman" w:cs="Times New Roman"/>
          <w:bCs/>
          <w:noProof/>
        </w:rPr>
      </w:pPr>
      <w:r>
        <w:rPr>
          <w:rFonts w:ascii="Times New Roman" w:hAnsi="Times New Roman"/>
          <w:noProof/>
        </w:rPr>
        <w:t xml:space="preserve">В рамките на съществуващите Договори създаването на тази длъжност може стане последователно, като се спазват следните срокове: </w:t>
      </w:r>
    </w:p>
    <w:p w:rsidR="004902FF" w:rsidRDefault="00640120">
      <w:pPr>
        <w:pStyle w:val="ListParagraph"/>
        <w:numPr>
          <w:ilvl w:val="0"/>
          <w:numId w:val="2"/>
        </w:numPr>
        <w:jc w:val="both"/>
        <w:rPr>
          <w:rFonts w:ascii="Times New Roman" w:hAnsi="Times New Roman" w:cs="Times New Roman"/>
          <w:bCs/>
          <w:noProof/>
        </w:rPr>
      </w:pPr>
      <w:r>
        <w:rPr>
          <w:rFonts w:ascii="Times New Roman" w:hAnsi="Times New Roman"/>
          <w:noProof/>
        </w:rPr>
        <w:t xml:space="preserve">функцията на министъра като заместник-председател на Комисията може да бъде установена при назначаването на следващата Комисия, </w:t>
      </w:r>
      <w:r>
        <w:rPr>
          <w:rFonts w:ascii="Times New Roman" w:hAnsi="Times New Roman"/>
          <w:noProof/>
        </w:rPr>
        <w:t>считано от ноември 2019 г.</w:t>
      </w:r>
    </w:p>
    <w:p w:rsidR="004902FF" w:rsidRDefault="00640120">
      <w:pPr>
        <w:pStyle w:val="ListParagraph"/>
        <w:numPr>
          <w:ilvl w:val="0"/>
          <w:numId w:val="2"/>
        </w:numPr>
        <w:jc w:val="both"/>
        <w:rPr>
          <w:noProof/>
        </w:rPr>
      </w:pPr>
      <w:r>
        <w:rPr>
          <w:rFonts w:ascii="Times New Roman" w:hAnsi="Times New Roman"/>
          <w:noProof/>
        </w:rPr>
        <w:t xml:space="preserve">Еврогрупата може да се договори да избере министъра за свой председател за два последователни мандата, като по този начин приеме да изравни неговия мандат с този на Комисията. </w:t>
      </w:r>
    </w:p>
    <w:p w:rsidR="004902FF" w:rsidRPr="00640120" w:rsidRDefault="004902FF">
      <w:pPr>
        <w:jc w:val="both"/>
        <w:rPr>
          <w:noProof/>
        </w:rPr>
      </w:pPr>
    </w:p>
    <w:sectPr w:rsidR="004902FF" w:rsidRPr="00640120">
      <w:headerReference w:type="even" r:id="rId18"/>
      <w:headerReference w:type="default" r:id="rId19"/>
      <w:footerReference w:type="even" r:id="rId20"/>
      <w:footerReference w:type="default" r:id="rId21"/>
      <w:headerReference w:type="first" r:id="rId22"/>
      <w:footerReference w:type="first" r:id="rId2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02FF" w:rsidRDefault="00640120">
      <w:pPr>
        <w:spacing w:after="0" w:line="240" w:lineRule="auto"/>
      </w:pPr>
      <w:r>
        <w:separator/>
      </w:r>
    </w:p>
  </w:endnote>
  <w:endnote w:type="continuationSeparator" w:id="0">
    <w:p w:rsidR="004902FF" w:rsidRDefault="006401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EC Square Sans Pro">
    <w:panose1 w:val="020B0506040000020004"/>
    <w:charset w:val="00"/>
    <w:family w:val="swiss"/>
    <w:pitch w:val="variable"/>
    <w:sig w:usb0="A00002BF" w:usb1="5000E0F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20" w:rsidRPr="00640120" w:rsidRDefault="00640120" w:rsidP="0064012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20" w:rsidRPr="00640120" w:rsidRDefault="00640120" w:rsidP="00640120">
    <w:pPr>
      <w:pStyle w:val="FooterCoverPage"/>
      <w:rPr>
        <w:rFonts w:ascii="Arial" w:hAnsi="Arial" w:cs="Arial"/>
        <w:b/>
        <w:sz w:val="48"/>
      </w:rPr>
    </w:pPr>
    <w:r w:rsidRPr="00640120">
      <w:rPr>
        <w:rFonts w:ascii="Arial" w:hAnsi="Arial" w:cs="Arial"/>
        <w:b/>
        <w:sz w:val="48"/>
      </w:rPr>
      <w:t>BG</w:t>
    </w:r>
    <w:r w:rsidRPr="00640120">
      <w:rPr>
        <w:rFonts w:ascii="Arial" w:hAnsi="Arial" w:cs="Arial"/>
        <w:b/>
        <w:sz w:val="48"/>
      </w:rPr>
      <w:tab/>
    </w:r>
    <w:r w:rsidRPr="00640120">
      <w:rPr>
        <w:rFonts w:ascii="Arial" w:hAnsi="Arial" w:cs="Arial"/>
        <w:b/>
        <w:sz w:val="48"/>
      </w:rPr>
      <w:tab/>
    </w:r>
    <w:r w:rsidRPr="00640120">
      <w:tab/>
    </w:r>
    <w:r w:rsidRPr="00640120">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20" w:rsidRPr="00640120" w:rsidRDefault="00640120" w:rsidP="00640120">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FF" w:rsidRDefault="004902FF">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rPr>
      <w:id w:val="-1980599005"/>
      <w:docPartObj>
        <w:docPartGallery w:val="Page Numbers (Bottom of Page)"/>
        <w:docPartUnique/>
      </w:docPartObj>
    </w:sdtPr>
    <w:sdtEndPr>
      <w:rPr>
        <w:noProof/>
      </w:rPr>
    </w:sdtEndPr>
    <w:sdtContent>
      <w:p w:rsidR="004902FF" w:rsidRDefault="00640120">
        <w:pPr>
          <w:pStyle w:val="Footer"/>
          <w:jc w:val="right"/>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1</w:t>
        </w:r>
        <w:r>
          <w:rPr>
            <w:rFonts w:ascii="Times New Roman" w:hAnsi="Times New Roman" w:cs="Times New Roman"/>
            <w:noProof/>
          </w:rPr>
          <w:fldChar w:fldCharType="end"/>
        </w:r>
      </w:p>
    </w:sdtContent>
  </w:sdt>
  <w:p w:rsidR="004902FF" w:rsidRDefault="004902FF">
    <w:pPr>
      <w:pStyle w:val="Footer"/>
      <w:rPr>
        <w:rFonts w:ascii="Times New Roman" w:hAnsi="Times New Roman" w:cs="Times New Roman"/>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FF" w:rsidRDefault="004902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02FF" w:rsidRDefault="00640120">
      <w:pPr>
        <w:spacing w:after="0" w:line="240" w:lineRule="auto"/>
      </w:pPr>
      <w:r>
        <w:separator/>
      </w:r>
    </w:p>
  </w:footnote>
  <w:footnote w:type="continuationSeparator" w:id="0">
    <w:p w:rsidR="004902FF" w:rsidRDefault="00640120">
      <w:pPr>
        <w:spacing w:after="0" w:line="240" w:lineRule="auto"/>
      </w:pPr>
      <w:r>
        <w:continuationSeparator/>
      </w:r>
    </w:p>
  </w:footnote>
  <w:footnote w:id="1">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Реч за </w:t>
      </w:r>
      <w:r>
        <w:rPr>
          <w:rFonts w:ascii="Times New Roman" w:hAnsi="Times New Roman"/>
        </w:rPr>
        <w:t>състоянието на Съюза за 2017 г. на председателя на Европейската комисия Жан-Клод Юнкер, 13 септември 2017 г.</w:t>
      </w:r>
    </w:p>
  </w:footnote>
  <w:footnote w:id="2">
    <w:p w:rsidR="004902FF" w:rsidRDefault="00640120">
      <w:pPr>
        <w:pStyle w:val="Default"/>
        <w:ind w:left="284" w:hanging="284"/>
        <w:jc w:val="both"/>
        <w:rPr>
          <w:rFonts w:ascii="Times New Roman" w:hAnsi="Times New Roman" w:cs="Times New Roman"/>
          <w:sz w:val="20"/>
          <w:szCs w:val="20"/>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COM(2017) 291, 31 май 2017 г.</w:t>
      </w:r>
    </w:p>
  </w:footnote>
  <w:footnote w:id="3">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„Завършване на европейския икономически и паричен съюз“, Доклад на Жан-Клод Юнкер в тясно сътрудничество с </w:t>
      </w:r>
      <w:r>
        <w:rPr>
          <w:rFonts w:ascii="Times New Roman" w:hAnsi="Times New Roman"/>
        </w:rPr>
        <w:t>Доналд Туск, Йерун Дейселблум, Марио Драги и Мартин Шулц, 22 юни 2015 г.</w:t>
      </w:r>
    </w:p>
  </w:footnote>
  <w:footnote w:id="4">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 своята резолюция от 16 февруари 2017 г. относно възможното развитие и адаптиране на съществуващата институционална структура на Европейския съюз Европейският парламент призова „и</w:t>
      </w:r>
      <w:r>
        <w:rPr>
          <w:rFonts w:ascii="Times New Roman" w:hAnsi="Times New Roman"/>
        </w:rPr>
        <w:t>зпълнителните правомощия [на Съюза] да бъдат съсредоточени в Комисията в ролята на министър на финансите на ЕС“.</w:t>
      </w:r>
    </w:p>
  </w:footnote>
  <w:footnote w:id="5">
    <w:p w:rsidR="004902FF" w:rsidRDefault="00640120">
      <w:pPr>
        <w:pStyle w:val="FootnoteText"/>
        <w:ind w:left="284" w:hanging="284"/>
        <w:jc w:val="both"/>
        <w:rPr>
          <w:rFonts w:ascii="Times New Roman" w:hAnsi="Times New Roman" w:cs="Times New Roman"/>
        </w:rPr>
      </w:pPr>
      <w:r>
        <w:rPr>
          <w:rFonts w:ascii="Times New Roman" w:hAnsi="Times New Roman"/>
          <w:vertAlign w:val="superscript"/>
        </w:rPr>
        <w:footnoteRef/>
      </w:r>
      <w:r>
        <w:rPr>
          <w:rFonts w:ascii="Times New Roman" w:hAnsi="Times New Roman"/>
          <w:vertAlign w:val="superscript"/>
        </w:rPr>
        <w:t xml:space="preserve"> </w:t>
      </w:r>
      <w:r>
        <w:tab/>
      </w:r>
      <w:r>
        <w:rPr>
          <w:rFonts w:ascii="Times New Roman" w:hAnsi="Times New Roman"/>
        </w:rPr>
        <w:t>По време на срещата на върха на държавите от еврозоната на 26 октомври 2011 г. държавните и правителствените ръководители на държавите от ев</w:t>
      </w:r>
      <w:r>
        <w:rPr>
          <w:rFonts w:ascii="Times New Roman" w:hAnsi="Times New Roman"/>
        </w:rPr>
        <w:t xml:space="preserve">розоната постигнаха съгласие по десет мерки за подобряване на управлението на еврозоната и се договориха, че </w:t>
      </w:r>
      <w:r>
        <w:rPr>
          <w:rFonts w:ascii="Times New Roman" w:hAnsi="Times New Roman"/>
          <w:i/>
        </w:rPr>
        <w:t>към момента на изтичането на мандата на сегашния титуляр на длъжността ще бъде взето решение дали председателят [на Еврогрупата] да се избира измеж</w:t>
      </w:r>
      <w:r>
        <w:rPr>
          <w:rFonts w:ascii="Times New Roman" w:hAnsi="Times New Roman"/>
          <w:i/>
        </w:rPr>
        <w:t>ду членовете на Еврогрупата или да бъде постоянен председател, установен в Брюксел</w:t>
      </w:r>
      <w:r>
        <w:rPr>
          <w:rFonts w:ascii="Times New Roman" w:hAnsi="Times New Roman"/>
        </w:rPr>
        <w:t>.</w:t>
      </w:r>
    </w:p>
  </w:footnote>
  <w:footnote w:id="6">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също „План за установяване на по-сплотено външно представителство на еврозоната на международните форуми“ (COM(2015) 602 final, 21 октомври 2015 г.) и Предложение на</w:t>
      </w:r>
      <w:r>
        <w:rPr>
          <w:rFonts w:ascii="Times New Roman" w:hAnsi="Times New Roman"/>
        </w:rPr>
        <w:t xml:space="preserve"> Комисията за решение на Съвета за определяне на мерки за постепенно установяване на единно представителство на еврозоната в Международния валутен фонд (COM(2015) 603 final, 21 октомври 2015 г.).</w:t>
      </w:r>
    </w:p>
  </w:footnote>
  <w:footnote w:id="7">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825 и COM(2017) 826, 6 декември 2017 г.</w:t>
      </w:r>
    </w:p>
  </w:footnote>
  <w:footnote w:id="8">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В </w:t>
      </w:r>
      <w:r>
        <w:rPr>
          <w:rFonts w:ascii="Times New Roman" w:hAnsi="Times New Roman"/>
        </w:rPr>
        <w:t>декларацията на лидерите на Г-20 от 8 юли 2017 г. също се подчертава необходимостта от използването, наред с паричната и структурната политика, на фискалната политика на индивидуален и съвместен принцип с цел да се постигне силен, устойчив, балансиран и пр</w:t>
      </w:r>
      <w:r>
        <w:rPr>
          <w:rFonts w:ascii="Times New Roman" w:hAnsi="Times New Roman"/>
        </w:rPr>
        <w:t>иобщаващ растеж, като същевременно се увеличат икономическата и финансовата устойчивост.</w:t>
      </w:r>
    </w:p>
  </w:footnote>
  <w:footnote w:id="9">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COM(2015) 12 final, 13 януари 2015 г.</w:t>
      </w:r>
    </w:p>
  </w:footnote>
  <w:footnote w:id="10">
    <w:p w:rsidR="004902FF" w:rsidRDefault="00640120">
      <w:pPr>
        <w:spacing w:after="0" w:line="240" w:lineRule="auto"/>
        <w:ind w:left="284" w:hanging="284"/>
        <w:jc w:val="both"/>
        <w:rPr>
          <w:rFonts w:ascii="Times New Roman" w:hAnsi="Times New Roman" w:cs="Times New Roman"/>
          <w:sz w:val="20"/>
          <w:szCs w:val="20"/>
        </w:rPr>
      </w:pPr>
      <w:r>
        <w:rPr>
          <w:rFonts w:ascii="Times New Roman" w:hAnsi="Times New Roman"/>
          <w:sz w:val="20"/>
          <w:vertAlign w:val="superscript"/>
        </w:rPr>
        <w:footnoteRef/>
      </w:r>
      <w:r>
        <w:rPr>
          <w:rFonts w:ascii="Times New Roman" w:hAnsi="Times New Roman"/>
          <w:sz w:val="20"/>
        </w:rPr>
        <w:t xml:space="preserve"> </w:t>
      </w:r>
      <w:r>
        <w:tab/>
      </w:r>
      <w:r>
        <w:rPr>
          <w:rFonts w:ascii="Times New Roman" w:hAnsi="Times New Roman"/>
          <w:sz w:val="20"/>
        </w:rPr>
        <w:t>Понятието „фискална позиция“ обикновено се разбира като ориентацията, която се дава на фискалната политика чрез дискреционн</w:t>
      </w:r>
      <w:r>
        <w:rPr>
          <w:rFonts w:ascii="Times New Roman" w:hAnsi="Times New Roman"/>
          <w:sz w:val="20"/>
        </w:rPr>
        <w:t>ите решения на правителствата, свързани с данъчното облагане и разходите. Тя определя ролята на фискалната политика в икономическия цикъл. Ако е добре планирана, по-конкретно в съчетание с реформи и подкрепа за инвестициите, както и с помощта на една бъдещ</w:t>
      </w:r>
      <w:r>
        <w:rPr>
          <w:rFonts w:ascii="Times New Roman" w:hAnsi="Times New Roman"/>
          <w:sz w:val="20"/>
        </w:rPr>
        <w:t>а функция за фискална стабилизация, по-активната фискална политика може да допринесе не само за по-бързото намаляване на безработицата в краткосрочен план, но и за нарастването на средносрочния (потенциален) растеж в еврозоната. Вж. също COM(2016) 727 fina</w:t>
      </w:r>
      <w:r>
        <w:rPr>
          <w:rFonts w:ascii="Times New Roman" w:hAnsi="Times New Roman"/>
          <w:sz w:val="20"/>
        </w:rPr>
        <w:t xml:space="preserve">l, 16 ноември 2016 г. </w:t>
      </w:r>
    </w:p>
  </w:footnote>
  <w:footnote w:id="11">
    <w:p w:rsidR="004902FF" w:rsidRDefault="00640120">
      <w:pPr>
        <w:pStyle w:val="Default"/>
        <w:ind w:left="284" w:hanging="284"/>
        <w:jc w:val="both"/>
        <w:rPr>
          <w:rFonts w:ascii="Times New Roman" w:hAnsi="Times New Roman" w:cs="Times New Roman"/>
        </w:rPr>
      </w:pPr>
      <w:r>
        <w:rPr>
          <w:rStyle w:val="FootnoteReference"/>
          <w:rFonts w:ascii="Times New Roman" w:hAnsi="Times New Roman"/>
          <w:sz w:val="20"/>
        </w:rPr>
        <w:footnoteRef/>
      </w:r>
      <w:r>
        <w:rPr>
          <w:rFonts w:ascii="Times New Roman" w:hAnsi="Times New Roman"/>
          <w:sz w:val="20"/>
        </w:rPr>
        <w:t xml:space="preserve"> </w:t>
      </w:r>
      <w:r>
        <w:tab/>
      </w:r>
      <w:r>
        <w:rPr>
          <w:rFonts w:ascii="Times New Roman" w:hAnsi="Times New Roman"/>
          <w:sz w:val="20"/>
        </w:rPr>
        <w:t>Управителният съвет е независим съвещателен орган към Комисията по фискалните въпроси, като неговата цел е да се постигане по-добре информиран обществен дебат и по-ефективна координация на националните фискални политики.</w:t>
      </w:r>
    </w:p>
  </w:footnote>
  <w:footnote w:id="12">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Вж. съ</w:t>
      </w:r>
      <w:r>
        <w:rPr>
          <w:rFonts w:ascii="Times New Roman" w:hAnsi="Times New Roman"/>
        </w:rPr>
        <w:t>що Документ за размисъл относно публичните финанси в ЕС (COM(2017) 358, 28 юни 2017 г.).</w:t>
      </w:r>
    </w:p>
  </w:footnote>
  <w:footnote w:id="13">
    <w:p w:rsidR="004902FF" w:rsidRDefault="00640120">
      <w:pPr>
        <w:pStyle w:val="FootnoteText"/>
        <w:ind w:left="284" w:hanging="284"/>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822, 6 декември 2017 г.</w:t>
      </w:r>
    </w:p>
  </w:footnote>
  <w:footnote w:id="14">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Планът за инвестиции за Европа беше стартиран от Комисията заедно с Европейската инвестиционна банка с цел насърчаване на частн</w:t>
      </w:r>
      <w:r>
        <w:rPr>
          <w:rFonts w:ascii="Times New Roman" w:hAnsi="Times New Roman"/>
        </w:rPr>
        <w:t>и инвестиции в икономиката на ЕС и справяне с пречките пред инвестициите. Първите съществени резултати по плана бяха постигнати под формата на мобилизиране на инвестиции в размер на 251 милиарда евро досега.</w:t>
      </w:r>
    </w:p>
  </w:footnote>
  <w:footnote w:id="15">
    <w:p w:rsidR="004902FF" w:rsidRDefault="00640120">
      <w:pPr>
        <w:pStyle w:val="FootnoteText"/>
        <w:ind w:left="284" w:hanging="284"/>
        <w:jc w:val="both"/>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Министрите от Еврогрупата ще трябва само да </w:t>
      </w:r>
      <w:r>
        <w:rPr>
          <w:rFonts w:ascii="Times New Roman" w:hAnsi="Times New Roman"/>
        </w:rPr>
        <w:t>променят работните си методи, които се договарят неформално, с обикновено мнозинство. Тези работни методи понастоящем предвиждат, че кандидатите за поста на председател трябва да заемат длъжност национален министър на финансите.</w:t>
      </w:r>
    </w:p>
  </w:footnote>
  <w:footnote w:id="16">
    <w:p w:rsidR="004902FF" w:rsidRDefault="00640120">
      <w:pPr>
        <w:pStyle w:val="FootnoteText"/>
        <w:ind w:left="284" w:hanging="284"/>
        <w:jc w:val="both"/>
        <w:rPr>
          <w:rStyle w:val="FootnoteReference"/>
          <w:rFonts w:ascii="Times New Roman" w:hAnsi="Times New Roman" w:cs="Times New Roman"/>
          <w:sz w:val="22"/>
          <w:szCs w:val="22"/>
        </w:rPr>
      </w:pPr>
      <w:r>
        <w:rPr>
          <w:rStyle w:val="FootnoteReference"/>
          <w:rFonts w:ascii="Times New Roman" w:hAnsi="Times New Roman"/>
        </w:rPr>
        <w:footnoteRef/>
      </w:r>
      <w:r>
        <w:rPr>
          <w:rStyle w:val="FootnoteReference"/>
          <w:rFonts w:ascii="Times New Roman" w:hAnsi="Times New Roman"/>
        </w:rPr>
        <w:t xml:space="preserve"> </w:t>
      </w:r>
      <w:r>
        <w:tab/>
      </w:r>
      <w:r>
        <w:rPr>
          <w:rStyle w:val="FootnoteReference"/>
          <w:rFonts w:ascii="Times New Roman" w:hAnsi="Times New Roman"/>
          <w:vertAlign w:val="baseline"/>
        </w:rPr>
        <w:t xml:space="preserve">Европейски съвет, </w:t>
      </w:r>
      <w:r>
        <w:rPr>
          <w:rStyle w:val="FootnoteReference"/>
          <w:rFonts w:ascii="Times New Roman" w:hAnsi="Times New Roman"/>
          <w:vertAlign w:val="baseline"/>
        </w:rPr>
        <w:t>Заключения на председателството, Люксембург, 12—13 декември 1997 г</w:t>
      </w:r>
      <w:r>
        <w:rPr>
          <w:rFonts w:ascii="Times New Roman" w:hAnsi="Times New Roman"/>
        </w:rPr>
        <w:t>.</w:t>
      </w:r>
      <w:r>
        <w:rPr>
          <w:rStyle w:val="FootnoteReference"/>
          <w:rFonts w:ascii="Times New Roman" w:hAnsi="Times New Roman"/>
        </w:rPr>
        <w:t xml:space="preserve"> </w:t>
      </w:r>
    </w:p>
  </w:footnote>
  <w:footnote w:id="17">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През май 2013 г. Франция и Германия също представиха съвместен документ, озаглавен </w:t>
      </w:r>
      <w:r>
        <w:rPr>
          <w:rFonts w:ascii="Times New Roman" w:hAnsi="Times New Roman"/>
          <w:i/>
        </w:rPr>
        <w:t>Заедно за по-силна Европа на стабилност и растеж</w:t>
      </w:r>
      <w:r>
        <w:rPr>
          <w:rFonts w:ascii="Times New Roman" w:hAnsi="Times New Roman"/>
        </w:rPr>
        <w:t xml:space="preserve">. В него се предлага </w:t>
      </w:r>
      <w:r>
        <w:rPr>
          <w:rFonts w:ascii="Times New Roman" w:hAnsi="Times New Roman"/>
          <w:i/>
        </w:rPr>
        <w:t>след предстоящите европейски изб</w:t>
      </w:r>
      <w:r>
        <w:rPr>
          <w:rFonts w:ascii="Times New Roman" w:hAnsi="Times New Roman"/>
          <w:i/>
        </w:rPr>
        <w:t>ори</w:t>
      </w:r>
      <w:r>
        <w:rPr>
          <w:rFonts w:ascii="Times New Roman" w:hAnsi="Times New Roman"/>
        </w:rPr>
        <w:t xml:space="preserve"> управлението на еврозоната да бъде укрепено.</w:t>
      </w:r>
      <w:r>
        <w:rPr>
          <w:rFonts w:ascii="Times New Roman" w:hAnsi="Times New Roman"/>
          <w:i/>
        </w:rPr>
        <w:t xml:space="preserve"> [...] Това би могло да включва: [...] постоянен председател на Еврогрупата</w:t>
      </w:r>
      <w:r>
        <w:rPr>
          <w:rFonts w:ascii="Times New Roman" w:hAnsi="Times New Roman"/>
        </w:rPr>
        <w:t>.</w:t>
      </w:r>
    </w:p>
  </w:footnote>
  <w:footnote w:id="18">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Комисията участва в работата на Еврогрупата в съответствие с разпоредбите на Протокол № 14 към Договорите. В член 17, параграф 1</w:t>
      </w:r>
      <w:r>
        <w:rPr>
          <w:rFonts w:ascii="Times New Roman" w:hAnsi="Times New Roman"/>
        </w:rPr>
        <w:t xml:space="preserve"> от ДФЕС е заложена мисията на Комисията да допринася за общия интерес на Съюза и тя изпълнява тази мисия във всички свои дейности. Следователно в първичното законодателство на Съюза е посочено, че няма несъответствие между задачите на член на Комисията и </w:t>
      </w:r>
      <w:r>
        <w:rPr>
          <w:rFonts w:ascii="Times New Roman" w:hAnsi="Times New Roman"/>
        </w:rPr>
        <w:t>участието в работата на Еврогрупата.</w:t>
      </w:r>
    </w:p>
  </w:footnote>
  <w:footnote w:id="19">
    <w:p w:rsidR="004902FF" w:rsidRDefault="00640120">
      <w:pPr>
        <w:spacing w:after="0" w:line="240" w:lineRule="auto"/>
        <w:ind w:left="284" w:hanging="284"/>
        <w:jc w:val="both"/>
        <w:rPr>
          <w:spacing w:val="-6"/>
        </w:rPr>
      </w:pPr>
      <w:r>
        <w:rPr>
          <w:rStyle w:val="FootnoteReference"/>
        </w:rPr>
        <w:footnoteRef/>
      </w:r>
      <w:r>
        <w:t xml:space="preserve"> </w:t>
      </w:r>
      <w:r>
        <w:rPr>
          <w:rFonts w:ascii="Times New Roman" w:hAnsi="Times New Roman"/>
          <w:spacing w:val="-6"/>
          <w:sz w:val="20"/>
        </w:rPr>
        <w:t>Работата на Еврогрупата се подготвя от Работната група за Еврогрупата. От 2012 г. Работната група за Еврогрупата и Европейския икономически и финансов комитет имат постоянен председател. Председателят на Европейския и</w:t>
      </w:r>
      <w:r>
        <w:rPr>
          <w:rFonts w:ascii="Times New Roman" w:hAnsi="Times New Roman"/>
          <w:spacing w:val="-6"/>
          <w:sz w:val="20"/>
        </w:rPr>
        <w:t xml:space="preserve">кономически и финансов комитет/Работната група за Еврогрупата е базиран в Съвета, като той се подпомага от секретариат, предоставен и базиран в Комисията. Тази организация позволи да бъдат реализирани положителни взаимодействия и доказа своята ефикасност. </w:t>
      </w:r>
      <w:r>
        <w:rPr>
          <w:rFonts w:ascii="Times New Roman" w:hAnsi="Times New Roman"/>
          <w:spacing w:val="-6"/>
          <w:sz w:val="20"/>
        </w:rPr>
        <w:t xml:space="preserve">Тя може да бъде доразвита със създаването на длъжността европейски министър на икономиката и финансите. </w:t>
      </w:r>
    </w:p>
  </w:footnote>
  <w:footnote w:id="20">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827, 6 декември 2017 г.</w:t>
      </w:r>
    </w:p>
  </w:footnote>
  <w:footnote w:id="21">
    <w:p w:rsidR="004902FF" w:rsidRDefault="00640120">
      <w:pPr>
        <w:pStyle w:val="FootnoteText"/>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Регламенти (ЕС) № 1173/2011, 1174/2011, 1175/2011, 1176/2011, 1177/2011, 472/2013 и 473/2013.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20" w:rsidRPr="00640120" w:rsidRDefault="00640120" w:rsidP="0064012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20" w:rsidRPr="00640120" w:rsidRDefault="00640120" w:rsidP="00640120">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0120" w:rsidRPr="00640120" w:rsidRDefault="00640120" w:rsidP="00640120">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FF" w:rsidRDefault="004902F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FF" w:rsidRDefault="004902F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02FF" w:rsidRDefault="004902F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248AF"/>
    <w:multiLevelType w:val="hybridMultilevel"/>
    <w:tmpl w:val="9598702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23117409"/>
    <w:multiLevelType w:val="hybridMultilevel"/>
    <w:tmpl w:val="B868EC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28807876"/>
    <w:multiLevelType w:val="hybridMultilevel"/>
    <w:tmpl w:val="1912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F3B2AFE"/>
    <w:multiLevelType w:val="hybridMultilevel"/>
    <w:tmpl w:val="06FC66C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BE16F58"/>
    <w:multiLevelType w:val="hybridMultilevel"/>
    <w:tmpl w:val="7B2A6A9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970C53C-2DFF-4B45-933B-8CAB9B9DA3EA"/>
    <w:docVar w:name="LW_COVERPAGE_TYPE" w:val="1"/>
    <w:docVar w:name="LW_CROSSREFERENCE" w:val="&lt;UNUSED&gt;"/>
    <w:docVar w:name="LW_DocType" w:val="NORMAL"/>
    <w:docVar w:name="LW_EMISSION" w:val="6.12.2017"/>
    <w:docVar w:name="LW_EMISSION_ISODATE" w:val="2017-12-06"/>
    <w:docVar w:name="LW_EMISSION_LOCATION" w:val="BRX"/>
    <w:docVar w:name="LW_EMISSION_PREFIX" w:val="\u1041?\u1088?\u1102?\u1082?\u1089?\u1077?\u1083?,"/>
    <w:docVar w:name="LW_EMISSION_SUFFIX" w:val="\u1075?."/>
    <w:docVar w:name="LW_ID_DOCTYPE_NONLW" w:val="CP-009"/>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7) 823"/>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u1045?\u1042?\u1056?\u1054?\u1055?\u1045?\u1049?\u1057?\u1050?\u1048? \u1052?\u1048?\u1053?\u1048?\u1057?\u1058?\u1066?\u1056? \u1053?\u1040? \u1048?\u1050?\u1054?\u1053?\u1054?\u1052?\u1048?\u1050?\u1040?\u1058?\u1040? \u1048? \u1060?\u1048?\u1053?\u1040?\u1053?\u1057?\u1048?\u1058?\u1045?"/>
    <w:docVar w:name="LW_TYPE.DOC.CP" w:val="\u1057?\u1066?\u1054?\u1041?\u1065?\u1045?\u1053?\u1048?\u1045? \u1053?\u1040? \u1050?\u1054?\u1052?\u1048?\u1057?\u1048?\u1071?\u1058?\u1040?"/>
    <w:docVar w:name="LW_TYPE.DOC.CP.USERTEXT" w:val="\u1044?\u1054? \u1045?\u1042?\u1056?\u1054?\u1055?\u1045?\u1049?\u1057?\u1050?\u1048?\u1071? \u1055?\u1040?\u1056?\u1051?\u1040?\u1052?\u1045?\u1053?\u1058?, \u1045?\u1042?\u1056?\u1054?\u1055?\u1045?\u1049?\u1057?\u1050?\u1048?\u1071? \u1057?\u1066?\u1042?\u1045?\u1058?, \u1057?\u1066?\u1042?\u1045?\u1058?\u1040? \u1048? \u1045?\u1042?\u1056?\u1054?\u1055?\u1045?\u1049?\u1057?\u1050?\u1040?\u1058?\u1040? \u1062?\u1045?\u1053?\u1058?\u1056?\u1040?\u1051?\u1053?\u1040? \u1041?\u1040?\u1053?\u1050?\u1040?"/>
  </w:docVars>
  <w:rsids>
    <w:rsidRoot w:val="004902FF"/>
    <w:rsid w:val="004902FF"/>
    <w:rsid w:val="0064012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1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401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01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01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21" w:lineRule="atLeast"/>
    </w:pPr>
    <w:rPr>
      <w:rFonts w:ascii="Garamond" w:hAnsi="Garamond"/>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EC Square Sans Pro"/>
      <w:color w:val="000000"/>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sid w:val="006401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401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401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0120"/>
    <w:rPr>
      <w:rFonts w:asciiTheme="majorHAnsi" w:eastAsiaTheme="majorEastAsia" w:hAnsiTheme="majorHAnsi" w:cstheme="majorBidi"/>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4012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401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4012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4012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Pa3">
    <w:name w:val="Pa3"/>
    <w:basedOn w:val="Normal"/>
    <w:next w:val="Normal"/>
    <w:uiPriority w:val="99"/>
    <w:pPr>
      <w:autoSpaceDE w:val="0"/>
      <w:autoSpaceDN w:val="0"/>
      <w:adjustRightInd w:val="0"/>
      <w:spacing w:after="0" w:line="221" w:lineRule="atLeast"/>
    </w:pPr>
    <w:rPr>
      <w:rFonts w:ascii="Garamond" w:hAnsi="Garamond"/>
      <w:sz w:val="24"/>
      <w:szCs w:val="24"/>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paragraph" w:customStyle="1" w:styleId="Default">
    <w:name w:val="Default"/>
    <w:pPr>
      <w:autoSpaceDE w:val="0"/>
      <w:autoSpaceDN w:val="0"/>
      <w:adjustRightInd w:val="0"/>
      <w:spacing w:after="0" w:line="240" w:lineRule="auto"/>
    </w:pPr>
    <w:rPr>
      <w:rFonts w:ascii="EC Square Sans Pro" w:hAnsi="EC Square Sans Pro" w:cs="EC Square Sans Pro"/>
      <w:color w:val="000000"/>
      <w:sz w:val="24"/>
      <w:szCs w:val="24"/>
    </w:rPr>
  </w:style>
  <w:style w:type="character" w:customStyle="1" w:styleId="A4">
    <w:name w:val="A4"/>
    <w:uiPriority w:val="99"/>
    <w:rPr>
      <w:rFonts w:cs="EC Square Sans Pro"/>
      <w:color w:val="000000"/>
      <w:sz w:val="20"/>
      <w:szCs w:val="20"/>
    </w:rPr>
  </w:style>
  <w:style w:type="character" w:styleId="Hyperlink">
    <w:name w:val="Hyperlink"/>
    <w:basedOn w:val="DefaultParagraphFont"/>
    <w:uiPriority w:val="99"/>
    <w:semiHidden/>
    <w:unhideWhenUsed/>
    <w:rPr>
      <w:color w:val="0000FF"/>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A3">
    <w:name w:val="A3"/>
    <w:uiPriority w:val="99"/>
    <w:rPr>
      <w:rFonts w:cs="EC Square Sans Pro"/>
      <w:color w:val="000000"/>
      <w:sz w:val="28"/>
      <w:szCs w:val="28"/>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customStyle="1" w:styleId="Heading1Char">
    <w:name w:val="Heading 1 Char"/>
    <w:basedOn w:val="DefaultParagraphFont"/>
    <w:link w:val="Heading1"/>
    <w:uiPriority w:val="9"/>
    <w:rsid w:val="00640120"/>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401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4012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640120"/>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845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oter" Target="footer5.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JP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10" Type="http://schemas.openxmlformats.org/officeDocument/2006/relationships/header" Target="header1.xml"/><Relationship Id="rId19" Type="http://schemas.openxmlformats.org/officeDocument/2006/relationships/header" Target="head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6889CC-10AC-4A51-8676-C62414DF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10</Pages>
  <Words>3152</Words>
  <Characters>19197</Characters>
  <Application>Microsoft Office Word</Application>
  <DocSecurity>0</DocSecurity>
  <Lines>309</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41</cp:revision>
  <cp:lastPrinted>2017-12-05T20:52:00Z</cp:lastPrinted>
  <dcterms:created xsi:type="dcterms:W3CDTF">2017-12-06T06:13:00Z</dcterms:created>
  <dcterms:modified xsi:type="dcterms:W3CDTF">2017-12-06T18:50:00Z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