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9AA68FC-7AE8-482A-8D8E-904C87F9E110" style="width:450.75pt;height:348pt">
            <v:imagedata r:id="rId9" o:title=""/>
          </v:shape>
        </w:pict>
      </w:r>
    </w:p>
    <w:bookmarkEnd w:id="0"/>
    <w:p>
      <w:pPr>
        <w:jc w:val="both"/>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
        </w:numPr>
        <w:autoSpaceDE w:val="0"/>
        <w:autoSpaceDN w:val="0"/>
        <w:adjustRightInd w:val="0"/>
        <w:spacing w:after="0" w:line="240" w:lineRule="auto"/>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Въведение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 Директивата „Платежоспособност ІІ“</w:t>
      </w:r>
      <w:r>
        <w:rPr>
          <w:rStyle w:val="FootnoteReference"/>
          <w:rFonts w:ascii="Times New Roman" w:hAnsi="Times New Roman"/>
          <w:noProof/>
          <w:sz w:val="24"/>
        </w:rPr>
        <w:footnoteReference w:id="1"/>
      </w:r>
      <w:r>
        <w:rPr>
          <w:rFonts w:ascii="Times New Roman" w:hAnsi="Times New Roman"/>
          <w:noProof/>
          <w:sz w:val="24"/>
        </w:rPr>
        <w:t xml:space="preserve"> беше въведена сигурна и стабилна пруденциална рамка за застрахователните предприятия в ЕС. Тя се основава на рисковия профил на всяко отделно застрахователно предприятие с цел да се насърчат съпоставимостта, прозрачността и конкурентоспособността.</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Директивата беше изменена с:</w:t>
      </w:r>
    </w:p>
    <w:p>
      <w:pPr>
        <w:pStyle w:val="ListParagraph"/>
        <w:numPr>
          <w:ilvl w:val="0"/>
          <w:numId w:val="14"/>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 2011/89/ЕС (ДДНФК)</w:t>
      </w:r>
      <w:r>
        <w:rPr>
          <w:rStyle w:val="FootnoteReference"/>
          <w:rFonts w:ascii="Times New Roman" w:hAnsi="Times New Roman"/>
          <w:noProof/>
          <w:sz w:val="24"/>
        </w:rPr>
        <w:footnoteReference w:id="2"/>
      </w:r>
      <w:r>
        <w:rPr>
          <w:rFonts w:ascii="Times New Roman" w:hAnsi="Times New Roman"/>
          <w:noProof/>
          <w:sz w:val="24"/>
        </w:rPr>
        <w:t>;</w:t>
      </w:r>
    </w:p>
    <w:p>
      <w:pPr>
        <w:pStyle w:val="ListParagraph"/>
        <w:numPr>
          <w:ilvl w:val="0"/>
          <w:numId w:val="14"/>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 2012/23/ЕС</w:t>
      </w:r>
      <w:r>
        <w:rPr>
          <w:rStyle w:val="FootnoteReference"/>
          <w:rFonts w:ascii="Times New Roman" w:hAnsi="Times New Roman"/>
          <w:noProof/>
          <w:sz w:val="24"/>
        </w:rPr>
        <w:footnoteReference w:id="3"/>
      </w:r>
      <w:r>
        <w:rPr>
          <w:rFonts w:ascii="Times New Roman" w:hAnsi="Times New Roman"/>
          <w:noProof/>
          <w:sz w:val="24"/>
        </w:rPr>
        <w:t>;</w:t>
      </w:r>
    </w:p>
    <w:p>
      <w:pPr>
        <w:pStyle w:val="ListParagraph"/>
        <w:numPr>
          <w:ilvl w:val="0"/>
          <w:numId w:val="14"/>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 на Съвета 2013/23/ЕС</w:t>
      </w:r>
      <w:r>
        <w:rPr>
          <w:rStyle w:val="FootnoteReference"/>
          <w:rFonts w:ascii="Times New Roman" w:hAnsi="Times New Roman"/>
          <w:noProof/>
          <w:sz w:val="24"/>
        </w:rPr>
        <w:footnoteReference w:id="4"/>
      </w:r>
      <w:r>
        <w:rPr>
          <w:rFonts w:ascii="Times New Roman" w:hAnsi="Times New Roman"/>
          <w:noProof/>
          <w:sz w:val="24"/>
        </w:rPr>
        <w:t>;</w:t>
      </w:r>
    </w:p>
    <w:p>
      <w:pPr>
        <w:pStyle w:val="ListParagraph"/>
        <w:numPr>
          <w:ilvl w:val="0"/>
          <w:numId w:val="14"/>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 2013/58</w:t>
      </w:r>
      <w:r>
        <w:rPr>
          <w:rStyle w:val="FootnoteReference"/>
          <w:rFonts w:ascii="Times New Roman" w:hAnsi="Times New Roman"/>
          <w:noProof/>
          <w:sz w:val="24"/>
        </w:rPr>
        <w:footnoteReference w:id="5"/>
      </w:r>
      <w:r>
        <w:rPr>
          <w:rFonts w:ascii="Times New Roman" w:hAnsi="Times New Roman"/>
          <w:noProof/>
          <w:sz w:val="24"/>
        </w:rPr>
        <w:t>; и</w:t>
      </w:r>
    </w:p>
    <w:p>
      <w:pPr>
        <w:pStyle w:val="ListParagraph"/>
        <w:numPr>
          <w:ilvl w:val="0"/>
          <w:numId w:val="14"/>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Директива 2014/51/ЕС (Директивата „Омнибус 2“)</w:t>
      </w:r>
      <w:r>
        <w:rPr>
          <w:rStyle w:val="FootnoteReference"/>
          <w:rFonts w:ascii="Times New Roman" w:hAnsi="Times New Roman"/>
          <w:noProof/>
          <w:sz w:val="24"/>
        </w:rPr>
        <w:footnoteReference w:id="6"/>
      </w:r>
      <w:r>
        <w:rPr>
          <w:rFonts w:ascii="Times New Roman" w:hAnsi="Times New Roman"/>
          <w:noProof/>
          <w:sz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2"/>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Правно основание</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Настоящият доклад се изисква съгласно член 301a, параграф 2 от Директивата „Платежоспособност ІІ“. В съответствие с тази разпоредба делегирането на правомощия, посочено в членове 17, 31, 35, 37, 50, 56, 75, 86, 92, 97, 99, 109а, 111, 114, 127, 130, 135, 143, 172, 210, 211, 216, 217, 227, 234, 241, 244, 245, 247, 248, 256, 258, 260 и 308б, се предоставя на Комисията за срок от четири години, считано от 23 май 2014 г. </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От Комисията се изисква да изготви доклад относно делегирането на тези правомощия не по-късно от шест месеца преди изтичането на четиригодишния срок. Следователно настоящият доклад обхваща делегираните правомощия, попадащи в приложното поле на член 301а. Той не обхваща делегирането на правомощия, предвидено в член 301б.</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p>
    <w:p>
      <w:pPr>
        <w:pStyle w:val="ListParagraph"/>
        <w:numPr>
          <w:ilvl w:val="0"/>
          <w:numId w:val="2"/>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Упражняване на делегирането</w:t>
      </w:r>
    </w:p>
    <w:p>
      <w:pPr>
        <w:autoSpaceDE w:val="0"/>
        <w:autoSpaceDN w:val="0"/>
        <w:adjustRightInd w:val="0"/>
        <w:spacing w:after="0" w:line="240" w:lineRule="auto"/>
        <w:jc w:val="both"/>
        <w:rPr>
          <w:rFonts w:ascii="Times New Roman" w:hAnsi="Times New Roman" w:cs="Times New Roman"/>
          <w:bCs/>
          <w:noProof/>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Основна информация</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9"/>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Делегираният акт „Платежоспособност II“</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През 2014 г. Комисията упражни по-голямата част от правомощията, делегирани в съответствие с Директивата „Платежоспособност ІІ“. Делегираните правомощия бяха групирани поради сложната взаимовръзка между различните правомощия, например относно стандартната формула, предвидена в „Платежоспособност II“.</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На 14 октомври 2014 г. Комисията прие делегирания акт „Платежоспособност II“</w:t>
      </w:r>
      <w:r>
        <w:rPr>
          <w:rStyle w:val="FootnoteReference"/>
          <w:rFonts w:ascii="Times New Roman" w:hAnsi="Times New Roman"/>
          <w:noProof/>
          <w:sz w:val="24"/>
        </w:rPr>
        <w:footnoteReference w:id="7"/>
      </w:r>
      <w:r>
        <w:rPr>
          <w:rFonts w:ascii="Times New Roman" w:hAnsi="Times New Roman"/>
          <w:noProof/>
          <w:sz w:val="24"/>
        </w:rPr>
        <w:t>, който беше публикуван в Официален вестник на 17 януари 2015 г., след изтичането на срока за контрол от страна на Европейския парламент и на Съвета. Той влезе в сила на 18 януари 2015 г., много преди 1 януари 2016 г., когато Директивата „Платежоспособност ІІ“ стана изцяло приложима.</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Този делегиран акт е основан на над 4 000 страници технически становища, предоставени от Европейския орган за застраховане и професионално пенсионно осигуряване (ЕОЗППО) през 2009 и 2010 г. През март 2009 г. беше отправена официална покана за изпращане на становища. В периода между ноември 2009 г. и януари 2010 г. Комисията получи становищата на ЕОЗППО, които бяха предмет на обществена консултация. След като получи становищата на ЕОЗППО между 2009 и 2010 г., на 4 май 2010 г. Комисията организира публично изслушване по проекта за делегиран регламент и проведе своя собствена обществена консултация в периода между ноември 2010 г. и януари 2011 г.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В допълнение, през септември 2012 г. с мандат, възложен му от Комисията, ЕОЗППО започна обществена консултация във връзка с доклада си относно калибрирането и определянето на капиталовите изисквания за някои дългосрочни инвестиции, приет през декември 2013 г.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По време на изготвянето на посочения делегиран акт Комисията проведе повече от 20 заседания на съответната експертна група, по време на които проектът за делегиран регламент беше обсъден между експерти от държавите членки с участието на наблюдатели от Европейския парламент и ЕОЗППО</w:t>
      </w:r>
      <w:r>
        <w:rPr>
          <w:rStyle w:val="FootnoteReference"/>
          <w:rFonts w:ascii="Times New Roman" w:hAnsi="Times New Roman"/>
          <w:noProof/>
          <w:sz w:val="24"/>
        </w:rPr>
        <w:footnoteReference w:id="8"/>
      </w:r>
      <w:r>
        <w:rPr>
          <w:rFonts w:ascii="Times New Roman" w:hAnsi="Times New Roman"/>
          <w:noProof/>
          <w:sz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9"/>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Изменението относно инфраструктурните проекти от 2015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Впоследствие Комисията прие на 30 септември 2015 г. изменението на делегирания акт „Платежоспособност II“</w:t>
      </w:r>
      <w:r>
        <w:rPr>
          <w:rStyle w:val="FootnoteReference"/>
          <w:rFonts w:ascii="Times New Roman" w:hAnsi="Times New Roman"/>
          <w:noProof/>
          <w:sz w:val="24"/>
        </w:rPr>
        <w:footnoteReference w:id="9"/>
      </w:r>
      <w:r>
        <w:rPr>
          <w:rFonts w:ascii="Times New Roman" w:hAnsi="Times New Roman"/>
          <w:noProof/>
          <w:sz w:val="24"/>
        </w:rPr>
        <w:t xml:space="preserve"> относно инфраструктурата, което влезе в сила на 2 април 2016 г.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По отношение на измененията относно инфраструктурата, съдържащи се в този делегиран акт, на 4 февруари 2015 г. Комисията поиска от ЕОЗППО техническо становище относно това дали и как би било целесъобразно да се измени стандартната формула по „Платежоспособност II“ за изчисляване на капиталовото изискване за платежоспособност (КИП). ЕОЗППО проведе обществена консултация по проекта на техническото становище между 2 юли 2015 г. и 9 август 2015 г., а окончателното становище бе прието на 29 септември 2015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Изменението обхваща и промени по отношение на европейските фондове за дългосрочни инвестиции (ЕФДИ), капиталовите преходни механизми и многостранните търговски системи (МТС). С акта бяха внесени също така някои изменения и поправки на грешки във формулировката на текста на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През 2015 г. бяха проведени консултации — на заседания и в писмена форма — с Експертната група по банково дело, плащания и застраховане (в състава ѝ по въпросите на застраховането) относно съдържанието на делегирания акт.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9"/>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Изменението от 2017 г. относно инфраструктурните предприятия</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За да продължи да работи за постигането на целта на съюза на капиталовите пазари (СКП), през 2015 г. Комисията поиска допълнително техническо становище от ЕОЗППО относно инфраструктурните предприятия и го получи на 30 юни 2016 г. Преди приемането на изменението беше проведена консултация с Експертната група по банково дело, плащания и застраховане, включително и относно правния текст на изменението.</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На 8 юни 2017 г. Комисията прие изменението на делегирания акт „Платежоспособност II“ относно инфраструктурните предприятия</w:t>
      </w:r>
      <w:r>
        <w:rPr>
          <w:rStyle w:val="FootnoteReference"/>
          <w:rFonts w:ascii="Times New Roman" w:hAnsi="Times New Roman"/>
          <w:noProof/>
          <w:sz w:val="24"/>
        </w:rPr>
        <w:footnoteReference w:id="10"/>
      </w:r>
      <w:r>
        <w:rPr>
          <w:rFonts w:ascii="Times New Roman" w:hAnsi="Times New Roman"/>
          <w:noProof/>
          <w:sz w:val="24"/>
        </w:rPr>
        <w:t>. Този акт беше публикуван в Официален вестник на 14 септември 2017 г. след изтичането на срока за контрол от страна на Европейския парламент и на Съвета.</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9"/>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Решения за еквивалентност</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членове 172, 227 и 260 от Директивата „Платежоспособност ІІ“ решенията за еквивалентност, засягащи юрисдикциите на трети държави, се приемат под формата на делегирани актове.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През юни 2015 г. и ноември 2015 г. Комисията прие два пакета решения за еквивалентност по отношение на 8 юрисдикции. ЕОЗППО предостави на Комисията становище относно еквивалентността на тези трети държави и преди приемането на въпросните делегирани актове беше проведена консултация с Експертната група по банково дело, плащания и застраховане.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Допълнителна информация относно упражняваните правомощия е изложена по-долу.</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9"/>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Други делегирани актове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Отделно Комисията прие и актове за поправка на някои от езиковите версии на делегирания акт</w:t>
      </w:r>
      <w:r>
        <w:rPr>
          <w:rStyle w:val="FootnoteReference"/>
          <w:rFonts w:ascii="Times New Roman" w:hAnsi="Times New Roman"/>
          <w:noProof/>
          <w:sz w:val="24"/>
        </w:rPr>
        <w:footnoteReference w:id="11"/>
      </w:r>
      <w:r>
        <w:rPr>
          <w:rFonts w:ascii="Times New Roman" w:hAnsi="Times New Roman"/>
          <w:noProof/>
          <w:sz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Всичко гореизложено е разгледано по-подробно по-долу с оглед на всяко отделно правомощие, съдържащо се в Директивата „Платежоспособност ІІ“.</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Към днешна дата Комисията не е използвала правомощието да приема делегирани актове във връзка с правните форми на предприятията, описани в приложение III, с изключение на точки 28 и 29 от части А, Б и В от директивата. Комисията не е получавала никакви искания от държавите членки по отношение на този списък.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31</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Правомощието за приемане на делегирани актове във връзка с член 31, параграф 2, които определят за кои ключови аспекти трябва да бъдат оповестени агрегирани статистически данни, а също и съдържанието и датата на публикуване на оповестяването, беше упражнено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изменението на делегирания акт „Платежоспособност II“ относно инфраструктурните проекти от 2015 г. това правомощие беше упражнено за изменяне на разпоредба, съдържаща грешки във формулировката на текста. По подобен начин това правомощие беше упражнено в акта за поправка от 2016 г. на езиковата версия на немски език на делегирания акт „Платежоспособност II“, за да се изменят някои разпоредби с цел коригиране на определени грешки при превода.</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35</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Правомощието за приемане на делегирани актове за определяне на посочената в член 35, параграфи 1 — 4 информация и на сроковете за представяне на тази информация беше упражнено в делегирания акт „Платежоспособност II“ от 2014 г. и в акта за поправка на немската езикова версия от 2016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37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37, параграфи 6 и 7 се предвижда, че Комисията приема делегирани актове за определяне на допълнителните обстоятелства, при които може да бъде наложено изискване за добавяне на капитал, и на допълнителни спецификации за методологиите за изчисляване на добавения капитал. Тези правомощия бяха използвани от Комисията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50</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50, параграф 1 се предвижда, че Комисията приема делегирани актове, допълнително уточняващи:</w:t>
      </w:r>
    </w:p>
    <w:p>
      <w:pPr>
        <w:pStyle w:val="ListParagraph"/>
        <w:numPr>
          <w:ilvl w:val="0"/>
          <w:numId w:val="7"/>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елементите на посочените в членове 41, 44, 46 и 47 системи, по-специално областите, които трябва да бъдат обхванати от управлението на активите и пасивите и инвестиционната политика на застрахователните и презастрахователните предприятия съгласно член 44, параграф 2;</w:t>
      </w:r>
    </w:p>
    <w:p>
      <w:pPr>
        <w:pStyle w:val="ListParagraph"/>
        <w:numPr>
          <w:ilvl w:val="0"/>
          <w:numId w:val="7"/>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функциите, посочени в членове 44, 46, 47 и 48.</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Букви а) и б) бяха включени в делегирания акт „Платежоспособност II“ от 2014 г. и бяха обхванати в акта за поправка на езиковата версия на немски език.</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Буква а) беше включена и в изменението на делегирания акт „Платежоспособност II“ относно инфраструктурните предприятия от 2017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56</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член 56 Комисията е оправомощена да приема делегирани актове, уточняващи допълнително определени въпроси, свързани с отчета за платежоспособността и финансовото състояние, като например информацията, която трябва да бъде оповестена, и сроковете за годишното оповестяване на информацията.</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Разпоредби в този смисъл са заложени в делегирания акт „Платежоспособност II“ от 2014 г. и присъстват и в акта за поправка на езиковата версия на немски език.</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75</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75, параграф 2 е предвидено, че Комисията приема делегирани актове за определяне на методите и допусканията, които да се използват при посочената в параграф 1 от същия член оценка на активите и пасивите. Това правомощие беше използвано в делегирания акт „Платежоспособност II“ от 2014 г. и в изменението на делегирания акт „Платежоспособност II“ относно инфраструктурните проекти от 2015 г., с което се изменят съответните членове с цел коригиране на грешките във формулировката на текста.</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86</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Правомощието за приемане на делегирани актове във връзка с член 86, параграф 1, букви а) — и) във връзка с някои аспекти на член 77, член 77б, член 77в, член 77г, член 80 и член 82 от Директивата „Платежоспособност ІІ“ беше упражнено в делегирания акт „Платежоспособност II“ от 2014 г. Освен това през 2017 г. Комисията прие акт за поправка на езиковата версия на български, хърватски, чешки, естонски, френски, гръцки, литовски, малтийски, румънски, словашки и шведски език на делегирания акт „Платежоспособност II“, с цел коригиране на въпрос, свързан с правомощието по член 86, параграф 1, буква д).</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92</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Правомощието за уточняване на третирането на участията във финансови и кредитни институции във връзка с определяне на собствените средства съгласно член 92, параграф 1а беше упражнено от Комисията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това правомощие чрез изменението на делегирания акт „Платежоспособност II“ относно инфраструктурните проекти от 2015 г. и акта за поправка на немската езикова версия беше прието и изменение за коригиране на несъществена грешка в текста.</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97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 делегирания акт „Платежоспособност II“ от 2014 г. е установен списък на позиции от собствени средства съгласно член 97, параграф 1 от Директивата „Платежоспособност ІІ“. Този въпрос беше обхванат и в акта за поправка на езиковата версия на немски език.</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99</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делегирания акт „Платежоспособност II“ от 2014 г. бяха упражнени правомощията по отношение на допустимостта на собствените средства в съответствие с член 99 от Директивата „Платежоспособност ІІ“.</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109a</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Допълнителните критерии съгласно член 109а, параграф 5 бяха определени от Комисията в делегирания акт „Платежоспособност II“ от 2014 г. Този въпрос беше обхванат и в акта за поправка на езиковата версия на немски език.</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111</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делегирания акт „Платежоспособност II“ от 2014 г. са предприети действия по правомощията във връзка със стандартната формула (член 111, параграф 1, букви а) — е) и букви ж) — р). Както изменението относно инфраструктурните проекти от 2015 г., така и изменението относно инфраструктурните предприятия от 2017 г. на делегирания акт „Платежоспособност II“ се основават на правомощието по член 111, параграф 1, букви б), в) и м).</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допълнение, правните основания за акта за поправка на немската езикова версия бяха член 111, параграф 1, букви а) — в) и член 111, параграф 1, букви  е), з), к), л) и о), докато едно от правните основания на акта за поправка от 2017 г. на различните езикови версии беше член 111, параграф 1, буква в).</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rPr>
      </w:pPr>
      <w:r>
        <w:rPr>
          <w:rFonts w:ascii="Times New Roman" w:hAnsi="Times New Roman"/>
          <w:noProof/>
          <w:sz w:val="24"/>
        </w:rPr>
        <w:t xml:space="preserve">Правомощието по член 111, параграф 1, буква еа) все още не е упражнено. Вследствие на това експозициите към квалифицирани централни контрагенти подлежат на същото капиталово изискване като експозициите към други контрагенти. На 18 юли 2016 г. Комисията отправи покана за издаване на становище до ЕОЗППО с искане за разработване на специфичен подход за експозициите към квалифицирани централни контрагенти. Очаква се становището на ЕОЗППО да бъде представено през февруари 2018 г., въз основа на което Комисията може да реши да упражни правомощието си. </w:t>
      </w:r>
    </w:p>
    <w:p>
      <w:pPr>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Членове 114, 127 и 130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Що се отнася до правомощията във връзка с вътрешните модели (член 114, параграф 1, букви а) и б), оценяването на рисковия профил и на управлението на дейността на предприятията във връзка с употребата на вътрешни модели (член 127) и изчисляването на минималното капиталово изискване (член 130), тези правомощия бяха упражнени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135</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Член 135, параграф 1 предвижда, че Комисията може да определя качествените изисквания по отношение на принципа на „благоразумния инвеститор“. До този момент това правомощие в условна форма не е било използвано, но ако възникне необходимост от определяне на допълнителни правила в тази област, то може да бъде упражнено в бъдеще.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От друга страна, изискванията относно инвестициите с цел секюритизация (член 135, параграф 2, букви а), б) и в) бяха определени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143</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Що се отнася до видовете изключително неблагоприятни ситуации и факторите и критериите, които ЕОЗППО следва да взема предвид, когато декларира наличие на изключително неблагоприятни ситуации, и които надзорните органи следва да отчитат за определянето на удължаването на срока за възстановяване в съответствие с член 138, параграф 4, те бяха постановени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172</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Член 172 от Директивата „Платежоспособност ІІ“ се отнася до еквивалентността на трети държави по отношение на презастраховането. Като част от делегирания акт „Платежоспособност II“ от 2014 г. и в съответствие с член 172, параграф 1 Комисията прие критериите за оценка на това дали режимът на платежоспособност на трета държава, приложим по отношение на презастрахователната дейност, е еквивалентен на правилата в ЕС.</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съответствие с член 172, параграф 2 до момента Комисията е приела две решения за еквивалентност под формата на делегирани актове за Швейцария</w:t>
      </w:r>
      <w:r>
        <w:rPr>
          <w:rStyle w:val="FootnoteReference"/>
          <w:rFonts w:ascii="Times New Roman" w:hAnsi="Times New Roman"/>
          <w:noProof/>
          <w:sz w:val="24"/>
        </w:rPr>
        <w:footnoteReference w:id="12"/>
      </w:r>
      <w:r>
        <w:rPr>
          <w:rFonts w:ascii="Times New Roman" w:hAnsi="Times New Roman"/>
          <w:noProof/>
          <w:sz w:val="24"/>
        </w:rPr>
        <w:t xml:space="preserve"> и Бермудските острови</w:t>
      </w:r>
      <w:r>
        <w:rPr>
          <w:rStyle w:val="FootnoteReference"/>
          <w:rFonts w:ascii="Times New Roman" w:hAnsi="Times New Roman"/>
          <w:noProof/>
          <w:sz w:val="24"/>
        </w:rPr>
        <w:footnoteReference w:id="13"/>
      </w:r>
      <w:r>
        <w:rPr>
          <w:rFonts w:ascii="Times New Roman" w:hAnsi="Times New Roman"/>
          <w:noProof/>
          <w:sz w:val="24"/>
        </w:rPr>
        <w:t xml:space="preserve"> и едно решение за временна еквивалентност за Япония</w:t>
      </w:r>
      <w:r>
        <w:rPr>
          <w:rStyle w:val="FootnoteReference"/>
          <w:rFonts w:ascii="Times New Roman" w:hAnsi="Times New Roman"/>
          <w:noProof/>
          <w:sz w:val="24"/>
        </w:rPr>
        <w:footnoteReference w:id="14"/>
      </w:r>
      <w:r>
        <w:rPr>
          <w:rFonts w:ascii="Times New Roman" w:hAnsi="Times New Roman"/>
          <w:noProof/>
          <w:sz w:val="24"/>
        </w:rPr>
        <w:t xml:space="preserve"> в съответствие с член 172, параграф 4.</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210</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210, параграф 2 се предвижда, че Комисията може да приема делегирани актове във връзка с наблюдаването, управляването и контролирането на рисковете, произтичащи от презастрахователни дейности с ограничено поемане на риск. До този момент това правомощие в условна форма не е било използвано, но ако възникне необходимост от определяне на допълнителни правила в тази област, правомощието може да бъде упражнено в бъдеще.</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211</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211, параграф 2 се посочва, че Комисията приема делегирани актове, определящи критерии за надзорно одобрение на схеми със специална цел за алтернативно прехвърляне на застрахователен риск. Това правомощие бе упражнено в делегирания акт „Платежоспособност II“ от 2014 г. и този въпрос беше обхванат и в акта за поправка на немската езикова версия.</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Членове 216 и 217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съответно членове 216 и 217 Комисията може да приема или приема делегирани актове, определящи обстоятелствата, при които може да бъдат взети решенията по отношение на груповия надзор на ниво под-група на национално ниво или груповия надзор на ниво под-група, обхващаща няколко държави членки, както е предвидено в параграф 1 от всеки от посочените членове. В съответствие с тези правомощия бяха приети части от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227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Член 227 от Директивата „Платежоспособност ІІ“ обхваща еквивалентността по отношение на свързани застрахователни и презастрахователни предприятия от трета държава. Като част от делегирания акт „Платежоспособност II“ от 2014 г. Комисията прие критериите за оценка на това дали режимът на платежоспособност на трета държава е еквивалентен на определения в дял I, глава VI от „Платежоспособност II“, в съответствие с член 227, параграф 3.</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През 2015 г. Комисията първо прие решение за еквивалентност в съответствие с член 227, параграф 4 за Швейцария</w:t>
      </w:r>
      <w:r>
        <w:rPr>
          <w:rStyle w:val="FootnoteReference"/>
          <w:rFonts w:ascii="Times New Roman" w:hAnsi="Times New Roman"/>
          <w:noProof/>
          <w:sz w:val="24"/>
        </w:rPr>
        <w:footnoteReference w:id="15"/>
      </w:r>
      <w:r>
        <w:rPr>
          <w:rFonts w:ascii="Times New Roman" w:hAnsi="Times New Roman"/>
          <w:noProof/>
          <w:sz w:val="24"/>
        </w:rPr>
        <w:t xml:space="preserve"> и решение за временна еквивалентност съгласно член 227, параграф 5 за Австралия, Бермудските острови, Бразилия, Канада, Мексико и Съединените щати</w:t>
      </w:r>
      <w:r>
        <w:rPr>
          <w:rStyle w:val="FootnoteReference"/>
          <w:rFonts w:ascii="Times New Roman" w:hAnsi="Times New Roman"/>
          <w:noProof/>
          <w:sz w:val="24"/>
        </w:rPr>
        <w:footnoteReference w:id="16"/>
      </w:r>
      <w:r>
        <w:rPr>
          <w:rFonts w:ascii="Times New Roman" w:hAnsi="Times New Roman"/>
          <w:noProof/>
          <w:sz w:val="24"/>
        </w:rPr>
        <w:t>. По-късно през същата година беше прието решение за временна еквивалентност за Япония</w:t>
      </w:r>
      <w:r>
        <w:rPr>
          <w:rStyle w:val="FootnoteReference"/>
          <w:rFonts w:ascii="Times New Roman" w:hAnsi="Times New Roman"/>
          <w:noProof/>
          <w:sz w:val="24"/>
        </w:rPr>
        <w:footnoteReference w:id="17"/>
      </w:r>
      <w:r>
        <w:rPr>
          <w:rFonts w:ascii="Times New Roman" w:hAnsi="Times New Roman"/>
          <w:noProof/>
          <w:sz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През 2016 г. решението за временна еквивалентност за Австралия, Бермудските острови, Бразилия, Канада, Мексико и Съединените щати беше изменено чрез решение за еквивалентност за Бермудските острови съгласно член 227, параграф 4</w:t>
      </w:r>
      <w:r>
        <w:rPr>
          <w:rStyle w:val="FootnoteReference"/>
          <w:rFonts w:ascii="Times New Roman" w:hAnsi="Times New Roman"/>
          <w:noProof/>
          <w:sz w:val="24"/>
        </w:rPr>
        <w:footnoteReference w:id="18"/>
      </w:r>
      <w:r>
        <w:rPr>
          <w:rFonts w:ascii="Times New Roman" w:hAnsi="Times New Roman"/>
          <w:noProof/>
          <w:sz w:val="24"/>
        </w:rPr>
        <w:t>. Това отрази влизането в сила на нов режим на платежоспособност и нов пруденциален режим в Бермудските острови по това време.</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Членове 234 и 241</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234 от Директивата „Платежоспособност ІІ“ се предвижда, че Комисията приема делегирани актове, определящи техническите принципи и методи, изложени в членове 220 — 229, както и прилагането на членове 230 — 233, отразяващи икономическото естество на специфични правни структури.</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член 241 от Директивата „Платежоспособност ІІ“ Комисията приема делегирани актове, в които се определят:</w:t>
      </w:r>
    </w:p>
    <w:p>
      <w:pPr>
        <w:pStyle w:val="ListParagraph"/>
        <w:numPr>
          <w:ilvl w:val="0"/>
          <w:numId w:val="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критериите за оценяване на изпълнението на условията по член 236;</w:t>
      </w:r>
    </w:p>
    <w:p>
      <w:pPr>
        <w:pStyle w:val="ListParagraph"/>
        <w:numPr>
          <w:ilvl w:val="0"/>
          <w:numId w:val="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критериите за оценяване коя ситуация следва да се счита за неотложна съгласно член 239, параграф 2;</w:t>
      </w:r>
    </w:p>
    <w:p>
      <w:pPr>
        <w:pStyle w:val="ListParagraph"/>
        <w:numPr>
          <w:ilvl w:val="0"/>
          <w:numId w:val="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процедурите, които се прилагат от надзорните органи, когато обменят информация, упражняват правомощията си и изпълняват своите задължения в съответствие с членове 237 — 240.</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И двете правомощия бяха упражнени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244</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Що се отнася до дефинирането на значителната концентрация на риск за целите на член 244, параграфи 2 и 3, това беше установено в делегирания акт „Платежоспособност II“ от 2014 г. Въпросът беше обхванат и в акта за поправка на езиковата версия на немски език.</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245</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Член 245, параграф 4 предвижда, че Комисията приема делегирани актове по отношение на дефинирането на значителни сделки в рамките на групата за целите на параграфи 2 и 3 от същия член. Това беше направено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247</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член 247 се предвижда, че в случай че възникнат значителни трудности при прилагането на критериите, посочени в параграфи 2 и 3 по отношение на определянето на органа за групов надзор, Комисията приема делегирани актове, уточняващи тези критерии допълнително. До този момент не са възникнали такива значителни трудности и поради това правомощието не е било упражнявано.</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248</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 съответствие с член 248, параграф 8 от делегирания акт „Платежоспособност II“ от 2014 г. Комисията установи определението на „значим клон“.</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256</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Съгласно член 256, параграф 4 Комисията приема делегирани актове, уточняващи допълнително информацията, която трябва да бъде оповестена, и сроковете за годишното оповестяване на информацията по отношение на индивидуалния отчет за платежоспособността и финансовото състояние, както и отчета за платежоспособността и финансовото състояние на равнището на групата. Това правомощие беше упражнено в делегирания акт „Платежоспособност II“ от 2014 г.</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258</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До този момент Комисията все още не е приела делегиран акт въз основа на условното правомощие в член 258, параграф 3, но при необходимост то може да бъде упражнено в бъдеще.</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260</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Критериите за оценка на това дали пруденциалният режим за групов надзор в трета държава е еквивалентен на този, предвиден в дял III, бяха определени в делегирания акт „Платежоспособност II“ от 2014 г. в съответствие с член 260, параграф 2.</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Освен това Комисията прие две решения за еквивалентност съгласно член 260, параграф 3: по отношение на Бермудските острови</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19"/>
      </w:r>
      <w:r>
        <w:rPr>
          <w:rFonts w:ascii="Times New Roman" w:hAnsi="Times New Roman"/>
          <w:noProof/>
          <w:sz w:val="24"/>
        </w:rPr>
        <w:t xml:space="preserve"> и на Швейцария</w:t>
      </w:r>
      <w:r>
        <w:rPr>
          <w:rStyle w:val="FootnoteReference"/>
          <w:rFonts w:ascii="Times New Roman" w:hAnsi="Times New Roman"/>
          <w:noProof/>
          <w:sz w:val="24"/>
        </w:rPr>
        <w:footnoteReference w:id="20"/>
      </w:r>
      <w:r>
        <w:rPr>
          <w:rFonts w:ascii="Times New Roman" w:hAnsi="Times New Roman"/>
          <w:noProof/>
          <w:sz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Към днешна дата няма приети решения за временна еквивалентност съгласно член 260, параграф 5.</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Член 308б</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По отношение на преходните мерки, предвидени в член 308б, параграф 13, критериите, които трябва да бъдат спазени, включително акциите, за които може да се прилага преходният период, бяха определени в делегирания акт „Платежоспособност II“ от 2014 г. и бяха изменени с изменението на делегирания акт относно инфраструктурните проекти от 2015 г.</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Досега не са били упражнявани две допълнителни правомощия по член 308б, параграфи 15 и 17.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Първото правомощие (член 308б, параграф 15) се отнася до възможността Комисията да приема делегирани актове, които изменят преходния период, предвиден в посочения параграф, по отношение на дейността по професионално пенсионно осигуряване на застрахователните предприятия, в случай че са приети изменения на членове 17 — 17в от Директива 2003/41/ЕО (ИППО)</w:t>
      </w:r>
      <w:r>
        <w:rPr>
          <w:rStyle w:val="FootnoteReference"/>
          <w:rFonts w:ascii="Times New Roman" w:hAnsi="Times New Roman"/>
          <w:noProof/>
          <w:sz w:val="24"/>
        </w:rPr>
        <w:footnoteReference w:id="21"/>
      </w:r>
      <w:r>
        <w:rPr>
          <w:rFonts w:ascii="Times New Roman" w:hAnsi="Times New Roman"/>
          <w:noProof/>
          <w:sz w:val="24"/>
        </w:rPr>
        <w:t>. Тъй като към момента няма приети такива изменения, правомощието не е било използвано досега.</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Втората разпоредба (член 308б, параграф 17) се отнася до делегирани актове за определяне на промените в груповата платежоспособност, когато са приложими преходните разпоредби, посочени в член 308б, параграф 13. Преходната разпоредба се прилага на равнището на групата по същия начин, както за отделно застрахователно или презастрахователно предприятие, и до този момент не са възникнали никакви практически затруднения с нейното прилагане, които биха наложили допълнително уточняване. Ако възникне необходимост, правомощието може да бъде приложено в бъдеще.</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2"/>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b/>
          <w:noProof/>
          <w:sz w:val="24"/>
        </w:rPr>
        <w:t>Заключение</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Комисията е упражнила своите делегирани правомощия своевременно и правилно, за да се гарантира, че са приети необходимите делегирани актове, които да позволяват на застрахователните и презастрахователните предприятия и националните надзорни органи да прилагат правилата на датата, на която Директивата „Платежоспособност ІІ“ стана изцяло приложима. Внесените оттогава целенасочени изменения гарантират, че пруденциалната рамка е подходящо калибрирана, за да позволи на застрахователните предприятия да допринасят за съюза на капиталовите пазари като дългосрочни инвеститори.</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Комисията счита, че в бъдеще всички делегирани правомощия следва да бъдат запазени, наред с другото, понеже продължава подготвителната работа за привеждането на делегирания акт „Платежоспособност II“</w:t>
      </w:r>
      <w:r>
        <w:rPr>
          <w:rStyle w:val="FootnoteReference"/>
          <w:rFonts w:ascii="Times New Roman" w:hAnsi="Times New Roman"/>
          <w:noProof/>
          <w:sz w:val="24"/>
        </w:rPr>
        <w:footnoteReference w:id="22"/>
      </w:r>
      <w:r>
        <w:rPr>
          <w:rFonts w:ascii="Times New Roman" w:hAnsi="Times New Roman"/>
          <w:noProof/>
          <w:sz w:val="24"/>
        </w:rPr>
        <w:t xml:space="preserve"> в съответствие с Регламента за опростени, прозрачни и стандартизирани секюритизации</w:t>
      </w:r>
      <w:r>
        <w:rPr>
          <w:rStyle w:val="FootnoteReference"/>
          <w:rFonts w:ascii="Times New Roman" w:hAnsi="Times New Roman"/>
          <w:noProof/>
          <w:sz w:val="24"/>
        </w:rPr>
        <w:footnoteReference w:id="23"/>
      </w:r>
      <w:r>
        <w:rPr>
          <w:rFonts w:ascii="Times New Roman" w:hAnsi="Times New Roman"/>
          <w:noProof/>
          <w:sz w:val="24"/>
        </w:rPr>
        <w:t xml:space="preserve"> и изменението на Регламента за капиталовите изисквания</w:t>
      </w:r>
      <w:r>
        <w:rPr>
          <w:rStyle w:val="FootnoteReference"/>
          <w:rFonts w:ascii="Times New Roman" w:hAnsi="Times New Roman"/>
          <w:noProof/>
          <w:sz w:val="24"/>
        </w:rPr>
        <w:footnoteReference w:id="24"/>
      </w:r>
      <w:r>
        <w:rPr>
          <w:rFonts w:ascii="Times New Roman" w:hAnsi="Times New Roman"/>
          <w:noProof/>
          <w:sz w:val="24"/>
        </w:rPr>
        <w:t>; Комисията поиска и техническо становище от ЕОЗППО относно прегледа на специфични елементи в делегирания акт „Платежоспособност II“</w:t>
      </w:r>
      <w:r>
        <w:rPr>
          <w:rStyle w:val="FootnoteReference"/>
          <w:rFonts w:ascii="Times New Roman" w:hAnsi="Times New Roman"/>
          <w:noProof/>
          <w:sz w:val="24"/>
        </w:rPr>
        <w:footnoteReference w:id="25"/>
      </w:r>
      <w:r>
        <w:rPr>
          <w:rFonts w:ascii="Times New Roman" w:hAnsi="Times New Roman"/>
          <w:noProof/>
          <w:sz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Комисията приканва Европейския парламент и Съвета да вземат под внимание настоящия доклад.</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7790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ОВ L 335, 17.12.2009 г., стр. 1.</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2011/89/ЕС на Европейския парламент и на Съвета от 16 ноември 2011 г. за изменение на директиви 98/78/ЕО, 2002/87/ЕО, 2006/48/ЕО и 2009/138/ЕО по отношение на допълнителния надзор върху финансовите предприятия във финансов конгломерат, ОВ L 326, 8.12.2011 г., стр. 113.</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2013/58/ЕС на Европейския парламент и на Съвета от 11 декември 2013 г. за изменение на Директива 2009/138/ЕО (Платежоспособност II) по отношение на срока за нейното транспониране, срока за нейното прилагане и датата на отмяна на някои директиви (Платежоспособност I), ОВ L 341, 18.12.2013 г., стр. 1.</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2013/23/ЕC на Съвета от 13 май 2013 г. за адаптиране на някои директиви в областта на финансовите услуги поради присъединяването на Република Хърватия, OB L 158, 10.6.2013 г., стр. 362.</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2013/58/ЕС на Европейския парламент и на Съвета от 11 декември 2013 г. за изменение на Директива 2009/138/ЕО (Платежоспособност II) по отношение на срока за нейното транспониране, срока за нейното прилагане и датата на отмяна на някои директиви (Платежоспособност I), ОВ L 341, 18.12.2013 г., стр. 1.</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2014/51/ЕC на Европейския парламент и на Съвета от 16 април 2014 г. за изменение на Директива 2003/71/ЕО, Директива 2009/138/ЕО, Регламент (ЕО) № 1060/2009, Регламент (ЕО) № 1094/2010 и Регламент (ЕО) № 1095/2010 във връзка с правомощията на Европейския надзорен орган (Европейския орган за застраховане и професионално пенсионно осигуряване) и на Европейския надзорен орган (Европейския орган за ценни книжа и пазари), ОВ L 153, 22.5.2014 г., стр. 1.</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2015/35 на Комисията от 10 октомври 2014 г. за допълнение на Директива 2009/138/ЕО на Европейския парламент и на Съвета относно започването и упражняването на застрахователна и презастрахователна дейност (Платежоспособност II), ОВ L 12, 17.1.2015 г., стр. 1.</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За допълнителни разяснения вж. обяснителния меморандум към делегирания акт „Платежоспособност II“, който можете да намерите тук: </w:t>
      </w:r>
      <w:hyperlink r:id="rId1">
        <w:r>
          <w:rPr>
            <w:rStyle w:val="Hyperlink"/>
            <w:rFonts w:ascii="Times New Roman" w:hAnsi="Times New Roman"/>
          </w:rPr>
          <w:t>http://ec.europa.eu/transparency/regdoc/rep/3/2014/EN/3-2014-7230-EN-F1-1.Pdf</w:t>
        </w:r>
      </w:hyperlink>
      <w:r>
        <w:rPr>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2016/467 на Комисията от 30 септември 2015 г.за изменение на Делегиран регламент (ЕС) 2015/35 по отношение на изчислението на регулаторните капиталови изисквания за някои категории активи, притежавани от застрахователни и презастрахователни предприятия, ОВ L 85, 1.4.2016 г., стр. 6.</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 регламент (ЕС) 2017/1542 на Комисията от 8 юни 2017 г. за изменение на Делегиран регламент (ЕС) 2015/35 по отношение на изчислението на регулаторните капиталови изисквания за някои категории активи, притежавани от застрахователни и презастрахователни предприятия (инфраструктурни предприятия), ОВ L 236, 14.9.2017 г., стр. 14.</w:t>
      </w:r>
    </w:p>
  </w:footnote>
  <w:footnote w:id="11">
    <w:p>
      <w:pPr>
        <w:autoSpaceDE w:val="0"/>
        <w:autoSpaceDN w:val="0"/>
        <w:adjustRightInd w:val="0"/>
        <w:spacing w:after="0" w:line="240" w:lineRule="auto"/>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Делегиран регламент (ЕС) 2016/2283 на Комисията от 22 август 2016 г. за поправка на немската езикова версия на Делегиран регламент (ЕС) 2015/35 за допълнение на Директива 2009/138/ЕО на Европейския парламент и на Съвета относно започването и упражняването на застрахователна и презастрахователна дейност (Платежоспособност II), ОВ L 346, 20.12.2016 г., стр. 111–112 (BG, ES, CS, DA, ET, EL, EN, FR, HR, IT, LV, LT, HU, MT, NL, PL, PT, RO, SK, SL, FI, SV) и ОВ L 346, 20.12.2016 г., стр. 111–125 (DE), и Делегиран регламент (ЕС) 2017/669 на Комисията от 16 декември 2016 г. за поправка на текста на български, гръцки, естонски, литовски, малтийски, румънски, словашки, френски, хърватски, чешки и шведски език на Делегиран регламент (ЕС) 2015/35 за допълнение на Директива 2009/138/ЕО на Европейския парламент и на Съвета относно започването и упражняването на застрахователна и презастрахователна дейност (Платежоспособност II), ОВ L 97, 8.4.2017 г., стр. 3.</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Делегирано решение (ЕС) 2015/1602 на Комисията от 5 юни 2015 г. относно еквивалентността на действащия в Швейцария режим на платежоспособност и пруденциалност за застрахователните и презастрахователните предприятия въз основа на член 172, параграф 2, член 227, параграф 4 и член 260, параграф 3 от Директива 2009/138/ЕО на Европейския парламент и на Съвета, ОВ L 248, 24.9.2015 г., стр. 95.</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Делегирано решение (ЕС) 2016/309 на Комисията от 26 ноември 2015 г. относно еквивалентността на действащия в Бермуда надзорен режим за застрахователните и презастрахователните дружества с този, предвиден в Директива 2009/138/ЕО на Европейския парламент и на Съвета, и за изменение на Делегирано решение (ЕС) 2015/2290 на Комисията, ОВ L 58, 4.3.2016 г., стр. 50.</w:t>
      </w:r>
    </w:p>
  </w:footnote>
  <w:footnote w:id="14">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Делегирано решение (ЕС) 2016/310 на Комисията от 26 ноември 2015 г. относно еквивалентността на действащия в Япония режим на платежоспособност за застрахователните и презастрахователните дружества с този, предвиден в Директива 2009/138/ЕО на Европейския парламент и на Съвета, ОВ L 58, 4.3.2016 г., стр. 55.</w:t>
      </w:r>
    </w:p>
  </w:footnote>
  <w:footnote w:id="15">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Вж. бележка под линия 15.</w:t>
      </w:r>
    </w:p>
  </w:footnote>
  <w:footnote w:id="16">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Делегирано решение (ЕС) 2015/2290 на Комисията от 12 юни 2015 г. относно временната еквивалентност на режимите за платежоспособност, действащи в Австралия, Бермуда, Бразилия, Канада, Мексико и Съединените щати, която е приложима към застрахователни и презастрахователни предприятия с централни управления в тези държави, ОВ L 323, 9.12.2015 г., стр. 22, изменено с Делегирано решение (ЕС) 2016/309 на Комисията.</w:t>
      </w:r>
    </w:p>
  </w:footnote>
  <w:footnote w:id="17">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Вж. бележка под линия 17.</w:t>
      </w:r>
    </w:p>
  </w:footnote>
  <w:footnote w:id="18">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Вж. бележка под линия 16.</w:t>
      </w:r>
    </w:p>
  </w:footnote>
  <w:footnote w:id="19">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Вж. бележка под линия 16.</w:t>
      </w:r>
    </w:p>
  </w:footnote>
  <w:footnote w:id="20">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Вж. бележка под линия 15.</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Директива 2003/41/ЕО на Европейския парламент и на Съвета от 3 юни 2003 г. относно дейностите и надзора на институциите за професионално пенсионно осигуряване, ОВ L 235, 23.9.2003 г., стр. 10.</w:t>
      </w:r>
    </w:p>
  </w:footnote>
  <w:footnote w:id="2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Предложение за РЕГЛАМЕНТ НА ЕВРОПЕЙСКИЯ ПАРЛАМЕНТ И НА СЪВЕТА за определяне на общите правила за секюритизациите и въвеждане на европейска нормативна уредба на опростени, прозрачни и стандартизирани секюритизации, а също така и за изменение на директиви 2009/65/ЕО, 2009/138/ЕО, 2011/61/ЕС и регламенти (ЕО) № 1060/2009 и (ЕС) № 648/2012, COM/2015/0472 final – 2015/0226 (COD), на разположение на адрес: </w:t>
      </w:r>
      <w:hyperlink r:id="rId2">
        <w:r>
          <w:rPr>
            <w:rStyle w:val="Hyperlink"/>
            <w:rFonts w:ascii="Times New Roman" w:hAnsi="Times New Roman"/>
          </w:rPr>
          <w:t>http://eur-lex.europa.eu/legal-content/BG/TXT/?uri=CELEX:52015PC0472</w:t>
        </w:r>
      </w:hyperlink>
      <w:r>
        <w:rPr>
          <w:rFonts w:ascii="Times New Roman" w:hAnsi="Times New Roman"/>
        </w:rPr>
        <w:t xml:space="preserve"> </w:t>
      </w:r>
    </w:p>
  </w:footnote>
  <w:footnote w:id="2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(2015) 472 final, все още непубликуван в ОВ.</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(2015) 473 final, все още непубликуван в ОВ. </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ИСКАНЕ ДО ЕОЗППО НА ТЕХНИЧЕСКО СТАНОВИЩЕ ОТНОСНО ПРЕГЛЕДА НА СПЕЦИФИЧНИ ЕЛЕМЕНТИ В ДЕЛЕГИРАНИЯ РЕГЛАМЕНТ „ПЛАТЕЖОСПОСОБНОСТ ІІ“(Регламент (ЕС) 2015/35), на разположение на адрес: </w:t>
      </w:r>
      <w:hyperlink r:id="rId3">
        <w:r>
          <w:rPr>
            <w:rStyle w:val="Hyperlink"/>
            <w:rFonts w:ascii="Times New Roman" w:hAnsi="Times New Roman"/>
          </w:rPr>
          <w:t>https://ec.europa.eu/info/sites/info/files/eiopa-call-for-advice-18072016_en.pdf</w:t>
        </w:r>
      </w:hyperlink>
      <w:r>
        <w:rPr>
          <w:rFonts w:ascii="Times New Roman" w:hAnsi="Times New Roman"/>
        </w:rPr>
        <w:t xml:space="preserve"> и</w:t>
      </w:r>
    </w:p>
    <w:p>
      <w:pPr>
        <w:pStyle w:val="FootnoteText"/>
        <w:jc w:val="both"/>
        <w:rPr>
          <w:rFonts w:ascii="Times New Roman" w:hAnsi="Times New Roman" w:cs="Times New Roman"/>
        </w:rPr>
      </w:pPr>
      <w:r>
        <w:rPr>
          <w:rFonts w:ascii="Times New Roman" w:hAnsi="Times New Roman"/>
        </w:rPr>
        <w:t>ИСКАНЕ ДО ЕОЗППО НА ТЕХНИЧЕСКО СТАНОВИЩЕ ОТНОСНО ПРЕГЛЕДА НА СПЕЦИФИЧНИ ЕЛЕМЕНТИ В ДЕЛЕГИРАНИЯ РЕГЛАМЕНТ „ПЛАТЕЖОСПОСОБНОСТ ІІ“ ПО ОТНОШЕНИЕ НА НЕОПРАВДАНИ ОГРАНИЧЕНИЯ ЗА ФИНАНСИРАНЕ (Регламент (ЕС) 2015/35), на разположение на адрес: https://ec.europa.eu/info/sites/info/files/eiopa-call-for-advice-22022017_en.pdf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14729F80"/>
    <w:lvl w:ilvl="0">
      <w:start w:val="1"/>
      <w:numFmt w:val="bullet"/>
      <w:lvlText w:val=""/>
      <w:lvlJc w:val="left"/>
      <w:pPr>
        <w:tabs>
          <w:tab w:val="num" w:pos="284"/>
        </w:tabs>
        <w:ind w:left="284" w:hanging="284"/>
      </w:pPr>
      <w:rPr>
        <w:rFonts w:ascii="Symbol" w:hAnsi="Symbol"/>
        <w:b w:val="0"/>
        <w:i w:val="0"/>
        <w:color w:val="00000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772386"/>
    <w:multiLevelType w:val="hybridMultilevel"/>
    <w:tmpl w:val="2A74F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6C012D"/>
    <w:multiLevelType w:val="hybridMultilevel"/>
    <w:tmpl w:val="1DCECF80"/>
    <w:lvl w:ilvl="0" w:tplc="56381BF6">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BD830EA"/>
    <w:multiLevelType w:val="hybridMultilevel"/>
    <w:tmpl w:val="7688A4EA"/>
    <w:lvl w:ilvl="0" w:tplc="9488B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3339BB"/>
    <w:multiLevelType w:val="hybridMultilevel"/>
    <w:tmpl w:val="6888B91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7F7095"/>
    <w:multiLevelType w:val="hybridMultilevel"/>
    <w:tmpl w:val="7ED06D0C"/>
    <w:lvl w:ilvl="0" w:tplc="56381BF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A57348"/>
    <w:multiLevelType w:val="hybridMultilevel"/>
    <w:tmpl w:val="AC108102"/>
    <w:lvl w:ilvl="0" w:tplc="9488BC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EFD35A9"/>
    <w:multiLevelType w:val="hybridMultilevel"/>
    <w:tmpl w:val="603A0D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0A11E3"/>
    <w:multiLevelType w:val="hybridMultilevel"/>
    <w:tmpl w:val="B6D47D5A"/>
    <w:lvl w:ilvl="0" w:tplc="9488BC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CE65FA6"/>
    <w:multiLevelType w:val="hybridMultilevel"/>
    <w:tmpl w:val="82D6AC50"/>
    <w:lvl w:ilvl="0" w:tplc="9488BC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171309"/>
    <w:multiLevelType w:val="hybridMultilevel"/>
    <w:tmpl w:val="CC00C10E"/>
    <w:lvl w:ilvl="0" w:tplc="9488B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D359DF"/>
    <w:multiLevelType w:val="hybridMultilevel"/>
    <w:tmpl w:val="9182A2CE"/>
    <w:lvl w:ilvl="0" w:tplc="9488BC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F477C80"/>
    <w:multiLevelType w:val="hybridMultilevel"/>
    <w:tmpl w:val="4188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DB5224"/>
    <w:multiLevelType w:val="hybridMultilevel"/>
    <w:tmpl w:val="21FE550C"/>
    <w:lvl w:ilvl="0" w:tplc="56381BF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5386F"/>
    <w:multiLevelType w:val="hybridMultilevel"/>
    <w:tmpl w:val="85A24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4"/>
  </w:num>
  <w:num w:numId="5">
    <w:abstractNumId w:val="13"/>
  </w:num>
  <w:num w:numId="6">
    <w:abstractNumId w:val="10"/>
  </w:num>
  <w:num w:numId="7">
    <w:abstractNumId w:val="5"/>
  </w:num>
  <w:num w:numId="8">
    <w:abstractNumId w:val="3"/>
  </w:num>
  <w:num w:numId="9">
    <w:abstractNumId w:val="2"/>
  </w:num>
  <w:num w:numId="10">
    <w:abstractNumId w:val="11"/>
  </w:num>
  <w:num w:numId="11">
    <w:abstractNumId w:val="9"/>
  </w:num>
  <w:num w:numId="12">
    <w:abstractNumId w:val="6"/>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9AA68FC-7AE8-482A-8D8E-904C87F9E110"/>
    <w:docVar w:name="LW_COVERPAGE_TYPE" w:val="1"/>
    <w:docVar w:name="LW_CROSSREFERENCE" w:val="&lt;UNUSED&gt;"/>
    <w:docVar w:name="LW_DocType" w:val="NORMAL"/>
    <w:docVar w:name="LW_EMISSION" w:val="7.12.2017"/>
    <w:docVar w:name="LW_EMISSION_ISODATE" w:val="2017-12-07"/>
    <w:docVar w:name="LW_EMISSION_LOCATION" w:val="BRX"/>
    <w:docVar w:name="LW_EMISSION_PREFIX" w:val="Брюксел, "/>
    <w:docVar w:name="LW_EMISSION_SUFFIX" w:val="\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7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1086?\u1090?\u1085?\u1086?\u1089?\u1085?\u1086? \u1091?\u1087?\u1088?\u1072?\u1078?\u1085?\u1103?\u1074?\u1072?\u1085?\u1077?\u1090?\u1086? \u1085?\u1072? \u1087?\u1088?\u1072?\u1074?\u1086?\u1084?\u1086?\u1097?\u1080?\u1077?\u1090?\u1086? \u1079?\u1072? \u1087?\u1088?\u1080?\u1077?\u1084?\u1072?\u1085?\u1077? \u1085?\u1072? \u1076?\u1077?\u1083?\u1077?\u1075?\u1080?\u1088?\u1072?\u1085?\u1080? \u1072?\u1082?\u1090?\u1086?\u1074?\u1077?, \u1087?\u1088?\u1077?\u1076?\u1086?\u1089?\u1090?\u1072?\u1074?\u1077?\u1085?\u1086? \u1085?\u1072? \u1050?\u1086?\u1084?\u1080?\u1089?\u1080?\u1103?\u1090?\u1072? \u1087?\u1086? \u1089?\u1080?\u1083?\u1072?\u1090?\u1072? \u1085?\u1072? \u1044?\u1080?\u1088?\u1077?\u1082?\u1090?\u1080?\u1074?\u1072? 2009/138/EO \u1085?\u1072? \u1045?\u1074?\u1088?\u1086?\u1087?\u1077?\u1081?\u1089?\u1082?\u1080?\u1103? \u1087?\u1072?\u1088?\u1083?\u1072?\u1084?\u1077?\u1085?\u1090? \u1080? \u1085?\u1072? \u1057?\u1098?\u1074?\u1077?\u1090?\u1072? \u1086?\u1090? 25 \u1085?\u1086?\u1077?\u1084?\u1074?\u1088?\u1080? 2009 \u1075?. \u1086?\u1090?\u1085?\u1086?\u1089?\u1085?\u1086? \u1079?\u1072?\u1087?\u1086?\u1095?\u1074?\u1072?\u1085?\u1077?\u1090?\u1086? \u1080? \u1091?\u1087?\u1088?\u1072?\u1078?\u1085?\u1103?\u1074?\u1072?\u1085?\u1077?\u1090?\u1086? \u1085?\u1072? \u1079?\u1072?\u1089?\u1090?\u1088?\u1072?\u1093?\u1086?\u1074?\u1072?\u1090?\u1077?\u1083?\u1085?\u1072? \u1080? \u1087?\u1088?\u1077?\u1079?\u1072?\u1089?\u1090?\u1088?\u1072?\u1093?\u1086?\u1074?\u1072?\u1090?\u1077?\u1083?\u1085?\u1072? \u1076?\u1077?\u1081?\u1085?\u1086?\u1089?\u1090? (\u1055?\u1083?\u1072?\u1090?\u1077?\u1078?\u1086?\u1089?\u1087?\u1086?\u1089?\u1086?\u1073?\u1085?\u1086?\u1089?\u1090? II)"/>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customStyle="1" w:styleId="Briefinglist1">
    <w:name w:val="Briefing list 1"/>
    <w:basedOn w:val="Normal"/>
    <w:pPr>
      <w:keepLines/>
      <w:suppressAutoHyphens/>
      <w:spacing w:after="120" w:line="240" w:lineRule="auto"/>
      <w:jc w:val="both"/>
    </w:pPr>
    <w:rPr>
      <w:rFonts w:ascii="Arial" w:eastAsia="Times New Roman" w:hAnsi="Arial" w:cs="Arial"/>
      <w:szCs w:val="24"/>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customStyle="1" w:styleId="Briefinglist1">
    <w:name w:val="Briefing list 1"/>
    <w:basedOn w:val="Normal"/>
    <w:pPr>
      <w:keepLines/>
      <w:suppressAutoHyphens/>
      <w:spacing w:after="120" w:line="240" w:lineRule="auto"/>
      <w:jc w:val="both"/>
    </w:pPr>
    <w:rPr>
      <w:rFonts w:ascii="Arial" w:eastAsia="Times New Roman" w:hAnsi="Arial" w:cs="Arial"/>
      <w:szCs w:val="24"/>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807">
      <w:bodyDiv w:val="1"/>
      <w:marLeft w:val="0"/>
      <w:marRight w:val="0"/>
      <w:marTop w:val="0"/>
      <w:marBottom w:val="0"/>
      <w:divBdr>
        <w:top w:val="none" w:sz="0" w:space="0" w:color="auto"/>
        <w:left w:val="none" w:sz="0" w:space="0" w:color="auto"/>
        <w:bottom w:val="none" w:sz="0" w:space="0" w:color="auto"/>
        <w:right w:val="none" w:sz="0" w:space="0" w:color="auto"/>
      </w:divBdr>
      <w:divsChild>
        <w:div w:id="746341127">
          <w:marLeft w:val="0"/>
          <w:marRight w:val="0"/>
          <w:marTop w:val="0"/>
          <w:marBottom w:val="0"/>
          <w:divBdr>
            <w:top w:val="none" w:sz="0" w:space="0" w:color="auto"/>
            <w:left w:val="none" w:sz="0" w:space="0" w:color="auto"/>
            <w:bottom w:val="none" w:sz="0" w:space="0" w:color="auto"/>
            <w:right w:val="none" w:sz="0" w:space="0" w:color="auto"/>
          </w:divBdr>
          <w:divsChild>
            <w:div w:id="1413772841">
              <w:marLeft w:val="0"/>
              <w:marRight w:val="0"/>
              <w:marTop w:val="0"/>
              <w:marBottom w:val="0"/>
              <w:divBdr>
                <w:top w:val="none" w:sz="0" w:space="0" w:color="auto"/>
                <w:left w:val="none" w:sz="0" w:space="0" w:color="auto"/>
                <w:bottom w:val="none" w:sz="0" w:space="0" w:color="auto"/>
                <w:right w:val="none" w:sz="0" w:space="0" w:color="auto"/>
              </w:divBdr>
              <w:divsChild>
                <w:div w:id="2086219635">
                  <w:marLeft w:val="0"/>
                  <w:marRight w:val="0"/>
                  <w:marTop w:val="0"/>
                  <w:marBottom w:val="0"/>
                  <w:divBdr>
                    <w:top w:val="none" w:sz="0" w:space="0" w:color="auto"/>
                    <w:left w:val="none" w:sz="0" w:space="0" w:color="auto"/>
                    <w:bottom w:val="none" w:sz="0" w:space="0" w:color="auto"/>
                    <w:right w:val="none" w:sz="0" w:space="0" w:color="auto"/>
                  </w:divBdr>
                  <w:divsChild>
                    <w:div w:id="1812626684">
                      <w:marLeft w:val="1"/>
                      <w:marRight w:val="1"/>
                      <w:marTop w:val="0"/>
                      <w:marBottom w:val="0"/>
                      <w:divBdr>
                        <w:top w:val="none" w:sz="0" w:space="0" w:color="auto"/>
                        <w:left w:val="none" w:sz="0" w:space="0" w:color="auto"/>
                        <w:bottom w:val="none" w:sz="0" w:space="0" w:color="auto"/>
                        <w:right w:val="none" w:sz="0" w:space="0" w:color="auto"/>
                      </w:divBdr>
                      <w:divsChild>
                        <w:div w:id="46688836">
                          <w:marLeft w:val="0"/>
                          <w:marRight w:val="0"/>
                          <w:marTop w:val="0"/>
                          <w:marBottom w:val="0"/>
                          <w:divBdr>
                            <w:top w:val="none" w:sz="0" w:space="0" w:color="auto"/>
                            <w:left w:val="none" w:sz="0" w:space="0" w:color="auto"/>
                            <w:bottom w:val="none" w:sz="0" w:space="0" w:color="auto"/>
                            <w:right w:val="none" w:sz="0" w:space="0" w:color="auto"/>
                          </w:divBdr>
                          <w:divsChild>
                            <w:div w:id="1278565749">
                              <w:marLeft w:val="0"/>
                              <w:marRight w:val="0"/>
                              <w:marTop w:val="0"/>
                              <w:marBottom w:val="360"/>
                              <w:divBdr>
                                <w:top w:val="none" w:sz="0" w:space="0" w:color="auto"/>
                                <w:left w:val="none" w:sz="0" w:space="0" w:color="auto"/>
                                <w:bottom w:val="none" w:sz="0" w:space="0" w:color="auto"/>
                                <w:right w:val="none" w:sz="0" w:space="0" w:color="auto"/>
                              </w:divBdr>
                              <w:divsChild>
                                <w:div w:id="673842565">
                                  <w:marLeft w:val="0"/>
                                  <w:marRight w:val="0"/>
                                  <w:marTop w:val="0"/>
                                  <w:marBottom w:val="0"/>
                                  <w:divBdr>
                                    <w:top w:val="none" w:sz="0" w:space="0" w:color="auto"/>
                                    <w:left w:val="none" w:sz="0" w:space="0" w:color="auto"/>
                                    <w:bottom w:val="none" w:sz="0" w:space="0" w:color="auto"/>
                                    <w:right w:val="none" w:sz="0" w:space="0" w:color="auto"/>
                                  </w:divBdr>
                                  <w:divsChild>
                                    <w:div w:id="9751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eiopa-call-for-advice-18072016_en.pdf" TargetMode="External"/><Relationship Id="rId2" Type="http://schemas.openxmlformats.org/officeDocument/2006/relationships/hyperlink" Target="http://eur-lex.europa.eu/legal-content/BG/TXT/?uri=CELEX:52015PC0472" TargetMode="External"/><Relationship Id="rId1" Type="http://schemas.openxmlformats.org/officeDocument/2006/relationships/hyperlink" Target="http://ec.europa.eu/transparency/regdoc/rep/3/2014/EN/3-2014-7230-EN-F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0ADB-36CB-427C-9DCF-FEA67E7D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3417</Words>
  <Characters>19449</Characters>
  <Application>Microsoft Office Word</Application>
  <DocSecurity>0</DocSecurity>
  <Lines>486</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2017-08-10T13:09:00Z</cp:lastPrinted>
  <dcterms:created xsi:type="dcterms:W3CDTF">2017-11-24T10:56:00Z</dcterms:created>
  <dcterms:modified xsi:type="dcterms:W3CDTF">2017-11-30T12:35:00Z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