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80C5A6-5844-4026-88CC-EE053E646897" style="width:450.35pt;height:320.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agedecouverture"/>
        <w:numPr>
          <w:ilvl w:val="0"/>
          <w:numId w:val="43"/>
        </w:numPr>
        <w:spacing w:line="276" w:lineRule="auto"/>
        <w:rPr>
          <w:rFonts w:eastAsia="Times New Roman"/>
          <w:b/>
          <w:noProof/>
          <w:szCs w:val="24"/>
          <w:u w:val="single"/>
        </w:rPr>
      </w:pPr>
      <w:bookmarkStart w:id="1" w:name="_GoBack"/>
      <w:bookmarkEnd w:id="1"/>
      <w:r>
        <w:rPr>
          <w:b/>
          <w:noProof/>
          <w:u w:val="single"/>
        </w:rPr>
        <w:lastRenderedPageBreak/>
        <w:t>ВЪВЕДЕНИЕ</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Вече изминаха почти шестнадесет години откакто първите евробанкноти и евромонети станаха част от нашето ежедневие. Днес еврото се използва ежедневно от 340 милиона европейски граждани в 19 държави членки от еврозоната. То е втората най-често използвана валута в света. Шестдесет други държави и територии по света, в които живеят 175 млн. души, са избрали еврото за своя валута или са решили да фиксират курса на своята валута към него.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Финансовата и икономическа криза, която засегна Европа през 2008 г., последиците от която се усещат и до днес, не започна в еврозоната, но извади наяве някои от нейните институционални слабости. В отговор на непосредствените предизвикателства спешно бяха приети няколко инструмента. Те предоставиха нови финансови защитни стени, помогнаха на най-засегнатите държави и засилиха координацията на политиките на равнище ЕС. Тези инструменти укрепиха фискалните и финансовите правила с цел да се попречи на по-нататъшното ескалиране на кризата. Действията на Европейската централна банка в областта на паричната политика също се оказаха от решаващо значение.</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5"/>
        </w:rPr>
      </w:pPr>
      <w:r>
        <w:rPr>
          <w:rFonts w:ascii="Times New Roman" w:hAnsi="Times New Roman"/>
          <w:noProof/>
          <w:spacing w:val="-5"/>
        </w:rPr>
        <w:t xml:space="preserve">След години на слаб или нулев растеж, </w:t>
      </w:r>
      <w:r>
        <w:rPr>
          <w:rFonts w:ascii="Times New Roman" w:hAnsi="Times New Roman"/>
          <w:b/>
          <w:noProof/>
          <w:spacing w:val="-5"/>
        </w:rPr>
        <w:t>решителните усилия на всички равнища започнаха да носят плодове</w:t>
      </w:r>
      <w:r>
        <w:rPr>
          <w:rFonts w:ascii="Times New Roman" w:hAnsi="Times New Roman"/>
          <w:noProof/>
          <w:spacing w:val="-5"/>
        </w:rPr>
        <w:t>. Европа вече е в процес на стабилно възстановяване. Икономиките на всички държави членки нарастват и общият растеж на ЕС в продължение на няколко последователни години възлизаше средно на около 2 %.</w:t>
      </w:r>
      <w:r>
        <w:rPr>
          <w:rFonts w:ascii="Times New Roman" w:hAnsi="Times New Roman"/>
          <w:noProof/>
          <w:spacing w:val="-5"/>
          <w:vertAlign w:val="superscript"/>
        </w:rPr>
        <w:footnoteReference w:id="2"/>
      </w:r>
      <w:r>
        <w:rPr>
          <w:rFonts w:ascii="Times New Roman" w:hAnsi="Times New Roman"/>
          <w:noProof/>
          <w:spacing w:val="-5"/>
        </w:rPr>
        <w:t xml:space="preserve"> Икономическите нагласи в ЕС и еврозоната са на най-високото си равнище от 2000 г. насам. Безработицата е на най-ниското си равнище от края на 2008 г. досега. Обществената подкрепа за еврото в еврозоната е най-голяма от въвеждането на евробанкнотите и евромонетите през 2002 г.</w:t>
      </w:r>
      <w:r>
        <w:rPr>
          <w:rFonts w:ascii="Times New Roman" w:hAnsi="Times New Roman"/>
          <w:noProof/>
          <w:spacing w:val="-5"/>
          <w:vertAlign w:val="superscript"/>
        </w:rPr>
        <w:footnoteReference w:id="3"/>
      </w:r>
      <w:r>
        <w:rPr>
          <w:rFonts w:ascii="Times New Roman" w:hAnsi="Times New Roman"/>
          <w:noProof/>
          <w:spacing w:val="-5"/>
        </w:rPr>
        <w:t xml:space="preserve"> Въпреки това, както заяви сегашната Комисия при встъпването си в длъжност, кризата не е приключила докато безработицата продължава да бъде толкова висока — през октомври 2017 г. все още 14,3 милиона хора в еврозоната са били без работа.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2"/>
        </w:rPr>
      </w:pPr>
      <w:r>
        <w:rPr>
          <w:rFonts w:ascii="Times New Roman" w:hAnsi="Times New Roman"/>
          <w:noProof/>
          <w:spacing w:val="-2"/>
        </w:rPr>
        <w:t xml:space="preserve">От годините на кризата трябваше да бъдат извлечени важни поуки. Въпросите от значение вече бяха ясно посочени в </w:t>
      </w:r>
      <w:r>
        <w:rPr>
          <w:rFonts w:ascii="Times New Roman" w:hAnsi="Times New Roman"/>
          <w:b/>
          <w:noProof/>
          <w:spacing w:val="-2"/>
        </w:rPr>
        <w:t>доклада на петимата председатели от юни 2015 г.</w:t>
      </w:r>
      <w:r>
        <w:rPr>
          <w:rFonts w:ascii="Times New Roman" w:hAnsi="Times New Roman"/>
          <w:noProof/>
          <w:spacing w:val="-2"/>
          <w:vertAlign w:val="superscript"/>
        </w:rPr>
        <w:footnoteReference w:id="4"/>
      </w:r>
      <w:r>
        <w:rPr>
          <w:rFonts w:ascii="Times New Roman" w:hAnsi="Times New Roman"/>
          <w:noProof/>
          <w:spacing w:val="-2"/>
        </w:rPr>
        <w:t xml:space="preserve"> Оттогава беше направено много за задълбочаването на икономическия и паричен съюз чрез действия. Европейският семестър за координация на икономическите политики бе засилен с по-ясни насоки за еврозоната като цяло и с по-силен акцент върху социалните аспекти. Икономическото управление беше подобрено със създаването на Европейски фискален съвет и национални съвети по производителността. Техническата помощ за държавите членки беше засилена със създаването на Службата за подкрепа на структурните реформи. Бяха предприети важни стъпки за завършването на банковия съюз</w:t>
      </w:r>
      <w:r>
        <w:rPr>
          <w:rFonts w:ascii="Times New Roman" w:hAnsi="Times New Roman"/>
          <w:noProof/>
          <w:spacing w:val="-2"/>
          <w:vertAlign w:val="superscript"/>
        </w:rPr>
        <w:footnoteReference w:id="5"/>
      </w:r>
      <w:r>
        <w:rPr>
          <w:rFonts w:ascii="Times New Roman" w:hAnsi="Times New Roman"/>
          <w:noProof/>
          <w:spacing w:val="-2"/>
        </w:rPr>
        <w:t xml:space="preserve"> и съюза на капиталовите пазари</w:t>
      </w:r>
      <w:r>
        <w:rPr>
          <w:rStyle w:val="FootnoteReference"/>
          <w:rFonts w:ascii="Times New Roman" w:hAnsi="Times New Roman"/>
          <w:noProof/>
          <w:spacing w:val="-2"/>
        </w:rPr>
        <w:footnoteReference w:id="6"/>
      </w:r>
      <w:r>
        <w:rPr>
          <w:rFonts w:ascii="Times New Roman" w:hAnsi="Times New Roman"/>
          <w:noProof/>
          <w:spacing w:val="-2"/>
        </w:rPr>
        <w:t>, по-специално беше постигнат напредък едновременно по мерки за намаляване на риска и за споделяне на риска в банковия сектор. За да бъде постигната по-голяма ангажираност на всички равнища, беше засилен и диалогът с националните и европейските политически участници и социалните партньори.</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 резултат на тези действия структурата на еврозоната е по-стабилна от всякога, но това не означава, че тя е завършена. </w:t>
      </w:r>
      <w:r>
        <w:rPr>
          <w:rFonts w:ascii="Times New Roman" w:hAnsi="Times New Roman"/>
          <w:b/>
          <w:noProof/>
        </w:rPr>
        <w:t xml:space="preserve">Документът за размисъл относно задълбочаването на </w:t>
      </w:r>
      <w:r>
        <w:rPr>
          <w:rFonts w:ascii="Times New Roman" w:hAnsi="Times New Roman"/>
          <w:b/>
          <w:noProof/>
        </w:rPr>
        <w:lastRenderedPageBreak/>
        <w:t>икономическия и паричен съюз</w:t>
      </w:r>
      <w:r>
        <w:rPr>
          <w:rFonts w:ascii="Times New Roman" w:hAnsi="Times New Roman"/>
          <w:noProof/>
          <w:vertAlign w:val="superscript"/>
        </w:rPr>
        <w:footnoteReference w:id="7"/>
      </w:r>
      <w:r>
        <w:rPr>
          <w:rFonts w:ascii="Times New Roman" w:hAnsi="Times New Roman"/>
          <w:noProof/>
          <w:vertAlign w:val="superscript"/>
        </w:rPr>
        <w:t xml:space="preserve"> </w:t>
      </w:r>
      <w:r>
        <w:rPr>
          <w:rFonts w:ascii="Times New Roman" w:hAnsi="Times New Roman"/>
          <w:noProof/>
        </w:rPr>
        <w:t>и Документът за размисъл относно бъдещето на финансовите средства на ЕС</w:t>
      </w:r>
      <w:r>
        <w:rPr>
          <w:rStyle w:val="FootnoteReference"/>
          <w:rFonts w:ascii="Times New Roman" w:hAnsi="Times New Roman"/>
          <w:noProof/>
        </w:rPr>
        <w:footnoteReference w:id="8"/>
      </w:r>
      <w:r>
        <w:rPr>
          <w:rFonts w:ascii="Times New Roman" w:hAnsi="Times New Roman"/>
          <w:noProof/>
        </w:rPr>
        <w:t xml:space="preserve">, представени от Комисията като част от последващите действия във връзка с </w:t>
      </w:r>
      <w:r>
        <w:rPr>
          <w:rFonts w:ascii="Times New Roman" w:hAnsi="Times New Roman"/>
          <w:b/>
          <w:noProof/>
        </w:rPr>
        <w:t>Бялата книга за бъдещето на Европа</w:t>
      </w:r>
      <w:r>
        <w:rPr>
          <w:rFonts w:ascii="Times New Roman" w:hAnsi="Times New Roman"/>
          <w:noProof/>
        </w:rPr>
        <w:t>,</w:t>
      </w:r>
      <w:r>
        <w:rPr>
          <w:rStyle w:val="FootnoteReference"/>
          <w:rFonts w:ascii="Times New Roman" w:hAnsi="Times New Roman"/>
          <w:noProof/>
        </w:rPr>
        <w:footnoteReference w:id="9"/>
      </w:r>
      <w:r>
        <w:rPr>
          <w:rFonts w:ascii="Times New Roman" w:hAnsi="Times New Roman"/>
          <w:noProof/>
          <w:vertAlign w:val="superscript"/>
        </w:rPr>
        <w:t xml:space="preserve"> </w:t>
      </w:r>
      <w:r>
        <w:rPr>
          <w:rFonts w:ascii="Times New Roman" w:hAnsi="Times New Roman"/>
          <w:noProof/>
        </w:rPr>
        <w:t xml:space="preserve">припомнят актуалното положение и очертават възможния път напред до 2025 г. </w:t>
      </w:r>
    </w:p>
    <w:p>
      <w:pPr>
        <w:spacing w:after="0"/>
        <w:jc w:val="both"/>
        <w:rPr>
          <w:rFonts w:ascii="Times New Roman" w:hAnsi="Times New Roman"/>
          <w:noProof/>
          <w:lang w:val="it-IT"/>
        </w:rPr>
      </w:pPr>
    </w:p>
    <w:p>
      <w:pPr>
        <w:spacing w:after="0"/>
        <w:jc w:val="both"/>
        <w:rPr>
          <w:rFonts w:ascii="Times New Roman" w:eastAsia="Times New Roman" w:hAnsi="Times New Roman" w:cs="Times New Roman"/>
          <w:noProof/>
        </w:rPr>
      </w:pPr>
      <w:r>
        <w:rPr>
          <w:rFonts w:ascii="Times New Roman" w:hAnsi="Times New Roman"/>
          <w:noProof/>
        </w:rPr>
        <w:t xml:space="preserve">Европа вече осезаемо възвръща силата си. Както икономически, така и политически ни се предоставя </w:t>
      </w:r>
      <w:r>
        <w:rPr>
          <w:rFonts w:ascii="Times New Roman" w:hAnsi="Times New Roman"/>
          <w:b/>
          <w:noProof/>
        </w:rPr>
        <w:t>възможност да действаме</w:t>
      </w:r>
      <w:r>
        <w:rPr>
          <w:rFonts w:ascii="Times New Roman" w:hAnsi="Times New Roman"/>
          <w:noProof/>
        </w:rPr>
        <w:t xml:space="preserve"> и положителните развития са допълнителни стимули за това. Не трябва да има място за самодоволство: подобренията винаги трябва да се предприемат, когато обстоятелствата са благоприятни.</w:t>
      </w:r>
    </w:p>
    <w:p>
      <w:pPr>
        <w:spacing w:after="0"/>
        <w:jc w:val="both"/>
        <w:rPr>
          <w:rFonts w:ascii="Times New Roman" w:eastAsia="Times New Roman" w:hAnsi="Times New Roman" w:cs="Times New Roman"/>
          <w:noProof/>
        </w:rPr>
      </w:pPr>
      <w:r>
        <w:rPr>
          <w:rFonts w:ascii="Times New Roman" w:hAnsi="Times New Roman"/>
          <w:noProof/>
        </w:rPr>
        <w:t xml:space="preserve"> </w:t>
      </w:r>
    </w:p>
    <w:p>
      <w:pPr>
        <w:spacing w:after="0"/>
        <w:jc w:val="both"/>
        <w:rPr>
          <w:rFonts w:ascii="Times New Roman" w:eastAsia="Times New Roman" w:hAnsi="Times New Roman" w:cs="Times New Roman"/>
          <w:noProof/>
        </w:rPr>
      </w:pPr>
      <w:r>
        <w:rPr>
          <w:rFonts w:ascii="Times New Roman" w:hAnsi="Times New Roman"/>
          <w:noProof/>
        </w:rPr>
        <w:t>В речта си за състоянието на Съюза на 13 септември 2017 г.</w:t>
      </w:r>
      <w:r>
        <w:rPr>
          <w:rFonts w:ascii="Times New Roman" w:hAnsi="Times New Roman"/>
          <w:noProof/>
          <w:vertAlign w:val="superscript"/>
        </w:rPr>
        <w:footnoteReference w:id="10"/>
      </w:r>
      <w:r>
        <w:rPr>
          <w:rFonts w:ascii="Times New Roman" w:hAnsi="Times New Roman"/>
          <w:noProof/>
        </w:rPr>
        <w:t xml:space="preserve"> председателят Юнкер изложи своите възгледи за</w:t>
      </w:r>
      <w:r>
        <w:rPr>
          <w:rFonts w:ascii="Times New Roman" w:hAnsi="Times New Roman"/>
          <w:b/>
          <w:noProof/>
        </w:rPr>
        <w:t xml:space="preserve"> по-единен, по-силен и по-демократичен Съюз</w:t>
      </w:r>
      <w:r>
        <w:rPr>
          <w:rFonts w:ascii="Times New Roman" w:hAnsi="Times New Roman"/>
          <w:noProof/>
        </w:rPr>
        <w:t xml:space="preserve"> и ясно заяви, че завършването на европейския икономически и паричен съюз е основна част от пътната карта, водеща към срещата на лидерите в Сибиу, която ще бъде организирана от председателя Туск на 9 май 2019 г. и на която ще бъдат взети важни решения за бъдещето на Европа. </w:t>
      </w:r>
    </w:p>
    <w:p>
      <w:pPr>
        <w:spacing w:after="0"/>
        <w:jc w:val="both"/>
        <w:rPr>
          <w:rFonts w:ascii="Times New Roman" w:eastAsia="Times New Roman" w:hAnsi="Times New Roman" w:cs="Times New Roman"/>
          <w:noProof/>
        </w:rPr>
      </w:pPr>
    </w:p>
    <w:p>
      <w:pPr>
        <w:spacing w:after="0"/>
        <w:jc w:val="both"/>
        <w:rPr>
          <w:rFonts w:ascii="Times New Roman" w:hAnsi="Times New Roman"/>
          <w:noProof/>
        </w:rPr>
      </w:pPr>
      <w:r>
        <w:rPr>
          <w:rFonts w:ascii="Times New Roman" w:hAnsi="Times New Roman"/>
          <w:noProof/>
        </w:rPr>
        <w:t xml:space="preserve">Това е отразено и в </w:t>
      </w:r>
      <w:r>
        <w:rPr>
          <w:rFonts w:ascii="Times New Roman" w:hAnsi="Times New Roman"/>
          <w:b/>
          <w:noProof/>
        </w:rPr>
        <w:t>програмата на лидерите</w:t>
      </w:r>
      <w:r>
        <w:rPr>
          <w:rFonts w:ascii="Times New Roman" w:hAnsi="Times New Roman"/>
          <w:noProof/>
        </w:rPr>
        <w:t>:</w:t>
      </w:r>
      <w:r>
        <w:rPr>
          <w:rFonts w:ascii="Times New Roman" w:hAnsi="Times New Roman"/>
          <w:noProof/>
          <w:vertAlign w:val="superscript"/>
        </w:rPr>
        <w:footnoteReference w:id="11"/>
      </w:r>
      <w:r>
        <w:rPr>
          <w:rFonts w:ascii="Times New Roman" w:hAnsi="Times New Roman"/>
          <w:noProof/>
        </w:rPr>
        <w:t xml:space="preserve"> ръководителите на ЕС планират среща на върха на държавите от еврозоната на 15 декември 2017 г., на която ще бъде обсъден график за вземане на решения относно икономическия и паричния съюз и банковия съюз, и специална среща за приемане на конкретни решения на 28—29 юни 2018 г. </w:t>
      </w:r>
    </w:p>
    <w:p>
      <w:pPr>
        <w:spacing w:after="0"/>
        <w:rPr>
          <w:noProof/>
        </w:rPr>
      </w:pPr>
    </w:p>
    <w:p>
      <w:pPr>
        <w:spacing w:after="0"/>
        <w:jc w:val="both"/>
        <w:rPr>
          <w:rFonts w:ascii="Times New Roman" w:eastAsia="Times New Roman" w:hAnsi="Times New Roman" w:cs="Times New Roman"/>
          <w:b/>
          <w:noProof/>
        </w:rPr>
      </w:pPr>
      <w:r>
        <w:rPr>
          <w:rFonts w:ascii="Times New Roman" w:hAnsi="Times New Roman"/>
          <w:b/>
          <w:noProof/>
        </w:rPr>
        <w:t>Европейският икономически и паричен съюз днес</w:t>
      </w:r>
    </w:p>
    <w:p>
      <w:pPr>
        <w:spacing w:after="0" w:line="240" w:lineRule="auto"/>
        <w:jc w:val="both"/>
        <w:rPr>
          <w:rFonts w:ascii="Times New Roman" w:hAnsi="Times New Roman"/>
          <w:i/>
          <w:noProof/>
          <w:lang w:val="it-IT"/>
        </w:rPr>
      </w:pPr>
      <w:r>
        <w:rPr>
          <w:noProof/>
          <w:lang w:val="en-US" w:eastAsia="en-US" w:bidi="ar-SA"/>
        </w:rPr>
        <w:drawing>
          <wp:inline distT="0" distB="0" distL="0" distR="0">
            <wp:extent cx="5800725" cy="3209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05450" cy="3212540"/>
                    </a:xfrm>
                    <a:prstGeom prst="rect">
                      <a:avLst/>
                    </a:prstGeom>
                  </pic:spPr>
                </pic:pic>
              </a:graphicData>
            </a:graphic>
          </wp:inline>
        </w:drawing>
      </w:r>
    </w:p>
    <w:p>
      <w:pPr>
        <w:spacing w:after="0" w:line="240" w:lineRule="auto"/>
        <w:jc w:val="both"/>
        <w:rPr>
          <w:rFonts w:ascii="Times New Roman" w:hAnsi="Times New Roman" w:cs="Times New Roman"/>
          <w:i/>
          <w:noProof/>
        </w:rPr>
      </w:pPr>
      <w:r>
        <w:rPr>
          <w:rFonts w:ascii="Times New Roman" w:hAnsi="Times New Roman"/>
          <w:i/>
          <w:noProof/>
        </w:rPr>
        <w:t>Източник: Европейска комисия</w:t>
      </w:r>
    </w:p>
    <w:p>
      <w:pPr>
        <w:spacing w:after="0"/>
        <w:jc w:val="both"/>
        <w:rPr>
          <w:rFonts w:ascii="Times New Roman" w:hAnsi="Times New Roman"/>
          <w:noProof/>
          <w:lang w:val="it-IT"/>
        </w:rPr>
      </w:pPr>
    </w:p>
    <w:p>
      <w:pPr>
        <w:spacing w:after="0"/>
        <w:jc w:val="both"/>
        <w:rPr>
          <w:rFonts w:ascii="Times New Roman" w:hAnsi="Times New Roman"/>
          <w:noProof/>
          <w:lang w:val="it-IT"/>
        </w:rPr>
      </w:pPr>
    </w:p>
    <w:p>
      <w:pPr>
        <w:spacing w:after="0"/>
        <w:jc w:val="both"/>
        <w:rPr>
          <w:rFonts w:ascii="Times New Roman" w:eastAsia="Times New Roman" w:hAnsi="Times New Roman" w:cs="Times New Roman"/>
          <w:noProof/>
        </w:rPr>
      </w:pPr>
      <w:r>
        <w:rPr>
          <w:rFonts w:ascii="Times New Roman" w:hAnsi="Times New Roman"/>
          <w:noProof/>
        </w:rPr>
        <w:t>Призивът към единство, ефикасност и демократична отчетност в речта за състоянието на Съюза е от особено значение за завършването на икономическия и паричен съюз:</w:t>
      </w:r>
    </w:p>
    <w:p>
      <w:pPr>
        <w:spacing w:after="0"/>
        <w:jc w:val="both"/>
        <w:rPr>
          <w:rFonts w:ascii="Times New Roman" w:eastAsia="Times New Roman" w:hAnsi="Times New Roman" w:cs="Times New Roman"/>
          <w:noProof/>
        </w:rPr>
      </w:pPr>
    </w:p>
    <w:p>
      <w:pPr>
        <w:numPr>
          <w:ilvl w:val="0"/>
          <w:numId w:val="1"/>
        </w:numPr>
        <w:spacing w:after="0"/>
        <w:jc w:val="both"/>
        <w:rPr>
          <w:rFonts w:ascii="Times New Roman" w:eastAsia="Times New Roman" w:hAnsi="Times New Roman" w:cs="Times New Roman"/>
          <w:noProof/>
        </w:rPr>
      </w:pPr>
      <w:r>
        <w:rPr>
          <w:rFonts w:ascii="Times New Roman" w:hAnsi="Times New Roman"/>
          <w:b/>
          <w:noProof/>
        </w:rPr>
        <w:t>Единство</w:t>
      </w:r>
      <w:r>
        <w:rPr>
          <w:rFonts w:ascii="Times New Roman" w:hAnsi="Times New Roman"/>
          <w:noProof/>
        </w:rPr>
        <w:t xml:space="preserve">: Еврото е единната валута на ЕС и плановете за еврозоната следва да засягат и онези държави членки, които се очаква да се присъединят към еврозоната в бъдеще. С изключение на Обединеното кралство и Дания, </w:t>
      </w:r>
      <w:r>
        <w:rPr>
          <w:rFonts w:ascii="Times New Roman" w:hAnsi="Times New Roman"/>
          <w:b/>
          <w:noProof/>
        </w:rPr>
        <w:t>всички държави членки извън еврозоната са правно обвързани с присъединяването към еврото</w:t>
      </w:r>
      <w:r>
        <w:rPr>
          <w:rStyle w:val="FootnoteReference"/>
          <w:rFonts w:ascii="Times New Roman" w:hAnsi="Times New Roman"/>
          <w:noProof/>
        </w:rPr>
        <w:footnoteReference w:id="12"/>
      </w:r>
      <w:r>
        <w:rPr>
          <w:noProof/>
        </w:rPr>
        <w:t>.</w:t>
      </w:r>
      <w:r>
        <w:rPr>
          <w:rFonts w:ascii="Times New Roman" w:hAnsi="Times New Roman"/>
          <w:noProof/>
        </w:rPr>
        <w:t xml:space="preserve"> Освен това с излизането на Обединеното кралство от ЕС икономиките от еврозоната ще представляват около 85 % от общия брутен вътрешен продукт на ЕС. Политическата и икономическата интеграция на ЕС, в центъра на която е единният пазар, означава, че бъдещето на държавите членки от еврозоната и извън нея е взаимосвързано и едно силно и стабилно евро е от ключово значение за неговите членове, както и за ЕС като цяло. Ето защо предложенията в настоящия пакет са насочени към потребностите и интересите както на държавите членки от еврозоната, така и на тези извън нея, като взаимозависими части на икономическия и паричен съюз.</w:t>
      </w:r>
    </w:p>
    <w:p>
      <w:pPr>
        <w:tabs>
          <w:tab w:val="left" w:pos="5550"/>
        </w:tabs>
        <w:spacing w:after="0"/>
        <w:jc w:val="both"/>
        <w:rPr>
          <w:rFonts w:ascii="Times New Roman" w:eastAsia="Times New Roman" w:hAnsi="Times New Roman" w:cs="Times New Roman"/>
          <w:noProof/>
        </w:rPr>
      </w:pPr>
      <w:r>
        <w:rPr>
          <w:noProof/>
        </w:rPr>
        <w:tab/>
      </w:r>
    </w:p>
    <w:p>
      <w:pPr>
        <w:numPr>
          <w:ilvl w:val="0"/>
          <w:numId w:val="1"/>
        </w:numPr>
        <w:spacing w:after="0"/>
        <w:jc w:val="both"/>
        <w:rPr>
          <w:rFonts w:ascii="Times New Roman" w:eastAsia="Times New Roman" w:hAnsi="Times New Roman" w:cs="Times New Roman"/>
          <w:noProof/>
        </w:rPr>
      </w:pPr>
      <w:r>
        <w:rPr>
          <w:rFonts w:ascii="Times New Roman" w:hAnsi="Times New Roman"/>
          <w:b/>
          <w:noProof/>
        </w:rPr>
        <w:t>Ефикасност</w:t>
      </w:r>
      <w:r>
        <w:rPr>
          <w:rFonts w:ascii="Times New Roman" w:hAnsi="Times New Roman"/>
          <w:noProof/>
        </w:rPr>
        <w:t xml:space="preserve">: За по-силен икономически и паричен съюз е необходимо </w:t>
      </w:r>
      <w:r>
        <w:rPr>
          <w:rFonts w:ascii="Times New Roman" w:hAnsi="Times New Roman"/>
          <w:b/>
          <w:noProof/>
        </w:rPr>
        <w:t>по-добро управление</w:t>
      </w:r>
      <w:r>
        <w:rPr>
          <w:rFonts w:ascii="Times New Roman" w:hAnsi="Times New Roman"/>
          <w:noProof/>
        </w:rPr>
        <w:t xml:space="preserve"> и </w:t>
      </w:r>
      <w:r>
        <w:rPr>
          <w:rFonts w:ascii="Times New Roman" w:hAnsi="Times New Roman"/>
          <w:b/>
          <w:noProof/>
        </w:rPr>
        <w:t>по-ефикасно използване на наличните ресурси</w:t>
      </w:r>
      <w:r>
        <w:rPr>
          <w:rFonts w:ascii="Times New Roman" w:hAnsi="Times New Roman"/>
          <w:noProof/>
        </w:rPr>
        <w:t xml:space="preserve">. Настоящата система все още представлява накъсан набор от решения, взети в контекста на безпрецедентната криза. В някои случаи това доведе до увеличаване на броя на инструментите и до увеличаване на сложността на правилата, което поражда комплексност и риск от дублиране. По-големите полезни взаимодействия, рационализираните процедури и интегрирането на междуправителствените договорености в </w:t>
      </w:r>
      <w:r>
        <w:rPr>
          <w:rFonts w:ascii="Times New Roman" w:hAnsi="Times New Roman"/>
          <w:b/>
          <w:noProof/>
        </w:rPr>
        <w:t>правната уредба на ЕС</w:t>
      </w:r>
      <w:r>
        <w:rPr>
          <w:rFonts w:ascii="Times New Roman" w:hAnsi="Times New Roman"/>
          <w:noProof/>
        </w:rPr>
        <w:t xml:space="preserve"> ще засилят управлението и вземането на решения. Също така и от съображения, свързани с ефикасността, всички изменения, предложени от Комисията като част от днешния пакет, могат да бъдат изпълнени в рамките на действащите Договори на ЕС.</w:t>
      </w:r>
    </w:p>
    <w:p>
      <w:pPr>
        <w:spacing w:after="0"/>
        <w:ind w:left="360"/>
        <w:jc w:val="both"/>
        <w:rPr>
          <w:rFonts w:ascii="Times New Roman" w:eastAsia="Times New Roman" w:hAnsi="Times New Roman" w:cs="Times New Roman"/>
          <w:noProof/>
        </w:rPr>
      </w:pPr>
    </w:p>
    <w:p>
      <w:pPr>
        <w:numPr>
          <w:ilvl w:val="0"/>
          <w:numId w:val="1"/>
        </w:numPr>
        <w:spacing w:after="0"/>
        <w:jc w:val="both"/>
        <w:rPr>
          <w:rFonts w:ascii="Times New Roman" w:eastAsia="Times New Roman" w:hAnsi="Times New Roman" w:cs="Times New Roman"/>
          <w:noProof/>
        </w:rPr>
      </w:pPr>
      <w:r>
        <w:rPr>
          <w:rFonts w:ascii="Times New Roman" w:hAnsi="Times New Roman"/>
          <w:b/>
          <w:noProof/>
        </w:rPr>
        <w:t>Демократична отчетност</w:t>
      </w:r>
      <w:r>
        <w:rPr>
          <w:rFonts w:ascii="Times New Roman" w:hAnsi="Times New Roman"/>
          <w:noProof/>
        </w:rPr>
        <w:t xml:space="preserve">: Завършването на икономическия и паричен съюз означава също по-голяма </w:t>
      </w:r>
      <w:r>
        <w:rPr>
          <w:rFonts w:ascii="Times New Roman" w:hAnsi="Times New Roman"/>
          <w:b/>
          <w:noProof/>
        </w:rPr>
        <w:t>политическа отговорност</w:t>
      </w:r>
      <w:r>
        <w:rPr>
          <w:rFonts w:ascii="Times New Roman" w:hAnsi="Times New Roman"/>
          <w:noProof/>
        </w:rPr>
        <w:t xml:space="preserve"> и </w:t>
      </w:r>
      <w:r>
        <w:rPr>
          <w:rFonts w:ascii="Times New Roman" w:hAnsi="Times New Roman"/>
          <w:b/>
          <w:noProof/>
        </w:rPr>
        <w:t>прозрачност</w:t>
      </w:r>
      <w:r>
        <w:rPr>
          <w:rFonts w:ascii="Times New Roman" w:hAnsi="Times New Roman"/>
          <w:noProof/>
        </w:rPr>
        <w:t xml:space="preserve"> относно това кой решава какво на отделните равнища. Това налага европейското измерение на процеса на вземане на решения да се доближи до гражданите и да бъде поставено на по-преден план в националните обсъждания, както и да се гарантира, че както националните парламенти, така и Европейският парламент разполагат с достатъчни правомощия за упражняване на контрол върху управлението на икономическото управление на ЕС. Това би трябвало да доведе също така до повече ангажираност с колективните решения и откритост по отношение на начина, по който те се вземат и обявяват пред обществеността.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През последните години се чуха множество мнения относно завършването на икономическия и паричен съюз. Те може и да се различават, но е налице </w:t>
      </w:r>
      <w:r>
        <w:rPr>
          <w:rFonts w:ascii="Times New Roman" w:hAnsi="Times New Roman"/>
          <w:b/>
          <w:noProof/>
        </w:rPr>
        <w:t>широк консенсус</w:t>
      </w:r>
      <w:r>
        <w:rPr>
          <w:rFonts w:ascii="Times New Roman" w:hAnsi="Times New Roman"/>
          <w:noProof/>
        </w:rPr>
        <w:t xml:space="preserve"> относно необходимостта от по-нататъшен напредък. Приносът на Европейския парламент също беше съществен</w:t>
      </w:r>
      <w:r>
        <w:rPr>
          <w:rFonts w:ascii="Times New Roman" w:hAnsi="Times New Roman"/>
          <w:noProof/>
          <w:vertAlign w:val="superscript"/>
        </w:rPr>
        <w:footnoteReference w:id="13"/>
      </w:r>
      <w:r>
        <w:rPr>
          <w:rFonts w:ascii="Times New Roman" w:hAnsi="Times New Roman"/>
          <w:noProof/>
        </w:rPr>
        <w:t>, а в Еврогрупата се проведоха важни обсъждания.</w:t>
      </w:r>
      <w:r>
        <w:rPr>
          <w:rFonts w:ascii="Times New Roman" w:hAnsi="Times New Roman"/>
          <w:noProof/>
          <w:vertAlign w:val="superscript"/>
        </w:rPr>
        <w:footnoteReference w:id="14"/>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В настоящото съобщение се прави резюме на обосновката и съдържанието на инициативите, представени от Комисията днес. В него се припомня и мястото на този пакет в по-широка</w:t>
      </w:r>
      <w:r>
        <w:rPr>
          <w:rFonts w:ascii="Times New Roman" w:hAnsi="Times New Roman"/>
          <w:b/>
          <w:noProof/>
        </w:rPr>
        <w:t xml:space="preserve"> пътна карта</w:t>
      </w:r>
      <w:r>
        <w:rPr>
          <w:rFonts w:ascii="Times New Roman" w:hAnsi="Times New Roman"/>
          <w:noProof/>
        </w:rPr>
        <w:t xml:space="preserve"> </w:t>
      </w:r>
      <w:r>
        <w:rPr>
          <w:rFonts w:ascii="Times New Roman" w:hAnsi="Times New Roman"/>
          <w:b/>
          <w:noProof/>
        </w:rPr>
        <w:t>за задълбочаване на европейския икономически и паричен съюз</w:t>
      </w:r>
      <w:r>
        <w:rPr>
          <w:rFonts w:ascii="Times New Roman" w:hAnsi="Times New Roman"/>
          <w:noProof/>
        </w:rPr>
        <w:t xml:space="preserve"> </w:t>
      </w:r>
      <w:r>
        <w:rPr>
          <w:rFonts w:ascii="Times New Roman" w:hAnsi="Times New Roman"/>
          <w:b/>
          <w:noProof/>
        </w:rPr>
        <w:t>до 2025 г.</w:t>
      </w:r>
      <w:r>
        <w:rPr>
          <w:rFonts w:ascii="Times New Roman" w:hAnsi="Times New Roman"/>
          <w:noProof/>
        </w:rPr>
        <w:t xml:space="preserve"> и се предоставя график за действията, които ще бъдат предприети през следващите 18 месеца.</w:t>
      </w:r>
    </w:p>
    <w:p>
      <w:pPr>
        <w:spacing w:after="0"/>
        <w:jc w:val="both"/>
        <w:rPr>
          <w:rFonts w:ascii="Times New Roman" w:eastAsia="Times New Roman" w:hAnsi="Times New Roman" w:cs="Times New Roman"/>
          <w:noProof/>
          <w:lang w:val="it-IT"/>
        </w:rPr>
      </w:pPr>
    </w:p>
    <w:p>
      <w:pPr>
        <w:spacing w:after="0"/>
        <w:jc w:val="both"/>
        <w:rPr>
          <w:rFonts w:ascii="Times New Roman" w:eastAsia="Times New Roman" w:hAnsi="Times New Roman" w:cs="Times New Roman"/>
          <w:noProof/>
          <w:lang w:val="it-IT"/>
        </w:rPr>
      </w:pPr>
    </w:p>
    <w:p>
      <w:pPr>
        <w:pStyle w:val="ListParagraph"/>
        <w:numPr>
          <w:ilvl w:val="0"/>
          <w:numId w:val="43"/>
        </w:numPr>
        <w:jc w:val="both"/>
        <w:rPr>
          <w:b/>
          <w:noProof/>
          <w:u w:val="single"/>
        </w:rPr>
      </w:pPr>
      <w:r>
        <w:rPr>
          <w:b/>
          <w:noProof/>
          <w:u w:val="single"/>
        </w:rPr>
        <w:t xml:space="preserve">ДНЕШНИТЕ ИНИЦИАТИВИ </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noProof/>
        </w:rPr>
      </w:pPr>
      <w:r>
        <w:rPr>
          <w:rFonts w:ascii="Times New Roman" w:hAnsi="Times New Roman"/>
          <w:noProof/>
        </w:rPr>
        <w:t xml:space="preserve">Както беше обявено в речта за състоянието на Съюза през 2017 г. и придружаващото я писмо за намеренията, в днешните инициативи се съдържат по-нататъшните стъпки към завършването на икономическия и паричен съюз. </w:t>
      </w:r>
    </w:p>
    <w:p>
      <w:pPr>
        <w:spacing w:after="0"/>
        <w:jc w:val="both"/>
        <w:rPr>
          <w:rFonts w:ascii="Times New Roman" w:eastAsia="Times New Roman" w:hAnsi="Times New Roman" w:cs="Times New Roman"/>
          <w:noProof/>
          <w:sz w:val="12"/>
          <w:szCs w:val="12"/>
        </w:rPr>
      </w:pPr>
    </w:p>
    <w:p>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noProof/>
          <w:szCs w:val="24"/>
        </w:rPr>
      </w:pPr>
      <w:r>
        <w:rPr>
          <w:rFonts w:ascii="Times New Roman" w:hAnsi="Times New Roman"/>
          <w:b/>
          <w:noProof/>
        </w:rPr>
        <w:t>Преглед на днешния пакет</w:t>
      </w:r>
    </w:p>
    <w:p>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i/>
          <w:noProof/>
          <w:szCs w:val="24"/>
        </w:rPr>
      </w:pPr>
      <w:r>
        <w:rPr>
          <w:rFonts w:ascii="Times New Roman" w:hAnsi="Times New Roman"/>
          <w:i/>
          <w:noProof/>
        </w:rPr>
        <w:t>Днес Комисията представя следните предложения и инициативи:</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i/>
          <w:noProof/>
        </w:rPr>
      </w:pPr>
      <w:r>
        <w:rPr>
          <w:i/>
          <w:noProof/>
          <w:sz w:val="22"/>
        </w:rPr>
        <w:t>предложение за създаването на Европейския паричен фонд в правната уредба на Съюза;</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rFonts w:ascii="Times New Roman Italic" w:hAnsi="Times New Roman Italic"/>
          <w:i/>
          <w:noProof/>
          <w:spacing w:val="-6"/>
        </w:rPr>
      </w:pPr>
      <w:r>
        <w:rPr>
          <w:rFonts w:ascii="Times New Roman Italic" w:hAnsi="Times New Roman Italic"/>
          <w:i/>
          <w:noProof/>
          <w:spacing w:val="-6"/>
          <w:sz w:val="22"/>
        </w:rPr>
        <w:t>предложение за интегриране на основните положения на Договора за стабилност, координация и управление в правната уредба на ЕС, като се отчита необходимата гъвкавост, заложена в Пакта за стабилност и растеж и установена от Комисията от януари 2015 г. насам;</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rFonts w:ascii="Times New Roman Italic" w:hAnsi="Times New Roman Italic"/>
          <w:i/>
          <w:noProof/>
          <w:spacing w:val="-6"/>
        </w:rPr>
      </w:pPr>
      <w:r>
        <w:rPr>
          <w:rFonts w:ascii="Times New Roman Italic" w:hAnsi="Times New Roman Italic"/>
          <w:i/>
          <w:noProof/>
          <w:spacing w:val="-6"/>
          <w:sz w:val="22"/>
        </w:rPr>
        <w:t>съобщение относно нови бюджетни инструменти за стабилна еврозона в рамките на Съюза;</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rFonts w:ascii="Times New Roman Italic" w:hAnsi="Times New Roman Italic"/>
          <w:i/>
          <w:noProof/>
          <w:spacing w:val="-2"/>
        </w:rPr>
      </w:pPr>
      <w:r>
        <w:rPr>
          <w:rFonts w:ascii="Times New Roman Italic" w:hAnsi="Times New Roman Italic"/>
          <w:i/>
          <w:noProof/>
          <w:spacing w:val="-2"/>
          <w:sz w:val="22"/>
        </w:rPr>
        <w:t>за периода 2018—2020 г.: 1) целеви промени в Регламента за общоприложимите разпоредби за мобилизиране на средствата на ЕС в подкрепа на националните реформи и 2) предложение за укрепване на Програмата за подкрепа на структурните реформи;</w:t>
      </w:r>
    </w:p>
    <w:p>
      <w:pPr>
        <w:pStyle w:val="ListParagraph"/>
        <w:numPr>
          <w:ilvl w:val="0"/>
          <w:numId w:val="50"/>
        </w:numPr>
        <w:pBdr>
          <w:top w:val="single" w:sz="4" w:space="1" w:color="auto"/>
          <w:left w:val="single" w:sz="4" w:space="4" w:color="auto"/>
          <w:bottom w:val="single" w:sz="4" w:space="1" w:color="auto"/>
          <w:right w:val="single" w:sz="4" w:space="4" w:color="auto"/>
        </w:pBdr>
        <w:spacing w:line="276" w:lineRule="auto"/>
        <w:jc w:val="both"/>
        <w:rPr>
          <w:noProof/>
        </w:rPr>
      </w:pPr>
      <w:r>
        <w:rPr>
          <w:i/>
          <w:noProof/>
          <w:sz w:val="22"/>
        </w:rPr>
        <w:t>съобщение относно европейски министър на икономиката и финансите.</w:t>
      </w:r>
    </w:p>
    <w:p>
      <w:pPr>
        <w:spacing w:after="0"/>
        <w:jc w:val="both"/>
        <w:rPr>
          <w:rFonts w:ascii="Times New Roman" w:eastAsia="Times New Roman" w:hAnsi="Times New Roman" w:cs="Times New Roman"/>
          <w:noProof/>
        </w:rPr>
      </w:pPr>
    </w:p>
    <w:p>
      <w:pPr>
        <w:spacing w:before="120" w:after="0"/>
        <w:jc w:val="both"/>
        <w:rPr>
          <w:rFonts w:ascii="Times New Roman" w:eastAsia="Times New Roman" w:hAnsi="Times New Roman" w:cs="Times New Roman"/>
          <w:i/>
          <w:noProof/>
        </w:rPr>
      </w:pPr>
      <w:r>
        <w:rPr>
          <w:rFonts w:ascii="Times New Roman" w:hAnsi="Times New Roman"/>
          <w:i/>
          <w:noProof/>
        </w:rPr>
        <w:t xml:space="preserve">Предложение за учредяване на Европейския паричен фонд </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noProof/>
        </w:rPr>
      </w:pPr>
      <w:r>
        <w:rPr>
          <w:rFonts w:ascii="Times New Roman" w:hAnsi="Times New Roman"/>
          <w:noProof/>
        </w:rPr>
        <w:t xml:space="preserve">Това предложение се основава на добре установената структура на Европейския механизъм за стабилност за създаването на </w:t>
      </w:r>
      <w:r>
        <w:rPr>
          <w:rFonts w:ascii="Times New Roman" w:hAnsi="Times New Roman"/>
          <w:b/>
          <w:noProof/>
        </w:rPr>
        <w:t>Европейски паричен фонд</w:t>
      </w:r>
      <w:r>
        <w:rPr>
          <w:rFonts w:ascii="Times New Roman" w:hAnsi="Times New Roman"/>
          <w:noProof/>
        </w:rPr>
        <w:t>, основан на правната уредба на ЕС. Тази стъпка вече беше обявена в доклада на петимата председатели и за нея призова и Европейският парламент, който подчерта необходимостта на Европейския паричен фонд да бъде осигурен подходящ капацитет за отпускане и вземане на заеми и ясно определен мандат</w:t>
      </w:r>
      <w:r>
        <w:rPr>
          <w:rStyle w:val="FootnoteReference"/>
          <w:rFonts w:ascii="Times New Roman" w:hAnsi="Times New Roman"/>
          <w:noProof/>
        </w:rPr>
        <w:footnoteReference w:id="15"/>
      </w:r>
      <w:r>
        <w:rPr>
          <w:noProof/>
        </w:rPr>
        <w:t>.</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Европейският механизъм за стабилност беше създаден през октомври 2012 г. в разгара на кризата. Натискът на събитията по онова време доведе до междуправителствено решение. Въпреки това, още по онова време беше ясно, че това може да бъде постигнато също и в рамките на Договорите на ЕС, както е посочено например в изготвения от Комисията „Подробен план за задълбочен и истински икономически и паричен съюз“</w:t>
      </w:r>
      <w:r>
        <w:rPr>
          <w:rStyle w:val="FootnoteReference"/>
          <w:rFonts w:ascii="Times New Roman" w:hAnsi="Times New Roman"/>
          <w:noProof/>
        </w:rPr>
        <w:footnoteReference w:id="16"/>
      </w:r>
      <w:r>
        <w:rPr>
          <w:noProof/>
        </w:rPr>
        <w:t>.</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През годините Европейският механизъм за стабилност доказа своето решаващо значение, като допринесе за запазването на финансовата стабилност в еврозоната. Той постигна това чрез предоставянето на допълнителна финансова подкрепа на изпаднали в затруднение държави членки от еврозоната. Преобразуването му в Европейски паричен фонд ще засили още повече неговото </w:t>
      </w:r>
      <w:r>
        <w:rPr>
          <w:rFonts w:ascii="Times New Roman" w:hAnsi="Times New Roman"/>
          <w:b/>
          <w:noProof/>
        </w:rPr>
        <w:t>институционализиране</w:t>
      </w:r>
      <w:r>
        <w:rPr>
          <w:rFonts w:ascii="Times New Roman" w:hAnsi="Times New Roman"/>
          <w:noProof/>
        </w:rPr>
        <w:t>. То ще спомогне за създаването на нови полезни взаимодействия в рамките на правната уредба на ЕС, по-специално по отношение на прозрачността, правната оценка и ефикасността на финансовите ресурси на ЕС, и по-този начин ще може да се предостави по-добра подкрепа на държавите членки. Това преобразуване ще спомогне също така за допълнителното подобряване на сътрудничеството с Комисията и отчетността пред Европейския парламент. Това ще стане, без да се засяга начинът, по който националните правителства се отчитат пред своите национални парламенти, и като се запазят ангажиментите на действащия Европейски механизъм за стабилност.</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Инициативата е под формата на предложение за регламент на Съвета, който подлежи на одобрение от Европейския парламент в съответствие с член 352 от Договора за функционирането на ЕС. Член 352 предоставя възможност за интегриране на Европейския механизъм за стабилност в правната уредба на Съюза, тъй като това действие е необходимо за </w:t>
      </w:r>
      <w:r>
        <w:rPr>
          <w:rFonts w:ascii="Times New Roman" w:hAnsi="Times New Roman"/>
          <w:b/>
          <w:noProof/>
        </w:rPr>
        <w:t>финансовата стабилност на еврозоната</w:t>
      </w:r>
      <w:r>
        <w:rPr>
          <w:rStyle w:val="FootnoteReference"/>
          <w:rFonts w:ascii="Times New Roman" w:hAnsi="Times New Roman"/>
          <w:noProof/>
        </w:rPr>
        <w:footnoteReference w:id="17"/>
      </w:r>
      <w:r>
        <w:rPr>
          <w:rFonts w:ascii="Times New Roman" w:hAnsi="Times New Roman"/>
          <w:b/>
          <w:noProof/>
        </w:rPr>
        <w:t xml:space="preserve"> </w:t>
      </w:r>
      <w:r>
        <w:rPr>
          <w:rFonts w:ascii="Times New Roman" w:hAnsi="Times New Roman"/>
          <w:noProof/>
        </w:rPr>
        <w:t>и в Договорите не е предвидено друго правно основание за ЕС за постигане на тази конкретна цел</w:t>
      </w:r>
      <w:r>
        <w:rPr>
          <w:rStyle w:val="FootnoteReference"/>
          <w:rFonts w:ascii="Times New Roman" w:hAnsi="Times New Roman"/>
          <w:noProof/>
        </w:rPr>
        <w:footnoteReference w:id="18"/>
      </w:r>
      <w:r>
        <w:rPr>
          <w:noProof/>
        </w:rPr>
        <w:t>.</w:t>
      </w:r>
      <w:r>
        <w:rPr>
          <w:rFonts w:ascii="Times New Roman" w:hAnsi="Times New Roman"/>
          <w:noProof/>
        </w:rPr>
        <w:t xml:space="preserve"> В параграф 2 от този член изрично се предвижда роля за националните парламенти. В миналото няколко важни решения, които подготвиха пътя към създаването на икономическия и паричен съюз, се основаваха на еквивалентния на член 352 член. Така например решенията относно Европейския фонд за валутно сътрудничество, европейската парична единица и първите механизми за подкрепа на платежния баланс бяха взети на основата на член 235 от Договора за създаване на Европейската икономическа общност, който днес съответства на член 352.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Предложението се допълва от проект на възможно бъдещо </w:t>
      </w:r>
      <w:r>
        <w:rPr>
          <w:rFonts w:ascii="Times New Roman" w:hAnsi="Times New Roman"/>
          <w:b/>
          <w:noProof/>
        </w:rPr>
        <w:t>междуправителствено споразумение</w:t>
      </w:r>
      <w:r>
        <w:rPr>
          <w:rFonts w:ascii="Times New Roman" w:hAnsi="Times New Roman"/>
          <w:noProof/>
        </w:rPr>
        <w:t>, с което държавите членки да се договарят помежду си относно прехвърлянето на средства от Европейския механизъм за стабилност в Европейски паричен фонд. В него се предвижда също, че фондът ще бъде правоприемник на ЕМС и ще го замени, включително в неговото правно положение, с всички негови права и задължения.</w:t>
      </w:r>
    </w:p>
    <w:p>
      <w:pPr>
        <w:spacing w:after="0"/>
        <w:ind w:firstLine="72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Съгласно днешното предложение Европейският паричен фонд ще бъде създаден като </w:t>
      </w:r>
      <w:r>
        <w:rPr>
          <w:rFonts w:ascii="Times New Roman" w:hAnsi="Times New Roman"/>
          <w:b/>
          <w:noProof/>
        </w:rPr>
        <w:t>единен правен субект съгласно правото на Съюза</w:t>
      </w:r>
      <w:r>
        <w:rPr>
          <w:rFonts w:ascii="Times New Roman" w:hAnsi="Times New Roman"/>
          <w:noProof/>
        </w:rPr>
        <w:t xml:space="preserve">. Той ще бъде правоприемник на Европейския механизъм за стабилност, чиито сегашни финансови и институционални структури по същество ще бъдат запазени. Това означава, че Европейският паричен фонд ще продължи да предоставя финансова помощ за стабилност за държавите членки в нужда, да привлича средства чрез емитиране на инструменти на капиталовите пазари и да извършва сделки на паричните пазари. Членството няма да се промени и включването на други държави членки ще продължи да бъде възможно след тяхното присъединяване към еврото.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Като се има предвид, че Европейският паричен фонд ще се превърне в орган на Съюза, са необходими някои целенасочени корекции на сегашната структура на Европейския механизъм за стабилност. Те са обяснени в обяснителния меморандум на Регламента. Те включват </w:t>
      </w:r>
      <w:r>
        <w:rPr>
          <w:rFonts w:ascii="Times New Roman" w:hAnsi="Times New Roman"/>
          <w:b/>
          <w:noProof/>
        </w:rPr>
        <w:t>одобрение от Съвета</w:t>
      </w:r>
      <w:r>
        <w:rPr>
          <w:rFonts w:ascii="Times New Roman" w:hAnsi="Times New Roman"/>
          <w:noProof/>
        </w:rPr>
        <w:t xml:space="preserve"> на дискреционните решения, взети от Европейския паричен фонд</w:t>
      </w:r>
      <w:r>
        <w:rPr>
          <w:rStyle w:val="FootnoteReference"/>
          <w:rFonts w:ascii="Times New Roman" w:hAnsi="Times New Roman"/>
          <w:noProof/>
        </w:rPr>
        <w:footnoteReference w:id="19"/>
      </w:r>
      <w:r>
        <w:rPr>
          <w:noProof/>
        </w:rPr>
        <w:t>.</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Освен това днешното предложение добавя ограничен брой нови характеристики.</w:t>
      </w:r>
    </w:p>
    <w:p>
      <w:pPr>
        <w:spacing w:after="0"/>
        <w:jc w:val="both"/>
        <w:rPr>
          <w:rFonts w:ascii="Times New Roman" w:eastAsia="Times New Roman" w:hAnsi="Times New Roman" w:cs="Times New Roman"/>
          <w:noProof/>
        </w:rPr>
      </w:pPr>
    </w:p>
    <w:p>
      <w:pPr>
        <w:spacing w:after="0"/>
        <w:jc w:val="both"/>
        <w:rPr>
          <w:rFonts w:ascii="Times New Roman" w:hAnsi="Times New Roman"/>
          <w:noProof/>
          <w:lang w:val="it-IT"/>
        </w:rPr>
      </w:pPr>
      <w:r>
        <w:rPr>
          <w:rFonts w:ascii="Times New Roman" w:hAnsi="Times New Roman"/>
          <w:noProof/>
        </w:rPr>
        <w:t xml:space="preserve">Първо, Европейският паричен фонд ще бъде в състояние да предостави </w:t>
      </w:r>
      <w:r>
        <w:rPr>
          <w:rFonts w:ascii="Times New Roman" w:hAnsi="Times New Roman"/>
          <w:b/>
          <w:noProof/>
        </w:rPr>
        <w:t>общия механизъм за подкрепа за Единния фонд за преструктуриране</w:t>
      </w:r>
      <w:r>
        <w:rPr>
          <w:rFonts w:ascii="Times New Roman" w:hAnsi="Times New Roman"/>
          <w:noProof/>
        </w:rPr>
        <w:t>. Това е съществен елемент от т.нар. втори стълб на банковия съюз — Единния механизъм за преструктуриране.</w:t>
      </w:r>
      <w:r>
        <w:rPr>
          <w:rFonts w:ascii="Times New Roman" w:hAnsi="Times New Roman"/>
          <w:noProof/>
          <w:vertAlign w:val="superscript"/>
        </w:rPr>
        <w:footnoteReference w:id="20"/>
      </w:r>
      <w:r>
        <w:rPr>
          <w:rFonts w:ascii="Times New Roman" w:hAnsi="Times New Roman"/>
          <w:noProof/>
        </w:rPr>
        <w:t xml:space="preserve"> </w:t>
      </w:r>
    </w:p>
    <w:p>
      <w:pPr>
        <w:spacing w:after="0"/>
        <w:jc w:val="both"/>
        <w:rPr>
          <w:rFonts w:ascii="Times New Roman" w:eastAsia="Times New Roman" w:hAnsi="Times New Roman" w:cs="Times New Roman"/>
          <w:noProof/>
          <w:lang w:val="it-IT"/>
        </w:rPr>
      </w:pPr>
    </w:p>
    <w:p>
      <w:pPr>
        <w:spacing w:after="0"/>
        <w:jc w:val="both"/>
        <w:rPr>
          <w:rFonts w:ascii="Times New Roman" w:eastAsia="Times New Roman" w:hAnsi="Times New Roman" w:cs="Times New Roman"/>
          <w:noProof/>
          <w:spacing w:val="-2"/>
        </w:rPr>
      </w:pPr>
      <w:r>
        <w:rPr>
          <w:rFonts w:ascii="Times New Roman" w:hAnsi="Times New Roman"/>
          <w:noProof/>
          <w:spacing w:val="-2"/>
        </w:rPr>
        <w:t xml:space="preserve">При приемането на Единния механизъм за преструктуриране през 2013 г. държавите членки постигнаха съгласие също така за разработването на </w:t>
      </w:r>
      <w:r>
        <w:rPr>
          <w:rFonts w:ascii="Times New Roman" w:hAnsi="Times New Roman"/>
          <w:b/>
          <w:noProof/>
          <w:spacing w:val="-2"/>
        </w:rPr>
        <w:t>механизъм за подкрепа за Единния фонд за преструктуриране</w:t>
      </w:r>
      <w:r>
        <w:rPr>
          <w:rFonts w:ascii="Times New Roman" w:hAnsi="Times New Roman"/>
          <w:noProof/>
          <w:spacing w:val="-2"/>
        </w:rPr>
        <w:t xml:space="preserve">. Той беше създаден като крайна мярка, която ще бъде активирана в случай че непосредствено наличните ресурси на Единния фонд за преструктуриране се окажат недостатъчни за целите на капитала или ликвидността. Държавите членки се договориха също така, че той следва да бъде фискално неутрален в средносрочен план, така че всяко потенциално задействане на предпазния механизъм да бъде възстановено от банковия сектор в еврозоната.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4"/>
        </w:rPr>
      </w:pPr>
      <w:r>
        <w:rPr>
          <w:rFonts w:ascii="Times New Roman" w:hAnsi="Times New Roman"/>
          <w:noProof/>
          <w:spacing w:val="-4"/>
        </w:rPr>
        <w:t xml:space="preserve">Новите правила на ЕС за банков надзор и преструктуриране, разработени в периода след кризата, доведоха до значително намаляване на вероятността от възникване на банкови фалити и тяхното потенциално въздействие. Въпреки това продължава да бъде необходим общ фискален механизъм за подкрепа за увеличаване на финансовия капацитет на Единния фонд за преструктуриране. Този механизъм за подкрепа би създал доверие в банковата система, като засили надеждността на действията на Единния съвет за преструктуриране. От своя страна това всъщност ще намали вероятността от ситуации, налагащи задействането на такъв механизъм за подкрепа.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Понастоящем е налице широк консенсус, че Европейският механизъм за стабилност — бъдещият Европейски паричен фонд, е в най-добра позиция да предоставя такъв механизъм за подкрепа под формата на кредитни линии и гаранции на Единния фонд за преструктуриране. Това е отразено в днешното предложение, в което са изложени и съответни процеси на вземане на решения, за да се гарантира, че при необходимост предпазният механизъм може бързо да бъде задействан. Предлагат се също така специални условия, за да се отговори на законните интереси на държавите членки извън еврозоната, присъединили се към банковия съюз.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Второ, по отношение на </w:t>
      </w:r>
      <w:r>
        <w:rPr>
          <w:rFonts w:ascii="Times New Roman" w:hAnsi="Times New Roman"/>
          <w:b/>
          <w:noProof/>
        </w:rPr>
        <w:t>управлението</w:t>
      </w:r>
      <w:r>
        <w:rPr>
          <w:rFonts w:ascii="Times New Roman" w:hAnsi="Times New Roman"/>
          <w:noProof/>
        </w:rPr>
        <w:t xml:space="preserve"> предложението включва възможността за по-бързо вземане на решения в определени спешни ситуации. Предлага се да се запази гласуване с единодушие за всички важни решения с финансово отражение (напр. относно привлечения капитал). Въпреки това за определени решения, свързани с подкрепата за стабилност, плащанията и задействането на предпазния механизъм, се предвижда засилено квалифицирано мнозинство, при което се изискват 85 % от гласовете.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Трето, по отношение на </w:t>
      </w:r>
      <w:r>
        <w:rPr>
          <w:rFonts w:ascii="Times New Roman" w:hAnsi="Times New Roman"/>
          <w:b/>
          <w:noProof/>
        </w:rPr>
        <w:t>управлението на програмите за финансова помощ</w:t>
      </w:r>
      <w:r>
        <w:rPr>
          <w:rFonts w:ascii="Times New Roman" w:hAnsi="Times New Roman"/>
          <w:noProof/>
        </w:rPr>
        <w:t>, предложението предвижда по-пряко участие на ЕПС, наред с Европейската комисия.</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На четвърто място, в предложението се предвижда възможността Европейският паричен фонд да разработи </w:t>
      </w:r>
      <w:r>
        <w:rPr>
          <w:rFonts w:ascii="Times New Roman" w:hAnsi="Times New Roman"/>
          <w:b/>
          <w:noProof/>
        </w:rPr>
        <w:t>нови финансови инструменти</w:t>
      </w:r>
      <w:r>
        <w:rPr>
          <w:rFonts w:ascii="Times New Roman" w:hAnsi="Times New Roman"/>
          <w:noProof/>
        </w:rPr>
        <w:t>. С течение на времето тези инструменти биха могли да допълнят или подкрепят други финансови инструменти и програми на ЕС. Такива полезни взаимодействия могат да се окажат особено полезни, ако се предвижда, Европейският паричен фонд да играе роля в подкрепа на евентуална функция за стабилизация в бъдеще.</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С тези промени Европейският паричен фонд ще се утвърди като стабилна структура за управление на кризи в правната уредба на Съюза, работеща в </w:t>
      </w:r>
      <w:r>
        <w:rPr>
          <w:rFonts w:ascii="Times New Roman" w:hAnsi="Times New Roman"/>
          <w:b/>
          <w:noProof/>
        </w:rPr>
        <w:t>пълна синергия с други институции на ЕС</w:t>
      </w:r>
      <w:r>
        <w:rPr>
          <w:rFonts w:ascii="Times New Roman" w:hAnsi="Times New Roman"/>
          <w:noProof/>
        </w:rPr>
        <w:t xml:space="preserve">. Съветът и Комисията ще запазят своите правомощия и отговорности по отношение на икономическия и фискален надзор и координация на политиката, както е посочено в Договорите на ЕС.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4"/>
        </w:rPr>
      </w:pPr>
      <w:r>
        <w:rPr>
          <w:rFonts w:ascii="Times New Roman" w:hAnsi="Times New Roman"/>
          <w:b/>
          <w:noProof/>
          <w:spacing w:val="-4"/>
        </w:rPr>
        <w:t>Практическото сътрудничество</w:t>
      </w:r>
      <w:r>
        <w:rPr>
          <w:noProof/>
          <w:spacing w:val="-4"/>
        </w:rPr>
        <w:t xml:space="preserve"> </w:t>
      </w:r>
      <w:r>
        <w:rPr>
          <w:rFonts w:ascii="Times New Roman" w:hAnsi="Times New Roman"/>
          <w:noProof/>
          <w:spacing w:val="-4"/>
        </w:rPr>
        <w:t>също би могло да бъде засилено, за да служи по-добре на държавите членки, за да се осигури сътрудничество с участниците на пазара и за да бъде избегнато дублиране на дейности. Можем да се стремим към допълнително сътрудничество с оглед на постигането на по-нататъшен напредък в укрепването на икономическия и паричен съюз.</w:t>
      </w:r>
    </w:p>
    <w:p>
      <w:pPr>
        <w:spacing w:after="0"/>
        <w:jc w:val="both"/>
        <w:rPr>
          <w:rFonts w:ascii="Times New Roman" w:hAnsi="Times New Roman"/>
          <w:i/>
          <w:noProof/>
          <w:lang w:val="it-IT"/>
        </w:rPr>
      </w:pPr>
    </w:p>
    <w:p>
      <w:pPr>
        <w:jc w:val="both"/>
        <w:rPr>
          <w:rFonts w:ascii="Times New Roman Italic" w:eastAsia="Times New Roman" w:hAnsi="Times New Roman Italic" w:cs="Times New Roman"/>
          <w:i/>
          <w:noProof/>
          <w:spacing w:val="-4"/>
        </w:rPr>
      </w:pPr>
      <w:r>
        <w:rPr>
          <w:rFonts w:ascii="Times New Roman Italic" w:hAnsi="Times New Roman Italic"/>
          <w:i/>
          <w:noProof/>
          <w:spacing w:val="-4"/>
        </w:rPr>
        <w:t>Предложение за интегриране на основните положения на Договора за стабилност, координация и управление в правната уредба на Съюза, като се взема предвид необходимата гъвкавост, заложена в Пакта за стабилност и растеж и установена от Комисията от януари 2015 г.</w:t>
      </w:r>
    </w:p>
    <w:p>
      <w:pPr>
        <w:spacing w:after="0"/>
        <w:jc w:val="both"/>
        <w:rPr>
          <w:rFonts w:ascii="Times New Roman" w:eastAsia="Times New Roman" w:hAnsi="Times New Roman" w:cs="Times New Roman"/>
          <w:noProof/>
        </w:rPr>
      </w:pPr>
      <w:r>
        <w:rPr>
          <w:rFonts w:ascii="Times New Roman" w:hAnsi="Times New Roman"/>
          <w:b/>
          <w:noProof/>
        </w:rPr>
        <w:t>Договорът за стабилност, координация и управление в икономическия и паричен съюз</w:t>
      </w:r>
      <w:r>
        <w:rPr>
          <w:rFonts w:ascii="Times New Roman" w:hAnsi="Times New Roman"/>
          <w:noProof/>
        </w:rPr>
        <w:t xml:space="preserve"> е междуправителствен договор, подписан от 25 държави — членки на ЕС</w:t>
      </w:r>
      <w:r>
        <w:rPr>
          <w:rFonts w:ascii="Times New Roman" w:hAnsi="Times New Roman"/>
          <w:noProof/>
          <w:vertAlign w:val="superscript"/>
        </w:rPr>
        <w:footnoteReference w:id="21"/>
      </w:r>
      <w:r>
        <w:rPr>
          <w:rFonts w:ascii="Times New Roman" w:hAnsi="Times New Roman"/>
          <w:noProof/>
        </w:rPr>
        <w:t xml:space="preserve">. Той допълва фискалната рамка на ЕС, в това число Пакта за стабилност и растеж.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Днешното предложение е в изпълнение на член 16 от него, съгласно който всички договарящи се страни са правно задължени да предприемат мерки, за да включат основните положения на този Договор в правото на Съюза в рамките на пет години след влизането му в сила, тоест до 1 януари 2018 г.</w:t>
      </w:r>
      <w:r>
        <w:rPr>
          <w:rStyle w:val="FootnoteReference"/>
          <w:rFonts w:ascii="Times New Roman" w:hAnsi="Times New Roman"/>
          <w:noProof/>
        </w:rPr>
        <w:footnoteReference w:id="22"/>
      </w:r>
      <w:r>
        <w:rPr>
          <w:noProof/>
        </w:rPr>
        <w:t>.</w:t>
      </w:r>
      <w:r>
        <w:rPr>
          <w:rFonts w:ascii="Times New Roman" w:hAnsi="Times New Roman"/>
          <w:noProof/>
        </w:rPr>
        <w:t xml:space="preserve"> Следва да се припомни, че по време на преговорите по Договора, по-специално Европейският парламент и Комисията настояваха за включването му в правото на ЕС в рамките на определен срок, което беше прието от държавите членки в член 16.</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Подобно на Европейския механизъм за стабилност, решението през 2012 г. Договорът за стабилност, координация и управление в икономическия и паричен съюз да бъде под формата на междуправителствен договор трябва да се разглежда в контекста на обстоятелствата към дадения момент. Въпреки това, както ангажиментът, поет в съответствие с член 16, така и фактът, че последващото законодателство (известно като „пакет от два законодателни акта“) вече включваше голяма част от неговите елементи в рамките на правото на ЕС, показват, че намерението за намиране на съюзни решения е било налице от самото начало. Европейският парламент също многократно призова за включването на основните положения на Договора за стабилност, координация и управление в правната уредба на ЕС</w:t>
      </w:r>
      <w:r>
        <w:rPr>
          <w:rStyle w:val="FootnoteReference"/>
          <w:rFonts w:ascii="Times New Roman" w:hAnsi="Times New Roman"/>
          <w:noProof/>
        </w:rPr>
        <w:footnoteReference w:id="23"/>
      </w:r>
      <w:r>
        <w:rPr>
          <w:rFonts w:ascii="Times New Roman" w:hAnsi="Times New Roman"/>
          <w:noProof/>
        </w:rPr>
        <w:t>, като твърди, че за да бъде действително легитимно и демократично, управлението на един истински икономически и паричен съюз трябва да бъде включено в институционалната уредба на Съюза.</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Днешната инициатива е под формата на предложение за директива на Съвета, за което е необходима консултация с Европейския парламент съгласно член 126, параграф 14, точка 2 от Договора за функционирането на ЕС. Това е единственото правно основание в Договора, с което разполагаме. Комисията ще отчете надлежно вижданията на Европейския парламент в този процес. Предложението се прилага за всички държави членки от еврозоната и включва клауза за участие за държавите членки извън еврозоната.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3"/>
        </w:rPr>
      </w:pPr>
      <w:r>
        <w:rPr>
          <w:rFonts w:ascii="Times New Roman" w:hAnsi="Times New Roman"/>
          <w:noProof/>
          <w:spacing w:val="-3"/>
        </w:rPr>
        <w:t xml:space="preserve">Предложената директива включва основните положения от член 3 от Договора за стабилност, координация и управление, който е част от т. нар. </w:t>
      </w:r>
      <w:r>
        <w:rPr>
          <w:rFonts w:ascii="Times New Roman" w:hAnsi="Times New Roman"/>
          <w:b/>
          <w:noProof/>
          <w:spacing w:val="-3"/>
        </w:rPr>
        <w:t>„Фискален пакт“</w:t>
      </w:r>
      <w:r>
        <w:rPr>
          <w:rFonts w:ascii="Times New Roman" w:hAnsi="Times New Roman"/>
          <w:noProof/>
          <w:spacing w:val="-3"/>
        </w:rPr>
        <w:t>. Съгласно този член следва да се прилага правилото за балансиран бюджет в структурно изражение заедно с механизъм за корекция в случай на значително отклонение. Както докладва Комисията по-рано тази година</w:t>
      </w:r>
      <w:r>
        <w:rPr>
          <w:rFonts w:ascii="Times New Roman" w:hAnsi="Times New Roman"/>
          <w:noProof/>
          <w:spacing w:val="-3"/>
          <w:vertAlign w:val="superscript"/>
        </w:rPr>
        <w:footnoteReference w:id="24"/>
      </w:r>
      <w:r>
        <w:rPr>
          <w:rFonts w:ascii="Times New Roman" w:hAnsi="Times New Roman"/>
          <w:noProof/>
          <w:spacing w:val="-3"/>
        </w:rPr>
        <w:t>, разпоредбите на този член вече са транспонирани в националните законодателства.</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Интегрирането на Фискалния пакт в правото на Съюза ще </w:t>
      </w:r>
      <w:r>
        <w:rPr>
          <w:rFonts w:ascii="Times New Roman" w:hAnsi="Times New Roman"/>
          <w:b/>
          <w:noProof/>
        </w:rPr>
        <w:t>опрости правната уредба</w:t>
      </w:r>
      <w:r>
        <w:rPr>
          <w:rFonts w:ascii="Times New Roman" w:hAnsi="Times New Roman"/>
          <w:noProof/>
        </w:rPr>
        <w:t xml:space="preserve"> и ще създаде условия за </w:t>
      </w:r>
      <w:r>
        <w:rPr>
          <w:rFonts w:ascii="Times New Roman" w:hAnsi="Times New Roman"/>
          <w:b/>
          <w:noProof/>
        </w:rPr>
        <w:t>непрекъснат и</w:t>
      </w:r>
      <w:r>
        <w:rPr>
          <w:rFonts w:ascii="Times New Roman" w:hAnsi="Times New Roman"/>
          <w:noProof/>
        </w:rPr>
        <w:t xml:space="preserve"> </w:t>
      </w:r>
      <w:r>
        <w:rPr>
          <w:rFonts w:ascii="Times New Roman" w:hAnsi="Times New Roman"/>
          <w:b/>
          <w:noProof/>
        </w:rPr>
        <w:t>подобрен надзор</w:t>
      </w:r>
      <w:r>
        <w:rPr>
          <w:rFonts w:ascii="Times New Roman" w:hAnsi="Times New Roman"/>
          <w:noProof/>
        </w:rPr>
        <w:t xml:space="preserve"> като част от цялостната рамка за икономическо управление на ЕС. По-специално, това ще допълни и укрепи действащите фискални рамки, които имат за цел да се постигне сближаване на публичния дълг на разумно равнище. В същото време в предложението се отчита съответната гъвкавост, предвидена в Пакта за стабилност и растеж и установена от Комисията от януари 2015 г.</w:t>
      </w:r>
      <w:r>
        <w:rPr>
          <w:rStyle w:val="FootnoteReference"/>
          <w:rFonts w:ascii="Times New Roman" w:hAnsi="Times New Roman"/>
          <w:noProof/>
        </w:rPr>
        <w:footnoteReference w:id="25"/>
      </w:r>
      <w:r>
        <w:rPr>
          <w:rFonts w:ascii="Times New Roman" w:hAnsi="Times New Roman"/>
          <w:noProof/>
        </w:rPr>
        <w:t xml:space="preserve"> Следователно разпоредбите съответстват напълно на действащите правила, заложени в първичното и вторичното законодателство.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 предложението се подчертава също така значението на междупарламентарните срещи, организирани всяка година от Европейския парламент, като тяхната практика се запазва, както и условията и реда за гласуване сред договарящите се страни, изброени в Договора за стабилност, координация и управление. </w:t>
      </w:r>
    </w:p>
    <w:p>
      <w:pPr>
        <w:spacing w:after="0"/>
        <w:jc w:val="both"/>
        <w:rPr>
          <w:rFonts w:ascii="Times New Roman" w:eastAsia="Times New Roman" w:hAnsi="Times New Roman" w:cs="Times New Roman"/>
          <w:noProof/>
        </w:rPr>
      </w:pPr>
    </w:p>
    <w:p>
      <w:pPr>
        <w:spacing w:after="0"/>
        <w:jc w:val="both"/>
        <w:rPr>
          <w:rFonts w:ascii="Times New Roman Italic" w:eastAsia="Times New Roman" w:hAnsi="Times New Roman Italic" w:cs="Times New Roman"/>
          <w:i/>
          <w:noProof/>
          <w:spacing w:val="-4"/>
        </w:rPr>
      </w:pPr>
      <w:r>
        <w:rPr>
          <w:rFonts w:ascii="Times New Roman Italic" w:hAnsi="Times New Roman Italic"/>
          <w:i/>
          <w:noProof/>
          <w:spacing w:val="-4"/>
        </w:rPr>
        <w:t>Съобщение относно нови бюджетни инструменти за стабилна еврозона в правната уредба на ЕС</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В речта си за състоянието на Съюза председателят Юнкер подчерта, че не са ни необходими паралелни структури: </w:t>
      </w:r>
      <w:r>
        <w:rPr>
          <w:rFonts w:ascii="Times New Roman" w:hAnsi="Times New Roman"/>
          <w:i/>
          <w:noProof/>
        </w:rPr>
        <w:t>Нямаме нужда от бюджет за еврозоната, а от стабилен бюджетен ред за еврозоната в рамките на бюджета на ЕС</w:t>
      </w:r>
      <w:r>
        <w:rPr>
          <w:rFonts w:ascii="Times New Roman" w:hAnsi="Times New Roman"/>
          <w:noProof/>
        </w:rPr>
        <w:t xml:space="preserve">. В </w:t>
      </w:r>
      <w:r>
        <w:rPr>
          <w:rFonts w:ascii="Times New Roman" w:hAnsi="Times New Roman"/>
          <w:b/>
          <w:noProof/>
        </w:rPr>
        <w:t>Документа за размисъл относно задълбочаването на икономическия и паричен съюз</w:t>
      </w:r>
      <w:r>
        <w:rPr>
          <w:rFonts w:ascii="Times New Roman" w:hAnsi="Times New Roman"/>
          <w:noProof/>
        </w:rPr>
        <w:t xml:space="preserve"> и </w:t>
      </w:r>
      <w:r>
        <w:rPr>
          <w:rFonts w:ascii="Times New Roman" w:hAnsi="Times New Roman"/>
          <w:b/>
          <w:noProof/>
        </w:rPr>
        <w:t>Документа за размисъл относно бъдещето на публичните финанси на ЕС</w:t>
      </w:r>
      <w:r>
        <w:rPr>
          <w:rFonts w:ascii="Times New Roman" w:hAnsi="Times New Roman"/>
          <w:noProof/>
        </w:rPr>
        <w:t xml:space="preserve"> се описват общите предизвикателства за модернизирането на публичните финанси на ЕС като цяло и конкретните потребности на еврозоната. В днешното съобщение е представена визия за това как някои бюджетни функции, които са от основно значение за еврозоната и ЕС като цяло, могат да бъдат развити в сегашната и в бъдещата рамка на публичните финанси на ЕС. </w:t>
      </w:r>
    </w:p>
    <w:p>
      <w:pPr>
        <w:spacing w:after="0"/>
        <w:jc w:val="both"/>
        <w:rPr>
          <w:rFonts w:ascii="Times New Roman" w:eastAsia="Times New Roman" w:hAnsi="Times New Roman" w:cs="Times New Roman"/>
          <w:noProof/>
        </w:rPr>
      </w:pPr>
    </w:p>
    <w:p>
      <w:pPr>
        <w:spacing w:after="0"/>
        <w:jc w:val="both"/>
        <w:rPr>
          <w:rFonts w:ascii="Times New Roman" w:hAnsi="Times New Roman"/>
          <w:noProof/>
          <w:spacing w:val="-4"/>
          <w:lang w:val="it-IT"/>
        </w:rPr>
      </w:pPr>
      <w:r>
        <w:rPr>
          <w:rFonts w:ascii="Times New Roman" w:hAnsi="Times New Roman"/>
          <w:noProof/>
          <w:spacing w:val="-4"/>
        </w:rPr>
        <w:t xml:space="preserve">В съобщението се припомня какво може да бъде постигнато съобразно настоящата финансова рамка на ЕС и са представени няколко идеи и възможности, някои от които подготвят почвата за </w:t>
      </w:r>
      <w:r>
        <w:rPr>
          <w:rFonts w:ascii="Times New Roman" w:hAnsi="Times New Roman"/>
          <w:b/>
          <w:noProof/>
          <w:spacing w:val="-4"/>
        </w:rPr>
        <w:t>предстоящите предложения за многогодишната финансова рамка за периода след 2020 г.</w:t>
      </w:r>
      <w:r>
        <w:rPr>
          <w:rFonts w:ascii="Times New Roman" w:hAnsi="Times New Roman"/>
          <w:noProof/>
          <w:spacing w:val="-4"/>
        </w:rPr>
        <w:t xml:space="preserve"> </w:t>
      </w:r>
    </w:p>
    <w:p>
      <w:pPr>
        <w:spacing w:after="0"/>
        <w:jc w:val="both"/>
        <w:rPr>
          <w:rFonts w:ascii="Times New Roman" w:eastAsia="Times New Roman" w:hAnsi="Times New Roman" w:cs="Times New Roman"/>
          <w:noProof/>
          <w:lang w:val="it-IT"/>
        </w:rPr>
      </w:pPr>
    </w:p>
    <w:p>
      <w:pPr>
        <w:spacing w:after="0"/>
        <w:jc w:val="both"/>
        <w:rPr>
          <w:rFonts w:ascii="Times New Roman" w:eastAsia="Times New Roman" w:hAnsi="Times New Roman" w:cs="Times New Roman"/>
          <w:noProof/>
        </w:rPr>
      </w:pPr>
      <w:r>
        <w:rPr>
          <w:rFonts w:ascii="Times New Roman" w:hAnsi="Times New Roman"/>
          <w:noProof/>
        </w:rPr>
        <w:t xml:space="preserve">В съобщението се разглеждат четири специфични функции, които са от основно значение за задълбочаването на Икономическия и паричен съюз. В него се предлагат конкретни стъпки за всяка от тях: </w:t>
      </w:r>
    </w:p>
    <w:p>
      <w:pPr>
        <w:numPr>
          <w:ilvl w:val="0"/>
          <w:numId w:val="40"/>
        </w:numPr>
        <w:spacing w:after="0"/>
        <w:contextualSpacing/>
        <w:jc w:val="both"/>
        <w:rPr>
          <w:rFonts w:ascii="Times New Roman" w:eastAsia="Times New Roman" w:hAnsi="Times New Roman" w:cs="Times New Roman"/>
          <w:noProof/>
        </w:rPr>
      </w:pPr>
      <w:r>
        <w:rPr>
          <w:rFonts w:ascii="Times New Roman" w:hAnsi="Times New Roman"/>
          <w:b/>
          <w:noProof/>
        </w:rPr>
        <w:t xml:space="preserve">Подкрепа за структурните реформи </w:t>
      </w:r>
      <w:r>
        <w:rPr>
          <w:rFonts w:ascii="Times New Roman" w:hAnsi="Times New Roman"/>
          <w:noProof/>
        </w:rPr>
        <w:t>чрез: 1) механизъм за осъществяване на реформи в подкрепа на пакетите с ангажименти, договорени с държавите членки и 2) техническа помощ по искане на държавите членки;</w:t>
      </w:r>
    </w:p>
    <w:p>
      <w:pPr>
        <w:numPr>
          <w:ilvl w:val="0"/>
          <w:numId w:val="40"/>
        </w:numPr>
        <w:spacing w:after="0"/>
        <w:contextualSpacing/>
        <w:jc w:val="both"/>
        <w:rPr>
          <w:rFonts w:ascii="Times New Roman" w:eastAsia="Times New Roman" w:hAnsi="Times New Roman" w:cs="Times New Roman"/>
          <w:noProof/>
        </w:rPr>
      </w:pPr>
      <w:r>
        <w:rPr>
          <w:rFonts w:ascii="Times New Roman" w:hAnsi="Times New Roman"/>
          <w:b/>
          <w:noProof/>
        </w:rPr>
        <w:t>Специален механизъм за сближаване за държавите членки, които са на път да се присъединят към еврозоната</w:t>
      </w:r>
      <w:r>
        <w:rPr>
          <w:rFonts w:ascii="Times New Roman" w:hAnsi="Times New Roman"/>
          <w:noProof/>
        </w:rPr>
        <w:t>;</w:t>
      </w:r>
    </w:p>
    <w:p>
      <w:pPr>
        <w:numPr>
          <w:ilvl w:val="0"/>
          <w:numId w:val="40"/>
        </w:numPr>
        <w:spacing w:after="0"/>
        <w:contextualSpacing/>
        <w:jc w:val="both"/>
        <w:rPr>
          <w:rFonts w:ascii="Times New Roman" w:eastAsia="Times New Roman" w:hAnsi="Times New Roman" w:cs="Times New Roman"/>
          <w:noProof/>
        </w:rPr>
      </w:pPr>
      <w:r>
        <w:rPr>
          <w:rFonts w:ascii="Times New Roman" w:hAnsi="Times New Roman"/>
          <w:b/>
          <w:noProof/>
        </w:rPr>
        <w:t>Механизъм за подкрепа за банковия съюз</w:t>
      </w:r>
      <w:r>
        <w:rPr>
          <w:noProof/>
        </w:rPr>
        <w:t xml:space="preserve">, </w:t>
      </w:r>
      <w:r>
        <w:rPr>
          <w:rFonts w:ascii="Times New Roman" w:hAnsi="Times New Roman"/>
          <w:noProof/>
        </w:rPr>
        <w:t>посредством Европейския механизъм за стабилност/Европейски паричен фонд, както е обяснено по-горе</w:t>
      </w:r>
      <w:r>
        <w:rPr>
          <w:noProof/>
        </w:rPr>
        <w:t>;</w:t>
      </w:r>
    </w:p>
    <w:p>
      <w:pPr>
        <w:numPr>
          <w:ilvl w:val="0"/>
          <w:numId w:val="40"/>
        </w:numPr>
        <w:spacing w:after="0"/>
        <w:contextualSpacing/>
        <w:jc w:val="both"/>
        <w:rPr>
          <w:rFonts w:ascii="Times New Roman" w:eastAsia="Times New Roman" w:hAnsi="Times New Roman" w:cs="Times New Roman"/>
          <w:noProof/>
        </w:rPr>
      </w:pPr>
      <w:r>
        <w:rPr>
          <w:rFonts w:ascii="Times New Roman" w:hAnsi="Times New Roman"/>
          <w:b/>
          <w:noProof/>
        </w:rPr>
        <w:t>Функция за стабилизация</w:t>
      </w:r>
      <w:r>
        <w:rPr>
          <w:noProof/>
        </w:rPr>
        <w:t xml:space="preserve">, </w:t>
      </w:r>
      <w:r>
        <w:rPr>
          <w:rFonts w:ascii="Times New Roman" w:hAnsi="Times New Roman"/>
          <w:noProof/>
        </w:rPr>
        <w:t>обединяваща различни фондове и финансови инструменти на равнище ЕС и еврозоната, които да се използват за поддържане на равнището на инвестициите и в случай на големи асиметрични сътресения</w:t>
      </w:r>
      <w:r>
        <w:rPr>
          <w:noProof/>
        </w:rPr>
        <w:t>.</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През периода 2018—2020 г. Комисията възнамерява да разработи някои от тези идеи и да ги изпробва на практика за подкрепа на структурните реформи и изграждането на капацитет. За тази цел заедно с този пакет са представени следните инициативи: </w:t>
      </w:r>
    </w:p>
    <w:p>
      <w:pPr>
        <w:pStyle w:val="ListParagraph"/>
        <w:numPr>
          <w:ilvl w:val="0"/>
          <w:numId w:val="37"/>
        </w:numPr>
        <w:spacing w:line="276" w:lineRule="auto"/>
        <w:jc w:val="both"/>
        <w:rPr>
          <w:noProof/>
          <w:spacing w:val="-2"/>
          <w:sz w:val="22"/>
          <w:szCs w:val="22"/>
        </w:rPr>
      </w:pPr>
      <w:r>
        <w:rPr>
          <w:b/>
          <w:noProof/>
          <w:spacing w:val="-2"/>
        </w:rPr>
        <w:t>Предложение за изменение на Регламента за общоприложимите разпоредби</w:t>
      </w:r>
      <w:r>
        <w:rPr>
          <w:noProof/>
          <w:spacing w:val="-2"/>
        </w:rPr>
        <w:t xml:space="preserve">, </w:t>
      </w:r>
      <w:r>
        <w:rPr>
          <w:noProof/>
          <w:spacing w:val="-2"/>
          <w:sz w:val="22"/>
        </w:rPr>
        <w:t>както е обяснено по-долу, за да се разширят възможностите за използване на резерва за изпълнение, предвиден в съществуващите европейски структурни и инвестиционни фондове</w:t>
      </w:r>
      <w:r>
        <w:rPr>
          <w:noProof/>
          <w:spacing w:val="-2"/>
        </w:rPr>
        <w:t>.</w:t>
      </w:r>
      <w:r>
        <w:rPr>
          <w:noProof/>
          <w:spacing w:val="-2"/>
          <w:sz w:val="22"/>
        </w:rPr>
        <w:t xml:space="preserve"> </w:t>
      </w:r>
    </w:p>
    <w:p>
      <w:pPr>
        <w:pStyle w:val="ListParagraph"/>
        <w:numPr>
          <w:ilvl w:val="0"/>
          <w:numId w:val="37"/>
        </w:numPr>
        <w:spacing w:line="276" w:lineRule="auto"/>
        <w:jc w:val="both"/>
        <w:rPr>
          <w:noProof/>
          <w:sz w:val="22"/>
          <w:szCs w:val="22"/>
        </w:rPr>
      </w:pPr>
      <w:r>
        <w:rPr>
          <w:b/>
          <w:noProof/>
          <w:sz w:val="22"/>
        </w:rPr>
        <w:t>Предложение за укрепване на Програмата за подкрепа на структурните реформи</w:t>
      </w:r>
      <w:r>
        <w:rPr>
          <w:noProof/>
        </w:rPr>
        <w:t xml:space="preserve">, </w:t>
      </w:r>
      <w:r>
        <w:rPr>
          <w:noProof/>
          <w:sz w:val="22"/>
        </w:rPr>
        <w:t>както е обяснено по-долу, с цел увеличаване на наличната техническа помощ за всички държави членки и за създаването на специален работен поток в подкрепа на държавите членки извън еврозоната в техния процес на сближаване</w:t>
      </w:r>
      <w:r>
        <w:rPr>
          <w:noProof/>
        </w:rPr>
        <w:t>.</w:t>
      </w:r>
    </w:p>
    <w:p>
      <w:pPr>
        <w:spacing w:after="0"/>
        <w:jc w:val="both"/>
        <w:rPr>
          <w:rFonts w:ascii="Times New Roman" w:eastAsia="Times New Roman" w:hAnsi="Times New Roman" w:cs="Times New Roman"/>
          <w:noProof/>
        </w:rPr>
      </w:pPr>
      <w:r>
        <w:rPr>
          <w:rFonts w:ascii="Times New Roman" w:hAnsi="Times New Roman"/>
          <w:noProof/>
        </w:rPr>
        <w:t xml:space="preserve">Останалите предложения, посочени тук, ще последват в контекста на многогодишната финансова рамка след 2020 г., за която ще бъдат представени подробни предложения през </w:t>
      </w:r>
      <w:r>
        <w:rPr>
          <w:rFonts w:ascii="Times New Roman" w:hAnsi="Times New Roman"/>
          <w:b/>
          <w:noProof/>
        </w:rPr>
        <w:t>май 2018 г.</w:t>
      </w:r>
      <w:r>
        <w:rPr>
          <w:rFonts w:ascii="Times New Roman" w:hAnsi="Times New Roman"/>
          <w:noProof/>
        </w:rPr>
        <w:t xml:space="preserve"> Комисията ще вземе изцяло под внимание обратната информация, получена дотогава.</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i/>
          <w:noProof/>
        </w:rPr>
      </w:pPr>
      <w:r>
        <w:rPr>
          <w:rFonts w:ascii="Times New Roman" w:hAnsi="Times New Roman"/>
          <w:i/>
          <w:noProof/>
        </w:rPr>
        <w:t>Целенасочени промени в Регламента за общоприложимите разпоредби</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С оглед на подготовката за новия механизъм за осъществяване на реформи, посочен по-горе, Комисията предлага да се изпита нов инструмент за бюджетна подкрепа в пилотна фаза за периода 2018—2020 г. Това предложение приема формата на целенасочени промени в Регламента за общоприложимите разпоредби</w:t>
      </w:r>
      <w:r>
        <w:rPr>
          <w:rStyle w:val="FootnoteReference"/>
          <w:rFonts w:ascii="Times New Roman" w:hAnsi="Times New Roman"/>
          <w:noProof/>
        </w:rPr>
        <w:footnoteReference w:id="26"/>
      </w:r>
      <w:r>
        <w:rPr>
          <w:noProof/>
        </w:rPr>
        <w:t>.</w:t>
      </w:r>
      <w:r>
        <w:rPr>
          <w:rFonts w:ascii="Times New Roman" w:hAnsi="Times New Roman"/>
          <w:noProof/>
        </w:rPr>
        <w:t xml:space="preserve"> Целта му е да се предостави допълнителна гъвкавост в използването от държавите членки на </w:t>
      </w:r>
      <w:r>
        <w:rPr>
          <w:rFonts w:ascii="Times New Roman" w:hAnsi="Times New Roman"/>
          <w:b/>
          <w:noProof/>
        </w:rPr>
        <w:t>резерва за изпълнение на европейските структурни и инвестиционни фондове</w:t>
      </w:r>
      <w:r>
        <w:rPr>
          <w:rFonts w:ascii="Times New Roman" w:hAnsi="Times New Roman"/>
          <w:noProof/>
        </w:rPr>
        <w:t>. Всяка държава членка трябва сама да реши дали възнамерява да разпредели част от своя резерв за изпълнение към тази нова схема.</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Целта на този инструмент ще бъде да се подкрепи изпълнението на националните реформи, които ще бъдат определени посредством европейския семестър за координация на икономическите политики и ще бъдат включени в националните програми за реформи, представени от държавите членки. След като бъдат договорени ангажиментите на дадена държава членка за реформи с ясно определени цели и етапи, Комисията ще наблюдава и оценява тяхното прилагане преди изплащането на помощта.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i/>
          <w:noProof/>
        </w:rPr>
      </w:pPr>
      <w:r>
        <w:rPr>
          <w:rFonts w:ascii="Times New Roman" w:hAnsi="Times New Roman"/>
          <w:noProof/>
        </w:rPr>
        <w:t>Предложението не променя цялостното равнище на разходите за европейските структурни и инвестиционни фондове в рамките на текущата многогодишна финансова рамка. Извлечените от инициативата поуки ще бъдат взети предвид в предложенията за периода след 2020 г.</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i/>
          <w:noProof/>
        </w:rPr>
      </w:pPr>
      <w:r>
        <w:rPr>
          <w:rFonts w:ascii="Times New Roman" w:hAnsi="Times New Roman"/>
          <w:i/>
          <w:noProof/>
        </w:rPr>
        <w:t>Предложение за укрепване на Програмата за подкрепа на структурните реформи</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Като следствие от доклада на петимата председатели, в края на 2015 г. Комисията създаде </w:t>
      </w:r>
      <w:r>
        <w:rPr>
          <w:rFonts w:ascii="Times New Roman" w:hAnsi="Times New Roman"/>
          <w:b/>
          <w:noProof/>
        </w:rPr>
        <w:t>Служба за подкрепа на структурните реформи</w:t>
      </w:r>
      <w:r>
        <w:rPr>
          <w:rFonts w:ascii="Times New Roman" w:hAnsi="Times New Roman"/>
          <w:noProof/>
        </w:rPr>
        <w:t xml:space="preserve">. Целта на тази служба е да предоставя техническа помощ на държавите членки, за да им се помогне да замислят и изпълняват конкретни реформи или да се укрепи цялостният им капацитет за реформи. Програмата се оказа особено успешна в подпомагането на държавите членки да планират реформи за модернизиране на публичната администрация и бизнес средата. Вече е ясно, че търсенето на този вид техническа помощ превишава значително финансирането, предоставено първоначално чрез </w:t>
      </w:r>
      <w:r>
        <w:rPr>
          <w:rFonts w:ascii="Times New Roman" w:hAnsi="Times New Roman"/>
          <w:b/>
          <w:noProof/>
        </w:rPr>
        <w:t>Програмата за подкрепа на структурните реформи</w:t>
      </w:r>
      <w:r>
        <w:rPr>
          <w:rStyle w:val="FootnoteReference"/>
          <w:rFonts w:ascii="Times New Roman" w:hAnsi="Times New Roman"/>
          <w:noProof/>
        </w:rPr>
        <w:footnoteReference w:id="27"/>
      </w:r>
      <w:r>
        <w:rPr>
          <w:rFonts w:ascii="Times New Roman" w:hAnsi="Times New Roman"/>
          <w:noProof/>
        </w:rPr>
        <w:t>.</w:t>
      </w:r>
    </w:p>
    <w:p>
      <w:pPr>
        <w:spacing w:after="0"/>
        <w:jc w:val="both"/>
        <w:rPr>
          <w:rFonts w:ascii="Times New Roman" w:eastAsia="Times New Roman" w:hAnsi="Times New Roman" w:cs="Times New Roman"/>
          <w:noProof/>
        </w:rPr>
      </w:pPr>
    </w:p>
    <w:p>
      <w:pPr>
        <w:spacing w:after="0"/>
        <w:jc w:val="both"/>
        <w:rPr>
          <w:rFonts w:ascii="Times New Roman" w:hAnsi="Times New Roman"/>
          <w:noProof/>
          <w:lang w:val="it-IT"/>
        </w:rPr>
      </w:pPr>
      <w:r>
        <w:rPr>
          <w:rFonts w:ascii="Times New Roman" w:hAnsi="Times New Roman"/>
          <w:noProof/>
        </w:rPr>
        <w:t xml:space="preserve">В същото време, както бе посочено от председателя Юнкер в речта му за състоянието на Съюза, налице е явна необходимост да се мисли в перспектива и да се подкрепят държавите членки извън еврозоната в подготовката им за присъединяване към еврото, когато те пожелаят да направят това. Една от поуките от кризата е, че постигането на сближаване и изграждането на стабилни икономически структури са от съществено значение за просперитета на Съюза и, по-специално, за доброто функциониране на единната валута. </w:t>
      </w:r>
    </w:p>
    <w:p>
      <w:pPr>
        <w:spacing w:after="0"/>
        <w:jc w:val="both"/>
        <w:rPr>
          <w:rFonts w:ascii="Times New Roman" w:eastAsia="Times New Roman" w:hAnsi="Times New Roman" w:cs="Times New Roman"/>
          <w:noProof/>
          <w:lang w:val="it-IT"/>
        </w:rPr>
      </w:pPr>
    </w:p>
    <w:p>
      <w:pPr>
        <w:spacing w:after="0"/>
        <w:jc w:val="both"/>
        <w:rPr>
          <w:rFonts w:ascii="Times New Roman" w:eastAsia="Times New Roman" w:hAnsi="Times New Roman" w:cs="Times New Roman"/>
          <w:noProof/>
        </w:rPr>
      </w:pPr>
      <w:r>
        <w:rPr>
          <w:rFonts w:ascii="Times New Roman" w:hAnsi="Times New Roman"/>
          <w:b/>
          <w:noProof/>
        </w:rPr>
        <w:t>Специализираната техническа помощ за държавите членки извън еврозоната</w:t>
      </w:r>
      <w:r>
        <w:rPr>
          <w:noProof/>
        </w:rPr>
        <w:t xml:space="preserve"> </w:t>
      </w:r>
      <w:r>
        <w:rPr>
          <w:rFonts w:ascii="Times New Roman" w:hAnsi="Times New Roman"/>
          <w:noProof/>
        </w:rPr>
        <w:t>може да се окаже полезна за подпомагане на процеса на действително сближаване</w:t>
      </w:r>
      <w:r>
        <w:rPr>
          <w:noProof/>
        </w:rPr>
        <w:t>.</w:t>
      </w:r>
      <w:r>
        <w:rPr>
          <w:rFonts w:ascii="Times New Roman" w:hAnsi="Times New Roman"/>
          <w:noProof/>
        </w:rPr>
        <w:t xml:space="preserve"> Това важи особено в области като управлението на публичните финанси, публичната администрация, финансовия сектор, пазара на труда и продуктовите пазари.</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4"/>
        </w:rPr>
      </w:pPr>
      <w:r>
        <w:rPr>
          <w:rFonts w:ascii="Times New Roman" w:hAnsi="Times New Roman"/>
          <w:noProof/>
          <w:spacing w:val="-4"/>
        </w:rPr>
        <w:t xml:space="preserve">По тези две причини днес Комисията представя </w:t>
      </w:r>
      <w:r>
        <w:rPr>
          <w:rFonts w:ascii="Times New Roman" w:hAnsi="Times New Roman"/>
          <w:b/>
          <w:noProof/>
          <w:spacing w:val="-4"/>
        </w:rPr>
        <w:t>изменение на Регламента за Програмата за подкрепа на структурните реформи</w:t>
      </w:r>
      <w:r>
        <w:rPr>
          <w:rStyle w:val="FootnoteReference"/>
          <w:rFonts w:ascii="Times New Roman" w:hAnsi="Times New Roman"/>
          <w:noProof/>
          <w:spacing w:val="-4"/>
        </w:rPr>
        <w:footnoteReference w:id="28"/>
      </w:r>
      <w:r>
        <w:rPr>
          <w:noProof/>
          <w:spacing w:val="-4"/>
        </w:rPr>
        <w:t>.</w:t>
      </w:r>
      <w:r>
        <w:rPr>
          <w:rFonts w:ascii="Times New Roman" w:hAnsi="Times New Roman"/>
          <w:noProof/>
          <w:spacing w:val="-4"/>
        </w:rPr>
        <w:t xml:space="preserve"> Целта му е да се удвои финансирането, налично за дейности за техническа помощ до 2020 г., така че то да достигне 300 милиона евро за периода 2017—2020 г. Извлечените поуки ще бъдат взети предвид в предложенията за периода след 2020 г. </w:t>
      </w:r>
    </w:p>
    <w:p>
      <w:pPr>
        <w:spacing w:after="0"/>
        <w:jc w:val="both"/>
        <w:rPr>
          <w:rFonts w:ascii="Times New Roman" w:eastAsia="Times New Roman" w:hAnsi="Times New Roman" w:cs="Times New Roman"/>
          <w:i/>
          <w:noProof/>
        </w:rPr>
      </w:pPr>
    </w:p>
    <w:p>
      <w:pPr>
        <w:spacing w:after="0"/>
        <w:rPr>
          <w:rFonts w:ascii="Times New Roman" w:eastAsia="Times New Roman" w:hAnsi="Times New Roman" w:cs="Times New Roman"/>
          <w:i/>
          <w:noProof/>
        </w:rPr>
      </w:pPr>
      <w:r>
        <w:rPr>
          <w:rFonts w:ascii="Times New Roman" w:hAnsi="Times New Roman"/>
          <w:i/>
          <w:noProof/>
        </w:rPr>
        <w:t>Съобщение относно европейски министър на икономиката и финансите</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В речта си за състоянието на Съюза председателят на Комисията Юнкер подкрепи идеята за </w:t>
      </w:r>
      <w:r>
        <w:rPr>
          <w:rFonts w:ascii="Times New Roman" w:hAnsi="Times New Roman"/>
          <w:b/>
          <w:noProof/>
        </w:rPr>
        <w:t>европейски министър на икономиката и финансите</w:t>
      </w:r>
      <w:r>
        <w:rPr>
          <w:rFonts w:ascii="Times New Roman" w:hAnsi="Times New Roman"/>
          <w:noProof/>
        </w:rPr>
        <w:t>. Според логиката, че формата е следствие на функцията, министърът ще играе важна роля за укрепването на съгласуваността, ефикасността, прозрачността и демократичната отчетност на икономическото управление на ЕС. Важно е също да се отбележи, че сливането на функцията на отговорния комисар, евентуално заместник-председател на Комисията, с тази на председателя на Еврогрупата вече е възможно съгласно действащите Договори на ЕС</w:t>
      </w:r>
      <w:r>
        <w:rPr>
          <w:rStyle w:val="FootnoteReference"/>
          <w:rFonts w:ascii="Times New Roman" w:hAnsi="Times New Roman"/>
          <w:noProof/>
        </w:rPr>
        <w:footnoteReference w:id="29"/>
      </w:r>
      <w:r>
        <w:rPr>
          <w:noProof/>
        </w:rPr>
        <w:t>.</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2"/>
        </w:rPr>
      </w:pPr>
      <w:r>
        <w:rPr>
          <w:rFonts w:ascii="Times New Roman" w:hAnsi="Times New Roman"/>
          <w:noProof/>
          <w:spacing w:val="-2"/>
        </w:rPr>
        <w:t>Сама по себе си сегашната архитектура на Икономическия и паричен съюз е сложна. Правомощията, функциите и инструментите се изпълняват от различни органи в различни и понякога припокриващи се правни уредби. Това не е оптимално за гражданите на ЕС и за създателите на политиката, тъй като възпрепятства възможността да се формулира и защитава общият икономически интерес на ЕС и в частност на еврозоната. Тази необходимост се почувства все по-силно през годините с превръщането на еврото във водеща международна валута и много измерения на Икономическия и паричен съюз се засилват. Това е и една от причините за факта, че настоящата Комисия укрепи своите способности за вътрешна координация, като определи нови хоризонтални роли за заместник-председателите на Комисията, които да координират няколко ресора на икономически, финансови и социални политики.</w:t>
      </w:r>
    </w:p>
    <w:p>
      <w:pPr>
        <w:spacing w:after="0"/>
        <w:jc w:val="both"/>
        <w:rPr>
          <w:rFonts w:ascii="Times New Roman" w:hAnsi="Times New Roman" w:cs="Times New Roman"/>
          <w:noProof/>
        </w:rPr>
      </w:pPr>
    </w:p>
    <w:p>
      <w:pPr>
        <w:spacing w:after="0"/>
        <w:jc w:val="both"/>
        <w:rPr>
          <w:rFonts w:ascii="Times New Roman" w:eastAsia="Times New Roman" w:hAnsi="Times New Roman" w:cs="Times New Roman"/>
          <w:noProof/>
          <w:spacing w:val="-2"/>
        </w:rPr>
      </w:pPr>
      <w:r>
        <w:rPr>
          <w:rFonts w:ascii="Times New Roman" w:hAnsi="Times New Roman"/>
          <w:noProof/>
          <w:spacing w:val="-2"/>
        </w:rPr>
        <w:t xml:space="preserve">В днешното съобщение се гледа към бъдещето и се посочва начинът, по който определени съществуващи функции могат да бъдат групирани към един европейски министър, за да се следва общият интерес на ЕС и икономиката в еврозоната, да се засили политическата координация и да се осигури по-добро съчетание от политики на всички равнища. Европейският министър ще наблюдава също използването на бюджетни инструменти на ЕС и еврозоната и ще се стреми да увеличи максимално тяхното въздействие в подкрепа на общите приоритети.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В съобщението се представя възможната институционална среда, в която министърът да функционира. Министърът ще укрепи европейското измерение на изготвянето на икономическата политика и ще осигури по-силен парламентарен контрол на равнище ЕС, без да поставя под въпрос националните компетенции. Като обединява съществуващите функции и наличния експертен опит на равнище ЕС, министърът ще допринесе за по-ефективна рамка за управление, която следва да допълва и улеснява упражняването на правомощия на национално равнище, както и във взаимодействието им на равнище ЕС.</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Създаването на такава позиция може да стане поетапно. Ролята на министъра в качеството му на заместник-председател на Комисията би могла да бъде създадена при </w:t>
      </w:r>
      <w:r>
        <w:rPr>
          <w:rFonts w:ascii="Times New Roman" w:hAnsi="Times New Roman"/>
          <w:b/>
          <w:noProof/>
        </w:rPr>
        <w:t>назначаването на следващата Комисия, считано от ноември 2019 г.</w:t>
      </w:r>
      <w:r>
        <w:rPr>
          <w:rFonts w:ascii="Times New Roman" w:hAnsi="Times New Roman"/>
          <w:noProof/>
        </w:rPr>
        <w:t xml:space="preserve"> За да е възможно той или тя да председателства Еврогрупата, в последната би могло да се постигне неофициално съгласие министърът да бъде избран за неин председател за </w:t>
      </w:r>
      <w:r>
        <w:rPr>
          <w:rFonts w:ascii="Times New Roman" w:hAnsi="Times New Roman"/>
          <w:b/>
          <w:noProof/>
        </w:rPr>
        <w:t>два последователни мандата</w:t>
      </w:r>
      <w:r>
        <w:rPr>
          <w:rFonts w:ascii="Times New Roman" w:hAnsi="Times New Roman"/>
          <w:noProof/>
        </w:rPr>
        <w:t xml:space="preserve">, приемайки по този начин нейният мандат да бъде с продължителността на мандата на Комисията. </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b/>
          <w:noProof/>
          <w:u w:val="single"/>
        </w:rPr>
      </w:pPr>
    </w:p>
    <w:p>
      <w:pPr>
        <w:pStyle w:val="ListParagraph"/>
        <w:numPr>
          <w:ilvl w:val="0"/>
          <w:numId w:val="43"/>
        </w:numPr>
        <w:jc w:val="both"/>
        <w:rPr>
          <w:rFonts w:ascii="Times New Roman Bold" w:hAnsi="Times New Roman Bold"/>
          <w:b/>
          <w:noProof/>
          <w:spacing w:val="-6"/>
          <w:u w:val="single"/>
        </w:rPr>
      </w:pPr>
      <w:r>
        <w:rPr>
          <w:rFonts w:ascii="Times New Roman Bold" w:hAnsi="Times New Roman Bold"/>
          <w:b/>
          <w:noProof/>
          <w:spacing w:val="-6"/>
          <w:u w:val="single"/>
        </w:rPr>
        <w:t xml:space="preserve">ПЪТНА КАРТА ЗА ЗАДЪЛБОЧАВАНЕ НА ИКОНОМИЧЕСКИЯ И ПАРИЧЕН СЪЮЗ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За преминаването от общите принципи към практическото изпълнение са необходими ясна идея за посоката и подходяща последователност на действията. Като следствие от доклада на петимата председатели, в Документа за размисъл относно задълбочаването на Икономическия и паричен съюз бе съставена пътна карта за неговото завършване до 2025 г., която продължава да е актуална.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b/>
          <w:noProof/>
        </w:rPr>
      </w:pPr>
      <w:r>
        <w:rPr>
          <w:rFonts w:ascii="Times New Roman" w:hAnsi="Times New Roman"/>
          <w:noProof/>
        </w:rPr>
        <w:t>Днешният пакет от мерки е част от този разширен дневен ред. Той е допълнение към вече предприетите и предстоящите стъпки. Като цяло е необходимо да се постигне напредък в четири допълнителни области:</w:t>
      </w:r>
      <w:r>
        <w:rPr>
          <w:rFonts w:ascii="Times New Roman" w:hAnsi="Times New Roman"/>
          <w:b/>
          <w:noProof/>
        </w:rPr>
        <w:t xml:space="preserve"> 1) финансов съюз; 2) фискален съюз; 3) икономически съюз и 4) демократична отчетност и засилено управление.</w:t>
      </w:r>
    </w:p>
    <w:p>
      <w:pPr>
        <w:spacing w:after="0"/>
        <w:jc w:val="both"/>
        <w:rPr>
          <w:rFonts w:ascii="Times New Roman" w:eastAsia="Times New Roman" w:hAnsi="Times New Roman" w:cs="Times New Roman"/>
          <w:b/>
          <w:noProof/>
        </w:rPr>
      </w:pPr>
    </w:p>
    <w:p>
      <w:pPr>
        <w:spacing w:after="0"/>
        <w:jc w:val="both"/>
        <w:rPr>
          <w:rFonts w:ascii="Times New Roman" w:eastAsia="Times New Roman" w:hAnsi="Times New Roman" w:cs="Times New Roman"/>
          <w:noProof/>
        </w:rPr>
      </w:pPr>
      <w:r>
        <w:rPr>
          <w:rFonts w:ascii="Times New Roman" w:hAnsi="Times New Roman"/>
          <w:noProof/>
        </w:rPr>
        <w:t>За да се предприемат първите стъпки, е важно да се знае посоката и да е ясен пътят напред. Като начин за структуриране на предстоящата работа в настоящото съобщение се набелязват инициативите, които трябва да бъдат обсъдени и договорени от съзаконодателите на ЕС през следващите осемнадесет месеца. Този пътна карта е представена също в допълнението, а нейните основни елементи са припомнени по-долу. Той също така установява възможния път до 2025 г.</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i/>
          <w:noProof/>
        </w:rPr>
      </w:pPr>
      <w:r>
        <w:rPr>
          <w:rFonts w:ascii="Times New Roman" w:hAnsi="Times New Roman"/>
          <w:i/>
          <w:noProof/>
        </w:rPr>
        <w:t>Финансов съюз</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Създаването на банковия съюз и съюза на капиталовите пазари значително намали оставащите рискове във финансовия сектор на ЕС, промени неговите основи и допринесе за неговата стабилност и устойчивост. При все това оставащите части от тази дейност трябва да бъдат приключени бързо.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b/>
          <w:noProof/>
        </w:rPr>
        <w:t>Съобщението на Комисията относно завършването на банковия съюз</w:t>
      </w:r>
      <w:r>
        <w:rPr>
          <w:rFonts w:ascii="Times New Roman" w:hAnsi="Times New Roman"/>
          <w:noProof/>
        </w:rPr>
        <w:t>, публикувано през октомври 2017 г</w:t>
      </w:r>
      <w:r>
        <w:rPr>
          <w:rStyle w:val="FootnoteReference"/>
          <w:rFonts w:ascii="Times New Roman" w:hAnsi="Times New Roman"/>
          <w:noProof/>
        </w:rPr>
        <w:footnoteReference w:id="30"/>
      </w:r>
      <w:r>
        <w:rPr>
          <w:rFonts w:ascii="Times New Roman" w:hAnsi="Times New Roman"/>
          <w:noProof/>
        </w:rPr>
        <w:t xml:space="preserve">., включва прагматичен път за бързо постигане на споразумение по нерешените въпроси. Тази конкретна пътна карта също е възпроизведена в допълнението. Тя включва на първо място и най-вече завършването на програмата за </w:t>
      </w:r>
      <w:r>
        <w:rPr>
          <w:rFonts w:ascii="Times New Roman" w:hAnsi="Times New Roman"/>
          <w:b/>
          <w:noProof/>
        </w:rPr>
        <w:t>намаляване на риска</w:t>
      </w:r>
      <w:r>
        <w:rPr>
          <w:rFonts w:ascii="Times New Roman" w:hAnsi="Times New Roman"/>
          <w:noProof/>
        </w:rPr>
        <w:t xml:space="preserve"> с цел по-нататъшното укрепване на устойчивостта на банките в ЕС. </w:t>
      </w:r>
      <w:r>
        <w:rPr>
          <w:rFonts w:ascii="Times New Roman" w:hAnsi="Times New Roman"/>
          <w:b/>
          <w:noProof/>
        </w:rPr>
        <w:t>През 2018 г.</w:t>
      </w:r>
      <w:r>
        <w:rPr>
          <w:rFonts w:ascii="Times New Roman" w:hAnsi="Times New Roman"/>
          <w:noProof/>
        </w:rPr>
        <w:t xml:space="preserve"> </w:t>
      </w:r>
      <w:r>
        <w:rPr>
          <w:rFonts w:ascii="Times New Roman" w:hAnsi="Times New Roman"/>
          <w:b/>
          <w:noProof/>
        </w:rPr>
        <w:t>трябва да бъде постигнато споразумение</w:t>
      </w:r>
      <w:r>
        <w:rPr>
          <w:rFonts w:ascii="Times New Roman" w:hAnsi="Times New Roman"/>
          <w:noProof/>
        </w:rPr>
        <w:t xml:space="preserve"> по редица инициативи, които понастоящем се обсъждат от Европейския парламент и Съвета, по-специално пакета на Комисията относно банковия сектор от ноември 2016 г.</w:t>
      </w:r>
      <w:r>
        <w:rPr>
          <w:rFonts w:ascii="Times New Roman" w:hAnsi="Times New Roman"/>
          <w:noProof/>
          <w:vertAlign w:val="superscript"/>
        </w:rPr>
        <w:footnoteReference w:id="31"/>
      </w:r>
      <w:r>
        <w:rPr>
          <w:rFonts w:ascii="Times New Roman" w:hAnsi="Times New Roman"/>
          <w:noProof/>
        </w:rPr>
        <w:t xml:space="preserve">, както и предложението относно несъстоятелността и преструктурирането на предприятия. Необходим е също решителен напредък в контекста на текущата национална и европейска дейност във връзка с </w:t>
      </w:r>
      <w:r>
        <w:rPr>
          <w:rFonts w:ascii="Times New Roman" w:hAnsi="Times New Roman"/>
          <w:b/>
          <w:noProof/>
        </w:rPr>
        <w:t>необслужваните заеми</w:t>
      </w:r>
      <w:r>
        <w:rPr>
          <w:rFonts w:ascii="Times New Roman" w:hAnsi="Times New Roman"/>
          <w:noProof/>
        </w:rPr>
        <w:t>, които продължават да представляват предизвикателство за някои части от банковия сектор</w:t>
      </w:r>
      <w:r>
        <w:rPr>
          <w:rFonts w:ascii="Times New Roman" w:hAnsi="Times New Roman"/>
          <w:noProof/>
          <w:vertAlign w:val="superscript"/>
        </w:rPr>
        <w:footnoteReference w:id="32"/>
      </w:r>
      <w:r>
        <w:rPr>
          <w:rFonts w:ascii="Times New Roman" w:hAnsi="Times New Roman"/>
          <w:noProof/>
        </w:rPr>
        <w:t xml:space="preserve">. Едновременно с това предложението за </w:t>
      </w:r>
      <w:r>
        <w:rPr>
          <w:rFonts w:ascii="Times New Roman" w:hAnsi="Times New Roman"/>
          <w:b/>
          <w:noProof/>
        </w:rPr>
        <w:t>европейска схема за застраховане на депозитите</w:t>
      </w:r>
      <w:r>
        <w:rPr>
          <w:rStyle w:val="FootnoteReference"/>
          <w:rFonts w:ascii="Times New Roman" w:hAnsi="Times New Roman"/>
          <w:noProof/>
        </w:rPr>
        <w:footnoteReference w:id="33"/>
      </w:r>
      <w:r>
        <w:rPr>
          <w:rFonts w:ascii="Times New Roman" w:hAnsi="Times New Roman"/>
          <w:noProof/>
        </w:rPr>
        <w:t xml:space="preserve"> следва да бъде одобрена от съзаконодателите до </w:t>
      </w:r>
      <w:r>
        <w:rPr>
          <w:rFonts w:ascii="Times New Roman" w:hAnsi="Times New Roman"/>
          <w:b/>
          <w:noProof/>
        </w:rPr>
        <w:t>края на 2018 г.</w:t>
      </w:r>
      <w:r>
        <w:rPr>
          <w:rFonts w:ascii="Times New Roman" w:hAnsi="Times New Roman"/>
          <w:noProof/>
        </w:rPr>
        <w:t xml:space="preserve"> До </w:t>
      </w:r>
      <w:r>
        <w:rPr>
          <w:rFonts w:ascii="Times New Roman" w:hAnsi="Times New Roman"/>
          <w:b/>
          <w:noProof/>
        </w:rPr>
        <w:t>средата на 2018 г.</w:t>
      </w:r>
      <w:r>
        <w:rPr>
          <w:rFonts w:ascii="Times New Roman" w:hAnsi="Times New Roman"/>
          <w:noProof/>
        </w:rPr>
        <w:t xml:space="preserve"> следва да има политическо съгласие по предложението за общ </w:t>
      </w:r>
      <w:r>
        <w:rPr>
          <w:rFonts w:ascii="Times New Roman" w:hAnsi="Times New Roman"/>
          <w:b/>
          <w:noProof/>
        </w:rPr>
        <w:t>механизъм за подкрепа за Единния фонд за преструктуриране</w:t>
      </w:r>
      <w:r>
        <w:rPr>
          <w:rFonts w:ascii="Times New Roman" w:hAnsi="Times New Roman"/>
          <w:noProof/>
        </w:rPr>
        <w:t xml:space="preserve"> с оглед на бързото му привеждане в действие до </w:t>
      </w:r>
      <w:r>
        <w:rPr>
          <w:rFonts w:ascii="Times New Roman" w:hAnsi="Times New Roman"/>
          <w:b/>
          <w:noProof/>
        </w:rPr>
        <w:t>2018 г.</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 същото време всички участници — институциите на ЕС, държавите членки, надзорните органи и пазарните субекти в цяла Европа — следва да положат повече усилия, за да стане </w:t>
      </w:r>
      <w:r>
        <w:rPr>
          <w:rFonts w:ascii="Times New Roman" w:hAnsi="Times New Roman"/>
          <w:b/>
          <w:noProof/>
        </w:rPr>
        <w:t>съюзът на капиталовите пазари</w:t>
      </w:r>
      <w:r>
        <w:rPr>
          <w:rFonts w:ascii="Times New Roman" w:hAnsi="Times New Roman"/>
          <w:noProof/>
        </w:rPr>
        <w:t xml:space="preserve"> реалност, при която широките и интегрирани капиталови пазари могат да изпълняват своята смекчаваща шоковете роля и да представляват ефикасен начин за споделяне на риска с частния сектор, като същевременно се подобри достъпът до финансиране, по-специално за стартиращи предприятия и дружества.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Комисията подкрепя текущата работа на Европейския съвет за системен риск по разработването на </w:t>
      </w:r>
      <w:r>
        <w:rPr>
          <w:rFonts w:ascii="Times New Roman" w:hAnsi="Times New Roman"/>
          <w:b/>
          <w:noProof/>
        </w:rPr>
        <w:t>европейски дългови инструменти, обезпечени с държавни облигации</w:t>
      </w:r>
      <w:r>
        <w:rPr>
          <w:rFonts w:ascii="Times New Roman" w:hAnsi="Times New Roman"/>
          <w:noProof/>
        </w:rPr>
        <w:t xml:space="preserve"> и ще представи рамка, позволяваща тяхното въвеждане </w:t>
      </w:r>
      <w:r>
        <w:rPr>
          <w:rFonts w:ascii="Times New Roman" w:hAnsi="Times New Roman"/>
          <w:b/>
          <w:noProof/>
        </w:rPr>
        <w:t>през пролетта на 2018 г.</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i/>
          <w:noProof/>
        </w:rPr>
      </w:pPr>
      <w:r>
        <w:rPr>
          <w:rFonts w:ascii="Times New Roman" w:hAnsi="Times New Roman"/>
          <w:i/>
          <w:noProof/>
        </w:rPr>
        <w:t>Фискален съюз</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Като част от европейския семестър за координация на икономическите политики Комисията ще продължи да работи за </w:t>
      </w:r>
      <w:r>
        <w:rPr>
          <w:rFonts w:ascii="Times New Roman" w:hAnsi="Times New Roman"/>
          <w:b/>
          <w:noProof/>
        </w:rPr>
        <w:t>отговорна фискална политика</w:t>
      </w:r>
      <w:r>
        <w:rPr>
          <w:rFonts w:ascii="Times New Roman" w:hAnsi="Times New Roman"/>
          <w:noProof/>
        </w:rPr>
        <w:t xml:space="preserve"> на национално равнище, като подпомага създаването на стабилни фискални рамки и обръща необходимото внимание на равнищата на дълга.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 насоките за политиката ще продължава да се взема предвид това, което е логично от икономическа и бюджетна гледна точка на конкретния етап от икономическия цикъл, както за съответните държави, така и за еврозоната като цяло. Комисията ще продължи да прилага правилата на Пакта за стабилност и растеж, като използва присъщата му гъвкавост в подкрепа на реформите и инвестициите. Тя ще продължи също така да поставя акцент върху </w:t>
      </w:r>
      <w:r>
        <w:rPr>
          <w:rFonts w:ascii="Times New Roman" w:hAnsi="Times New Roman"/>
          <w:b/>
          <w:noProof/>
        </w:rPr>
        <w:t>приоритетите на еврозоната</w:t>
      </w:r>
      <w:r>
        <w:rPr>
          <w:rFonts w:ascii="Times New Roman" w:hAnsi="Times New Roman"/>
          <w:noProof/>
        </w:rPr>
        <w:t xml:space="preserve"> като цяло, по-специално по отношение на съвкупната фискална позиция, в съответствие с годишната препоръка за икономическата политика на еврозоната</w:t>
      </w:r>
      <w:r>
        <w:rPr>
          <w:rStyle w:val="FootnoteReference"/>
          <w:rFonts w:ascii="Times New Roman" w:hAnsi="Times New Roman"/>
          <w:noProof/>
        </w:rPr>
        <w:footnoteReference w:id="34"/>
      </w:r>
      <w:r>
        <w:rPr>
          <w:noProof/>
        </w:rPr>
        <w:t>.</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Освен тези аспекти, както бе обяснено по-горе, </w:t>
      </w:r>
      <w:r>
        <w:rPr>
          <w:rFonts w:ascii="Times New Roman" w:hAnsi="Times New Roman"/>
          <w:b/>
          <w:noProof/>
        </w:rPr>
        <w:t>следващата многогодишна финансова рамка след 2020 г.</w:t>
      </w:r>
      <w:r>
        <w:rPr>
          <w:rFonts w:ascii="Times New Roman" w:hAnsi="Times New Roman"/>
          <w:noProof/>
        </w:rPr>
        <w:t xml:space="preserve"> ще бъде възлова възможност за модернизирането на публичните финанси на Съюза и за намирането на полезни взаимодействия с цел подкрепа на националните усилия за реформи и инвестиции, както и за смекчаването на големи асиметрични сътресения. През </w:t>
      </w:r>
      <w:r>
        <w:rPr>
          <w:rFonts w:ascii="Times New Roman" w:hAnsi="Times New Roman"/>
          <w:b/>
          <w:noProof/>
        </w:rPr>
        <w:t>май 2018 г.</w:t>
      </w:r>
      <w:r>
        <w:rPr>
          <w:rFonts w:ascii="Times New Roman" w:hAnsi="Times New Roman"/>
          <w:noProof/>
        </w:rPr>
        <w:t xml:space="preserve"> Комисията възнамерява да направи предложение за създаването на </w:t>
      </w:r>
      <w:r>
        <w:rPr>
          <w:rFonts w:ascii="Times New Roman" w:hAnsi="Times New Roman"/>
          <w:b/>
          <w:noProof/>
        </w:rPr>
        <w:t>функция за стабилизация</w:t>
      </w:r>
      <w:r>
        <w:rPr>
          <w:rFonts w:ascii="Times New Roman" w:hAnsi="Times New Roman"/>
          <w:noProof/>
        </w:rPr>
        <w:t xml:space="preserve">, която да бъде напълно развита с течение на времето, като част от предложенията за многогодишната финансова рамка след 2020 г.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И накрая, необходимостта да се обхване разнообразието на икономическите обстоятелства, която бе особено силно изразена през годините на кризата, доведе с течение на времето до по-усъвършенствани, но също така по-сложни фискални правила на равнище ЕС. Понякога това би могло да се отрази отрицателно на националната ангажираност за реформи и на ефективното им изпълнение. По-силната икономическа, фискална и финансова интеграция, заедно с пазарната дисциплина, следва да служат за основа за извършването на </w:t>
      </w:r>
      <w:r>
        <w:rPr>
          <w:rFonts w:ascii="Times New Roman" w:hAnsi="Times New Roman"/>
          <w:b/>
          <w:noProof/>
        </w:rPr>
        <w:t>преглед на фискалните правила</w:t>
      </w:r>
      <w:r>
        <w:rPr>
          <w:rFonts w:ascii="Times New Roman" w:hAnsi="Times New Roman"/>
          <w:noProof/>
        </w:rPr>
        <w:t xml:space="preserve"> на ЕС в по-дългосрочен план, с цел значително опростяване от 2025 г.</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i/>
          <w:noProof/>
        </w:rPr>
        <w:t>Икономически съюз</w:t>
      </w:r>
    </w:p>
    <w:p>
      <w:pPr>
        <w:spacing w:after="0"/>
        <w:jc w:val="both"/>
        <w:rPr>
          <w:rFonts w:ascii="Times New Roman" w:eastAsia="Times New Roman" w:hAnsi="Times New Roman" w:cs="Times New Roman"/>
          <w:i/>
          <w:noProof/>
        </w:rPr>
      </w:pPr>
    </w:p>
    <w:p>
      <w:pPr>
        <w:spacing w:after="0"/>
        <w:jc w:val="both"/>
        <w:rPr>
          <w:rFonts w:ascii="Times New Roman" w:eastAsia="Times New Roman" w:hAnsi="Times New Roman" w:cs="Times New Roman"/>
          <w:noProof/>
        </w:rPr>
      </w:pPr>
      <w:r>
        <w:rPr>
          <w:rFonts w:ascii="Times New Roman" w:hAnsi="Times New Roman"/>
          <w:noProof/>
        </w:rPr>
        <w:t xml:space="preserve">Понятията за сближаване и интеграция са в центъра на нашия икономически съюз. За да постигнат устойчив просперитет, държавите членки трябва да продължат да се съсредоточават върху необходимите реформи, за да модернизират своите икономик, да ги направят по-устойчиви на евентуални сътресения и да подобрят техните перспективи за растеж. Приоритетите за реформи се обсъждат и наблюдават на годишна основа в рамките на </w:t>
      </w:r>
      <w:r>
        <w:rPr>
          <w:rFonts w:ascii="Times New Roman" w:hAnsi="Times New Roman"/>
          <w:b/>
          <w:noProof/>
        </w:rPr>
        <w:t>европейския семестър за координация на икономическите политики</w:t>
      </w:r>
      <w:r>
        <w:rPr>
          <w:rFonts w:ascii="Times New Roman" w:hAnsi="Times New Roman"/>
          <w:noProof/>
        </w:rPr>
        <w:t>.</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В бъдеще, правната уредба на Съюза следва да продължи да </w:t>
      </w:r>
      <w:r>
        <w:rPr>
          <w:rFonts w:ascii="Times New Roman" w:hAnsi="Times New Roman"/>
          <w:b/>
          <w:noProof/>
        </w:rPr>
        <w:t>подкрепя процеса на реформи за постигане на реално сближаване</w:t>
      </w:r>
      <w:r>
        <w:rPr>
          <w:rFonts w:ascii="Times New Roman" w:hAnsi="Times New Roman"/>
          <w:noProof/>
        </w:rPr>
        <w:t xml:space="preserve"> в целия ЕС, както в рамките на еврозоната, така и за страните, които се готвят за присъединяване към еврото. Както беше обяснено по-горе, Комисията ще започне с пилотни действия за периода 2018—2020 г. и ще представи конкретни предложения за подпомагане на договорените реформи през </w:t>
      </w:r>
      <w:r>
        <w:rPr>
          <w:rFonts w:ascii="Times New Roman" w:hAnsi="Times New Roman"/>
          <w:b/>
          <w:noProof/>
        </w:rPr>
        <w:t>май 2018 г.</w:t>
      </w:r>
      <w:r>
        <w:rPr>
          <w:rFonts w:ascii="Times New Roman" w:hAnsi="Times New Roman"/>
          <w:noProof/>
        </w:rPr>
        <w:t xml:space="preserve"> </w:t>
      </w:r>
      <w:r>
        <w:rPr>
          <w:rFonts w:ascii="Times New Roman" w:hAnsi="Times New Roman"/>
          <w:b/>
          <w:noProof/>
        </w:rPr>
        <w:t>с оглед на многогодишната финансова рамка след 2020 г.</w:t>
      </w:r>
      <w:r>
        <w:rPr>
          <w:rFonts w:ascii="Times New Roman" w:hAnsi="Times New Roman"/>
          <w:noProof/>
        </w:rPr>
        <w:t xml:space="preserve"> Това следва да бъде договорено преди следващите избори за Европейски парламент.</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spacing w:val="-2"/>
        </w:rPr>
      </w:pPr>
      <w:r>
        <w:rPr>
          <w:rFonts w:ascii="Times New Roman" w:hAnsi="Times New Roman"/>
          <w:noProof/>
          <w:spacing w:val="-2"/>
        </w:rPr>
        <w:t xml:space="preserve">Освен това през 2018 г. Европейският парламент и Съветът следва да приемат предложението </w:t>
      </w:r>
      <w:r>
        <w:rPr>
          <w:rFonts w:ascii="Times New Roman" w:hAnsi="Times New Roman"/>
          <w:b/>
          <w:noProof/>
          <w:spacing w:val="-2"/>
        </w:rPr>
        <w:t>за засилване на бюджета на Програмата за подкрепа на структурните реформи</w:t>
      </w:r>
      <w:r>
        <w:rPr>
          <w:rFonts w:ascii="Times New Roman" w:hAnsi="Times New Roman"/>
          <w:noProof/>
          <w:spacing w:val="-2"/>
        </w:rPr>
        <w:t xml:space="preserve"> за следващите две години. Наред с другите функции ще бъде разработен специален работен процес за предоставянето на специализирана помощ на държави, които планират да приемат еврото в определен времеви хоризонт. За периода след 2020 г. Комисията възнамерява да предложи да бъде </w:t>
      </w:r>
      <w:r>
        <w:rPr>
          <w:rFonts w:ascii="Times New Roman" w:hAnsi="Times New Roman"/>
          <w:b/>
          <w:noProof/>
          <w:spacing w:val="-2"/>
        </w:rPr>
        <w:t>продължена Програмата за подкрепа на структурните реформи</w:t>
      </w:r>
      <w:r>
        <w:rPr>
          <w:rFonts w:ascii="Times New Roman" w:hAnsi="Times New Roman"/>
          <w:noProof/>
          <w:spacing w:val="-2"/>
        </w:rPr>
        <w:t xml:space="preserve">. Предложението ще включва също </w:t>
      </w:r>
      <w:r>
        <w:rPr>
          <w:rFonts w:ascii="Times New Roman" w:hAnsi="Times New Roman"/>
          <w:b/>
          <w:noProof/>
          <w:spacing w:val="-2"/>
        </w:rPr>
        <w:t>специален механизъм за сближаване</w:t>
      </w:r>
      <w:r>
        <w:rPr>
          <w:rFonts w:ascii="Times New Roman" w:hAnsi="Times New Roman"/>
          <w:noProof/>
          <w:spacing w:val="-2"/>
        </w:rPr>
        <w:t xml:space="preserve"> за държавите членки извън еврозоната.</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Накрая, по-нататъшното укрепване на </w:t>
      </w:r>
      <w:r>
        <w:rPr>
          <w:rFonts w:ascii="Times New Roman" w:hAnsi="Times New Roman"/>
          <w:b/>
          <w:noProof/>
        </w:rPr>
        <w:t>координацията на националните икономически политики</w:t>
      </w:r>
      <w:r>
        <w:rPr>
          <w:rFonts w:ascii="Times New Roman" w:hAnsi="Times New Roman"/>
          <w:noProof/>
        </w:rPr>
        <w:t xml:space="preserve"> е важно за сближаването. Годишният процес на координация на политиките ще продължи да бъде свързан </w:t>
      </w:r>
      <w:r>
        <w:rPr>
          <w:rFonts w:ascii="Times New Roman" w:hAnsi="Times New Roman"/>
          <w:b/>
          <w:noProof/>
        </w:rPr>
        <w:t>все повече с</w:t>
      </w:r>
      <w:r>
        <w:rPr>
          <w:rFonts w:ascii="Times New Roman" w:hAnsi="Times New Roman"/>
          <w:noProof/>
        </w:rPr>
        <w:t xml:space="preserve"> </w:t>
      </w:r>
      <w:r>
        <w:rPr>
          <w:rFonts w:ascii="Times New Roman" w:hAnsi="Times New Roman"/>
          <w:b/>
          <w:noProof/>
        </w:rPr>
        <w:t>многогодишен подход</w:t>
      </w:r>
      <w:r>
        <w:rPr>
          <w:rFonts w:ascii="Times New Roman" w:hAnsi="Times New Roman"/>
          <w:noProof/>
        </w:rPr>
        <w:t xml:space="preserve"> към реформи, започнати от националните правителства. В този процес ще бъде важно също така да се запази силното социално измерение на всички дейности. Принципите и правата на </w:t>
      </w:r>
      <w:r>
        <w:rPr>
          <w:rFonts w:ascii="Times New Roman" w:hAnsi="Times New Roman"/>
          <w:b/>
          <w:noProof/>
        </w:rPr>
        <w:t>европейския стълб на социалните права</w:t>
      </w:r>
      <w:r>
        <w:rPr>
          <w:rFonts w:ascii="Times New Roman" w:hAnsi="Times New Roman"/>
          <w:noProof/>
        </w:rPr>
        <w:t>, който беше прокламиран в Гьотеборг на 17 ноември 2017 г., ще осигури ориентир за подновеното сближаване в посока на по-добри условия на живот и труд</w:t>
      </w:r>
      <w:r>
        <w:rPr>
          <w:rStyle w:val="FootnoteReference"/>
          <w:rFonts w:ascii="Times New Roman" w:hAnsi="Times New Roman"/>
          <w:noProof/>
        </w:rPr>
        <w:footnoteReference w:id="35"/>
      </w:r>
      <w:r>
        <w:rPr>
          <w:rFonts w:ascii="Times New Roman" w:hAnsi="Times New Roman"/>
          <w:noProof/>
        </w:rPr>
        <w:t xml:space="preserve">. Освен това през следващите 18 месеца следва да бъде засилена текущата работа в Съвета и в Еврогрупата по </w:t>
      </w:r>
      <w:r>
        <w:rPr>
          <w:rFonts w:ascii="Times New Roman" w:hAnsi="Times New Roman"/>
          <w:b/>
          <w:noProof/>
        </w:rPr>
        <w:t>сравнителния анализ на политиките на базата на референтни показатели</w:t>
      </w:r>
      <w:r>
        <w:rPr>
          <w:rFonts w:ascii="Times New Roman" w:hAnsi="Times New Roman"/>
          <w:noProof/>
        </w:rPr>
        <w:t xml:space="preserve"> и определянето на </w:t>
      </w:r>
      <w:r>
        <w:rPr>
          <w:rFonts w:ascii="Times New Roman" w:hAnsi="Times New Roman"/>
          <w:b/>
          <w:noProof/>
        </w:rPr>
        <w:t>стандарти за сближаване</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i/>
          <w:noProof/>
        </w:rPr>
      </w:pPr>
      <w:r>
        <w:rPr>
          <w:rFonts w:ascii="Times New Roman" w:hAnsi="Times New Roman"/>
          <w:i/>
          <w:noProof/>
        </w:rPr>
        <w:t>Демократична отчетност и засилено управление</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Както е обяснено по-горе, </w:t>
      </w:r>
      <w:r>
        <w:rPr>
          <w:rFonts w:ascii="Times New Roman" w:hAnsi="Times New Roman"/>
          <w:b/>
          <w:noProof/>
        </w:rPr>
        <w:t>включването в правната уредба на Съюза както на Европейския механизъм за стабилност, така и на Договора за стабилност, координация и управление в уредбата на Съюза до средата на 2019 г.</w:t>
      </w:r>
      <w:r>
        <w:rPr>
          <w:rFonts w:ascii="Times New Roman" w:hAnsi="Times New Roman"/>
          <w:noProof/>
        </w:rPr>
        <w:t xml:space="preserve"> ще бъде полезна стъпка за укрепването на институционалната ефективност, прозрачност и отчетност.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Европейският парламент и националните парламенти трябва да разполагат с достатъчни правомощия да упражняват контрол. През последните години Комисията разви ефективен редовен </w:t>
      </w:r>
      <w:r>
        <w:rPr>
          <w:rFonts w:ascii="Times New Roman" w:hAnsi="Times New Roman"/>
          <w:b/>
          <w:noProof/>
        </w:rPr>
        <w:t>диалог с Европейския парламент</w:t>
      </w:r>
      <w:r>
        <w:rPr>
          <w:rFonts w:ascii="Times New Roman" w:hAnsi="Times New Roman"/>
          <w:noProof/>
        </w:rPr>
        <w:t xml:space="preserve"> по въпроси, свързани с икономическата политика на ЕС и на еврозоната. С оглед на днешните предложения двете институции биха могли да официализират тези практики до </w:t>
      </w:r>
      <w:r>
        <w:rPr>
          <w:rFonts w:ascii="Times New Roman" w:hAnsi="Times New Roman"/>
          <w:b/>
          <w:noProof/>
        </w:rPr>
        <w:t>края на 2018 г.</w:t>
      </w:r>
      <w:r>
        <w:rPr>
          <w:rFonts w:ascii="Times New Roman" w:hAnsi="Times New Roman"/>
          <w:noProof/>
        </w:rPr>
        <w:t xml:space="preserve"> </w:t>
      </w:r>
    </w:p>
    <w:p>
      <w:pPr>
        <w:spacing w:after="0"/>
        <w:jc w:val="both"/>
        <w:rPr>
          <w:rFonts w:ascii="Times New Roman" w:eastAsia="Times New Roman" w:hAnsi="Times New Roman" w:cs="Times New Roman"/>
          <w:noProof/>
        </w:rPr>
      </w:pPr>
    </w:p>
    <w:p>
      <w:pPr>
        <w:spacing w:after="0"/>
        <w:jc w:val="both"/>
        <w:rPr>
          <w:rFonts w:ascii="Times New Roman" w:eastAsia="Times New Roman" w:hAnsi="Times New Roman" w:cs="Times New Roman"/>
          <w:noProof/>
        </w:rPr>
      </w:pPr>
      <w:r>
        <w:rPr>
          <w:rFonts w:ascii="Times New Roman" w:hAnsi="Times New Roman"/>
          <w:noProof/>
        </w:rPr>
        <w:t xml:space="preserve">Освен това създаването на поста на </w:t>
      </w:r>
      <w:r>
        <w:rPr>
          <w:rFonts w:ascii="Times New Roman" w:hAnsi="Times New Roman"/>
          <w:b/>
          <w:noProof/>
        </w:rPr>
        <w:t>европейски министър на икономиката и финансите</w:t>
      </w:r>
      <w:r>
        <w:rPr>
          <w:rFonts w:ascii="Times New Roman" w:hAnsi="Times New Roman"/>
          <w:noProof/>
        </w:rPr>
        <w:t xml:space="preserve"> би могло се обмисли като част от назначаването на следващата Комисия, считано от </w:t>
      </w:r>
      <w:r>
        <w:rPr>
          <w:rFonts w:ascii="Times New Roman" w:hAnsi="Times New Roman"/>
          <w:b/>
          <w:noProof/>
        </w:rPr>
        <w:t>ноември 2019 г.</w:t>
      </w:r>
      <w:r>
        <w:rPr>
          <w:rFonts w:ascii="Times New Roman" w:hAnsi="Times New Roman"/>
          <w:noProof/>
        </w:rPr>
        <w:t xml:space="preserve">, като Еврогрупата избере министъра за свой председател за два последователни мандата. Едновременно с това укрепването на вътрешното координиране по въпросите, свързани с Икономическия и паричен съюз, следва да бъде съпроводено с </w:t>
      </w:r>
      <w:r>
        <w:rPr>
          <w:rFonts w:ascii="Times New Roman" w:hAnsi="Times New Roman"/>
          <w:b/>
          <w:noProof/>
        </w:rPr>
        <w:t>по-единно външно представителство на еврозоната</w:t>
      </w:r>
      <w:r>
        <w:rPr>
          <w:rFonts w:ascii="Times New Roman" w:hAnsi="Times New Roman"/>
          <w:noProof/>
        </w:rPr>
        <w:t>, както бе предложено от Комисията през 2015 г</w:t>
      </w:r>
      <w:r>
        <w:rPr>
          <w:rFonts w:ascii="Times New Roman" w:hAnsi="Times New Roman"/>
          <w:noProof/>
          <w:vertAlign w:val="superscript"/>
        </w:rPr>
        <w:footnoteReference w:id="36"/>
      </w:r>
      <w:r>
        <w:rPr>
          <w:rFonts w:ascii="Times New Roman" w:hAnsi="Times New Roman"/>
          <w:noProof/>
        </w:rPr>
        <w:t>.</w:t>
      </w:r>
    </w:p>
    <w:p>
      <w:pPr>
        <w:spacing w:after="0"/>
        <w:jc w:val="both"/>
        <w:rPr>
          <w:rFonts w:ascii="Times New Roman" w:eastAsia="Times New Roman" w:hAnsi="Times New Roman" w:cs="Times New Roman"/>
          <w:noProof/>
          <w:lang w:val="it-IT"/>
        </w:rPr>
      </w:pPr>
    </w:p>
    <w:p>
      <w:pPr>
        <w:spacing w:after="0"/>
        <w:jc w:val="both"/>
        <w:rPr>
          <w:rFonts w:ascii="Times New Roman" w:eastAsia="Times New Roman" w:hAnsi="Times New Roman" w:cs="Times New Roman"/>
          <w:noProof/>
          <w:lang w:val="it-IT"/>
        </w:rPr>
      </w:pPr>
    </w:p>
    <w:p>
      <w:pPr>
        <w:pStyle w:val="ListParagraph"/>
        <w:numPr>
          <w:ilvl w:val="0"/>
          <w:numId w:val="43"/>
        </w:numPr>
        <w:jc w:val="both"/>
        <w:rPr>
          <w:b/>
          <w:noProof/>
          <w:u w:val="single"/>
        </w:rPr>
      </w:pPr>
      <w:r>
        <w:rPr>
          <w:b/>
          <w:noProof/>
          <w:u w:val="single"/>
        </w:rPr>
        <w:t>ЗАКЛЮЧЕНИЯ</w:t>
      </w:r>
    </w:p>
    <w:p>
      <w:pPr>
        <w:spacing w:after="0"/>
        <w:jc w:val="both"/>
        <w:rPr>
          <w:rFonts w:ascii="Times New Roman" w:eastAsia="Times New Roman" w:hAnsi="Times New Roman" w:cs="Times New Roman"/>
          <w:b/>
          <w:noProof/>
          <w:u w:val="single"/>
        </w:rPr>
      </w:pPr>
    </w:p>
    <w:p>
      <w:pPr>
        <w:spacing w:after="0"/>
        <w:jc w:val="both"/>
        <w:rPr>
          <w:rFonts w:ascii="Times New Roman" w:eastAsia="Times New Roman" w:hAnsi="Times New Roman" w:cs="Times New Roman"/>
          <w:noProof/>
        </w:rPr>
      </w:pPr>
      <w:r>
        <w:rPr>
          <w:rFonts w:ascii="Times New Roman" w:hAnsi="Times New Roman"/>
          <w:noProof/>
        </w:rPr>
        <w:t xml:space="preserve">Представеният днес пакет представлява допълнителна важна стъпка за задълбочаването на европейския икономически и паричен съюз. Това също е основен елемент по пътя към </w:t>
      </w:r>
      <w:r>
        <w:rPr>
          <w:rFonts w:ascii="Times New Roman" w:hAnsi="Times New Roman"/>
          <w:b/>
          <w:noProof/>
        </w:rPr>
        <w:t>по-обединен, по-силен и по-демократичен съюз</w:t>
      </w:r>
      <w:r>
        <w:rPr>
          <w:rFonts w:ascii="Times New Roman" w:hAnsi="Times New Roman"/>
          <w:noProof/>
        </w:rPr>
        <w:t>.</w:t>
      </w:r>
      <w:r>
        <w:rPr>
          <w:rFonts w:ascii="Times New Roman" w:hAnsi="Times New Roman"/>
          <w:b/>
          <w:noProof/>
        </w:rPr>
        <w:t xml:space="preserve"> </w:t>
      </w:r>
      <w:r>
        <w:rPr>
          <w:rFonts w:ascii="Times New Roman" w:hAnsi="Times New Roman"/>
          <w:noProof/>
        </w:rPr>
        <w:t>Въз основа на програмата на лидерите през следващите няколко месеца се очаква да бъдат приети конкретни решения. Комисията е на мнение, че следва да бъде договорена пътна карта, която да включва следните действия през следващите 18 месеца:</w:t>
      </w:r>
    </w:p>
    <w:p>
      <w:pPr>
        <w:spacing w:after="0"/>
        <w:jc w:val="both"/>
        <w:rPr>
          <w:rFonts w:ascii="Times New Roman" w:eastAsia="Times New Roman" w:hAnsi="Times New Roman" w:cs="Times New Roman"/>
          <w:noProof/>
          <w:sz w:val="16"/>
          <w:szCs w:val="16"/>
        </w:rPr>
      </w:pPr>
    </w:p>
    <w:p>
      <w:pPr>
        <w:spacing w:after="80"/>
        <w:jc w:val="both"/>
        <w:rPr>
          <w:rFonts w:ascii="Times New Roman" w:eastAsia="Times New Roman" w:hAnsi="Times New Roman" w:cs="Times New Roman"/>
          <w:i/>
          <w:noProof/>
        </w:rPr>
      </w:pPr>
      <w:r>
        <w:rPr>
          <w:rFonts w:ascii="Times New Roman" w:hAnsi="Times New Roman"/>
          <w:b/>
          <w:i/>
          <w:noProof/>
        </w:rPr>
        <w:t>До средата на 2018 г.</w:t>
      </w:r>
      <w:r>
        <w:rPr>
          <w:rFonts w:ascii="Times New Roman" w:hAnsi="Times New Roman"/>
          <w:i/>
          <w:noProof/>
        </w:rPr>
        <w:t>:</w:t>
      </w:r>
    </w:p>
    <w:p>
      <w:pPr>
        <w:pStyle w:val="ListParagraph"/>
        <w:numPr>
          <w:ilvl w:val="0"/>
          <w:numId w:val="46"/>
        </w:numPr>
        <w:spacing w:line="276" w:lineRule="auto"/>
        <w:ind w:left="360"/>
        <w:jc w:val="both"/>
        <w:rPr>
          <w:noProof/>
          <w:sz w:val="22"/>
          <w:szCs w:val="22"/>
        </w:rPr>
      </w:pPr>
      <w:r>
        <w:rPr>
          <w:noProof/>
          <w:sz w:val="22"/>
        </w:rPr>
        <w:t xml:space="preserve">приемане на необходимите </w:t>
      </w:r>
      <w:r>
        <w:rPr>
          <w:b/>
          <w:noProof/>
          <w:sz w:val="22"/>
        </w:rPr>
        <w:t>правни актове</w:t>
      </w:r>
      <w:r>
        <w:rPr>
          <w:noProof/>
          <w:sz w:val="22"/>
        </w:rPr>
        <w:t xml:space="preserve"> </w:t>
      </w:r>
      <w:r>
        <w:rPr>
          <w:b/>
          <w:noProof/>
          <w:sz w:val="22"/>
        </w:rPr>
        <w:t>за завършването на банковия съюз</w:t>
      </w:r>
      <w:r>
        <w:rPr>
          <w:noProof/>
          <w:sz w:val="22"/>
        </w:rPr>
        <w:t xml:space="preserve">, включително </w:t>
      </w:r>
      <w:r>
        <w:rPr>
          <w:b/>
          <w:noProof/>
          <w:sz w:val="22"/>
        </w:rPr>
        <w:t>пакета</w:t>
      </w:r>
      <w:r>
        <w:rPr>
          <w:noProof/>
          <w:sz w:val="22"/>
        </w:rPr>
        <w:t xml:space="preserve"> от ноември 2016 г. </w:t>
      </w:r>
      <w:r>
        <w:rPr>
          <w:b/>
          <w:noProof/>
          <w:sz w:val="22"/>
        </w:rPr>
        <w:t>за намаляване на риска</w:t>
      </w:r>
      <w:r>
        <w:rPr>
          <w:noProof/>
          <w:sz w:val="22"/>
        </w:rPr>
        <w:t xml:space="preserve"> с цел укрепване на устойчивостта на банките в ЕС. Едновременно с това трябва да продължи работата по предложения, свързани със съюза на капиталовите пазари.</w:t>
      </w:r>
    </w:p>
    <w:p>
      <w:pPr>
        <w:spacing w:after="0"/>
        <w:jc w:val="both"/>
        <w:rPr>
          <w:i/>
          <w:noProof/>
          <w:sz w:val="8"/>
          <w:szCs w:val="8"/>
        </w:rPr>
      </w:pPr>
    </w:p>
    <w:p>
      <w:pPr>
        <w:pStyle w:val="ListParagraph"/>
        <w:numPr>
          <w:ilvl w:val="0"/>
          <w:numId w:val="46"/>
        </w:numPr>
        <w:spacing w:line="276" w:lineRule="auto"/>
        <w:ind w:left="360"/>
        <w:jc w:val="both"/>
        <w:rPr>
          <w:noProof/>
          <w:sz w:val="22"/>
          <w:szCs w:val="22"/>
        </w:rPr>
      </w:pPr>
      <w:r>
        <w:rPr>
          <w:noProof/>
          <w:sz w:val="22"/>
        </w:rPr>
        <w:t xml:space="preserve">постигане на съгласие за </w:t>
      </w:r>
      <w:r>
        <w:rPr>
          <w:b/>
          <w:noProof/>
          <w:sz w:val="22"/>
        </w:rPr>
        <w:t>общ механизъм за подкрепа за Единния фонд за преструктуриране</w:t>
      </w:r>
      <w:r>
        <w:rPr>
          <w:noProof/>
          <w:sz w:val="22"/>
        </w:rPr>
        <w:t xml:space="preserve"> с оглед на бързото му привеждане в действие до 2019 г. </w:t>
      </w:r>
    </w:p>
    <w:p>
      <w:pPr>
        <w:pStyle w:val="ListParagraph"/>
        <w:spacing w:line="276" w:lineRule="auto"/>
        <w:ind w:left="360"/>
        <w:jc w:val="both"/>
        <w:rPr>
          <w:noProof/>
          <w:sz w:val="12"/>
          <w:szCs w:val="12"/>
        </w:rPr>
      </w:pPr>
    </w:p>
    <w:p>
      <w:pPr>
        <w:pStyle w:val="ListParagraph"/>
        <w:numPr>
          <w:ilvl w:val="0"/>
          <w:numId w:val="48"/>
        </w:numPr>
        <w:spacing w:line="276" w:lineRule="auto"/>
        <w:jc w:val="both"/>
        <w:rPr>
          <w:noProof/>
          <w:sz w:val="22"/>
          <w:szCs w:val="22"/>
        </w:rPr>
      </w:pPr>
      <w:r>
        <w:rPr>
          <w:noProof/>
          <w:sz w:val="22"/>
        </w:rPr>
        <w:t xml:space="preserve">приемане на предложението за изменение за удвояване на дейностите по </w:t>
      </w:r>
      <w:r>
        <w:rPr>
          <w:b/>
          <w:noProof/>
          <w:sz w:val="22"/>
        </w:rPr>
        <w:t>Програмата за подкрепа на структурните реформи</w:t>
      </w:r>
      <w:r>
        <w:rPr>
          <w:noProof/>
          <w:sz w:val="22"/>
        </w:rPr>
        <w:t xml:space="preserve"> до 2020 г.</w:t>
      </w:r>
    </w:p>
    <w:p>
      <w:pPr>
        <w:pStyle w:val="ListParagraph"/>
        <w:spacing w:line="276" w:lineRule="auto"/>
        <w:ind w:left="360"/>
        <w:jc w:val="both"/>
        <w:rPr>
          <w:noProof/>
          <w:sz w:val="8"/>
          <w:szCs w:val="8"/>
        </w:rPr>
      </w:pPr>
    </w:p>
    <w:p>
      <w:pPr>
        <w:pStyle w:val="ListParagraph"/>
        <w:numPr>
          <w:ilvl w:val="0"/>
          <w:numId w:val="48"/>
        </w:numPr>
        <w:spacing w:line="276" w:lineRule="auto"/>
        <w:jc w:val="both"/>
        <w:rPr>
          <w:noProof/>
          <w:sz w:val="22"/>
          <w:szCs w:val="22"/>
        </w:rPr>
      </w:pPr>
      <w:r>
        <w:rPr>
          <w:noProof/>
          <w:sz w:val="22"/>
        </w:rPr>
        <w:t xml:space="preserve">приемане на целенасочените промени в </w:t>
      </w:r>
      <w:r>
        <w:rPr>
          <w:b/>
          <w:noProof/>
          <w:sz w:val="22"/>
        </w:rPr>
        <w:t>Регламента за общоприложимите разпоредби</w:t>
      </w:r>
      <w:r>
        <w:rPr>
          <w:noProof/>
          <w:sz w:val="22"/>
        </w:rPr>
        <w:t xml:space="preserve"> в подкрепа на изпълнението на националните реформи.</w:t>
      </w:r>
    </w:p>
    <w:p>
      <w:pPr>
        <w:spacing w:after="120"/>
        <w:jc w:val="both"/>
        <w:rPr>
          <w:rFonts w:ascii="Times New Roman" w:eastAsia="Times New Roman" w:hAnsi="Times New Roman" w:cs="Times New Roman"/>
          <w:i/>
          <w:noProof/>
          <w:sz w:val="12"/>
          <w:szCs w:val="12"/>
        </w:rPr>
      </w:pPr>
    </w:p>
    <w:p>
      <w:pPr>
        <w:spacing w:after="80"/>
        <w:jc w:val="both"/>
        <w:rPr>
          <w:rFonts w:ascii="Times New Roman" w:eastAsia="Times New Roman" w:hAnsi="Times New Roman" w:cs="Times New Roman"/>
          <w:i/>
          <w:noProof/>
        </w:rPr>
      </w:pPr>
      <w:r>
        <w:rPr>
          <w:rFonts w:ascii="Times New Roman" w:hAnsi="Times New Roman"/>
          <w:b/>
          <w:i/>
          <w:noProof/>
        </w:rPr>
        <w:t>До края на 2018 г.</w:t>
      </w:r>
      <w:r>
        <w:rPr>
          <w:rFonts w:ascii="Times New Roman" w:hAnsi="Times New Roman"/>
          <w:i/>
          <w:noProof/>
        </w:rPr>
        <w:t>:</w:t>
      </w:r>
    </w:p>
    <w:p>
      <w:pPr>
        <w:pStyle w:val="ListParagraph"/>
        <w:numPr>
          <w:ilvl w:val="0"/>
          <w:numId w:val="52"/>
        </w:numPr>
        <w:spacing w:line="276" w:lineRule="auto"/>
        <w:ind w:left="360"/>
        <w:jc w:val="both"/>
        <w:rPr>
          <w:noProof/>
          <w:sz w:val="22"/>
          <w:szCs w:val="22"/>
        </w:rPr>
      </w:pPr>
      <w:r>
        <w:rPr>
          <w:noProof/>
          <w:sz w:val="22"/>
        </w:rPr>
        <w:t xml:space="preserve">приемане на предложението за </w:t>
      </w:r>
      <w:r>
        <w:rPr>
          <w:b/>
          <w:noProof/>
          <w:sz w:val="22"/>
        </w:rPr>
        <w:t>европейска схема за гарантиране на депозитите</w:t>
      </w:r>
      <w:r>
        <w:rPr>
          <w:noProof/>
          <w:sz w:val="22"/>
        </w:rPr>
        <w:t>;</w:t>
      </w:r>
    </w:p>
    <w:p>
      <w:pPr>
        <w:pStyle w:val="ListParagraph"/>
        <w:spacing w:line="276" w:lineRule="auto"/>
        <w:ind w:left="360"/>
        <w:jc w:val="both"/>
        <w:rPr>
          <w:noProof/>
          <w:sz w:val="8"/>
          <w:szCs w:val="8"/>
        </w:rPr>
      </w:pPr>
    </w:p>
    <w:p>
      <w:pPr>
        <w:pStyle w:val="ListParagraph"/>
        <w:numPr>
          <w:ilvl w:val="0"/>
          <w:numId w:val="52"/>
        </w:numPr>
        <w:spacing w:line="276" w:lineRule="auto"/>
        <w:ind w:left="360"/>
        <w:jc w:val="both"/>
        <w:rPr>
          <w:noProof/>
          <w:sz w:val="22"/>
          <w:szCs w:val="22"/>
        </w:rPr>
      </w:pPr>
      <w:r>
        <w:rPr>
          <w:noProof/>
          <w:sz w:val="22"/>
        </w:rPr>
        <w:t xml:space="preserve">формализиране на </w:t>
      </w:r>
      <w:r>
        <w:rPr>
          <w:b/>
          <w:noProof/>
          <w:sz w:val="22"/>
        </w:rPr>
        <w:t>практиките за диалог между Европейския парламент и Комисията</w:t>
      </w:r>
      <w:r>
        <w:rPr>
          <w:noProof/>
          <w:sz w:val="22"/>
        </w:rPr>
        <w:t xml:space="preserve">. </w:t>
      </w:r>
    </w:p>
    <w:p>
      <w:pPr>
        <w:pStyle w:val="ListParagraph"/>
        <w:spacing w:line="276" w:lineRule="auto"/>
        <w:jc w:val="both"/>
        <w:rPr>
          <w:noProof/>
          <w:sz w:val="16"/>
          <w:szCs w:val="16"/>
        </w:rPr>
      </w:pPr>
    </w:p>
    <w:p>
      <w:pPr>
        <w:spacing w:after="80"/>
        <w:jc w:val="both"/>
        <w:rPr>
          <w:rFonts w:ascii="Times New Roman" w:eastAsia="Times New Roman" w:hAnsi="Times New Roman" w:cs="Times New Roman"/>
          <w:i/>
          <w:noProof/>
        </w:rPr>
      </w:pPr>
      <w:r>
        <w:rPr>
          <w:rFonts w:ascii="Times New Roman" w:hAnsi="Times New Roman"/>
          <w:b/>
          <w:i/>
          <w:noProof/>
        </w:rPr>
        <w:t>До средата на 2019 г.</w:t>
      </w:r>
      <w:r>
        <w:rPr>
          <w:rFonts w:ascii="Times New Roman" w:hAnsi="Times New Roman"/>
          <w:i/>
          <w:noProof/>
        </w:rPr>
        <w:t>:</w:t>
      </w:r>
    </w:p>
    <w:p>
      <w:pPr>
        <w:pStyle w:val="ListParagraph"/>
        <w:numPr>
          <w:ilvl w:val="0"/>
          <w:numId w:val="47"/>
        </w:numPr>
        <w:spacing w:line="276" w:lineRule="auto"/>
        <w:jc w:val="both"/>
        <w:rPr>
          <w:noProof/>
          <w:sz w:val="22"/>
          <w:szCs w:val="22"/>
        </w:rPr>
      </w:pPr>
      <w:r>
        <w:rPr>
          <w:noProof/>
          <w:sz w:val="22"/>
        </w:rPr>
        <w:t xml:space="preserve">приемане на предложенията, водещи до 1) </w:t>
      </w:r>
      <w:r>
        <w:rPr>
          <w:b/>
          <w:noProof/>
          <w:sz w:val="22"/>
        </w:rPr>
        <w:t>създаването на Европейски паричен фонд</w:t>
      </w:r>
      <w:r>
        <w:rPr>
          <w:noProof/>
          <w:sz w:val="22"/>
        </w:rPr>
        <w:t xml:space="preserve"> 2)</w:t>
      </w:r>
      <w:r>
        <w:rPr>
          <w:b/>
          <w:noProof/>
          <w:sz w:val="22"/>
          <w:lang w:val="it-IT"/>
        </w:rPr>
        <w:t> </w:t>
      </w:r>
      <w:r>
        <w:rPr>
          <w:b/>
          <w:noProof/>
          <w:sz w:val="22"/>
        </w:rPr>
        <w:t>включването на Договора за стабилност, координация и управление в законодателството на Съюза</w:t>
      </w:r>
      <w:r>
        <w:rPr>
          <w:noProof/>
          <w:sz w:val="22"/>
        </w:rPr>
        <w:t xml:space="preserve"> и 3) </w:t>
      </w:r>
      <w:r>
        <w:rPr>
          <w:b/>
          <w:noProof/>
          <w:sz w:val="22"/>
        </w:rPr>
        <w:t>създаването на единно представителство на еврозоната към Международния валутен фонд</w:t>
      </w:r>
      <w:r>
        <w:rPr>
          <w:noProof/>
          <w:sz w:val="22"/>
        </w:rPr>
        <w:t xml:space="preserve">. </w:t>
      </w:r>
    </w:p>
    <w:p>
      <w:pPr>
        <w:pStyle w:val="ListParagraph"/>
        <w:spacing w:line="276" w:lineRule="auto"/>
        <w:ind w:left="360"/>
        <w:jc w:val="both"/>
        <w:rPr>
          <w:noProof/>
          <w:sz w:val="8"/>
          <w:szCs w:val="8"/>
        </w:rPr>
      </w:pPr>
    </w:p>
    <w:p>
      <w:pPr>
        <w:pStyle w:val="ListParagraph"/>
        <w:numPr>
          <w:ilvl w:val="0"/>
          <w:numId w:val="47"/>
        </w:numPr>
        <w:spacing w:line="276" w:lineRule="auto"/>
        <w:jc w:val="both"/>
        <w:rPr>
          <w:noProof/>
          <w:sz w:val="22"/>
          <w:szCs w:val="22"/>
        </w:rPr>
      </w:pPr>
      <w:r>
        <w:rPr>
          <w:noProof/>
          <w:sz w:val="22"/>
        </w:rPr>
        <w:t xml:space="preserve">постигане на общо разбиране относно ролята на </w:t>
      </w:r>
      <w:r>
        <w:rPr>
          <w:b/>
          <w:noProof/>
          <w:sz w:val="22"/>
        </w:rPr>
        <w:t>европейския министър на икономиката и финансите</w:t>
      </w:r>
      <w:r>
        <w:rPr>
          <w:noProof/>
          <w:sz w:val="22"/>
        </w:rPr>
        <w:t xml:space="preserve"> в контекста на следващата Комисия, като в Еврогрупата се постига съгласие министърът да бъде избран за неин председател за два последователни мандата. </w:t>
      </w:r>
    </w:p>
    <w:p>
      <w:pPr>
        <w:pStyle w:val="ListParagraph"/>
        <w:spacing w:line="276" w:lineRule="auto"/>
        <w:ind w:left="360"/>
        <w:jc w:val="both"/>
        <w:rPr>
          <w:noProof/>
          <w:sz w:val="8"/>
          <w:szCs w:val="8"/>
        </w:rPr>
      </w:pPr>
    </w:p>
    <w:p>
      <w:pPr>
        <w:pStyle w:val="ListParagraph"/>
        <w:numPr>
          <w:ilvl w:val="0"/>
          <w:numId w:val="47"/>
        </w:numPr>
        <w:spacing w:line="276" w:lineRule="auto"/>
        <w:jc w:val="both"/>
        <w:rPr>
          <w:noProof/>
          <w:sz w:val="22"/>
          <w:szCs w:val="22"/>
        </w:rPr>
      </w:pPr>
      <w:r>
        <w:rPr>
          <w:noProof/>
          <w:sz w:val="22"/>
        </w:rPr>
        <w:t xml:space="preserve">приключване на разискванията по внесените предложения за </w:t>
      </w:r>
      <w:r>
        <w:rPr>
          <w:b/>
          <w:noProof/>
          <w:sz w:val="22"/>
        </w:rPr>
        <w:t>подобряване на функционирането на еврозоната</w:t>
      </w:r>
      <w:r>
        <w:rPr>
          <w:noProof/>
          <w:sz w:val="22"/>
        </w:rPr>
        <w:t xml:space="preserve"> и приемане в контекста на </w:t>
      </w:r>
      <w:r>
        <w:rPr>
          <w:b/>
          <w:noProof/>
          <w:sz w:val="22"/>
        </w:rPr>
        <w:t>следващата многогодишна финансова рамка</w:t>
      </w:r>
      <w:r>
        <w:rPr>
          <w:noProof/>
          <w:sz w:val="22"/>
        </w:rPr>
        <w:t xml:space="preserve"> на: 1) </w:t>
      </w:r>
      <w:r>
        <w:rPr>
          <w:b/>
          <w:noProof/>
          <w:sz w:val="22"/>
        </w:rPr>
        <w:t>предложения за подкрепа на структурните реформи</w:t>
      </w:r>
      <w:r>
        <w:rPr>
          <w:noProof/>
          <w:sz w:val="22"/>
        </w:rPr>
        <w:t>, 2)</w:t>
      </w:r>
      <w:r>
        <w:rPr>
          <w:noProof/>
          <w:sz w:val="22"/>
          <w:lang w:val="it-IT"/>
        </w:rPr>
        <w:t> </w:t>
      </w:r>
      <w:r>
        <w:rPr>
          <w:b/>
          <w:noProof/>
          <w:sz w:val="22"/>
        </w:rPr>
        <w:t>специален механизъм за сближаване за държавите членки извън еврозоната,</w:t>
      </w:r>
      <w:r>
        <w:rPr>
          <w:noProof/>
          <w:sz w:val="22"/>
        </w:rPr>
        <w:t xml:space="preserve"> 3)</w:t>
      </w:r>
      <w:r>
        <w:rPr>
          <w:noProof/>
          <w:sz w:val="22"/>
          <w:lang w:val="it-IT"/>
        </w:rPr>
        <w:t> </w:t>
      </w:r>
      <w:r>
        <w:rPr>
          <w:b/>
          <w:noProof/>
          <w:sz w:val="22"/>
        </w:rPr>
        <w:t>функция за стабилизация</w:t>
      </w:r>
      <w:r>
        <w:rPr>
          <w:noProof/>
          <w:sz w:val="22"/>
        </w:rPr>
        <w:t xml:space="preserve">. </w:t>
      </w:r>
    </w:p>
    <w:p>
      <w:pPr>
        <w:pStyle w:val="ListParagraph"/>
        <w:spacing w:line="276" w:lineRule="auto"/>
        <w:ind w:left="360"/>
        <w:jc w:val="both"/>
        <w:rPr>
          <w:noProof/>
          <w:sz w:val="8"/>
          <w:szCs w:val="8"/>
        </w:rPr>
      </w:pPr>
    </w:p>
    <w:p>
      <w:pPr>
        <w:pStyle w:val="ListParagraph"/>
        <w:numPr>
          <w:ilvl w:val="0"/>
          <w:numId w:val="49"/>
        </w:numPr>
        <w:spacing w:line="276" w:lineRule="auto"/>
        <w:jc w:val="both"/>
        <w:rPr>
          <w:noProof/>
          <w:sz w:val="22"/>
          <w:szCs w:val="22"/>
        </w:rPr>
      </w:pPr>
      <w:r>
        <w:rPr>
          <w:noProof/>
          <w:sz w:val="22"/>
        </w:rPr>
        <w:t xml:space="preserve">приключване на всички висящи законодателни инициативи за </w:t>
      </w:r>
      <w:r>
        <w:rPr>
          <w:b/>
          <w:noProof/>
          <w:sz w:val="22"/>
        </w:rPr>
        <w:t>съюза на капиталовите пазари</w:t>
      </w:r>
      <w:r>
        <w:rPr>
          <w:noProof/>
          <w:sz w:val="22"/>
        </w:rPr>
        <w:t>, включително прегледа на европейските надзорни органи, всички изменения на Регламента за европейската пазарна инфраструктура и паневропейския пенсионен продукт.</w:t>
      </w:r>
    </w:p>
    <w:p>
      <w:pPr>
        <w:jc w:val="both"/>
        <w:rPr>
          <w:rFonts w:ascii="Times New Roman" w:eastAsia="Times New Roman" w:hAnsi="Times New Roman" w:cs="Times New Roman"/>
          <w:noProof/>
        </w:rPr>
      </w:pPr>
      <w:r>
        <w:rPr>
          <w:rFonts w:ascii="Times New Roman" w:eastAsia="Times New Roman" w:hAnsi="Times New Roman" w:cs="Times New Roman"/>
          <w:noProof/>
        </w:rPr>
        <w:br/>
      </w:r>
      <w:r>
        <w:rPr>
          <w:rFonts w:ascii="Times New Roman" w:hAnsi="Times New Roman"/>
          <w:noProof/>
        </w:rPr>
        <w:t xml:space="preserve">Макар да се напредва във всички тези дейности, ще е важно да има ясна насока за периода 2019—2024 г., с оглед на </w:t>
      </w:r>
      <w:r>
        <w:rPr>
          <w:rFonts w:ascii="Times New Roman" w:hAnsi="Times New Roman"/>
          <w:b/>
          <w:noProof/>
        </w:rPr>
        <w:t>задълбочаването на европейския икономически и паричен съюз до 2025 г.</w:t>
      </w:r>
      <w:r>
        <w:rPr>
          <w:rFonts w:ascii="Times New Roman" w:hAnsi="Times New Roman"/>
          <w:noProof/>
        </w:rPr>
        <w:t xml:space="preserve"> В пътната карта в допълнение 1 се припомнят основните стъпки, които ще продължат да бъдат необходими след 2019 г., въз основа на Документа за размисъл относно задълбочаването на Икономическия и паричен съюз. Тези стъпки следва да бъдат част от общото разбиране, което трябва да бъде постигнато до средата на 2018 г. </w:t>
      </w:r>
    </w:p>
    <w:p>
      <w:pPr>
        <w:rPr>
          <w:rFonts w:ascii="Times New Roman" w:hAnsi="Times New Roman"/>
          <w:b/>
          <w:noProof/>
          <w:sz w:val="24"/>
          <w:u w:val="single"/>
        </w:rPr>
      </w:pPr>
      <w:r>
        <w:rPr>
          <w:rFonts w:ascii="Times New Roman" w:hAnsi="Times New Roman"/>
          <w:b/>
          <w:noProof/>
          <w:sz w:val="24"/>
          <w:u w:val="single"/>
        </w:rPr>
        <w:br w:type="page"/>
      </w:r>
    </w:p>
    <w:p>
      <w:pPr>
        <w:spacing w:after="0"/>
        <w:jc w:val="both"/>
        <w:rPr>
          <w:rFonts w:ascii="Times New Roman" w:eastAsia="Times New Roman" w:hAnsi="Times New Roman" w:cs="Times New Roman"/>
          <w:b/>
          <w:noProof/>
          <w:sz w:val="24"/>
          <w:u w:val="single"/>
        </w:rPr>
      </w:pPr>
      <w:r>
        <w:rPr>
          <w:rFonts w:ascii="Times New Roman" w:hAnsi="Times New Roman"/>
          <w:b/>
          <w:noProof/>
          <w:sz w:val="24"/>
          <w:u w:val="single"/>
        </w:rPr>
        <w:t xml:space="preserve">Допълнение 1: Пътна карта за задълбочаване на Икономическия и паричен съюз </w:t>
      </w:r>
    </w:p>
    <w:p>
      <w:pPr>
        <w:spacing w:after="0"/>
        <w:jc w:val="both"/>
        <w:rPr>
          <w:rFonts w:ascii="Times New Roman" w:hAnsi="Times New Roman" w:cs="Times New Roman"/>
          <w:i/>
          <w:noProof/>
          <w:sz w:val="12"/>
        </w:rPr>
      </w:pPr>
    </w:p>
    <w:p>
      <w:pPr>
        <w:spacing w:after="0"/>
        <w:jc w:val="both"/>
        <w:rPr>
          <w:rFonts w:ascii="Times New Roman" w:hAnsi="Times New Roman"/>
          <w:i/>
          <w:noProof/>
          <w:lang w:val="it-IT"/>
        </w:rPr>
      </w:pPr>
      <w:r>
        <w:rPr>
          <w:noProof/>
          <w:lang w:val="en-US" w:eastAsia="en-US" w:bidi="ar-SA"/>
        </w:rPr>
        <w:drawing>
          <wp:inline distT="0" distB="0" distL="0" distR="0">
            <wp:extent cx="5684808" cy="7893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89667" cy="7899917"/>
                    </a:xfrm>
                    <a:prstGeom prst="rect">
                      <a:avLst/>
                    </a:prstGeom>
                  </pic:spPr>
                </pic:pic>
              </a:graphicData>
            </a:graphic>
          </wp:inline>
        </w:drawing>
      </w:r>
    </w:p>
    <w:p>
      <w:pPr>
        <w:spacing w:after="0"/>
        <w:jc w:val="both"/>
        <w:rPr>
          <w:rFonts w:ascii="Times New Roman" w:hAnsi="Times New Roman" w:cs="Times New Roman"/>
          <w:i/>
          <w:noProof/>
        </w:rPr>
      </w:pPr>
      <w:r>
        <w:rPr>
          <w:rFonts w:ascii="Times New Roman" w:hAnsi="Times New Roman"/>
          <w:i/>
          <w:noProof/>
        </w:rPr>
        <w:t xml:space="preserve">* </w:t>
      </w:r>
      <w:r>
        <w:rPr>
          <w:rFonts w:ascii="Times New Roman" w:hAnsi="Times New Roman"/>
          <w:i/>
          <w:noProof/>
          <w:sz w:val="18"/>
        </w:rPr>
        <w:t>За повече подробности, вж. Документа за размисъл относно задълбочаването на Икономическия и паричен съюз от 31 май 2017 г.</w:t>
      </w:r>
    </w:p>
    <w:p>
      <w:pPr>
        <w:spacing w:after="0"/>
        <w:jc w:val="both"/>
        <w:rPr>
          <w:rFonts w:ascii="Times New Roman" w:hAnsi="Times New Roman" w:cs="Times New Roman"/>
          <w:i/>
          <w:noProof/>
          <w:sz w:val="18"/>
        </w:rPr>
      </w:pPr>
      <w:r>
        <w:rPr>
          <w:rFonts w:ascii="Times New Roman" w:hAnsi="Times New Roman"/>
          <w:i/>
          <w:noProof/>
        </w:rPr>
        <w:t>Източник: Европейската комисия</w:t>
      </w:r>
    </w:p>
    <w:p>
      <w:pPr>
        <w:jc w:val="both"/>
        <w:rPr>
          <w:rFonts w:ascii="Times New Roman" w:eastAsia="Times New Roman" w:hAnsi="Times New Roman" w:cs="Times New Roman"/>
          <w:noProof/>
        </w:rPr>
      </w:pPr>
      <w:r>
        <w:rPr>
          <w:rFonts w:ascii="Times New Roman" w:hAnsi="Times New Roman"/>
          <w:b/>
          <w:noProof/>
          <w:sz w:val="24"/>
          <w:u w:val="single"/>
        </w:rPr>
        <w:t xml:space="preserve">Допълнение 2: Пътна карта за завършване на банковия съюз до 2018 г. — откъс от съобщението на Комисията от 11 октомври 2017 г.  </w:t>
      </w:r>
    </w:p>
    <w:p>
      <w:pPr>
        <w:rPr>
          <w:rFonts w:ascii="Times New Roman" w:hAnsi="Times New Roman"/>
          <w:i/>
          <w:noProof/>
          <w:lang w:val="it-IT"/>
        </w:rPr>
      </w:pPr>
      <w:r>
        <w:rPr>
          <w:noProof/>
          <w:lang w:val="en-US" w:eastAsia="en-US" w:bidi="ar-SA"/>
        </w:rPr>
        <w:drawing>
          <wp:inline distT="0" distB="0" distL="0" distR="0">
            <wp:extent cx="6005581" cy="74877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03783" cy="7485487"/>
                    </a:xfrm>
                    <a:prstGeom prst="rect">
                      <a:avLst/>
                    </a:prstGeom>
                  </pic:spPr>
                </pic:pic>
              </a:graphicData>
            </a:graphic>
          </wp:inline>
        </w:drawing>
      </w:r>
    </w:p>
    <w:p>
      <w:pPr>
        <w:rPr>
          <w:rFonts w:ascii="Times New Roman" w:hAnsi="Times New Roman"/>
          <w:i/>
          <w:noProof/>
        </w:rPr>
      </w:pPr>
      <w:r>
        <w:rPr>
          <w:rFonts w:ascii="Times New Roman" w:hAnsi="Times New Roman"/>
          <w:i/>
          <w:noProof/>
        </w:rPr>
        <w:t>Източник: Европейската комисия</w:t>
      </w:r>
    </w:p>
    <w:p>
      <w:pPr>
        <w:spacing w:after="0"/>
        <w:jc w:val="both"/>
        <w:rPr>
          <w:rFonts w:ascii="Times New Roman" w:eastAsia="Times New Roman" w:hAnsi="Times New Roman" w:cs="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40889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Pr>
        <w:footnoteRef/>
      </w:r>
      <w:r>
        <w:t xml:space="preserve"> </w:t>
      </w:r>
      <w:r>
        <w:tab/>
        <w:t>„Европейска икономическа прогноза“, есен 2017, Institutional Paper 63.</w:t>
      </w:r>
    </w:p>
  </w:footnote>
  <w:footnote w:id="3">
    <w:p>
      <w:pPr>
        <w:pStyle w:val="FootnoteText"/>
        <w:ind w:left="284" w:hanging="284"/>
        <w:jc w:val="both"/>
      </w:pPr>
      <w:r>
        <w:rPr>
          <w:rStyle w:val="FootnoteReference"/>
        </w:rPr>
        <w:footnoteRef/>
      </w:r>
      <w:r>
        <w:t xml:space="preserve"> </w:t>
      </w:r>
      <w:r>
        <w:tab/>
        <w:t>Експресно проучване на Евробарометър № 458, 4 декември 2017 г.</w:t>
      </w:r>
    </w:p>
  </w:footnote>
  <w:footnote w:id="4">
    <w:p>
      <w:pPr>
        <w:pStyle w:val="FootnoteText"/>
        <w:ind w:left="284" w:hanging="284"/>
        <w:jc w:val="both"/>
      </w:pPr>
      <w:r>
        <w:rPr>
          <w:rStyle w:val="FootnoteReference"/>
        </w:rPr>
        <w:footnoteRef/>
      </w:r>
      <w:r>
        <w:t xml:space="preserve"> </w:t>
      </w:r>
      <w:r>
        <w:tab/>
        <w:t xml:space="preserve">„Завършване на европейския икономически и паричен съюз“, доклад на Жан-Клод Юнкер в тясно сътрудничество с Доналд Туск, Йерун Дейселблум, Марио Драги и Мартин Шулц, 22 юни 2015 г. </w:t>
      </w:r>
    </w:p>
  </w:footnote>
  <w:footnote w:id="5">
    <w:p>
      <w:pPr>
        <w:pStyle w:val="FootnoteText"/>
        <w:ind w:left="284" w:hanging="284"/>
        <w:jc w:val="both"/>
      </w:pPr>
      <w:r>
        <w:rPr>
          <w:rStyle w:val="FootnoteReference"/>
        </w:rPr>
        <w:footnoteRef/>
      </w:r>
      <w:r>
        <w:t xml:space="preserve"> </w:t>
      </w:r>
      <w:r>
        <w:tab/>
        <w:t xml:space="preserve">Вж. по-специално COM(2017) 592 final, 11 октомври 2017 г. </w:t>
      </w:r>
    </w:p>
  </w:footnote>
  <w:footnote w:id="6">
    <w:p>
      <w:pPr>
        <w:pStyle w:val="FootnoteText"/>
        <w:ind w:left="284" w:hanging="284"/>
        <w:jc w:val="both"/>
        <w:rPr>
          <w:lang w:val="pt-PT"/>
        </w:rPr>
      </w:pPr>
      <w:r>
        <w:rPr>
          <w:rStyle w:val="FootnoteReference"/>
        </w:rPr>
        <w:footnoteRef/>
      </w:r>
      <w:r>
        <w:t xml:space="preserve"> </w:t>
      </w:r>
      <w:r>
        <w:tab/>
        <w:t>COM(2017) 292 final, 8 юни 2017 г.</w:t>
      </w:r>
    </w:p>
  </w:footnote>
  <w:footnote w:id="7">
    <w:p>
      <w:pPr>
        <w:pStyle w:val="FootnoteText"/>
        <w:ind w:left="284" w:hanging="284"/>
        <w:jc w:val="both"/>
        <w:rPr>
          <w:lang w:val="pt-PT"/>
        </w:rPr>
      </w:pPr>
      <w:r>
        <w:rPr>
          <w:rStyle w:val="FootnoteReference"/>
        </w:rPr>
        <w:footnoteRef/>
      </w:r>
      <w:r>
        <w:t xml:space="preserve"> </w:t>
      </w:r>
      <w:r>
        <w:tab/>
        <w:t>COM (2017) 291, 31 май 2017 г.</w:t>
      </w:r>
    </w:p>
  </w:footnote>
  <w:footnote w:id="8">
    <w:p>
      <w:pPr>
        <w:pStyle w:val="FootnoteText"/>
        <w:ind w:left="284" w:hanging="284"/>
        <w:jc w:val="both"/>
      </w:pPr>
      <w:r>
        <w:rPr>
          <w:rStyle w:val="FootnoteReference"/>
        </w:rPr>
        <w:footnoteRef/>
      </w:r>
      <w:r>
        <w:t xml:space="preserve"> </w:t>
      </w:r>
      <w:r>
        <w:tab/>
        <w:t>COM (2017) 358, 28 юни 2017 г.</w:t>
      </w:r>
    </w:p>
  </w:footnote>
  <w:footnote w:id="9">
    <w:p>
      <w:pPr>
        <w:pStyle w:val="FootnoteText"/>
        <w:ind w:left="284" w:hanging="284"/>
        <w:jc w:val="both"/>
      </w:pPr>
      <w:r>
        <w:rPr>
          <w:rStyle w:val="FootnoteReference"/>
        </w:rPr>
        <w:footnoteRef/>
      </w:r>
      <w:r>
        <w:t xml:space="preserve"> </w:t>
      </w:r>
      <w:r>
        <w:tab/>
        <w:t>COM (2017) 2025, 1 март 2017 г.</w:t>
      </w:r>
    </w:p>
  </w:footnote>
  <w:footnote w:id="10">
    <w:p>
      <w:pPr>
        <w:pStyle w:val="FootnoteText"/>
        <w:ind w:left="284" w:hanging="284"/>
        <w:jc w:val="both"/>
      </w:pPr>
      <w:r>
        <w:rPr>
          <w:rStyle w:val="FootnoteReference"/>
        </w:rPr>
        <w:footnoteRef/>
      </w:r>
      <w:r>
        <w:t xml:space="preserve"> </w:t>
      </w:r>
      <w:r>
        <w:tab/>
        <w:t>Реч на председателя на Европейската комисия Жан-Клод Юнкер относно състоянието на Съюза за 2017 г., 13 септември 2017 г.</w:t>
      </w:r>
    </w:p>
  </w:footnote>
  <w:footnote w:id="11">
    <w:p>
      <w:pPr>
        <w:pStyle w:val="FootnoteText"/>
        <w:ind w:left="284" w:hanging="284"/>
        <w:jc w:val="both"/>
        <w:rPr>
          <w:spacing w:val="-6"/>
        </w:rPr>
      </w:pPr>
      <w:r>
        <w:rPr>
          <w:rStyle w:val="FootnoteReference"/>
          <w:spacing w:val="-6"/>
        </w:rPr>
        <w:footnoteRef/>
      </w:r>
      <w:r>
        <w:rPr>
          <w:spacing w:val="-6"/>
        </w:rPr>
        <w:t xml:space="preserve"> </w:t>
      </w:r>
      <w:r>
        <w:rPr>
          <w:spacing w:val="-6"/>
        </w:rPr>
        <w:tab/>
      </w:r>
      <w:r>
        <w:t>Програма на лидерите: Изграждане на общото ни бъдеще, одобрена от Европейския съвет на 20 октомври 2017 г.</w:t>
      </w:r>
    </w:p>
  </w:footnote>
  <w:footnote w:id="12">
    <w:p>
      <w:pPr>
        <w:pStyle w:val="FootnoteText"/>
        <w:ind w:left="284" w:hanging="284"/>
        <w:jc w:val="both"/>
        <w:rPr>
          <w:spacing w:val="-2"/>
        </w:rPr>
      </w:pPr>
      <w:r>
        <w:rPr>
          <w:rStyle w:val="FootnoteReference"/>
          <w:spacing w:val="-2"/>
        </w:rPr>
        <w:footnoteRef/>
      </w:r>
      <w:r>
        <w:rPr>
          <w:spacing w:val="-2"/>
        </w:rPr>
        <w:t xml:space="preserve"> Измежду държавите членки, които не са членки на еврозоната, Дания и България са фиксирали своите парични единици към еврото от въвеждането му през 1999 г. За разлика от Дания, България не участва във Валутен механизъм II, макар българският лев да е фиксиран към еврото в рамките на валутен борд.</w:t>
      </w:r>
    </w:p>
  </w:footnote>
  <w:footnote w:id="13">
    <w:p>
      <w:pPr>
        <w:pStyle w:val="FootnoteText"/>
        <w:ind w:left="284" w:hanging="284"/>
        <w:jc w:val="both"/>
        <w:rPr>
          <w:spacing w:val="-6"/>
        </w:rPr>
      </w:pPr>
      <w:r>
        <w:rPr>
          <w:rStyle w:val="FootnoteReference"/>
          <w:spacing w:val="-6"/>
        </w:rPr>
        <w:footnoteRef/>
      </w:r>
      <w:r>
        <w:rPr>
          <w:spacing w:val="-6"/>
        </w:rPr>
        <w:t xml:space="preserve"> </w:t>
      </w:r>
      <w:r>
        <w:rPr>
          <w:spacing w:val="-6"/>
        </w:rPr>
        <w:tab/>
        <w:t>Вж. по-специално резолюциите на Европейския парламент от 16 февруари 2017 г. относно i) бюджетния капацитет за еврозоната (2015/2344(INI)), ii) възможното развитие и адаптиране на съществуващата институционална структура на Европейския съюз (2014/2248(INI)) и iii) подобряването на функционирането на Европейския съюз чрез използване на потенциала на Договора от Лисабон (2014/2249(INI)).</w:t>
      </w:r>
    </w:p>
  </w:footnote>
  <w:footnote w:id="14">
    <w:p>
      <w:pPr>
        <w:pStyle w:val="FootnoteText"/>
        <w:ind w:left="284" w:hanging="284"/>
        <w:jc w:val="both"/>
      </w:pPr>
      <w:r>
        <w:rPr>
          <w:rStyle w:val="FootnoteReference"/>
        </w:rPr>
        <w:footnoteRef/>
      </w:r>
      <w:r>
        <w:t xml:space="preserve"> </w:t>
      </w:r>
      <w:r>
        <w:tab/>
        <w:t>Вж. по-специално заседание на Еврогрупата от 6 ноември 2017 г. относно фискалния капацитет и фискалните правила на европейския икономически и паричен съюз, заседание на Еврогрупата от 9 октомври 2017 г. относно задълбочаване на икономическия и паричен съюз — ролята на Европейския механизъм за стабилност, и заседание на Еврогрупата от 10 юли 2017 г. относно последващи мерки относно задълбочаването на икономическия и паричен съюз.</w:t>
      </w:r>
    </w:p>
  </w:footnote>
  <w:footnote w:id="15">
    <w:p>
      <w:pPr>
        <w:pStyle w:val="FootnoteText"/>
        <w:ind w:left="284" w:hanging="284"/>
        <w:jc w:val="both"/>
      </w:pPr>
      <w:r>
        <w:rPr>
          <w:rStyle w:val="FootnoteReference"/>
        </w:rPr>
        <w:footnoteRef/>
      </w:r>
      <w:r>
        <w:t xml:space="preserve"> Резолюция на Европейския парламент от 16 февруари 2017 г. относно бюджетния капацитет за еврозоната (2015/2344(INI)). </w:t>
      </w:r>
    </w:p>
  </w:footnote>
  <w:footnote w:id="16">
    <w:p>
      <w:pPr>
        <w:pStyle w:val="FootnoteText"/>
        <w:ind w:left="284" w:hanging="284"/>
        <w:jc w:val="both"/>
      </w:pPr>
      <w:r>
        <w:rPr>
          <w:rStyle w:val="FootnoteReference"/>
        </w:rPr>
        <w:footnoteRef/>
      </w:r>
      <w:r>
        <w:t xml:space="preserve"> </w:t>
      </w:r>
      <w:r>
        <w:tab/>
        <w:t xml:space="preserve">Вж. по-специално „Подробен план за задълбочен и истински икономически и паричен съюз“, 28 ноември 2012 г. (COM(2012)777). </w:t>
      </w:r>
    </w:p>
  </w:footnote>
  <w:footnote w:id="17">
    <w:p>
      <w:pPr>
        <w:pStyle w:val="FootnoteText"/>
        <w:tabs>
          <w:tab w:val="left" w:pos="284"/>
        </w:tabs>
        <w:ind w:left="284" w:hanging="284"/>
        <w:jc w:val="both"/>
        <w:rPr>
          <w:spacing w:val="-4"/>
        </w:rPr>
      </w:pPr>
      <w:r>
        <w:rPr>
          <w:rStyle w:val="FootnoteReference"/>
          <w:spacing w:val="-4"/>
        </w:rPr>
        <w:footnoteRef/>
      </w:r>
      <w:r>
        <w:rPr>
          <w:spacing w:val="-4"/>
        </w:rPr>
        <w:t xml:space="preserve">  Нуждата от орган като Европейския механизъм за стабилност, който да защитава стабилността на еврозоната, се основава на факти и се потвърждава в член 136, параграф 3 от Договора за функционирането на ЕС, както и в съображение 2 от Договора за Европейски механизъм за стабилност, в който се посочва, че сегашният Европейски механизъм за стабилност е „механизъм за стабилност, който да се задейства, ако е абсолютно необходимо да се гарантира стабилността на еврозоната като цяло“.</w:t>
      </w:r>
    </w:p>
  </w:footnote>
  <w:footnote w:id="18">
    <w:p>
      <w:pPr>
        <w:pStyle w:val="FootnoteText"/>
        <w:tabs>
          <w:tab w:val="left" w:pos="284"/>
        </w:tabs>
        <w:ind w:left="284" w:hanging="284"/>
        <w:jc w:val="both"/>
      </w:pPr>
      <w:r>
        <w:rPr>
          <w:rStyle w:val="FootnoteReference"/>
        </w:rPr>
        <w:footnoteRef/>
      </w:r>
      <w:r>
        <w:t xml:space="preserve"> Съдът на Европейския съюз вече разгледа възможността член 352 да се използва за създаването на орган на Съюза, който отговаря за предоставянето на финансова подкрепа с цел гарантиране на стабилността в еврозоната. Вж. дело Pringle, Решение от 27 ноември 2012 г., дело C-370/12, EU:C:2012:756, точка 67. Както се посочва в бележка под линия 15, в подробния план на Комисията от 2012 г. също се споменава възможността за използване на член 352. </w:t>
      </w:r>
    </w:p>
  </w:footnote>
  <w:footnote w:id="19">
    <w:p>
      <w:pPr>
        <w:pStyle w:val="FootnoteText"/>
        <w:tabs>
          <w:tab w:val="left" w:pos="284"/>
        </w:tabs>
        <w:ind w:left="284" w:hanging="284"/>
        <w:jc w:val="both"/>
      </w:pPr>
      <w:r>
        <w:rPr>
          <w:rStyle w:val="FootnoteReference"/>
        </w:rPr>
        <w:footnoteRef/>
      </w:r>
      <w:r>
        <w:t xml:space="preserve">  Това ще гарантира спазването на „доктрината Meroni“. „Доктрината Meroni“, свързана с дела H-9/56 и H-10/56 (Meroni/Висш орган [1957/1958] ECR 133), засяга степента, в която институциите на ЕС могат да делегират своите задачи на регулаторни агенции. В контекста на днешното предложение следва да се има предвид, че одобряването от страна на Съвета на дискреционните решения, взети от съвета на управителите и съвета на директорите на Европейския паричен фонд, ще се прости от факта, че съставът на неговия съвет на управителите е същият като този на Еврогрупата.</w:t>
      </w:r>
    </w:p>
  </w:footnote>
  <w:footnote w:id="20">
    <w:p>
      <w:pPr>
        <w:pStyle w:val="FootnoteText"/>
        <w:tabs>
          <w:tab w:val="left" w:pos="284"/>
        </w:tabs>
        <w:ind w:left="284" w:hanging="284"/>
        <w:jc w:val="both"/>
      </w:pPr>
      <w:r>
        <w:rPr>
          <w:rStyle w:val="FootnoteReference"/>
        </w:rPr>
        <w:footnoteRef/>
      </w:r>
      <w:r>
        <w:t xml:space="preserve"> Регламент (ЕС) № 806/2014. Единният съвет за преструктуриране (ЕСП) е органът по преструктуриране за големи банки и банки със системно значение в еврозоната, който функционира от януари 2016 г. Единният съвет за преструктуриране се финансира с вноски от банковия сектор в еврозоната. Той може да бъде използван за финансиране на разходи във връзка с преструктурирането, при условие че всички условия на регулаторната рамка са изпълнени, включително споделянето на загуби в размер на 8 % от общите пасиви на съответната банка. </w:t>
      </w:r>
    </w:p>
  </w:footnote>
  <w:footnote w:id="21">
    <w:p>
      <w:pPr>
        <w:pStyle w:val="FootnoteText"/>
        <w:ind w:left="284" w:hanging="284"/>
        <w:jc w:val="both"/>
      </w:pPr>
      <w:r>
        <w:rPr>
          <w:rStyle w:val="FootnoteReference"/>
        </w:rPr>
        <w:footnoteRef/>
      </w:r>
      <w:r>
        <w:t xml:space="preserve"> </w:t>
      </w:r>
      <w:r>
        <w:tab/>
        <w:t xml:space="preserve">Австрия, Белгия, България, Германия, Гърция, Дания, Естония, Ирландия, Испания, Италия, Кипър, Латвия, Литва, Люксембург, Малта, Нидерландия, Полша, Португалия, Румъния, Словакия, Словения, Унгария, Финландия, Франция и Швеция. </w:t>
      </w:r>
    </w:p>
  </w:footnote>
  <w:footnote w:id="22">
    <w:p>
      <w:pPr>
        <w:pStyle w:val="FootnoteText"/>
        <w:ind w:left="284" w:hanging="284"/>
        <w:jc w:val="both"/>
        <w:rPr>
          <w:spacing w:val="-4"/>
        </w:rPr>
      </w:pPr>
      <w:r>
        <w:rPr>
          <w:rStyle w:val="FootnoteReference"/>
          <w:spacing w:val="-4"/>
        </w:rPr>
        <w:footnoteRef/>
      </w:r>
      <w:r>
        <w:rPr>
          <w:spacing w:val="-4"/>
        </w:rPr>
        <w:t xml:space="preserve"> </w:t>
      </w:r>
      <w:r>
        <w:rPr>
          <w:spacing w:val="-4"/>
        </w:rPr>
        <w:tab/>
        <w:t xml:space="preserve">Член 16 от Договора за стабилност, координация и управление в икономическия и паричен съюз предвижда, че </w:t>
      </w:r>
      <w:r>
        <w:rPr>
          <w:i/>
          <w:spacing w:val="-4"/>
        </w:rPr>
        <w:t>в рамките на пет години от датата на влизане в сила на настоящия договор, въз основа на оценка на натрупания опит по време на неговото прилагане, се предприемат необходимите стъпки, в съответствие с Договора за Европейския съюз и Договора за функционирането на Европейския съюз, с цел включване на основните положения на този договор в правната уредба на Европейския съюз</w:t>
      </w:r>
      <w:r>
        <w:rPr>
          <w:spacing w:val="-4"/>
        </w:rPr>
        <w:t>.</w:t>
      </w:r>
    </w:p>
  </w:footnote>
  <w:footnote w:id="23">
    <w:p>
      <w:pPr>
        <w:pStyle w:val="FootnoteText"/>
        <w:ind w:left="284" w:hanging="284"/>
        <w:jc w:val="both"/>
      </w:pPr>
      <w:r>
        <w:rPr>
          <w:rStyle w:val="FootnoteReference"/>
        </w:rPr>
        <w:footnoteRef/>
      </w:r>
      <w:r>
        <w:t xml:space="preserve"> </w:t>
      </w:r>
      <w:r>
        <w:tab/>
        <w:t>Резолюция на Европейския парламент от 12 декември 2013 г. относно конституционните проблеми, свързани с многостепенното управление в рамките на Европейския съюз (P7_TA(2013)0598) и Резолюция от 24 юни 2015 г. относно преразглеждане на рамката за икономическо управление: преглед и предизвикателства (P8_TA(2015)0238).</w:t>
      </w:r>
    </w:p>
  </w:footnote>
  <w:footnote w:id="24">
    <w:p>
      <w:pPr>
        <w:pStyle w:val="FootnoteText"/>
        <w:ind w:left="284" w:hanging="284"/>
        <w:jc w:val="both"/>
      </w:pPr>
      <w:r>
        <w:rPr>
          <w:rStyle w:val="FootnoteReference"/>
        </w:rPr>
        <w:footnoteRef/>
      </w:r>
      <w:r>
        <w:t xml:space="preserve"> </w:t>
      </w:r>
      <w:r>
        <w:tab/>
        <w:t>COM(2017) 1201 final, 22 февруари 2017 г.</w:t>
      </w:r>
    </w:p>
  </w:footnote>
  <w:footnote w:id="25">
    <w:p>
      <w:pPr>
        <w:pStyle w:val="FootnoteText"/>
        <w:ind w:left="284" w:hanging="284"/>
        <w:jc w:val="both"/>
      </w:pPr>
      <w:r>
        <w:rPr>
          <w:rStyle w:val="FootnoteReference"/>
        </w:rPr>
        <w:footnoteRef/>
      </w:r>
      <w:r>
        <w:t xml:space="preserve"> </w:t>
      </w:r>
      <w:r>
        <w:tab/>
        <w:t>COM (2015) 12, 13 януари 2015 г.</w:t>
      </w:r>
    </w:p>
  </w:footnote>
  <w:footnote w:id="26">
    <w:p>
      <w:pPr>
        <w:pStyle w:val="FootnoteText"/>
        <w:ind w:left="284" w:hanging="284"/>
        <w:jc w:val="both"/>
      </w:pPr>
      <w:r>
        <w:rPr>
          <w:rStyle w:val="FootnoteReference"/>
        </w:rPr>
        <w:footnoteRef/>
      </w:r>
      <w:r>
        <w:t xml:space="preserve"> </w:t>
      </w:r>
      <w:r>
        <w:tab/>
        <w:t>Регламент (ЕС) № 1303/2013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320—469).</w:t>
      </w:r>
    </w:p>
  </w:footnote>
  <w:footnote w:id="27">
    <w:p>
      <w:pPr>
        <w:pStyle w:val="FootnoteText"/>
        <w:ind w:left="284" w:hanging="284"/>
        <w:jc w:val="both"/>
      </w:pPr>
      <w:r>
        <w:rPr>
          <w:rStyle w:val="FootnoteReference"/>
        </w:rPr>
        <w:footnoteRef/>
      </w:r>
      <w:r>
        <w:t xml:space="preserve"> </w:t>
      </w:r>
      <w:r>
        <w:tab/>
        <w:t xml:space="preserve">Програмата за подкрепа на структурните реформи (ППСР) бе създадена през май 2017 г., за да подпомага финансово дейностите на Службата за подкрепа на структурните реформи.  </w:t>
      </w:r>
    </w:p>
  </w:footnote>
  <w:footnote w:id="28">
    <w:p>
      <w:pPr>
        <w:pStyle w:val="FootnoteText"/>
        <w:ind w:left="284" w:hanging="284"/>
        <w:jc w:val="both"/>
      </w:pPr>
      <w:r>
        <w:rPr>
          <w:rStyle w:val="FootnoteReference"/>
        </w:rPr>
        <w:footnoteRef/>
      </w:r>
      <w:r>
        <w:t xml:space="preserve"> </w:t>
      </w:r>
      <w:r>
        <w:tab/>
        <w:t>Регламент (ЕС) № 2017/825 на европейския парламент и на съвета от 17 май 2017 г. за създаването на Програмата за подкрепа на структурните реформи за периода 2017—2020 г. и за изменение на регламенти (ЕС) № 1303/2013 и (ЕС) № 1305/2013 (ОВ L 19.5.2017 г., стр. 129).</w:t>
      </w:r>
    </w:p>
  </w:footnote>
  <w:footnote w:id="29">
    <w:p>
      <w:pPr>
        <w:pStyle w:val="FootnoteText"/>
        <w:ind w:left="284" w:hanging="284"/>
        <w:jc w:val="both"/>
      </w:pPr>
      <w:r>
        <w:rPr>
          <w:rStyle w:val="FootnoteReference"/>
        </w:rPr>
        <w:footnoteRef/>
      </w:r>
      <w:r>
        <w:t xml:space="preserve"> </w:t>
      </w:r>
      <w:r>
        <w:tab/>
        <w:t xml:space="preserve">Член 2 от Протокол № 14 относно Еврогрупата, приложен към Договора за Европейския съюз и към Договора за функционирането на Европейския съюз, определя правилата за избор на председател на Еврогрупата. Няма несъвместимост между тази роля и ролята на член на Комисията.  </w:t>
      </w:r>
    </w:p>
  </w:footnote>
  <w:footnote w:id="30">
    <w:p>
      <w:pPr>
        <w:pStyle w:val="FootnoteText"/>
        <w:ind w:left="284" w:hanging="284"/>
      </w:pPr>
      <w:r>
        <w:rPr>
          <w:rStyle w:val="FootnoteReference"/>
        </w:rPr>
        <w:footnoteRef/>
      </w:r>
      <w:r>
        <w:t xml:space="preserve"> </w:t>
      </w:r>
      <w:r>
        <w:tab/>
        <w:t>COM(2017) 592 final, 11 октомври 2017 г.</w:t>
      </w:r>
    </w:p>
  </w:footnote>
  <w:footnote w:id="31">
    <w:p>
      <w:pPr>
        <w:pStyle w:val="FootnoteText"/>
        <w:ind w:left="284" w:hanging="284"/>
        <w:jc w:val="both"/>
      </w:pPr>
      <w:r>
        <w:rPr>
          <w:rStyle w:val="FootnoteReference"/>
        </w:rPr>
        <w:footnoteRef/>
      </w:r>
      <w:r>
        <w:t xml:space="preserve"> </w:t>
      </w:r>
      <w:r>
        <w:tab/>
        <w:t xml:space="preserve">Предложения на Комисията от 23 ноември 2016 г. за изменение на следните законодателни актове: Регламент № 575/2013, Директива 2013/36/ЕС, Директива 2014/59/ЕС и Регламент за изпълнение (ЕС) 2015/81 на Съвета от 19 декември 2014 г. </w:t>
      </w:r>
    </w:p>
  </w:footnote>
  <w:footnote w:id="32">
    <w:p>
      <w:pPr>
        <w:pStyle w:val="FootnoteText"/>
        <w:ind w:left="284" w:hanging="284"/>
        <w:jc w:val="both"/>
      </w:pPr>
      <w:r>
        <w:rPr>
          <w:rStyle w:val="FootnoteReference"/>
        </w:rPr>
        <w:footnoteRef/>
      </w:r>
      <w:r>
        <w:t xml:space="preserve"> </w:t>
      </w:r>
      <w:r>
        <w:tab/>
        <w:t>Вж. например заключенията на Съвета по икономически и финансови въпроси във връзка с необслужваните заеми в банковия сектор (док. 9854/17).</w:t>
      </w:r>
    </w:p>
  </w:footnote>
  <w:footnote w:id="33">
    <w:p>
      <w:pPr>
        <w:pStyle w:val="FootnoteText"/>
        <w:ind w:left="284" w:hanging="284"/>
        <w:jc w:val="both"/>
      </w:pPr>
      <w:r>
        <w:rPr>
          <w:rStyle w:val="FootnoteReference"/>
        </w:rPr>
        <w:footnoteRef/>
      </w:r>
      <w:r>
        <w:t xml:space="preserve"> </w:t>
      </w:r>
      <w:r>
        <w:tab/>
        <w:t>COM(2015) 586 final, 24 ноември 2015 г.</w:t>
      </w:r>
    </w:p>
  </w:footnote>
  <w:footnote w:id="34">
    <w:p>
      <w:pPr>
        <w:pStyle w:val="FootnoteText"/>
        <w:ind w:left="284" w:hanging="284"/>
      </w:pPr>
      <w:r>
        <w:rPr>
          <w:rStyle w:val="FootnoteReference"/>
        </w:rPr>
        <w:footnoteRef/>
      </w:r>
      <w:r>
        <w:t xml:space="preserve"> </w:t>
      </w:r>
      <w:r>
        <w:tab/>
        <w:t xml:space="preserve">Вж. например COM(2016) 726 final, 16 ноември 2016 г. и COM(2017) 770 final, 22 ноември 2017 г. </w:t>
      </w:r>
    </w:p>
  </w:footnote>
  <w:footnote w:id="35">
    <w:p>
      <w:pPr>
        <w:pStyle w:val="FootnoteText"/>
        <w:ind w:left="284" w:hanging="284"/>
        <w:jc w:val="both"/>
      </w:pPr>
      <w:r>
        <w:rPr>
          <w:rStyle w:val="FootnoteReference"/>
        </w:rPr>
        <w:footnoteRef/>
      </w:r>
      <w:r>
        <w:t xml:space="preserve"> </w:t>
      </w:r>
      <w:r>
        <w:tab/>
        <w:t>Приемането на стълба беше допълнено с установяването на набор от социални показатели, които ще бъдат интегрирани в европейския семестър за 2018 г. и ще послужат като референтна рамка за наблюдение на резултатите в социалната сфера и заетостта.</w:t>
      </w:r>
    </w:p>
  </w:footnote>
  <w:footnote w:id="36">
    <w:p>
      <w:pPr>
        <w:pStyle w:val="FootnoteText"/>
        <w:ind w:left="284" w:hanging="284"/>
        <w:jc w:val="both"/>
        <w:rPr>
          <w:lang w:val="pt-PT"/>
        </w:rPr>
      </w:pPr>
      <w:r>
        <w:rPr>
          <w:rStyle w:val="FootnoteReference"/>
        </w:rPr>
        <w:footnoteRef/>
      </w:r>
      <w:r>
        <w:t xml:space="preserve"> </w:t>
      </w:r>
      <w:r>
        <w:tab/>
        <w:t>COM(2015) 603 final, 21 октомври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916"/>
    <w:multiLevelType w:val="hybridMultilevel"/>
    <w:tmpl w:val="355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D5E7B"/>
    <w:multiLevelType w:val="hybridMultilevel"/>
    <w:tmpl w:val="C004D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E0763"/>
    <w:multiLevelType w:val="hybridMultilevel"/>
    <w:tmpl w:val="39B8A3B6"/>
    <w:lvl w:ilvl="0" w:tplc="EA6CC04A">
      <w:start w:val="1"/>
      <w:numFmt w:val="bullet"/>
      <w:lvlText w:val=""/>
      <w:lvlJc w:val="left"/>
      <w:pPr>
        <w:tabs>
          <w:tab w:val="num" w:pos="720"/>
        </w:tabs>
        <w:ind w:left="720" w:hanging="360"/>
      </w:pPr>
      <w:rPr>
        <w:rFonts w:ascii="Wingdings" w:hAnsi="Wingdings" w:hint="default"/>
      </w:rPr>
    </w:lvl>
    <w:lvl w:ilvl="1" w:tplc="8806B71C" w:tentative="1">
      <w:start w:val="1"/>
      <w:numFmt w:val="bullet"/>
      <w:lvlText w:val=""/>
      <w:lvlJc w:val="left"/>
      <w:pPr>
        <w:tabs>
          <w:tab w:val="num" w:pos="1440"/>
        </w:tabs>
        <w:ind w:left="1440" w:hanging="360"/>
      </w:pPr>
      <w:rPr>
        <w:rFonts w:ascii="Wingdings" w:hAnsi="Wingdings" w:hint="default"/>
      </w:rPr>
    </w:lvl>
    <w:lvl w:ilvl="2" w:tplc="44A28EB4" w:tentative="1">
      <w:start w:val="1"/>
      <w:numFmt w:val="bullet"/>
      <w:lvlText w:val=""/>
      <w:lvlJc w:val="left"/>
      <w:pPr>
        <w:tabs>
          <w:tab w:val="num" w:pos="2160"/>
        </w:tabs>
        <w:ind w:left="2160" w:hanging="360"/>
      </w:pPr>
      <w:rPr>
        <w:rFonts w:ascii="Wingdings" w:hAnsi="Wingdings" w:hint="default"/>
      </w:rPr>
    </w:lvl>
    <w:lvl w:ilvl="3" w:tplc="30E8C0E4" w:tentative="1">
      <w:start w:val="1"/>
      <w:numFmt w:val="bullet"/>
      <w:lvlText w:val=""/>
      <w:lvlJc w:val="left"/>
      <w:pPr>
        <w:tabs>
          <w:tab w:val="num" w:pos="2880"/>
        </w:tabs>
        <w:ind w:left="2880" w:hanging="360"/>
      </w:pPr>
      <w:rPr>
        <w:rFonts w:ascii="Wingdings" w:hAnsi="Wingdings" w:hint="default"/>
      </w:rPr>
    </w:lvl>
    <w:lvl w:ilvl="4" w:tplc="6A5CB29A" w:tentative="1">
      <w:start w:val="1"/>
      <w:numFmt w:val="bullet"/>
      <w:lvlText w:val=""/>
      <w:lvlJc w:val="left"/>
      <w:pPr>
        <w:tabs>
          <w:tab w:val="num" w:pos="3600"/>
        </w:tabs>
        <w:ind w:left="3600" w:hanging="360"/>
      </w:pPr>
      <w:rPr>
        <w:rFonts w:ascii="Wingdings" w:hAnsi="Wingdings" w:hint="default"/>
      </w:rPr>
    </w:lvl>
    <w:lvl w:ilvl="5" w:tplc="7100677E" w:tentative="1">
      <w:start w:val="1"/>
      <w:numFmt w:val="bullet"/>
      <w:lvlText w:val=""/>
      <w:lvlJc w:val="left"/>
      <w:pPr>
        <w:tabs>
          <w:tab w:val="num" w:pos="4320"/>
        </w:tabs>
        <w:ind w:left="4320" w:hanging="360"/>
      </w:pPr>
      <w:rPr>
        <w:rFonts w:ascii="Wingdings" w:hAnsi="Wingdings" w:hint="default"/>
      </w:rPr>
    </w:lvl>
    <w:lvl w:ilvl="6" w:tplc="BA803400" w:tentative="1">
      <w:start w:val="1"/>
      <w:numFmt w:val="bullet"/>
      <w:lvlText w:val=""/>
      <w:lvlJc w:val="left"/>
      <w:pPr>
        <w:tabs>
          <w:tab w:val="num" w:pos="5040"/>
        </w:tabs>
        <w:ind w:left="5040" w:hanging="360"/>
      </w:pPr>
      <w:rPr>
        <w:rFonts w:ascii="Wingdings" w:hAnsi="Wingdings" w:hint="default"/>
      </w:rPr>
    </w:lvl>
    <w:lvl w:ilvl="7" w:tplc="386633E8" w:tentative="1">
      <w:start w:val="1"/>
      <w:numFmt w:val="bullet"/>
      <w:lvlText w:val=""/>
      <w:lvlJc w:val="left"/>
      <w:pPr>
        <w:tabs>
          <w:tab w:val="num" w:pos="5760"/>
        </w:tabs>
        <w:ind w:left="5760" w:hanging="360"/>
      </w:pPr>
      <w:rPr>
        <w:rFonts w:ascii="Wingdings" w:hAnsi="Wingdings" w:hint="default"/>
      </w:rPr>
    </w:lvl>
    <w:lvl w:ilvl="8" w:tplc="D708E754" w:tentative="1">
      <w:start w:val="1"/>
      <w:numFmt w:val="bullet"/>
      <w:lvlText w:val=""/>
      <w:lvlJc w:val="left"/>
      <w:pPr>
        <w:tabs>
          <w:tab w:val="num" w:pos="6480"/>
        </w:tabs>
        <w:ind w:left="6480" w:hanging="360"/>
      </w:pPr>
      <w:rPr>
        <w:rFonts w:ascii="Wingdings" w:hAnsi="Wingdings" w:hint="default"/>
      </w:rPr>
    </w:lvl>
  </w:abstractNum>
  <w:abstractNum w:abstractNumId="3">
    <w:nsid w:val="077D0830"/>
    <w:multiLevelType w:val="hybridMultilevel"/>
    <w:tmpl w:val="7BB2CF12"/>
    <w:lvl w:ilvl="0" w:tplc="6846BEF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714E3CB6">
      <w:start w:val="1"/>
      <w:numFmt w:val="bullet"/>
      <w:lvlText w:val="•"/>
      <w:lvlJc w:val="left"/>
      <w:pPr>
        <w:ind w:left="1275" w:hanging="244"/>
      </w:pPr>
      <w:rPr>
        <w:rFonts w:hint="default"/>
      </w:rPr>
    </w:lvl>
    <w:lvl w:ilvl="2" w:tplc="82CE79E2">
      <w:start w:val="1"/>
      <w:numFmt w:val="bullet"/>
      <w:lvlText w:val="•"/>
      <w:lvlJc w:val="left"/>
      <w:pPr>
        <w:ind w:left="2186" w:hanging="244"/>
      </w:pPr>
      <w:rPr>
        <w:rFonts w:hint="default"/>
      </w:rPr>
    </w:lvl>
    <w:lvl w:ilvl="3" w:tplc="4EDA540C">
      <w:start w:val="1"/>
      <w:numFmt w:val="bullet"/>
      <w:lvlText w:val="•"/>
      <w:lvlJc w:val="left"/>
      <w:pPr>
        <w:ind w:left="3097" w:hanging="244"/>
      </w:pPr>
      <w:rPr>
        <w:rFonts w:hint="default"/>
      </w:rPr>
    </w:lvl>
    <w:lvl w:ilvl="4" w:tplc="D0B41818">
      <w:start w:val="1"/>
      <w:numFmt w:val="bullet"/>
      <w:lvlText w:val="•"/>
      <w:lvlJc w:val="left"/>
      <w:pPr>
        <w:ind w:left="4009" w:hanging="244"/>
      </w:pPr>
      <w:rPr>
        <w:rFonts w:hint="default"/>
      </w:rPr>
    </w:lvl>
    <w:lvl w:ilvl="5" w:tplc="AC1E74F6">
      <w:start w:val="1"/>
      <w:numFmt w:val="bullet"/>
      <w:lvlText w:val="•"/>
      <w:lvlJc w:val="left"/>
      <w:pPr>
        <w:ind w:left="4920" w:hanging="244"/>
      </w:pPr>
      <w:rPr>
        <w:rFonts w:hint="default"/>
      </w:rPr>
    </w:lvl>
    <w:lvl w:ilvl="6" w:tplc="7EFE54EA">
      <w:start w:val="1"/>
      <w:numFmt w:val="bullet"/>
      <w:lvlText w:val="•"/>
      <w:lvlJc w:val="left"/>
      <w:pPr>
        <w:ind w:left="5831" w:hanging="244"/>
      </w:pPr>
      <w:rPr>
        <w:rFonts w:hint="default"/>
      </w:rPr>
    </w:lvl>
    <w:lvl w:ilvl="7" w:tplc="175C667E">
      <w:start w:val="1"/>
      <w:numFmt w:val="bullet"/>
      <w:lvlText w:val="•"/>
      <w:lvlJc w:val="left"/>
      <w:pPr>
        <w:ind w:left="6742" w:hanging="244"/>
      </w:pPr>
      <w:rPr>
        <w:rFonts w:hint="default"/>
      </w:rPr>
    </w:lvl>
    <w:lvl w:ilvl="8" w:tplc="69542AD0">
      <w:start w:val="1"/>
      <w:numFmt w:val="bullet"/>
      <w:lvlText w:val="•"/>
      <w:lvlJc w:val="left"/>
      <w:pPr>
        <w:ind w:left="7654" w:hanging="244"/>
      </w:pPr>
      <w:rPr>
        <w:rFonts w:hint="default"/>
      </w:rPr>
    </w:lvl>
  </w:abstractNum>
  <w:abstractNum w:abstractNumId="4">
    <w:nsid w:val="09CD2620"/>
    <w:multiLevelType w:val="hybridMultilevel"/>
    <w:tmpl w:val="A3FA2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0B05C6"/>
    <w:multiLevelType w:val="hybridMultilevel"/>
    <w:tmpl w:val="72049696"/>
    <w:lvl w:ilvl="0" w:tplc="5F409D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B400E"/>
    <w:multiLevelType w:val="hybridMultilevel"/>
    <w:tmpl w:val="2CD4378E"/>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7">
    <w:nsid w:val="1053037E"/>
    <w:multiLevelType w:val="hybridMultilevel"/>
    <w:tmpl w:val="36584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6E71DA"/>
    <w:multiLevelType w:val="hybridMultilevel"/>
    <w:tmpl w:val="31ACDA74"/>
    <w:lvl w:ilvl="0" w:tplc="20B62EEC">
      <w:start w:val="1"/>
      <w:numFmt w:val="bullet"/>
      <w:lvlText w:val=""/>
      <w:lvlJc w:val="left"/>
      <w:pPr>
        <w:tabs>
          <w:tab w:val="num" w:pos="720"/>
        </w:tabs>
        <w:ind w:left="720" w:hanging="360"/>
      </w:pPr>
      <w:rPr>
        <w:rFonts w:ascii="Wingdings" w:hAnsi="Wingdings" w:hint="default"/>
      </w:rPr>
    </w:lvl>
    <w:lvl w:ilvl="1" w:tplc="70443A84" w:tentative="1">
      <w:start w:val="1"/>
      <w:numFmt w:val="bullet"/>
      <w:lvlText w:val=""/>
      <w:lvlJc w:val="left"/>
      <w:pPr>
        <w:tabs>
          <w:tab w:val="num" w:pos="1440"/>
        </w:tabs>
        <w:ind w:left="1440" w:hanging="360"/>
      </w:pPr>
      <w:rPr>
        <w:rFonts w:ascii="Wingdings" w:hAnsi="Wingdings" w:hint="default"/>
      </w:rPr>
    </w:lvl>
    <w:lvl w:ilvl="2" w:tplc="5DCE1E52" w:tentative="1">
      <w:start w:val="1"/>
      <w:numFmt w:val="bullet"/>
      <w:lvlText w:val=""/>
      <w:lvlJc w:val="left"/>
      <w:pPr>
        <w:tabs>
          <w:tab w:val="num" w:pos="2160"/>
        </w:tabs>
        <w:ind w:left="2160" w:hanging="360"/>
      </w:pPr>
      <w:rPr>
        <w:rFonts w:ascii="Wingdings" w:hAnsi="Wingdings" w:hint="default"/>
      </w:rPr>
    </w:lvl>
    <w:lvl w:ilvl="3" w:tplc="740422F0" w:tentative="1">
      <w:start w:val="1"/>
      <w:numFmt w:val="bullet"/>
      <w:lvlText w:val=""/>
      <w:lvlJc w:val="left"/>
      <w:pPr>
        <w:tabs>
          <w:tab w:val="num" w:pos="2880"/>
        </w:tabs>
        <w:ind w:left="2880" w:hanging="360"/>
      </w:pPr>
      <w:rPr>
        <w:rFonts w:ascii="Wingdings" w:hAnsi="Wingdings" w:hint="default"/>
      </w:rPr>
    </w:lvl>
    <w:lvl w:ilvl="4" w:tplc="C660D626" w:tentative="1">
      <w:start w:val="1"/>
      <w:numFmt w:val="bullet"/>
      <w:lvlText w:val=""/>
      <w:lvlJc w:val="left"/>
      <w:pPr>
        <w:tabs>
          <w:tab w:val="num" w:pos="3600"/>
        </w:tabs>
        <w:ind w:left="3600" w:hanging="360"/>
      </w:pPr>
      <w:rPr>
        <w:rFonts w:ascii="Wingdings" w:hAnsi="Wingdings" w:hint="default"/>
      </w:rPr>
    </w:lvl>
    <w:lvl w:ilvl="5" w:tplc="F60A7946" w:tentative="1">
      <w:start w:val="1"/>
      <w:numFmt w:val="bullet"/>
      <w:lvlText w:val=""/>
      <w:lvlJc w:val="left"/>
      <w:pPr>
        <w:tabs>
          <w:tab w:val="num" w:pos="4320"/>
        </w:tabs>
        <w:ind w:left="4320" w:hanging="360"/>
      </w:pPr>
      <w:rPr>
        <w:rFonts w:ascii="Wingdings" w:hAnsi="Wingdings" w:hint="default"/>
      </w:rPr>
    </w:lvl>
    <w:lvl w:ilvl="6" w:tplc="02443A62" w:tentative="1">
      <w:start w:val="1"/>
      <w:numFmt w:val="bullet"/>
      <w:lvlText w:val=""/>
      <w:lvlJc w:val="left"/>
      <w:pPr>
        <w:tabs>
          <w:tab w:val="num" w:pos="5040"/>
        </w:tabs>
        <w:ind w:left="5040" w:hanging="360"/>
      </w:pPr>
      <w:rPr>
        <w:rFonts w:ascii="Wingdings" w:hAnsi="Wingdings" w:hint="default"/>
      </w:rPr>
    </w:lvl>
    <w:lvl w:ilvl="7" w:tplc="0B484370" w:tentative="1">
      <w:start w:val="1"/>
      <w:numFmt w:val="bullet"/>
      <w:lvlText w:val=""/>
      <w:lvlJc w:val="left"/>
      <w:pPr>
        <w:tabs>
          <w:tab w:val="num" w:pos="5760"/>
        </w:tabs>
        <w:ind w:left="5760" w:hanging="360"/>
      </w:pPr>
      <w:rPr>
        <w:rFonts w:ascii="Wingdings" w:hAnsi="Wingdings" w:hint="default"/>
      </w:rPr>
    </w:lvl>
    <w:lvl w:ilvl="8" w:tplc="7E6EA800" w:tentative="1">
      <w:start w:val="1"/>
      <w:numFmt w:val="bullet"/>
      <w:lvlText w:val=""/>
      <w:lvlJc w:val="left"/>
      <w:pPr>
        <w:tabs>
          <w:tab w:val="num" w:pos="6480"/>
        </w:tabs>
        <w:ind w:left="6480" w:hanging="360"/>
      </w:pPr>
      <w:rPr>
        <w:rFonts w:ascii="Wingdings" w:hAnsi="Wingdings" w:hint="default"/>
      </w:rPr>
    </w:lvl>
  </w:abstractNum>
  <w:abstractNum w:abstractNumId="9">
    <w:nsid w:val="10B47D69"/>
    <w:multiLevelType w:val="hybridMultilevel"/>
    <w:tmpl w:val="EADA6252"/>
    <w:lvl w:ilvl="0" w:tplc="792E709A">
      <w:start w:val="1"/>
      <w:numFmt w:val="bullet"/>
      <w:lvlText w:val=""/>
      <w:lvlJc w:val="left"/>
      <w:pPr>
        <w:tabs>
          <w:tab w:val="num" w:pos="720"/>
        </w:tabs>
        <w:ind w:left="720" w:hanging="360"/>
      </w:pPr>
      <w:rPr>
        <w:rFonts w:ascii="Wingdings" w:hAnsi="Wingdings" w:hint="default"/>
      </w:rPr>
    </w:lvl>
    <w:lvl w:ilvl="1" w:tplc="3154DDC2" w:tentative="1">
      <w:start w:val="1"/>
      <w:numFmt w:val="bullet"/>
      <w:lvlText w:val=""/>
      <w:lvlJc w:val="left"/>
      <w:pPr>
        <w:tabs>
          <w:tab w:val="num" w:pos="1440"/>
        </w:tabs>
        <w:ind w:left="1440" w:hanging="360"/>
      </w:pPr>
      <w:rPr>
        <w:rFonts w:ascii="Wingdings" w:hAnsi="Wingdings" w:hint="default"/>
      </w:rPr>
    </w:lvl>
    <w:lvl w:ilvl="2" w:tplc="D9762C3E" w:tentative="1">
      <w:start w:val="1"/>
      <w:numFmt w:val="bullet"/>
      <w:lvlText w:val=""/>
      <w:lvlJc w:val="left"/>
      <w:pPr>
        <w:tabs>
          <w:tab w:val="num" w:pos="2160"/>
        </w:tabs>
        <w:ind w:left="2160" w:hanging="360"/>
      </w:pPr>
      <w:rPr>
        <w:rFonts w:ascii="Wingdings" w:hAnsi="Wingdings" w:hint="default"/>
      </w:rPr>
    </w:lvl>
    <w:lvl w:ilvl="3" w:tplc="C2665226" w:tentative="1">
      <w:start w:val="1"/>
      <w:numFmt w:val="bullet"/>
      <w:lvlText w:val=""/>
      <w:lvlJc w:val="left"/>
      <w:pPr>
        <w:tabs>
          <w:tab w:val="num" w:pos="2880"/>
        </w:tabs>
        <w:ind w:left="2880" w:hanging="360"/>
      </w:pPr>
      <w:rPr>
        <w:rFonts w:ascii="Wingdings" w:hAnsi="Wingdings" w:hint="default"/>
      </w:rPr>
    </w:lvl>
    <w:lvl w:ilvl="4" w:tplc="D8025FF0" w:tentative="1">
      <w:start w:val="1"/>
      <w:numFmt w:val="bullet"/>
      <w:lvlText w:val=""/>
      <w:lvlJc w:val="left"/>
      <w:pPr>
        <w:tabs>
          <w:tab w:val="num" w:pos="3600"/>
        </w:tabs>
        <w:ind w:left="3600" w:hanging="360"/>
      </w:pPr>
      <w:rPr>
        <w:rFonts w:ascii="Wingdings" w:hAnsi="Wingdings" w:hint="default"/>
      </w:rPr>
    </w:lvl>
    <w:lvl w:ilvl="5" w:tplc="0936D83A" w:tentative="1">
      <w:start w:val="1"/>
      <w:numFmt w:val="bullet"/>
      <w:lvlText w:val=""/>
      <w:lvlJc w:val="left"/>
      <w:pPr>
        <w:tabs>
          <w:tab w:val="num" w:pos="4320"/>
        </w:tabs>
        <w:ind w:left="4320" w:hanging="360"/>
      </w:pPr>
      <w:rPr>
        <w:rFonts w:ascii="Wingdings" w:hAnsi="Wingdings" w:hint="default"/>
      </w:rPr>
    </w:lvl>
    <w:lvl w:ilvl="6" w:tplc="AD74E7E0" w:tentative="1">
      <w:start w:val="1"/>
      <w:numFmt w:val="bullet"/>
      <w:lvlText w:val=""/>
      <w:lvlJc w:val="left"/>
      <w:pPr>
        <w:tabs>
          <w:tab w:val="num" w:pos="5040"/>
        </w:tabs>
        <w:ind w:left="5040" w:hanging="360"/>
      </w:pPr>
      <w:rPr>
        <w:rFonts w:ascii="Wingdings" w:hAnsi="Wingdings" w:hint="default"/>
      </w:rPr>
    </w:lvl>
    <w:lvl w:ilvl="7" w:tplc="235A837A" w:tentative="1">
      <w:start w:val="1"/>
      <w:numFmt w:val="bullet"/>
      <w:lvlText w:val=""/>
      <w:lvlJc w:val="left"/>
      <w:pPr>
        <w:tabs>
          <w:tab w:val="num" w:pos="5760"/>
        </w:tabs>
        <w:ind w:left="5760" w:hanging="360"/>
      </w:pPr>
      <w:rPr>
        <w:rFonts w:ascii="Wingdings" w:hAnsi="Wingdings" w:hint="default"/>
      </w:rPr>
    </w:lvl>
    <w:lvl w:ilvl="8" w:tplc="6096CFE8" w:tentative="1">
      <w:start w:val="1"/>
      <w:numFmt w:val="bullet"/>
      <w:lvlText w:val=""/>
      <w:lvlJc w:val="left"/>
      <w:pPr>
        <w:tabs>
          <w:tab w:val="num" w:pos="6480"/>
        </w:tabs>
        <w:ind w:left="6480" w:hanging="360"/>
      </w:pPr>
      <w:rPr>
        <w:rFonts w:ascii="Wingdings" w:hAnsi="Wingdings" w:hint="default"/>
      </w:rPr>
    </w:lvl>
  </w:abstractNum>
  <w:abstractNum w:abstractNumId="10">
    <w:nsid w:val="10C17CEA"/>
    <w:multiLevelType w:val="hybridMultilevel"/>
    <w:tmpl w:val="C246A04A"/>
    <w:lvl w:ilvl="0" w:tplc="AD62333A">
      <w:start w:val="1"/>
      <w:numFmt w:val="bullet"/>
      <w:lvlText w:val=""/>
      <w:lvlJc w:val="left"/>
      <w:pPr>
        <w:tabs>
          <w:tab w:val="num" w:pos="720"/>
        </w:tabs>
        <w:ind w:left="720" w:hanging="360"/>
      </w:pPr>
      <w:rPr>
        <w:rFonts w:ascii="Wingdings" w:hAnsi="Wingdings" w:hint="default"/>
      </w:rPr>
    </w:lvl>
    <w:lvl w:ilvl="1" w:tplc="A6B88016" w:tentative="1">
      <w:start w:val="1"/>
      <w:numFmt w:val="bullet"/>
      <w:lvlText w:val=""/>
      <w:lvlJc w:val="left"/>
      <w:pPr>
        <w:tabs>
          <w:tab w:val="num" w:pos="1440"/>
        </w:tabs>
        <w:ind w:left="1440" w:hanging="360"/>
      </w:pPr>
      <w:rPr>
        <w:rFonts w:ascii="Wingdings" w:hAnsi="Wingdings" w:hint="default"/>
      </w:rPr>
    </w:lvl>
    <w:lvl w:ilvl="2" w:tplc="6B145236" w:tentative="1">
      <w:start w:val="1"/>
      <w:numFmt w:val="bullet"/>
      <w:lvlText w:val=""/>
      <w:lvlJc w:val="left"/>
      <w:pPr>
        <w:tabs>
          <w:tab w:val="num" w:pos="2160"/>
        </w:tabs>
        <w:ind w:left="2160" w:hanging="360"/>
      </w:pPr>
      <w:rPr>
        <w:rFonts w:ascii="Wingdings" w:hAnsi="Wingdings" w:hint="default"/>
      </w:rPr>
    </w:lvl>
    <w:lvl w:ilvl="3" w:tplc="5E6A7B7C" w:tentative="1">
      <w:start w:val="1"/>
      <w:numFmt w:val="bullet"/>
      <w:lvlText w:val=""/>
      <w:lvlJc w:val="left"/>
      <w:pPr>
        <w:tabs>
          <w:tab w:val="num" w:pos="2880"/>
        </w:tabs>
        <w:ind w:left="2880" w:hanging="360"/>
      </w:pPr>
      <w:rPr>
        <w:rFonts w:ascii="Wingdings" w:hAnsi="Wingdings" w:hint="default"/>
      </w:rPr>
    </w:lvl>
    <w:lvl w:ilvl="4" w:tplc="CD84D964" w:tentative="1">
      <w:start w:val="1"/>
      <w:numFmt w:val="bullet"/>
      <w:lvlText w:val=""/>
      <w:lvlJc w:val="left"/>
      <w:pPr>
        <w:tabs>
          <w:tab w:val="num" w:pos="3600"/>
        </w:tabs>
        <w:ind w:left="3600" w:hanging="360"/>
      </w:pPr>
      <w:rPr>
        <w:rFonts w:ascii="Wingdings" w:hAnsi="Wingdings" w:hint="default"/>
      </w:rPr>
    </w:lvl>
    <w:lvl w:ilvl="5" w:tplc="751AFFB4" w:tentative="1">
      <w:start w:val="1"/>
      <w:numFmt w:val="bullet"/>
      <w:lvlText w:val=""/>
      <w:lvlJc w:val="left"/>
      <w:pPr>
        <w:tabs>
          <w:tab w:val="num" w:pos="4320"/>
        </w:tabs>
        <w:ind w:left="4320" w:hanging="360"/>
      </w:pPr>
      <w:rPr>
        <w:rFonts w:ascii="Wingdings" w:hAnsi="Wingdings" w:hint="default"/>
      </w:rPr>
    </w:lvl>
    <w:lvl w:ilvl="6" w:tplc="5796AE44" w:tentative="1">
      <w:start w:val="1"/>
      <w:numFmt w:val="bullet"/>
      <w:lvlText w:val=""/>
      <w:lvlJc w:val="left"/>
      <w:pPr>
        <w:tabs>
          <w:tab w:val="num" w:pos="5040"/>
        </w:tabs>
        <w:ind w:left="5040" w:hanging="360"/>
      </w:pPr>
      <w:rPr>
        <w:rFonts w:ascii="Wingdings" w:hAnsi="Wingdings" w:hint="default"/>
      </w:rPr>
    </w:lvl>
    <w:lvl w:ilvl="7" w:tplc="E698F556" w:tentative="1">
      <w:start w:val="1"/>
      <w:numFmt w:val="bullet"/>
      <w:lvlText w:val=""/>
      <w:lvlJc w:val="left"/>
      <w:pPr>
        <w:tabs>
          <w:tab w:val="num" w:pos="5760"/>
        </w:tabs>
        <w:ind w:left="5760" w:hanging="360"/>
      </w:pPr>
      <w:rPr>
        <w:rFonts w:ascii="Wingdings" w:hAnsi="Wingdings" w:hint="default"/>
      </w:rPr>
    </w:lvl>
    <w:lvl w:ilvl="8" w:tplc="9356B10C" w:tentative="1">
      <w:start w:val="1"/>
      <w:numFmt w:val="bullet"/>
      <w:lvlText w:val=""/>
      <w:lvlJc w:val="left"/>
      <w:pPr>
        <w:tabs>
          <w:tab w:val="num" w:pos="6480"/>
        </w:tabs>
        <w:ind w:left="6480" w:hanging="360"/>
      </w:pPr>
      <w:rPr>
        <w:rFonts w:ascii="Wingdings" w:hAnsi="Wingdings" w:hint="default"/>
      </w:rPr>
    </w:lvl>
  </w:abstractNum>
  <w:abstractNum w:abstractNumId="11">
    <w:nsid w:val="113B28B8"/>
    <w:multiLevelType w:val="hybridMultilevel"/>
    <w:tmpl w:val="B2AA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1B44ABF"/>
    <w:multiLevelType w:val="hybridMultilevel"/>
    <w:tmpl w:val="7D8E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503573"/>
    <w:multiLevelType w:val="hybridMultilevel"/>
    <w:tmpl w:val="811CA5A8"/>
    <w:lvl w:ilvl="0" w:tplc="CE4AAA0C">
      <w:start w:val="1"/>
      <w:numFmt w:val="bullet"/>
      <w:lvlText w:val=""/>
      <w:lvlJc w:val="left"/>
      <w:pPr>
        <w:tabs>
          <w:tab w:val="num" w:pos="720"/>
        </w:tabs>
        <w:ind w:left="720" w:hanging="360"/>
      </w:pPr>
      <w:rPr>
        <w:rFonts w:ascii="Wingdings" w:hAnsi="Wingdings" w:hint="default"/>
      </w:rPr>
    </w:lvl>
    <w:lvl w:ilvl="1" w:tplc="13FE7F34" w:tentative="1">
      <w:start w:val="1"/>
      <w:numFmt w:val="bullet"/>
      <w:lvlText w:val=""/>
      <w:lvlJc w:val="left"/>
      <w:pPr>
        <w:tabs>
          <w:tab w:val="num" w:pos="1440"/>
        </w:tabs>
        <w:ind w:left="1440" w:hanging="360"/>
      </w:pPr>
      <w:rPr>
        <w:rFonts w:ascii="Wingdings" w:hAnsi="Wingdings" w:hint="default"/>
      </w:rPr>
    </w:lvl>
    <w:lvl w:ilvl="2" w:tplc="71D69132" w:tentative="1">
      <w:start w:val="1"/>
      <w:numFmt w:val="bullet"/>
      <w:lvlText w:val=""/>
      <w:lvlJc w:val="left"/>
      <w:pPr>
        <w:tabs>
          <w:tab w:val="num" w:pos="2160"/>
        </w:tabs>
        <w:ind w:left="2160" w:hanging="360"/>
      </w:pPr>
      <w:rPr>
        <w:rFonts w:ascii="Wingdings" w:hAnsi="Wingdings" w:hint="default"/>
      </w:rPr>
    </w:lvl>
    <w:lvl w:ilvl="3" w:tplc="B2CCCF68" w:tentative="1">
      <w:start w:val="1"/>
      <w:numFmt w:val="bullet"/>
      <w:lvlText w:val=""/>
      <w:lvlJc w:val="left"/>
      <w:pPr>
        <w:tabs>
          <w:tab w:val="num" w:pos="2880"/>
        </w:tabs>
        <w:ind w:left="2880" w:hanging="360"/>
      </w:pPr>
      <w:rPr>
        <w:rFonts w:ascii="Wingdings" w:hAnsi="Wingdings" w:hint="default"/>
      </w:rPr>
    </w:lvl>
    <w:lvl w:ilvl="4" w:tplc="6A9A2F20" w:tentative="1">
      <w:start w:val="1"/>
      <w:numFmt w:val="bullet"/>
      <w:lvlText w:val=""/>
      <w:lvlJc w:val="left"/>
      <w:pPr>
        <w:tabs>
          <w:tab w:val="num" w:pos="3600"/>
        </w:tabs>
        <w:ind w:left="3600" w:hanging="360"/>
      </w:pPr>
      <w:rPr>
        <w:rFonts w:ascii="Wingdings" w:hAnsi="Wingdings" w:hint="default"/>
      </w:rPr>
    </w:lvl>
    <w:lvl w:ilvl="5" w:tplc="39FAAAF8" w:tentative="1">
      <w:start w:val="1"/>
      <w:numFmt w:val="bullet"/>
      <w:lvlText w:val=""/>
      <w:lvlJc w:val="left"/>
      <w:pPr>
        <w:tabs>
          <w:tab w:val="num" w:pos="4320"/>
        </w:tabs>
        <w:ind w:left="4320" w:hanging="360"/>
      </w:pPr>
      <w:rPr>
        <w:rFonts w:ascii="Wingdings" w:hAnsi="Wingdings" w:hint="default"/>
      </w:rPr>
    </w:lvl>
    <w:lvl w:ilvl="6" w:tplc="85D6FDBA" w:tentative="1">
      <w:start w:val="1"/>
      <w:numFmt w:val="bullet"/>
      <w:lvlText w:val=""/>
      <w:lvlJc w:val="left"/>
      <w:pPr>
        <w:tabs>
          <w:tab w:val="num" w:pos="5040"/>
        </w:tabs>
        <w:ind w:left="5040" w:hanging="360"/>
      </w:pPr>
      <w:rPr>
        <w:rFonts w:ascii="Wingdings" w:hAnsi="Wingdings" w:hint="default"/>
      </w:rPr>
    </w:lvl>
    <w:lvl w:ilvl="7" w:tplc="7B4451D6" w:tentative="1">
      <w:start w:val="1"/>
      <w:numFmt w:val="bullet"/>
      <w:lvlText w:val=""/>
      <w:lvlJc w:val="left"/>
      <w:pPr>
        <w:tabs>
          <w:tab w:val="num" w:pos="5760"/>
        </w:tabs>
        <w:ind w:left="5760" w:hanging="360"/>
      </w:pPr>
      <w:rPr>
        <w:rFonts w:ascii="Wingdings" w:hAnsi="Wingdings" w:hint="default"/>
      </w:rPr>
    </w:lvl>
    <w:lvl w:ilvl="8" w:tplc="D870FE1E" w:tentative="1">
      <w:start w:val="1"/>
      <w:numFmt w:val="bullet"/>
      <w:lvlText w:val=""/>
      <w:lvlJc w:val="left"/>
      <w:pPr>
        <w:tabs>
          <w:tab w:val="num" w:pos="6480"/>
        </w:tabs>
        <w:ind w:left="6480" w:hanging="360"/>
      </w:pPr>
      <w:rPr>
        <w:rFonts w:ascii="Wingdings" w:hAnsi="Wingdings" w:hint="default"/>
      </w:rPr>
    </w:lvl>
  </w:abstractNum>
  <w:abstractNum w:abstractNumId="14">
    <w:nsid w:val="1A7E7F42"/>
    <w:multiLevelType w:val="hybridMultilevel"/>
    <w:tmpl w:val="954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B181A8E"/>
    <w:multiLevelType w:val="hybridMultilevel"/>
    <w:tmpl w:val="F99E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BE4BC2"/>
    <w:multiLevelType w:val="hybridMultilevel"/>
    <w:tmpl w:val="1882BB0E"/>
    <w:lvl w:ilvl="0" w:tplc="93C0B37A">
      <w:start w:val="1"/>
      <w:numFmt w:val="bullet"/>
      <w:lvlText w:val=""/>
      <w:lvlJc w:val="left"/>
      <w:pPr>
        <w:tabs>
          <w:tab w:val="num" w:pos="720"/>
        </w:tabs>
        <w:ind w:left="720" w:hanging="360"/>
      </w:pPr>
      <w:rPr>
        <w:rFonts w:ascii="Wingdings" w:hAnsi="Wingdings" w:hint="default"/>
      </w:rPr>
    </w:lvl>
    <w:lvl w:ilvl="1" w:tplc="EAF0B9F2" w:tentative="1">
      <w:start w:val="1"/>
      <w:numFmt w:val="bullet"/>
      <w:lvlText w:val=""/>
      <w:lvlJc w:val="left"/>
      <w:pPr>
        <w:tabs>
          <w:tab w:val="num" w:pos="1440"/>
        </w:tabs>
        <w:ind w:left="1440" w:hanging="360"/>
      </w:pPr>
      <w:rPr>
        <w:rFonts w:ascii="Wingdings" w:hAnsi="Wingdings" w:hint="default"/>
      </w:rPr>
    </w:lvl>
    <w:lvl w:ilvl="2" w:tplc="11A2F146" w:tentative="1">
      <w:start w:val="1"/>
      <w:numFmt w:val="bullet"/>
      <w:lvlText w:val=""/>
      <w:lvlJc w:val="left"/>
      <w:pPr>
        <w:tabs>
          <w:tab w:val="num" w:pos="2160"/>
        </w:tabs>
        <w:ind w:left="2160" w:hanging="360"/>
      </w:pPr>
      <w:rPr>
        <w:rFonts w:ascii="Wingdings" w:hAnsi="Wingdings" w:hint="default"/>
      </w:rPr>
    </w:lvl>
    <w:lvl w:ilvl="3" w:tplc="C846D432" w:tentative="1">
      <w:start w:val="1"/>
      <w:numFmt w:val="bullet"/>
      <w:lvlText w:val=""/>
      <w:lvlJc w:val="left"/>
      <w:pPr>
        <w:tabs>
          <w:tab w:val="num" w:pos="2880"/>
        </w:tabs>
        <w:ind w:left="2880" w:hanging="360"/>
      </w:pPr>
      <w:rPr>
        <w:rFonts w:ascii="Wingdings" w:hAnsi="Wingdings" w:hint="default"/>
      </w:rPr>
    </w:lvl>
    <w:lvl w:ilvl="4" w:tplc="29D05E82" w:tentative="1">
      <w:start w:val="1"/>
      <w:numFmt w:val="bullet"/>
      <w:lvlText w:val=""/>
      <w:lvlJc w:val="left"/>
      <w:pPr>
        <w:tabs>
          <w:tab w:val="num" w:pos="3600"/>
        </w:tabs>
        <w:ind w:left="3600" w:hanging="360"/>
      </w:pPr>
      <w:rPr>
        <w:rFonts w:ascii="Wingdings" w:hAnsi="Wingdings" w:hint="default"/>
      </w:rPr>
    </w:lvl>
    <w:lvl w:ilvl="5" w:tplc="3DC88384" w:tentative="1">
      <w:start w:val="1"/>
      <w:numFmt w:val="bullet"/>
      <w:lvlText w:val=""/>
      <w:lvlJc w:val="left"/>
      <w:pPr>
        <w:tabs>
          <w:tab w:val="num" w:pos="4320"/>
        </w:tabs>
        <w:ind w:left="4320" w:hanging="360"/>
      </w:pPr>
      <w:rPr>
        <w:rFonts w:ascii="Wingdings" w:hAnsi="Wingdings" w:hint="default"/>
      </w:rPr>
    </w:lvl>
    <w:lvl w:ilvl="6" w:tplc="BF50EB80" w:tentative="1">
      <w:start w:val="1"/>
      <w:numFmt w:val="bullet"/>
      <w:lvlText w:val=""/>
      <w:lvlJc w:val="left"/>
      <w:pPr>
        <w:tabs>
          <w:tab w:val="num" w:pos="5040"/>
        </w:tabs>
        <w:ind w:left="5040" w:hanging="360"/>
      </w:pPr>
      <w:rPr>
        <w:rFonts w:ascii="Wingdings" w:hAnsi="Wingdings" w:hint="default"/>
      </w:rPr>
    </w:lvl>
    <w:lvl w:ilvl="7" w:tplc="1C8CAEAA" w:tentative="1">
      <w:start w:val="1"/>
      <w:numFmt w:val="bullet"/>
      <w:lvlText w:val=""/>
      <w:lvlJc w:val="left"/>
      <w:pPr>
        <w:tabs>
          <w:tab w:val="num" w:pos="5760"/>
        </w:tabs>
        <w:ind w:left="5760" w:hanging="360"/>
      </w:pPr>
      <w:rPr>
        <w:rFonts w:ascii="Wingdings" w:hAnsi="Wingdings" w:hint="default"/>
      </w:rPr>
    </w:lvl>
    <w:lvl w:ilvl="8" w:tplc="5492E132" w:tentative="1">
      <w:start w:val="1"/>
      <w:numFmt w:val="bullet"/>
      <w:lvlText w:val=""/>
      <w:lvlJc w:val="left"/>
      <w:pPr>
        <w:tabs>
          <w:tab w:val="num" w:pos="6480"/>
        </w:tabs>
        <w:ind w:left="6480" w:hanging="360"/>
      </w:pPr>
      <w:rPr>
        <w:rFonts w:ascii="Wingdings" w:hAnsi="Wingdings" w:hint="default"/>
      </w:rPr>
    </w:lvl>
  </w:abstractNum>
  <w:abstractNum w:abstractNumId="17">
    <w:nsid w:val="1E641604"/>
    <w:multiLevelType w:val="hybridMultilevel"/>
    <w:tmpl w:val="8E921C68"/>
    <w:lvl w:ilvl="0" w:tplc="23362278">
      <w:start w:val="1"/>
      <w:numFmt w:val="bullet"/>
      <w:lvlText w:val="✓"/>
      <w:lvlJc w:val="left"/>
      <w:pPr>
        <w:ind w:left="5114" w:hanging="244"/>
      </w:pPr>
      <w:rPr>
        <w:rFonts w:ascii="EC Square Sans Pro" w:eastAsia="EC Square Sans Pro" w:hAnsi="EC Square Sans Pro" w:hint="default"/>
        <w:b/>
        <w:bCs/>
        <w:color w:val="888A8C"/>
        <w:sz w:val="20"/>
        <w:szCs w:val="20"/>
      </w:rPr>
    </w:lvl>
    <w:lvl w:ilvl="1" w:tplc="DE0C0BD0">
      <w:start w:val="1"/>
      <w:numFmt w:val="bullet"/>
      <w:lvlText w:val="•"/>
      <w:lvlJc w:val="left"/>
      <w:pPr>
        <w:ind w:left="5550" w:hanging="244"/>
      </w:pPr>
      <w:rPr>
        <w:rFonts w:hint="default"/>
      </w:rPr>
    </w:lvl>
    <w:lvl w:ilvl="2" w:tplc="A6908658">
      <w:start w:val="1"/>
      <w:numFmt w:val="bullet"/>
      <w:lvlText w:val="•"/>
      <w:lvlJc w:val="left"/>
      <w:pPr>
        <w:ind w:left="5986" w:hanging="244"/>
      </w:pPr>
      <w:rPr>
        <w:rFonts w:hint="default"/>
      </w:rPr>
    </w:lvl>
    <w:lvl w:ilvl="3" w:tplc="46B03388">
      <w:start w:val="1"/>
      <w:numFmt w:val="bullet"/>
      <w:lvlText w:val="•"/>
      <w:lvlJc w:val="left"/>
      <w:pPr>
        <w:ind w:left="6423" w:hanging="244"/>
      </w:pPr>
      <w:rPr>
        <w:rFonts w:hint="default"/>
      </w:rPr>
    </w:lvl>
    <w:lvl w:ilvl="4" w:tplc="4A4CAFAA">
      <w:start w:val="1"/>
      <w:numFmt w:val="bullet"/>
      <w:lvlText w:val="•"/>
      <w:lvlJc w:val="left"/>
      <w:pPr>
        <w:ind w:left="6859" w:hanging="244"/>
      </w:pPr>
      <w:rPr>
        <w:rFonts w:hint="default"/>
      </w:rPr>
    </w:lvl>
    <w:lvl w:ilvl="5" w:tplc="7BA83F7E">
      <w:start w:val="1"/>
      <w:numFmt w:val="bullet"/>
      <w:lvlText w:val="•"/>
      <w:lvlJc w:val="left"/>
      <w:pPr>
        <w:ind w:left="7295" w:hanging="244"/>
      </w:pPr>
      <w:rPr>
        <w:rFonts w:hint="default"/>
      </w:rPr>
    </w:lvl>
    <w:lvl w:ilvl="6" w:tplc="3C947374">
      <w:start w:val="1"/>
      <w:numFmt w:val="bullet"/>
      <w:lvlText w:val="•"/>
      <w:lvlJc w:val="left"/>
      <w:pPr>
        <w:ind w:left="7731" w:hanging="244"/>
      </w:pPr>
      <w:rPr>
        <w:rFonts w:hint="default"/>
      </w:rPr>
    </w:lvl>
    <w:lvl w:ilvl="7" w:tplc="8370D614">
      <w:start w:val="1"/>
      <w:numFmt w:val="bullet"/>
      <w:lvlText w:val="•"/>
      <w:lvlJc w:val="left"/>
      <w:pPr>
        <w:ind w:left="8168" w:hanging="244"/>
      </w:pPr>
      <w:rPr>
        <w:rFonts w:hint="default"/>
      </w:rPr>
    </w:lvl>
    <w:lvl w:ilvl="8" w:tplc="5D420106">
      <w:start w:val="1"/>
      <w:numFmt w:val="bullet"/>
      <w:lvlText w:val="•"/>
      <w:lvlJc w:val="left"/>
      <w:pPr>
        <w:ind w:left="8604" w:hanging="244"/>
      </w:pPr>
      <w:rPr>
        <w:rFonts w:hint="default"/>
      </w:rPr>
    </w:lvl>
  </w:abstractNum>
  <w:abstractNum w:abstractNumId="18">
    <w:nsid w:val="1F385AB4"/>
    <w:multiLevelType w:val="hybridMultilevel"/>
    <w:tmpl w:val="EE664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1631E2F"/>
    <w:multiLevelType w:val="hybridMultilevel"/>
    <w:tmpl w:val="017AE0F2"/>
    <w:lvl w:ilvl="0" w:tplc="2CDC57B6">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501C8A"/>
    <w:multiLevelType w:val="hybridMultilevel"/>
    <w:tmpl w:val="FDCA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7961C8"/>
    <w:multiLevelType w:val="hybridMultilevel"/>
    <w:tmpl w:val="F69A0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EB34FD"/>
    <w:multiLevelType w:val="hybridMultilevel"/>
    <w:tmpl w:val="138C5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535C77"/>
    <w:multiLevelType w:val="hybridMultilevel"/>
    <w:tmpl w:val="F2D4487E"/>
    <w:lvl w:ilvl="0" w:tplc="5EE4A41A">
      <w:start w:val="1"/>
      <w:numFmt w:val="bullet"/>
      <w:lvlText w:val="✓"/>
      <w:lvlJc w:val="left"/>
      <w:pPr>
        <w:ind w:left="328" w:hanging="244"/>
      </w:pPr>
      <w:rPr>
        <w:rFonts w:ascii="EC Square Sans Pro" w:eastAsia="EC Square Sans Pro" w:hAnsi="EC Square Sans Pro" w:hint="default"/>
        <w:b/>
        <w:bCs/>
        <w:color w:val="888A8C"/>
        <w:sz w:val="20"/>
        <w:szCs w:val="20"/>
      </w:rPr>
    </w:lvl>
    <w:lvl w:ilvl="1" w:tplc="E97A755C">
      <w:start w:val="1"/>
      <w:numFmt w:val="bullet"/>
      <w:lvlText w:val="•"/>
      <w:lvlJc w:val="left"/>
      <w:pPr>
        <w:ind w:left="769" w:hanging="244"/>
      </w:pPr>
      <w:rPr>
        <w:rFonts w:hint="default"/>
      </w:rPr>
    </w:lvl>
    <w:lvl w:ilvl="2" w:tplc="E182E68E">
      <w:start w:val="1"/>
      <w:numFmt w:val="bullet"/>
      <w:lvlText w:val="•"/>
      <w:lvlJc w:val="left"/>
      <w:pPr>
        <w:ind w:left="1209" w:hanging="244"/>
      </w:pPr>
      <w:rPr>
        <w:rFonts w:hint="default"/>
      </w:rPr>
    </w:lvl>
    <w:lvl w:ilvl="3" w:tplc="50EA977C">
      <w:start w:val="1"/>
      <w:numFmt w:val="bullet"/>
      <w:lvlText w:val="•"/>
      <w:lvlJc w:val="left"/>
      <w:pPr>
        <w:ind w:left="1650" w:hanging="244"/>
      </w:pPr>
      <w:rPr>
        <w:rFonts w:hint="default"/>
      </w:rPr>
    </w:lvl>
    <w:lvl w:ilvl="4" w:tplc="FC18F28E">
      <w:start w:val="1"/>
      <w:numFmt w:val="bullet"/>
      <w:lvlText w:val="•"/>
      <w:lvlJc w:val="left"/>
      <w:pPr>
        <w:ind w:left="2090" w:hanging="244"/>
      </w:pPr>
      <w:rPr>
        <w:rFonts w:hint="default"/>
      </w:rPr>
    </w:lvl>
    <w:lvl w:ilvl="5" w:tplc="E6422D2A">
      <w:start w:val="1"/>
      <w:numFmt w:val="bullet"/>
      <w:lvlText w:val="•"/>
      <w:lvlJc w:val="left"/>
      <w:pPr>
        <w:ind w:left="2531" w:hanging="244"/>
      </w:pPr>
      <w:rPr>
        <w:rFonts w:hint="default"/>
      </w:rPr>
    </w:lvl>
    <w:lvl w:ilvl="6" w:tplc="02305266">
      <w:start w:val="1"/>
      <w:numFmt w:val="bullet"/>
      <w:lvlText w:val="•"/>
      <w:lvlJc w:val="left"/>
      <w:pPr>
        <w:ind w:left="2972" w:hanging="244"/>
      </w:pPr>
      <w:rPr>
        <w:rFonts w:hint="default"/>
      </w:rPr>
    </w:lvl>
    <w:lvl w:ilvl="7" w:tplc="A094B576">
      <w:start w:val="1"/>
      <w:numFmt w:val="bullet"/>
      <w:lvlText w:val="•"/>
      <w:lvlJc w:val="left"/>
      <w:pPr>
        <w:ind w:left="3412" w:hanging="244"/>
      </w:pPr>
      <w:rPr>
        <w:rFonts w:hint="default"/>
      </w:rPr>
    </w:lvl>
    <w:lvl w:ilvl="8" w:tplc="FE884BF2">
      <w:start w:val="1"/>
      <w:numFmt w:val="bullet"/>
      <w:lvlText w:val="•"/>
      <w:lvlJc w:val="left"/>
      <w:pPr>
        <w:ind w:left="3853" w:hanging="244"/>
      </w:pPr>
      <w:rPr>
        <w:rFonts w:hint="default"/>
      </w:rPr>
    </w:lvl>
  </w:abstractNum>
  <w:abstractNum w:abstractNumId="24">
    <w:nsid w:val="2C712F57"/>
    <w:multiLevelType w:val="hybridMultilevel"/>
    <w:tmpl w:val="D24AF168"/>
    <w:lvl w:ilvl="0" w:tplc="B47C694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3FE834EA">
      <w:start w:val="1"/>
      <w:numFmt w:val="bullet"/>
      <w:lvlText w:val="•"/>
      <w:lvlJc w:val="left"/>
      <w:pPr>
        <w:ind w:left="1275" w:hanging="244"/>
      </w:pPr>
      <w:rPr>
        <w:rFonts w:hint="default"/>
      </w:rPr>
    </w:lvl>
    <w:lvl w:ilvl="2" w:tplc="697EA8E2">
      <w:start w:val="1"/>
      <w:numFmt w:val="bullet"/>
      <w:lvlText w:val="•"/>
      <w:lvlJc w:val="left"/>
      <w:pPr>
        <w:ind w:left="2186" w:hanging="244"/>
      </w:pPr>
      <w:rPr>
        <w:rFonts w:hint="default"/>
      </w:rPr>
    </w:lvl>
    <w:lvl w:ilvl="3" w:tplc="67CECEB6">
      <w:start w:val="1"/>
      <w:numFmt w:val="bullet"/>
      <w:lvlText w:val="•"/>
      <w:lvlJc w:val="left"/>
      <w:pPr>
        <w:ind w:left="3097" w:hanging="244"/>
      </w:pPr>
      <w:rPr>
        <w:rFonts w:hint="default"/>
      </w:rPr>
    </w:lvl>
    <w:lvl w:ilvl="4" w:tplc="9FA05F74">
      <w:start w:val="1"/>
      <w:numFmt w:val="bullet"/>
      <w:lvlText w:val="•"/>
      <w:lvlJc w:val="left"/>
      <w:pPr>
        <w:ind w:left="4009" w:hanging="244"/>
      </w:pPr>
      <w:rPr>
        <w:rFonts w:hint="default"/>
      </w:rPr>
    </w:lvl>
    <w:lvl w:ilvl="5" w:tplc="394A1328">
      <w:start w:val="1"/>
      <w:numFmt w:val="bullet"/>
      <w:lvlText w:val="•"/>
      <w:lvlJc w:val="left"/>
      <w:pPr>
        <w:ind w:left="4920" w:hanging="244"/>
      </w:pPr>
      <w:rPr>
        <w:rFonts w:hint="default"/>
      </w:rPr>
    </w:lvl>
    <w:lvl w:ilvl="6" w:tplc="28F2415A">
      <w:start w:val="1"/>
      <w:numFmt w:val="bullet"/>
      <w:lvlText w:val="•"/>
      <w:lvlJc w:val="left"/>
      <w:pPr>
        <w:ind w:left="5831" w:hanging="244"/>
      </w:pPr>
      <w:rPr>
        <w:rFonts w:hint="default"/>
      </w:rPr>
    </w:lvl>
    <w:lvl w:ilvl="7" w:tplc="99FAA5A8">
      <w:start w:val="1"/>
      <w:numFmt w:val="bullet"/>
      <w:lvlText w:val="•"/>
      <w:lvlJc w:val="left"/>
      <w:pPr>
        <w:ind w:left="6742" w:hanging="244"/>
      </w:pPr>
      <w:rPr>
        <w:rFonts w:hint="default"/>
      </w:rPr>
    </w:lvl>
    <w:lvl w:ilvl="8" w:tplc="876E157E">
      <w:start w:val="1"/>
      <w:numFmt w:val="bullet"/>
      <w:lvlText w:val="•"/>
      <w:lvlJc w:val="left"/>
      <w:pPr>
        <w:ind w:left="7654" w:hanging="244"/>
      </w:pPr>
      <w:rPr>
        <w:rFonts w:hint="default"/>
      </w:rPr>
    </w:lvl>
  </w:abstractNum>
  <w:abstractNum w:abstractNumId="25">
    <w:nsid w:val="2E924AC2"/>
    <w:multiLevelType w:val="hybridMultilevel"/>
    <w:tmpl w:val="77AC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892BC5"/>
    <w:multiLevelType w:val="hybridMultilevel"/>
    <w:tmpl w:val="E216F8AE"/>
    <w:lvl w:ilvl="0" w:tplc="F2040CFA">
      <w:start w:val="1"/>
      <w:numFmt w:val="bullet"/>
      <w:lvlText w:val="✓"/>
      <w:lvlJc w:val="left"/>
      <w:pPr>
        <w:ind w:left="328" w:hanging="244"/>
      </w:pPr>
      <w:rPr>
        <w:rFonts w:ascii="EC Square Sans Pro" w:eastAsia="EC Square Sans Pro" w:hAnsi="EC Square Sans Pro" w:hint="default"/>
        <w:b/>
        <w:bCs/>
        <w:color w:val="58595B"/>
        <w:sz w:val="20"/>
        <w:szCs w:val="20"/>
      </w:rPr>
    </w:lvl>
    <w:lvl w:ilvl="1" w:tplc="4A3AECEC">
      <w:start w:val="1"/>
      <w:numFmt w:val="bullet"/>
      <w:lvlText w:val="•"/>
      <w:lvlJc w:val="left"/>
      <w:pPr>
        <w:ind w:left="769" w:hanging="244"/>
      </w:pPr>
      <w:rPr>
        <w:rFonts w:hint="default"/>
      </w:rPr>
    </w:lvl>
    <w:lvl w:ilvl="2" w:tplc="ACF241DC">
      <w:start w:val="1"/>
      <w:numFmt w:val="bullet"/>
      <w:lvlText w:val="•"/>
      <w:lvlJc w:val="left"/>
      <w:pPr>
        <w:ind w:left="1209" w:hanging="244"/>
      </w:pPr>
      <w:rPr>
        <w:rFonts w:hint="default"/>
      </w:rPr>
    </w:lvl>
    <w:lvl w:ilvl="3" w:tplc="2A8479C0">
      <w:start w:val="1"/>
      <w:numFmt w:val="bullet"/>
      <w:lvlText w:val="•"/>
      <w:lvlJc w:val="left"/>
      <w:pPr>
        <w:ind w:left="1650" w:hanging="244"/>
      </w:pPr>
      <w:rPr>
        <w:rFonts w:hint="default"/>
      </w:rPr>
    </w:lvl>
    <w:lvl w:ilvl="4" w:tplc="585AE8DC">
      <w:start w:val="1"/>
      <w:numFmt w:val="bullet"/>
      <w:lvlText w:val="•"/>
      <w:lvlJc w:val="left"/>
      <w:pPr>
        <w:ind w:left="2090" w:hanging="244"/>
      </w:pPr>
      <w:rPr>
        <w:rFonts w:hint="default"/>
      </w:rPr>
    </w:lvl>
    <w:lvl w:ilvl="5" w:tplc="04629B2E">
      <w:start w:val="1"/>
      <w:numFmt w:val="bullet"/>
      <w:lvlText w:val="•"/>
      <w:lvlJc w:val="left"/>
      <w:pPr>
        <w:ind w:left="2531" w:hanging="244"/>
      </w:pPr>
      <w:rPr>
        <w:rFonts w:hint="default"/>
      </w:rPr>
    </w:lvl>
    <w:lvl w:ilvl="6" w:tplc="D76006F0">
      <w:start w:val="1"/>
      <w:numFmt w:val="bullet"/>
      <w:lvlText w:val="•"/>
      <w:lvlJc w:val="left"/>
      <w:pPr>
        <w:ind w:left="2972" w:hanging="244"/>
      </w:pPr>
      <w:rPr>
        <w:rFonts w:hint="default"/>
      </w:rPr>
    </w:lvl>
    <w:lvl w:ilvl="7" w:tplc="898E9748">
      <w:start w:val="1"/>
      <w:numFmt w:val="bullet"/>
      <w:lvlText w:val="•"/>
      <w:lvlJc w:val="left"/>
      <w:pPr>
        <w:ind w:left="3412" w:hanging="244"/>
      </w:pPr>
      <w:rPr>
        <w:rFonts w:hint="default"/>
      </w:rPr>
    </w:lvl>
    <w:lvl w:ilvl="8" w:tplc="4404C13A">
      <w:start w:val="1"/>
      <w:numFmt w:val="bullet"/>
      <w:lvlText w:val="•"/>
      <w:lvlJc w:val="left"/>
      <w:pPr>
        <w:ind w:left="3853" w:hanging="244"/>
      </w:pPr>
      <w:rPr>
        <w:rFonts w:hint="default"/>
      </w:rPr>
    </w:lvl>
  </w:abstractNum>
  <w:abstractNum w:abstractNumId="27">
    <w:nsid w:val="35D60595"/>
    <w:multiLevelType w:val="hybridMultilevel"/>
    <w:tmpl w:val="8D242B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37ED3664"/>
    <w:multiLevelType w:val="hybridMultilevel"/>
    <w:tmpl w:val="B5C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E9792B"/>
    <w:multiLevelType w:val="hybridMultilevel"/>
    <w:tmpl w:val="5E62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9667B5"/>
    <w:multiLevelType w:val="hybridMultilevel"/>
    <w:tmpl w:val="A4528588"/>
    <w:lvl w:ilvl="0" w:tplc="3594BBF8">
      <w:start w:val="1"/>
      <w:numFmt w:val="bullet"/>
      <w:lvlText w:val=""/>
      <w:lvlJc w:val="left"/>
      <w:pPr>
        <w:tabs>
          <w:tab w:val="num" w:pos="720"/>
        </w:tabs>
        <w:ind w:left="720" w:hanging="360"/>
      </w:pPr>
      <w:rPr>
        <w:rFonts w:ascii="Wingdings" w:hAnsi="Wingdings" w:hint="default"/>
      </w:rPr>
    </w:lvl>
    <w:lvl w:ilvl="1" w:tplc="C420B93C" w:tentative="1">
      <w:start w:val="1"/>
      <w:numFmt w:val="bullet"/>
      <w:lvlText w:val=""/>
      <w:lvlJc w:val="left"/>
      <w:pPr>
        <w:tabs>
          <w:tab w:val="num" w:pos="1440"/>
        </w:tabs>
        <w:ind w:left="1440" w:hanging="360"/>
      </w:pPr>
      <w:rPr>
        <w:rFonts w:ascii="Wingdings" w:hAnsi="Wingdings" w:hint="default"/>
      </w:rPr>
    </w:lvl>
    <w:lvl w:ilvl="2" w:tplc="A6DA6BE6" w:tentative="1">
      <w:start w:val="1"/>
      <w:numFmt w:val="bullet"/>
      <w:lvlText w:val=""/>
      <w:lvlJc w:val="left"/>
      <w:pPr>
        <w:tabs>
          <w:tab w:val="num" w:pos="2160"/>
        </w:tabs>
        <w:ind w:left="2160" w:hanging="360"/>
      </w:pPr>
      <w:rPr>
        <w:rFonts w:ascii="Wingdings" w:hAnsi="Wingdings" w:hint="default"/>
      </w:rPr>
    </w:lvl>
    <w:lvl w:ilvl="3" w:tplc="D7F697CE" w:tentative="1">
      <w:start w:val="1"/>
      <w:numFmt w:val="bullet"/>
      <w:lvlText w:val=""/>
      <w:lvlJc w:val="left"/>
      <w:pPr>
        <w:tabs>
          <w:tab w:val="num" w:pos="2880"/>
        </w:tabs>
        <w:ind w:left="2880" w:hanging="360"/>
      </w:pPr>
      <w:rPr>
        <w:rFonts w:ascii="Wingdings" w:hAnsi="Wingdings" w:hint="default"/>
      </w:rPr>
    </w:lvl>
    <w:lvl w:ilvl="4" w:tplc="3C9A661C" w:tentative="1">
      <w:start w:val="1"/>
      <w:numFmt w:val="bullet"/>
      <w:lvlText w:val=""/>
      <w:lvlJc w:val="left"/>
      <w:pPr>
        <w:tabs>
          <w:tab w:val="num" w:pos="3600"/>
        </w:tabs>
        <w:ind w:left="3600" w:hanging="360"/>
      </w:pPr>
      <w:rPr>
        <w:rFonts w:ascii="Wingdings" w:hAnsi="Wingdings" w:hint="default"/>
      </w:rPr>
    </w:lvl>
    <w:lvl w:ilvl="5" w:tplc="B8FE6A16" w:tentative="1">
      <w:start w:val="1"/>
      <w:numFmt w:val="bullet"/>
      <w:lvlText w:val=""/>
      <w:lvlJc w:val="left"/>
      <w:pPr>
        <w:tabs>
          <w:tab w:val="num" w:pos="4320"/>
        </w:tabs>
        <w:ind w:left="4320" w:hanging="360"/>
      </w:pPr>
      <w:rPr>
        <w:rFonts w:ascii="Wingdings" w:hAnsi="Wingdings" w:hint="default"/>
      </w:rPr>
    </w:lvl>
    <w:lvl w:ilvl="6" w:tplc="49E09CD4" w:tentative="1">
      <w:start w:val="1"/>
      <w:numFmt w:val="bullet"/>
      <w:lvlText w:val=""/>
      <w:lvlJc w:val="left"/>
      <w:pPr>
        <w:tabs>
          <w:tab w:val="num" w:pos="5040"/>
        </w:tabs>
        <w:ind w:left="5040" w:hanging="360"/>
      </w:pPr>
      <w:rPr>
        <w:rFonts w:ascii="Wingdings" w:hAnsi="Wingdings" w:hint="default"/>
      </w:rPr>
    </w:lvl>
    <w:lvl w:ilvl="7" w:tplc="F126E4F4" w:tentative="1">
      <w:start w:val="1"/>
      <w:numFmt w:val="bullet"/>
      <w:lvlText w:val=""/>
      <w:lvlJc w:val="left"/>
      <w:pPr>
        <w:tabs>
          <w:tab w:val="num" w:pos="5760"/>
        </w:tabs>
        <w:ind w:left="5760" w:hanging="360"/>
      </w:pPr>
      <w:rPr>
        <w:rFonts w:ascii="Wingdings" w:hAnsi="Wingdings" w:hint="default"/>
      </w:rPr>
    </w:lvl>
    <w:lvl w:ilvl="8" w:tplc="EC1A58A4" w:tentative="1">
      <w:start w:val="1"/>
      <w:numFmt w:val="bullet"/>
      <w:lvlText w:val=""/>
      <w:lvlJc w:val="left"/>
      <w:pPr>
        <w:tabs>
          <w:tab w:val="num" w:pos="6480"/>
        </w:tabs>
        <w:ind w:left="6480" w:hanging="360"/>
      </w:pPr>
      <w:rPr>
        <w:rFonts w:ascii="Wingdings" w:hAnsi="Wingdings" w:hint="default"/>
      </w:rPr>
    </w:lvl>
  </w:abstractNum>
  <w:abstractNum w:abstractNumId="31">
    <w:nsid w:val="481B02E9"/>
    <w:multiLevelType w:val="hybridMultilevel"/>
    <w:tmpl w:val="870A2824"/>
    <w:lvl w:ilvl="0" w:tplc="5F92E2A4">
      <w:start w:val="1"/>
      <w:numFmt w:val="bullet"/>
      <w:lvlText w:val="✓"/>
      <w:lvlJc w:val="left"/>
      <w:pPr>
        <w:ind w:left="358" w:hanging="289"/>
      </w:pPr>
      <w:rPr>
        <w:rFonts w:ascii="EC Square Sans Pro" w:eastAsia="EC Square Sans Pro" w:hAnsi="EC Square Sans Pro" w:hint="default"/>
        <w:b/>
        <w:bCs/>
        <w:color w:val="888A8C"/>
        <w:sz w:val="20"/>
        <w:szCs w:val="20"/>
      </w:rPr>
    </w:lvl>
    <w:lvl w:ilvl="1" w:tplc="63427174">
      <w:start w:val="1"/>
      <w:numFmt w:val="bullet"/>
      <w:lvlText w:val="•"/>
      <w:lvlJc w:val="left"/>
      <w:pPr>
        <w:ind w:left="793" w:hanging="289"/>
      </w:pPr>
      <w:rPr>
        <w:rFonts w:hint="default"/>
      </w:rPr>
    </w:lvl>
    <w:lvl w:ilvl="2" w:tplc="0A388654">
      <w:start w:val="1"/>
      <w:numFmt w:val="bullet"/>
      <w:lvlText w:val="•"/>
      <w:lvlJc w:val="left"/>
      <w:pPr>
        <w:ind w:left="1228" w:hanging="289"/>
      </w:pPr>
      <w:rPr>
        <w:rFonts w:hint="default"/>
      </w:rPr>
    </w:lvl>
    <w:lvl w:ilvl="3" w:tplc="A798FDBA">
      <w:start w:val="1"/>
      <w:numFmt w:val="bullet"/>
      <w:lvlText w:val="•"/>
      <w:lvlJc w:val="left"/>
      <w:pPr>
        <w:ind w:left="1663" w:hanging="289"/>
      </w:pPr>
      <w:rPr>
        <w:rFonts w:hint="default"/>
      </w:rPr>
    </w:lvl>
    <w:lvl w:ilvl="4" w:tplc="4C446580">
      <w:start w:val="1"/>
      <w:numFmt w:val="bullet"/>
      <w:lvlText w:val="•"/>
      <w:lvlJc w:val="left"/>
      <w:pPr>
        <w:ind w:left="2099" w:hanging="289"/>
      </w:pPr>
      <w:rPr>
        <w:rFonts w:hint="default"/>
      </w:rPr>
    </w:lvl>
    <w:lvl w:ilvl="5" w:tplc="36CCA8BC">
      <w:start w:val="1"/>
      <w:numFmt w:val="bullet"/>
      <w:lvlText w:val="•"/>
      <w:lvlJc w:val="left"/>
      <w:pPr>
        <w:ind w:left="2534" w:hanging="289"/>
      </w:pPr>
      <w:rPr>
        <w:rFonts w:hint="default"/>
      </w:rPr>
    </w:lvl>
    <w:lvl w:ilvl="6" w:tplc="DC7C261A">
      <w:start w:val="1"/>
      <w:numFmt w:val="bullet"/>
      <w:lvlText w:val="•"/>
      <w:lvlJc w:val="left"/>
      <w:pPr>
        <w:ind w:left="2969" w:hanging="289"/>
      </w:pPr>
      <w:rPr>
        <w:rFonts w:hint="default"/>
      </w:rPr>
    </w:lvl>
    <w:lvl w:ilvl="7" w:tplc="FF32CD72">
      <w:start w:val="1"/>
      <w:numFmt w:val="bullet"/>
      <w:lvlText w:val="•"/>
      <w:lvlJc w:val="left"/>
      <w:pPr>
        <w:ind w:left="3404" w:hanging="289"/>
      </w:pPr>
      <w:rPr>
        <w:rFonts w:hint="default"/>
      </w:rPr>
    </w:lvl>
    <w:lvl w:ilvl="8" w:tplc="48902344">
      <w:start w:val="1"/>
      <w:numFmt w:val="bullet"/>
      <w:lvlText w:val="•"/>
      <w:lvlJc w:val="left"/>
      <w:pPr>
        <w:ind w:left="3839" w:hanging="289"/>
      </w:pPr>
      <w:rPr>
        <w:rFonts w:hint="default"/>
      </w:rPr>
    </w:lvl>
  </w:abstractNum>
  <w:abstractNum w:abstractNumId="32">
    <w:nsid w:val="4A0978C7"/>
    <w:multiLevelType w:val="hybridMultilevel"/>
    <w:tmpl w:val="907A2C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D157500"/>
    <w:multiLevelType w:val="hybridMultilevel"/>
    <w:tmpl w:val="BF4A13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2829DD"/>
    <w:multiLevelType w:val="hybridMultilevel"/>
    <w:tmpl w:val="8F6EE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ECA69A5"/>
    <w:multiLevelType w:val="hybridMultilevel"/>
    <w:tmpl w:val="5C9653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E7E8E"/>
    <w:multiLevelType w:val="hybridMultilevel"/>
    <w:tmpl w:val="9DC07FE2"/>
    <w:lvl w:ilvl="0" w:tplc="803C0048">
      <w:start w:val="1"/>
      <w:numFmt w:val="bullet"/>
      <w:lvlText w:val=""/>
      <w:lvlJc w:val="left"/>
      <w:pPr>
        <w:tabs>
          <w:tab w:val="num" w:pos="720"/>
        </w:tabs>
        <w:ind w:left="720" w:hanging="360"/>
      </w:pPr>
      <w:rPr>
        <w:rFonts w:ascii="Wingdings" w:hAnsi="Wingdings" w:hint="default"/>
      </w:rPr>
    </w:lvl>
    <w:lvl w:ilvl="1" w:tplc="467A2432" w:tentative="1">
      <w:start w:val="1"/>
      <w:numFmt w:val="bullet"/>
      <w:lvlText w:val=""/>
      <w:lvlJc w:val="left"/>
      <w:pPr>
        <w:tabs>
          <w:tab w:val="num" w:pos="1440"/>
        </w:tabs>
        <w:ind w:left="1440" w:hanging="360"/>
      </w:pPr>
      <w:rPr>
        <w:rFonts w:ascii="Wingdings" w:hAnsi="Wingdings" w:hint="default"/>
      </w:rPr>
    </w:lvl>
    <w:lvl w:ilvl="2" w:tplc="EDA451BC" w:tentative="1">
      <w:start w:val="1"/>
      <w:numFmt w:val="bullet"/>
      <w:lvlText w:val=""/>
      <w:lvlJc w:val="left"/>
      <w:pPr>
        <w:tabs>
          <w:tab w:val="num" w:pos="2160"/>
        </w:tabs>
        <w:ind w:left="2160" w:hanging="360"/>
      </w:pPr>
      <w:rPr>
        <w:rFonts w:ascii="Wingdings" w:hAnsi="Wingdings" w:hint="default"/>
      </w:rPr>
    </w:lvl>
    <w:lvl w:ilvl="3" w:tplc="221873F4" w:tentative="1">
      <w:start w:val="1"/>
      <w:numFmt w:val="bullet"/>
      <w:lvlText w:val=""/>
      <w:lvlJc w:val="left"/>
      <w:pPr>
        <w:tabs>
          <w:tab w:val="num" w:pos="2880"/>
        </w:tabs>
        <w:ind w:left="2880" w:hanging="360"/>
      </w:pPr>
      <w:rPr>
        <w:rFonts w:ascii="Wingdings" w:hAnsi="Wingdings" w:hint="default"/>
      </w:rPr>
    </w:lvl>
    <w:lvl w:ilvl="4" w:tplc="DB64288A" w:tentative="1">
      <w:start w:val="1"/>
      <w:numFmt w:val="bullet"/>
      <w:lvlText w:val=""/>
      <w:lvlJc w:val="left"/>
      <w:pPr>
        <w:tabs>
          <w:tab w:val="num" w:pos="3600"/>
        </w:tabs>
        <w:ind w:left="3600" w:hanging="360"/>
      </w:pPr>
      <w:rPr>
        <w:rFonts w:ascii="Wingdings" w:hAnsi="Wingdings" w:hint="default"/>
      </w:rPr>
    </w:lvl>
    <w:lvl w:ilvl="5" w:tplc="C29A191A" w:tentative="1">
      <w:start w:val="1"/>
      <w:numFmt w:val="bullet"/>
      <w:lvlText w:val=""/>
      <w:lvlJc w:val="left"/>
      <w:pPr>
        <w:tabs>
          <w:tab w:val="num" w:pos="4320"/>
        </w:tabs>
        <w:ind w:left="4320" w:hanging="360"/>
      </w:pPr>
      <w:rPr>
        <w:rFonts w:ascii="Wingdings" w:hAnsi="Wingdings" w:hint="default"/>
      </w:rPr>
    </w:lvl>
    <w:lvl w:ilvl="6" w:tplc="82BA8788" w:tentative="1">
      <w:start w:val="1"/>
      <w:numFmt w:val="bullet"/>
      <w:lvlText w:val=""/>
      <w:lvlJc w:val="left"/>
      <w:pPr>
        <w:tabs>
          <w:tab w:val="num" w:pos="5040"/>
        </w:tabs>
        <w:ind w:left="5040" w:hanging="360"/>
      </w:pPr>
      <w:rPr>
        <w:rFonts w:ascii="Wingdings" w:hAnsi="Wingdings" w:hint="default"/>
      </w:rPr>
    </w:lvl>
    <w:lvl w:ilvl="7" w:tplc="D16A6A92" w:tentative="1">
      <w:start w:val="1"/>
      <w:numFmt w:val="bullet"/>
      <w:lvlText w:val=""/>
      <w:lvlJc w:val="left"/>
      <w:pPr>
        <w:tabs>
          <w:tab w:val="num" w:pos="5760"/>
        </w:tabs>
        <w:ind w:left="5760" w:hanging="360"/>
      </w:pPr>
      <w:rPr>
        <w:rFonts w:ascii="Wingdings" w:hAnsi="Wingdings" w:hint="default"/>
      </w:rPr>
    </w:lvl>
    <w:lvl w:ilvl="8" w:tplc="F6666B44" w:tentative="1">
      <w:start w:val="1"/>
      <w:numFmt w:val="bullet"/>
      <w:lvlText w:val=""/>
      <w:lvlJc w:val="left"/>
      <w:pPr>
        <w:tabs>
          <w:tab w:val="num" w:pos="6480"/>
        </w:tabs>
        <w:ind w:left="6480" w:hanging="360"/>
      </w:pPr>
      <w:rPr>
        <w:rFonts w:ascii="Wingdings" w:hAnsi="Wingdings" w:hint="default"/>
      </w:rPr>
    </w:lvl>
  </w:abstractNum>
  <w:abstractNum w:abstractNumId="37">
    <w:nsid w:val="50CB4E8A"/>
    <w:multiLevelType w:val="hybridMultilevel"/>
    <w:tmpl w:val="A870687C"/>
    <w:lvl w:ilvl="0" w:tplc="EF542364">
      <w:start w:val="1"/>
      <w:numFmt w:val="bullet"/>
      <w:lvlText w:val=""/>
      <w:lvlJc w:val="left"/>
      <w:pPr>
        <w:tabs>
          <w:tab w:val="num" w:pos="720"/>
        </w:tabs>
        <w:ind w:left="720" w:hanging="360"/>
      </w:pPr>
      <w:rPr>
        <w:rFonts w:ascii="Wingdings" w:hAnsi="Wingdings" w:hint="default"/>
      </w:rPr>
    </w:lvl>
    <w:lvl w:ilvl="1" w:tplc="36829D48" w:tentative="1">
      <w:start w:val="1"/>
      <w:numFmt w:val="bullet"/>
      <w:lvlText w:val=""/>
      <w:lvlJc w:val="left"/>
      <w:pPr>
        <w:tabs>
          <w:tab w:val="num" w:pos="1440"/>
        </w:tabs>
        <w:ind w:left="1440" w:hanging="360"/>
      </w:pPr>
      <w:rPr>
        <w:rFonts w:ascii="Wingdings" w:hAnsi="Wingdings" w:hint="default"/>
      </w:rPr>
    </w:lvl>
    <w:lvl w:ilvl="2" w:tplc="648014F8" w:tentative="1">
      <w:start w:val="1"/>
      <w:numFmt w:val="bullet"/>
      <w:lvlText w:val=""/>
      <w:lvlJc w:val="left"/>
      <w:pPr>
        <w:tabs>
          <w:tab w:val="num" w:pos="2160"/>
        </w:tabs>
        <w:ind w:left="2160" w:hanging="360"/>
      </w:pPr>
      <w:rPr>
        <w:rFonts w:ascii="Wingdings" w:hAnsi="Wingdings" w:hint="default"/>
      </w:rPr>
    </w:lvl>
    <w:lvl w:ilvl="3" w:tplc="C1C88F3C" w:tentative="1">
      <w:start w:val="1"/>
      <w:numFmt w:val="bullet"/>
      <w:lvlText w:val=""/>
      <w:lvlJc w:val="left"/>
      <w:pPr>
        <w:tabs>
          <w:tab w:val="num" w:pos="2880"/>
        </w:tabs>
        <w:ind w:left="2880" w:hanging="360"/>
      </w:pPr>
      <w:rPr>
        <w:rFonts w:ascii="Wingdings" w:hAnsi="Wingdings" w:hint="default"/>
      </w:rPr>
    </w:lvl>
    <w:lvl w:ilvl="4" w:tplc="86D64EB0" w:tentative="1">
      <w:start w:val="1"/>
      <w:numFmt w:val="bullet"/>
      <w:lvlText w:val=""/>
      <w:lvlJc w:val="left"/>
      <w:pPr>
        <w:tabs>
          <w:tab w:val="num" w:pos="3600"/>
        </w:tabs>
        <w:ind w:left="3600" w:hanging="360"/>
      </w:pPr>
      <w:rPr>
        <w:rFonts w:ascii="Wingdings" w:hAnsi="Wingdings" w:hint="default"/>
      </w:rPr>
    </w:lvl>
    <w:lvl w:ilvl="5" w:tplc="1D465844" w:tentative="1">
      <w:start w:val="1"/>
      <w:numFmt w:val="bullet"/>
      <w:lvlText w:val=""/>
      <w:lvlJc w:val="left"/>
      <w:pPr>
        <w:tabs>
          <w:tab w:val="num" w:pos="4320"/>
        </w:tabs>
        <w:ind w:left="4320" w:hanging="360"/>
      </w:pPr>
      <w:rPr>
        <w:rFonts w:ascii="Wingdings" w:hAnsi="Wingdings" w:hint="default"/>
      </w:rPr>
    </w:lvl>
    <w:lvl w:ilvl="6" w:tplc="999A0F84" w:tentative="1">
      <w:start w:val="1"/>
      <w:numFmt w:val="bullet"/>
      <w:lvlText w:val=""/>
      <w:lvlJc w:val="left"/>
      <w:pPr>
        <w:tabs>
          <w:tab w:val="num" w:pos="5040"/>
        </w:tabs>
        <w:ind w:left="5040" w:hanging="360"/>
      </w:pPr>
      <w:rPr>
        <w:rFonts w:ascii="Wingdings" w:hAnsi="Wingdings" w:hint="default"/>
      </w:rPr>
    </w:lvl>
    <w:lvl w:ilvl="7" w:tplc="922C31AE" w:tentative="1">
      <w:start w:val="1"/>
      <w:numFmt w:val="bullet"/>
      <w:lvlText w:val=""/>
      <w:lvlJc w:val="left"/>
      <w:pPr>
        <w:tabs>
          <w:tab w:val="num" w:pos="5760"/>
        </w:tabs>
        <w:ind w:left="5760" w:hanging="360"/>
      </w:pPr>
      <w:rPr>
        <w:rFonts w:ascii="Wingdings" w:hAnsi="Wingdings" w:hint="default"/>
      </w:rPr>
    </w:lvl>
    <w:lvl w:ilvl="8" w:tplc="4496AFF8" w:tentative="1">
      <w:start w:val="1"/>
      <w:numFmt w:val="bullet"/>
      <w:lvlText w:val=""/>
      <w:lvlJc w:val="left"/>
      <w:pPr>
        <w:tabs>
          <w:tab w:val="num" w:pos="6480"/>
        </w:tabs>
        <w:ind w:left="6480" w:hanging="360"/>
      </w:pPr>
      <w:rPr>
        <w:rFonts w:ascii="Wingdings" w:hAnsi="Wingdings" w:hint="default"/>
      </w:rPr>
    </w:lvl>
  </w:abstractNum>
  <w:abstractNum w:abstractNumId="38">
    <w:nsid w:val="53FF1F69"/>
    <w:multiLevelType w:val="hybridMultilevel"/>
    <w:tmpl w:val="88E65C40"/>
    <w:lvl w:ilvl="0" w:tplc="64301FB0">
      <w:start w:val="1"/>
      <w:numFmt w:val="bullet"/>
      <w:lvlText w:val="✓"/>
      <w:lvlJc w:val="left"/>
      <w:pPr>
        <w:ind w:left="364" w:hanging="244"/>
      </w:pPr>
      <w:rPr>
        <w:rFonts w:ascii="EC Square Sans Pro" w:eastAsia="EC Square Sans Pro" w:hAnsi="EC Square Sans Pro" w:hint="default"/>
        <w:b/>
        <w:bCs/>
        <w:color w:val="58595B"/>
        <w:sz w:val="20"/>
        <w:szCs w:val="20"/>
      </w:rPr>
    </w:lvl>
    <w:lvl w:ilvl="1" w:tplc="2DA0BD16">
      <w:start w:val="1"/>
      <w:numFmt w:val="bullet"/>
      <w:lvlText w:val="•"/>
      <w:lvlJc w:val="left"/>
      <w:pPr>
        <w:ind w:left="801" w:hanging="244"/>
      </w:pPr>
      <w:rPr>
        <w:rFonts w:hint="default"/>
      </w:rPr>
    </w:lvl>
    <w:lvl w:ilvl="2" w:tplc="88AEDF62">
      <w:start w:val="1"/>
      <w:numFmt w:val="bullet"/>
      <w:lvlText w:val="•"/>
      <w:lvlJc w:val="left"/>
      <w:pPr>
        <w:ind w:left="1238" w:hanging="244"/>
      </w:pPr>
      <w:rPr>
        <w:rFonts w:hint="default"/>
      </w:rPr>
    </w:lvl>
    <w:lvl w:ilvl="3" w:tplc="6F385844">
      <w:start w:val="1"/>
      <w:numFmt w:val="bullet"/>
      <w:lvlText w:val="•"/>
      <w:lvlJc w:val="left"/>
      <w:pPr>
        <w:ind w:left="1675" w:hanging="244"/>
      </w:pPr>
      <w:rPr>
        <w:rFonts w:hint="default"/>
      </w:rPr>
    </w:lvl>
    <w:lvl w:ilvl="4" w:tplc="9084BE18">
      <w:start w:val="1"/>
      <w:numFmt w:val="bullet"/>
      <w:lvlText w:val="•"/>
      <w:lvlJc w:val="left"/>
      <w:pPr>
        <w:ind w:left="2112" w:hanging="244"/>
      </w:pPr>
      <w:rPr>
        <w:rFonts w:hint="default"/>
      </w:rPr>
    </w:lvl>
    <w:lvl w:ilvl="5" w:tplc="57F234CC">
      <w:start w:val="1"/>
      <w:numFmt w:val="bullet"/>
      <w:lvlText w:val="•"/>
      <w:lvlJc w:val="left"/>
      <w:pPr>
        <w:ind w:left="2549" w:hanging="244"/>
      </w:pPr>
      <w:rPr>
        <w:rFonts w:hint="default"/>
      </w:rPr>
    </w:lvl>
    <w:lvl w:ilvl="6" w:tplc="DF6A70EA">
      <w:start w:val="1"/>
      <w:numFmt w:val="bullet"/>
      <w:lvlText w:val="•"/>
      <w:lvlJc w:val="left"/>
      <w:pPr>
        <w:ind w:left="2986" w:hanging="244"/>
      </w:pPr>
      <w:rPr>
        <w:rFonts w:hint="default"/>
      </w:rPr>
    </w:lvl>
    <w:lvl w:ilvl="7" w:tplc="4EFCAF0A">
      <w:start w:val="1"/>
      <w:numFmt w:val="bullet"/>
      <w:lvlText w:val="•"/>
      <w:lvlJc w:val="left"/>
      <w:pPr>
        <w:ind w:left="3423" w:hanging="244"/>
      </w:pPr>
      <w:rPr>
        <w:rFonts w:hint="default"/>
      </w:rPr>
    </w:lvl>
    <w:lvl w:ilvl="8" w:tplc="80188F3C">
      <w:start w:val="1"/>
      <w:numFmt w:val="bullet"/>
      <w:lvlText w:val="•"/>
      <w:lvlJc w:val="left"/>
      <w:pPr>
        <w:ind w:left="3860" w:hanging="244"/>
      </w:pPr>
      <w:rPr>
        <w:rFonts w:hint="default"/>
      </w:rPr>
    </w:lvl>
  </w:abstractNum>
  <w:abstractNum w:abstractNumId="39">
    <w:nsid w:val="54D422A9"/>
    <w:multiLevelType w:val="hybridMultilevel"/>
    <w:tmpl w:val="EA12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61F3373"/>
    <w:multiLevelType w:val="hybridMultilevel"/>
    <w:tmpl w:val="19869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1A4679"/>
    <w:multiLevelType w:val="hybridMultilevel"/>
    <w:tmpl w:val="8494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A74BD3"/>
    <w:multiLevelType w:val="hybridMultilevel"/>
    <w:tmpl w:val="239C7E68"/>
    <w:lvl w:ilvl="0" w:tplc="C394BB4A">
      <w:start w:val="1"/>
      <w:numFmt w:val="bullet"/>
      <w:lvlText w:val=""/>
      <w:lvlJc w:val="left"/>
      <w:pPr>
        <w:tabs>
          <w:tab w:val="num" w:pos="720"/>
        </w:tabs>
        <w:ind w:left="720" w:hanging="360"/>
      </w:pPr>
      <w:rPr>
        <w:rFonts w:ascii="Wingdings" w:hAnsi="Wingdings" w:hint="default"/>
      </w:rPr>
    </w:lvl>
    <w:lvl w:ilvl="1" w:tplc="78CC8CFE" w:tentative="1">
      <w:start w:val="1"/>
      <w:numFmt w:val="bullet"/>
      <w:lvlText w:val=""/>
      <w:lvlJc w:val="left"/>
      <w:pPr>
        <w:tabs>
          <w:tab w:val="num" w:pos="1440"/>
        </w:tabs>
        <w:ind w:left="1440" w:hanging="360"/>
      </w:pPr>
      <w:rPr>
        <w:rFonts w:ascii="Wingdings" w:hAnsi="Wingdings" w:hint="default"/>
      </w:rPr>
    </w:lvl>
    <w:lvl w:ilvl="2" w:tplc="88A0DDD6" w:tentative="1">
      <w:start w:val="1"/>
      <w:numFmt w:val="bullet"/>
      <w:lvlText w:val=""/>
      <w:lvlJc w:val="left"/>
      <w:pPr>
        <w:tabs>
          <w:tab w:val="num" w:pos="2160"/>
        </w:tabs>
        <w:ind w:left="2160" w:hanging="360"/>
      </w:pPr>
      <w:rPr>
        <w:rFonts w:ascii="Wingdings" w:hAnsi="Wingdings" w:hint="default"/>
      </w:rPr>
    </w:lvl>
    <w:lvl w:ilvl="3" w:tplc="1E669022" w:tentative="1">
      <w:start w:val="1"/>
      <w:numFmt w:val="bullet"/>
      <w:lvlText w:val=""/>
      <w:lvlJc w:val="left"/>
      <w:pPr>
        <w:tabs>
          <w:tab w:val="num" w:pos="2880"/>
        </w:tabs>
        <w:ind w:left="2880" w:hanging="360"/>
      </w:pPr>
      <w:rPr>
        <w:rFonts w:ascii="Wingdings" w:hAnsi="Wingdings" w:hint="default"/>
      </w:rPr>
    </w:lvl>
    <w:lvl w:ilvl="4" w:tplc="D51057C0" w:tentative="1">
      <w:start w:val="1"/>
      <w:numFmt w:val="bullet"/>
      <w:lvlText w:val=""/>
      <w:lvlJc w:val="left"/>
      <w:pPr>
        <w:tabs>
          <w:tab w:val="num" w:pos="3600"/>
        </w:tabs>
        <w:ind w:left="3600" w:hanging="360"/>
      </w:pPr>
      <w:rPr>
        <w:rFonts w:ascii="Wingdings" w:hAnsi="Wingdings" w:hint="default"/>
      </w:rPr>
    </w:lvl>
    <w:lvl w:ilvl="5" w:tplc="E294CB7A" w:tentative="1">
      <w:start w:val="1"/>
      <w:numFmt w:val="bullet"/>
      <w:lvlText w:val=""/>
      <w:lvlJc w:val="left"/>
      <w:pPr>
        <w:tabs>
          <w:tab w:val="num" w:pos="4320"/>
        </w:tabs>
        <w:ind w:left="4320" w:hanging="360"/>
      </w:pPr>
      <w:rPr>
        <w:rFonts w:ascii="Wingdings" w:hAnsi="Wingdings" w:hint="default"/>
      </w:rPr>
    </w:lvl>
    <w:lvl w:ilvl="6" w:tplc="BD7AA972" w:tentative="1">
      <w:start w:val="1"/>
      <w:numFmt w:val="bullet"/>
      <w:lvlText w:val=""/>
      <w:lvlJc w:val="left"/>
      <w:pPr>
        <w:tabs>
          <w:tab w:val="num" w:pos="5040"/>
        </w:tabs>
        <w:ind w:left="5040" w:hanging="360"/>
      </w:pPr>
      <w:rPr>
        <w:rFonts w:ascii="Wingdings" w:hAnsi="Wingdings" w:hint="default"/>
      </w:rPr>
    </w:lvl>
    <w:lvl w:ilvl="7" w:tplc="1BD05D78" w:tentative="1">
      <w:start w:val="1"/>
      <w:numFmt w:val="bullet"/>
      <w:lvlText w:val=""/>
      <w:lvlJc w:val="left"/>
      <w:pPr>
        <w:tabs>
          <w:tab w:val="num" w:pos="5760"/>
        </w:tabs>
        <w:ind w:left="5760" w:hanging="360"/>
      </w:pPr>
      <w:rPr>
        <w:rFonts w:ascii="Wingdings" w:hAnsi="Wingdings" w:hint="default"/>
      </w:rPr>
    </w:lvl>
    <w:lvl w:ilvl="8" w:tplc="4A1CA00E" w:tentative="1">
      <w:start w:val="1"/>
      <w:numFmt w:val="bullet"/>
      <w:lvlText w:val=""/>
      <w:lvlJc w:val="left"/>
      <w:pPr>
        <w:tabs>
          <w:tab w:val="num" w:pos="6480"/>
        </w:tabs>
        <w:ind w:left="6480" w:hanging="360"/>
      </w:pPr>
      <w:rPr>
        <w:rFonts w:ascii="Wingdings" w:hAnsi="Wingdings" w:hint="default"/>
      </w:rPr>
    </w:lvl>
  </w:abstractNum>
  <w:abstractNum w:abstractNumId="43">
    <w:nsid w:val="5D833C29"/>
    <w:multiLevelType w:val="hybridMultilevel"/>
    <w:tmpl w:val="6E9A9BC2"/>
    <w:lvl w:ilvl="0" w:tplc="12883F44">
      <w:start w:val="1"/>
      <w:numFmt w:val="bullet"/>
      <w:lvlText w:val=""/>
      <w:lvlJc w:val="left"/>
      <w:pPr>
        <w:tabs>
          <w:tab w:val="num" w:pos="720"/>
        </w:tabs>
        <w:ind w:left="720" w:hanging="360"/>
      </w:pPr>
      <w:rPr>
        <w:rFonts w:ascii="Wingdings" w:hAnsi="Wingdings" w:hint="default"/>
      </w:rPr>
    </w:lvl>
    <w:lvl w:ilvl="1" w:tplc="8B54778C" w:tentative="1">
      <w:start w:val="1"/>
      <w:numFmt w:val="bullet"/>
      <w:lvlText w:val=""/>
      <w:lvlJc w:val="left"/>
      <w:pPr>
        <w:tabs>
          <w:tab w:val="num" w:pos="1440"/>
        </w:tabs>
        <w:ind w:left="1440" w:hanging="360"/>
      </w:pPr>
      <w:rPr>
        <w:rFonts w:ascii="Wingdings" w:hAnsi="Wingdings" w:hint="default"/>
      </w:rPr>
    </w:lvl>
    <w:lvl w:ilvl="2" w:tplc="BE926888" w:tentative="1">
      <w:start w:val="1"/>
      <w:numFmt w:val="bullet"/>
      <w:lvlText w:val=""/>
      <w:lvlJc w:val="left"/>
      <w:pPr>
        <w:tabs>
          <w:tab w:val="num" w:pos="2160"/>
        </w:tabs>
        <w:ind w:left="2160" w:hanging="360"/>
      </w:pPr>
      <w:rPr>
        <w:rFonts w:ascii="Wingdings" w:hAnsi="Wingdings" w:hint="default"/>
      </w:rPr>
    </w:lvl>
    <w:lvl w:ilvl="3" w:tplc="C866A59C" w:tentative="1">
      <w:start w:val="1"/>
      <w:numFmt w:val="bullet"/>
      <w:lvlText w:val=""/>
      <w:lvlJc w:val="left"/>
      <w:pPr>
        <w:tabs>
          <w:tab w:val="num" w:pos="2880"/>
        </w:tabs>
        <w:ind w:left="2880" w:hanging="360"/>
      </w:pPr>
      <w:rPr>
        <w:rFonts w:ascii="Wingdings" w:hAnsi="Wingdings" w:hint="default"/>
      </w:rPr>
    </w:lvl>
    <w:lvl w:ilvl="4" w:tplc="F57ADA4E" w:tentative="1">
      <w:start w:val="1"/>
      <w:numFmt w:val="bullet"/>
      <w:lvlText w:val=""/>
      <w:lvlJc w:val="left"/>
      <w:pPr>
        <w:tabs>
          <w:tab w:val="num" w:pos="3600"/>
        </w:tabs>
        <w:ind w:left="3600" w:hanging="360"/>
      </w:pPr>
      <w:rPr>
        <w:rFonts w:ascii="Wingdings" w:hAnsi="Wingdings" w:hint="default"/>
      </w:rPr>
    </w:lvl>
    <w:lvl w:ilvl="5" w:tplc="A000943E" w:tentative="1">
      <w:start w:val="1"/>
      <w:numFmt w:val="bullet"/>
      <w:lvlText w:val=""/>
      <w:lvlJc w:val="left"/>
      <w:pPr>
        <w:tabs>
          <w:tab w:val="num" w:pos="4320"/>
        </w:tabs>
        <w:ind w:left="4320" w:hanging="360"/>
      </w:pPr>
      <w:rPr>
        <w:rFonts w:ascii="Wingdings" w:hAnsi="Wingdings" w:hint="default"/>
      </w:rPr>
    </w:lvl>
    <w:lvl w:ilvl="6" w:tplc="90EAE9F2" w:tentative="1">
      <w:start w:val="1"/>
      <w:numFmt w:val="bullet"/>
      <w:lvlText w:val=""/>
      <w:lvlJc w:val="left"/>
      <w:pPr>
        <w:tabs>
          <w:tab w:val="num" w:pos="5040"/>
        </w:tabs>
        <w:ind w:left="5040" w:hanging="360"/>
      </w:pPr>
      <w:rPr>
        <w:rFonts w:ascii="Wingdings" w:hAnsi="Wingdings" w:hint="default"/>
      </w:rPr>
    </w:lvl>
    <w:lvl w:ilvl="7" w:tplc="A79226D6" w:tentative="1">
      <w:start w:val="1"/>
      <w:numFmt w:val="bullet"/>
      <w:lvlText w:val=""/>
      <w:lvlJc w:val="left"/>
      <w:pPr>
        <w:tabs>
          <w:tab w:val="num" w:pos="5760"/>
        </w:tabs>
        <w:ind w:left="5760" w:hanging="360"/>
      </w:pPr>
      <w:rPr>
        <w:rFonts w:ascii="Wingdings" w:hAnsi="Wingdings" w:hint="default"/>
      </w:rPr>
    </w:lvl>
    <w:lvl w:ilvl="8" w:tplc="53404ADE" w:tentative="1">
      <w:start w:val="1"/>
      <w:numFmt w:val="bullet"/>
      <w:lvlText w:val=""/>
      <w:lvlJc w:val="left"/>
      <w:pPr>
        <w:tabs>
          <w:tab w:val="num" w:pos="6480"/>
        </w:tabs>
        <w:ind w:left="6480" w:hanging="360"/>
      </w:pPr>
      <w:rPr>
        <w:rFonts w:ascii="Wingdings" w:hAnsi="Wingdings" w:hint="default"/>
      </w:rPr>
    </w:lvl>
  </w:abstractNum>
  <w:abstractNum w:abstractNumId="44">
    <w:nsid w:val="5F0210CC"/>
    <w:multiLevelType w:val="hybridMultilevel"/>
    <w:tmpl w:val="99BAF17E"/>
    <w:lvl w:ilvl="0" w:tplc="80F6C5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0C82880"/>
    <w:multiLevelType w:val="hybridMultilevel"/>
    <w:tmpl w:val="F418CFF6"/>
    <w:lvl w:ilvl="0" w:tplc="931C47F0">
      <w:start w:val="1"/>
      <w:numFmt w:val="bullet"/>
      <w:lvlText w:val="✓"/>
      <w:lvlJc w:val="left"/>
      <w:pPr>
        <w:ind w:left="348" w:hanging="244"/>
      </w:pPr>
      <w:rPr>
        <w:rFonts w:ascii="EC Square Sans Pro" w:eastAsia="EC Square Sans Pro" w:hAnsi="EC Square Sans Pro" w:hint="default"/>
        <w:b/>
        <w:bCs/>
        <w:color w:val="58595B"/>
        <w:sz w:val="20"/>
        <w:szCs w:val="20"/>
      </w:rPr>
    </w:lvl>
    <w:lvl w:ilvl="1" w:tplc="15C6D5A4">
      <w:start w:val="1"/>
      <w:numFmt w:val="bullet"/>
      <w:lvlText w:val="•"/>
      <w:lvlJc w:val="left"/>
      <w:pPr>
        <w:ind w:left="784" w:hanging="244"/>
      </w:pPr>
      <w:rPr>
        <w:rFonts w:hint="default"/>
      </w:rPr>
    </w:lvl>
    <w:lvl w:ilvl="2" w:tplc="7EECA046">
      <w:start w:val="1"/>
      <w:numFmt w:val="bullet"/>
      <w:lvlText w:val="•"/>
      <w:lvlJc w:val="left"/>
      <w:pPr>
        <w:ind w:left="1220" w:hanging="244"/>
      </w:pPr>
      <w:rPr>
        <w:rFonts w:hint="default"/>
      </w:rPr>
    </w:lvl>
    <w:lvl w:ilvl="3" w:tplc="4FE44CD0">
      <w:start w:val="1"/>
      <w:numFmt w:val="bullet"/>
      <w:lvlText w:val="•"/>
      <w:lvlJc w:val="left"/>
      <w:pPr>
        <w:ind w:left="1656" w:hanging="244"/>
      </w:pPr>
      <w:rPr>
        <w:rFonts w:hint="default"/>
      </w:rPr>
    </w:lvl>
    <w:lvl w:ilvl="4" w:tplc="4F5869E2">
      <w:start w:val="1"/>
      <w:numFmt w:val="bullet"/>
      <w:lvlText w:val="•"/>
      <w:lvlJc w:val="left"/>
      <w:pPr>
        <w:ind w:left="2093" w:hanging="244"/>
      </w:pPr>
      <w:rPr>
        <w:rFonts w:hint="default"/>
      </w:rPr>
    </w:lvl>
    <w:lvl w:ilvl="5" w:tplc="A3BE5AC6">
      <w:start w:val="1"/>
      <w:numFmt w:val="bullet"/>
      <w:lvlText w:val="•"/>
      <w:lvlJc w:val="left"/>
      <w:pPr>
        <w:ind w:left="2529" w:hanging="244"/>
      </w:pPr>
      <w:rPr>
        <w:rFonts w:hint="default"/>
      </w:rPr>
    </w:lvl>
    <w:lvl w:ilvl="6" w:tplc="F148FAE2">
      <w:start w:val="1"/>
      <w:numFmt w:val="bullet"/>
      <w:lvlText w:val="•"/>
      <w:lvlJc w:val="left"/>
      <w:pPr>
        <w:ind w:left="2965" w:hanging="244"/>
      </w:pPr>
      <w:rPr>
        <w:rFonts w:hint="default"/>
      </w:rPr>
    </w:lvl>
    <w:lvl w:ilvl="7" w:tplc="361C5E70">
      <w:start w:val="1"/>
      <w:numFmt w:val="bullet"/>
      <w:lvlText w:val="•"/>
      <w:lvlJc w:val="left"/>
      <w:pPr>
        <w:ind w:left="3401" w:hanging="244"/>
      </w:pPr>
      <w:rPr>
        <w:rFonts w:hint="default"/>
      </w:rPr>
    </w:lvl>
    <w:lvl w:ilvl="8" w:tplc="7CFC6734">
      <w:start w:val="1"/>
      <w:numFmt w:val="bullet"/>
      <w:lvlText w:val="•"/>
      <w:lvlJc w:val="left"/>
      <w:pPr>
        <w:ind w:left="3837" w:hanging="244"/>
      </w:pPr>
      <w:rPr>
        <w:rFonts w:hint="default"/>
      </w:rPr>
    </w:lvl>
  </w:abstractNum>
  <w:abstractNum w:abstractNumId="46">
    <w:nsid w:val="611350E3"/>
    <w:multiLevelType w:val="hybridMultilevel"/>
    <w:tmpl w:val="CB482BE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613F0001"/>
    <w:multiLevelType w:val="hybridMultilevel"/>
    <w:tmpl w:val="CDB4045C"/>
    <w:lvl w:ilvl="0" w:tplc="8EEA4C1A">
      <w:start w:val="1"/>
      <w:numFmt w:val="bullet"/>
      <w:lvlText w:val=""/>
      <w:lvlJc w:val="left"/>
      <w:pPr>
        <w:tabs>
          <w:tab w:val="num" w:pos="720"/>
        </w:tabs>
        <w:ind w:left="720" w:hanging="360"/>
      </w:pPr>
      <w:rPr>
        <w:rFonts w:ascii="Wingdings" w:hAnsi="Wingdings" w:hint="default"/>
      </w:rPr>
    </w:lvl>
    <w:lvl w:ilvl="1" w:tplc="0FE08736" w:tentative="1">
      <w:start w:val="1"/>
      <w:numFmt w:val="bullet"/>
      <w:lvlText w:val=""/>
      <w:lvlJc w:val="left"/>
      <w:pPr>
        <w:tabs>
          <w:tab w:val="num" w:pos="1440"/>
        </w:tabs>
        <w:ind w:left="1440" w:hanging="360"/>
      </w:pPr>
      <w:rPr>
        <w:rFonts w:ascii="Wingdings" w:hAnsi="Wingdings" w:hint="default"/>
      </w:rPr>
    </w:lvl>
    <w:lvl w:ilvl="2" w:tplc="81A65A48" w:tentative="1">
      <w:start w:val="1"/>
      <w:numFmt w:val="bullet"/>
      <w:lvlText w:val=""/>
      <w:lvlJc w:val="left"/>
      <w:pPr>
        <w:tabs>
          <w:tab w:val="num" w:pos="2160"/>
        </w:tabs>
        <w:ind w:left="2160" w:hanging="360"/>
      </w:pPr>
      <w:rPr>
        <w:rFonts w:ascii="Wingdings" w:hAnsi="Wingdings" w:hint="default"/>
      </w:rPr>
    </w:lvl>
    <w:lvl w:ilvl="3" w:tplc="16B0BFF0" w:tentative="1">
      <w:start w:val="1"/>
      <w:numFmt w:val="bullet"/>
      <w:lvlText w:val=""/>
      <w:lvlJc w:val="left"/>
      <w:pPr>
        <w:tabs>
          <w:tab w:val="num" w:pos="2880"/>
        </w:tabs>
        <w:ind w:left="2880" w:hanging="360"/>
      </w:pPr>
      <w:rPr>
        <w:rFonts w:ascii="Wingdings" w:hAnsi="Wingdings" w:hint="default"/>
      </w:rPr>
    </w:lvl>
    <w:lvl w:ilvl="4" w:tplc="ECC4A112" w:tentative="1">
      <w:start w:val="1"/>
      <w:numFmt w:val="bullet"/>
      <w:lvlText w:val=""/>
      <w:lvlJc w:val="left"/>
      <w:pPr>
        <w:tabs>
          <w:tab w:val="num" w:pos="3600"/>
        </w:tabs>
        <w:ind w:left="3600" w:hanging="360"/>
      </w:pPr>
      <w:rPr>
        <w:rFonts w:ascii="Wingdings" w:hAnsi="Wingdings" w:hint="default"/>
      </w:rPr>
    </w:lvl>
    <w:lvl w:ilvl="5" w:tplc="C29A491A" w:tentative="1">
      <w:start w:val="1"/>
      <w:numFmt w:val="bullet"/>
      <w:lvlText w:val=""/>
      <w:lvlJc w:val="left"/>
      <w:pPr>
        <w:tabs>
          <w:tab w:val="num" w:pos="4320"/>
        </w:tabs>
        <w:ind w:left="4320" w:hanging="360"/>
      </w:pPr>
      <w:rPr>
        <w:rFonts w:ascii="Wingdings" w:hAnsi="Wingdings" w:hint="default"/>
      </w:rPr>
    </w:lvl>
    <w:lvl w:ilvl="6" w:tplc="DA30FA92" w:tentative="1">
      <w:start w:val="1"/>
      <w:numFmt w:val="bullet"/>
      <w:lvlText w:val=""/>
      <w:lvlJc w:val="left"/>
      <w:pPr>
        <w:tabs>
          <w:tab w:val="num" w:pos="5040"/>
        </w:tabs>
        <w:ind w:left="5040" w:hanging="360"/>
      </w:pPr>
      <w:rPr>
        <w:rFonts w:ascii="Wingdings" w:hAnsi="Wingdings" w:hint="default"/>
      </w:rPr>
    </w:lvl>
    <w:lvl w:ilvl="7" w:tplc="5F04B07A" w:tentative="1">
      <w:start w:val="1"/>
      <w:numFmt w:val="bullet"/>
      <w:lvlText w:val=""/>
      <w:lvlJc w:val="left"/>
      <w:pPr>
        <w:tabs>
          <w:tab w:val="num" w:pos="5760"/>
        </w:tabs>
        <w:ind w:left="5760" w:hanging="360"/>
      </w:pPr>
      <w:rPr>
        <w:rFonts w:ascii="Wingdings" w:hAnsi="Wingdings" w:hint="default"/>
      </w:rPr>
    </w:lvl>
    <w:lvl w:ilvl="8" w:tplc="B5FE4798" w:tentative="1">
      <w:start w:val="1"/>
      <w:numFmt w:val="bullet"/>
      <w:lvlText w:val=""/>
      <w:lvlJc w:val="left"/>
      <w:pPr>
        <w:tabs>
          <w:tab w:val="num" w:pos="6480"/>
        </w:tabs>
        <w:ind w:left="6480" w:hanging="360"/>
      </w:pPr>
      <w:rPr>
        <w:rFonts w:ascii="Wingdings" w:hAnsi="Wingdings" w:hint="default"/>
      </w:rPr>
    </w:lvl>
  </w:abstractNum>
  <w:abstractNum w:abstractNumId="48">
    <w:nsid w:val="65E95B3D"/>
    <w:multiLevelType w:val="hybridMultilevel"/>
    <w:tmpl w:val="1BDE91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9">
    <w:nsid w:val="673F18DD"/>
    <w:multiLevelType w:val="hybridMultilevel"/>
    <w:tmpl w:val="3B9669E0"/>
    <w:lvl w:ilvl="0" w:tplc="43DCE592">
      <w:start w:val="1"/>
      <w:numFmt w:val="bullet"/>
      <w:lvlText w:val=""/>
      <w:lvlJc w:val="left"/>
      <w:pPr>
        <w:tabs>
          <w:tab w:val="num" w:pos="720"/>
        </w:tabs>
        <w:ind w:left="720" w:hanging="360"/>
      </w:pPr>
      <w:rPr>
        <w:rFonts w:ascii="Wingdings" w:hAnsi="Wingdings" w:hint="default"/>
      </w:rPr>
    </w:lvl>
    <w:lvl w:ilvl="1" w:tplc="C94603EE" w:tentative="1">
      <w:start w:val="1"/>
      <w:numFmt w:val="bullet"/>
      <w:lvlText w:val=""/>
      <w:lvlJc w:val="left"/>
      <w:pPr>
        <w:tabs>
          <w:tab w:val="num" w:pos="1440"/>
        </w:tabs>
        <w:ind w:left="1440" w:hanging="360"/>
      </w:pPr>
      <w:rPr>
        <w:rFonts w:ascii="Wingdings" w:hAnsi="Wingdings" w:hint="default"/>
      </w:rPr>
    </w:lvl>
    <w:lvl w:ilvl="2" w:tplc="062C1EDE" w:tentative="1">
      <w:start w:val="1"/>
      <w:numFmt w:val="bullet"/>
      <w:lvlText w:val=""/>
      <w:lvlJc w:val="left"/>
      <w:pPr>
        <w:tabs>
          <w:tab w:val="num" w:pos="2160"/>
        </w:tabs>
        <w:ind w:left="2160" w:hanging="360"/>
      </w:pPr>
      <w:rPr>
        <w:rFonts w:ascii="Wingdings" w:hAnsi="Wingdings" w:hint="default"/>
      </w:rPr>
    </w:lvl>
    <w:lvl w:ilvl="3" w:tplc="8E54B2E0" w:tentative="1">
      <w:start w:val="1"/>
      <w:numFmt w:val="bullet"/>
      <w:lvlText w:val=""/>
      <w:lvlJc w:val="left"/>
      <w:pPr>
        <w:tabs>
          <w:tab w:val="num" w:pos="2880"/>
        </w:tabs>
        <w:ind w:left="2880" w:hanging="360"/>
      </w:pPr>
      <w:rPr>
        <w:rFonts w:ascii="Wingdings" w:hAnsi="Wingdings" w:hint="default"/>
      </w:rPr>
    </w:lvl>
    <w:lvl w:ilvl="4" w:tplc="B8205D78" w:tentative="1">
      <w:start w:val="1"/>
      <w:numFmt w:val="bullet"/>
      <w:lvlText w:val=""/>
      <w:lvlJc w:val="left"/>
      <w:pPr>
        <w:tabs>
          <w:tab w:val="num" w:pos="3600"/>
        </w:tabs>
        <w:ind w:left="3600" w:hanging="360"/>
      </w:pPr>
      <w:rPr>
        <w:rFonts w:ascii="Wingdings" w:hAnsi="Wingdings" w:hint="default"/>
      </w:rPr>
    </w:lvl>
    <w:lvl w:ilvl="5" w:tplc="3BCA45BC" w:tentative="1">
      <w:start w:val="1"/>
      <w:numFmt w:val="bullet"/>
      <w:lvlText w:val=""/>
      <w:lvlJc w:val="left"/>
      <w:pPr>
        <w:tabs>
          <w:tab w:val="num" w:pos="4320"/>
        </w:tabs>
        <w:ind w:left="4320" w:hanging="360"/>
      </w:pPr>
      <w:rPr>
        <w:rFonts w:ascii="Wingdings" w:hAnsi="Wingdings" w:hint="default"/>
      </w:rPr>
    </w:lvl>
    <w:lvl w:ilvl="6" w:tplc="A87E6FE6" w:tentative="1">
      <w:start w:val="1"/>
      <w:numFmt w:val="bullet"/>
      <w:lvlText w:val=""/>
      <w:lvlJc w:val="left"/>
      <w:pPr>
        <w:tabs>
          <w:tab w:val="num" w:pos="5040"/>
        </w:tabs>
        <w:ind w:left="5040" w:hanging="360"/>
      </w:pPr>
      <w:rPr>
        <w:rFonts w:ascii="Wingdings" w:hAnsi="Wingdings" w:hint="default"/>
      </w:rPr>
    </w:lvl>
    <w:lvl w:ilvl="7" w:tplc="3FD41D28" w:tentative="1">
      <w:start w:val="1"/>
      <w:numFmt w:val="bullet"/>
      <w:lvlText w:val=""/>
      <w:lvlJc w:val="left"/>
      <w:pPr>
        <w:tabs>
          <w:tab w:val="num" w:pos="5760"/>
        </w:tabs>
        <w:ind w:left="5760" w:hanging="360"/>
      </w:pPr>
      <w:rPr>
        <w:rFonts w:ascii="Wingdings" w:hAnsi="Wingdings" w:hint="default"/>
      </w:rPr>
    </w:lvl>
    <w:lvl w:ilvl="8" w:tplc="DDF82258" w:tentative="1">
      <w:start w:val="1"/>
      <w:numFmt w:val="bullet"/>
      <w:lvlText w:val=""/>
      <w:lvlJc w:val="left"/>
      <w:pPr>
        <w:tabs>
          <w:tab w:val="num" w:pos="6480"/>
        </w:tabs>
        <w:ind w:left="6480" w:hanging="360"/>
      </w:pPr>
      <w:rPr>
        <w:rFonts w:ascii="Wingdings" w:hAnsi="Wingdings" w:hint="default"/>
      </w:rPr>
    </w:lvl>
  </w:abstractNum>
  <w:abstractNum w:abstractNumId="50">
    <w:nsid w:val="67C3652D"/>
    <w:multiLevelType w:val="hybridMultilevel"/>
    <w:tmpl w:val="6FB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353E0D"/>
    <w:multiLevelType w:val="hybridMultilevel"/>
    <w:tmpl w:val="DD22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6A441232"/>
    <w:multiLevelType w:val="hybridMultilevel"/>
    <w:tmpl w:val="7A36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06A729D"/>
    <w:multiLevelType w:val="hybridMultilevel"/>
    <w:tmpl w:val="7CBE0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17261D6"/>
    <w:multiLevelType w:val="hybridMultilevel"/>
    <w:tmpl w:val="34E80D5C"/>
    <w:lvl w:ilvl="0" w:tplc="F8601BBC">
      <w:start w:val="1"/>
      <w:numFmt w:val="bullet"/>
      <w:lvlText w:val=""/>
      <w:lvlJc w:val="left"/>
      <w:pPr>
        <w:tabs>
          <w:tab w:val="num" w:pos="720"/>
        </w:tabs>
        <w:ind w:left="720" w:hanging="360"/>
      </w:pPr>
      <w:rPr>
        <w:rFonts w:ascii="Wingdings" w:hAnsi="Wingdings" w:hint="default"/>
      </w:rPr>
    </w:lvl>
    <w:lvl w:ilvl="1" w:tplc="50343CA2" w:tentative="1">
      <w:start w:val="1"/>
      <w:numFmt w:val="bullet"/>
      <w:lvlText w:val=""/>
      <w:lvlJc w:val="left"/>
      <w:pPr>
        <w:tabs>
          <w:tab w:val="num" w:pos="1440"/>
        </w:tabs>
        <w:ind w:left="1440" w:hanging="360"/>
      </w:pPr>
      <w:rPr>
        <w:rFonts w:ascii="Wingdings" w:hAnsi="Wingdings" w:hint="default"/>
      </w:rPr>
    </w:lvl>
    <w:lvl w:ilvl="2" w:tplc="71BA8EE4" w:tentative="1">
      <w:start w:val="1"/>
      <w:numFmt w:val="bullet"/>
      <w:lvlText w:val=""/>
      <w:lvlJc w:val="left"/>
      <w:pPr>
        <w:tabs>
          <w:tab w:val="num" w:pos="2160"/>
        </w:tabs>
        <w:ind w:left="2160" w:hanging="360"/>
      </w:pPr>
      <w:rPr>
        <w:rFonts w:ascii="Wingdings" w:hAnsi="Wingdings" w:hint="default"/>
      </w:rPr>
    </w:lvl>
    <w:lvl w:ilvl="3" w:tplc="66D8C7A2" w:tentative="1">
      <w:start w:val="1"/>
      <w:numFmt w:val="bullet"/>
      <w:lvlText w:val=""/>
      <w:lvlJc w:val="left"/>
      <w:pPr>
        <w:tabs>
          <w:tab w:val="num" w:pos="2880"/>
        </w:tabs>
        <w:ind w:left="2880" w:hanging="360"/>
      </w:pPr>
      <w:rPr>
        <w:rFonts w:ascii="Wingdings" w:hAnsi="Wingdings" w:hint="default"/>
      </w:rPr>
    </w:lvl>
    <w:lvl w:ilvl="4" w:tplc="0CB4B72C" w:tentative="1">
      <w:start w:val="1"/>
      <w:numFmt w:val="bullet"/>
      <w:lvlText w:val=""/>
      <w:lvlJc w:val="left"/>
      <w:pPr>
        <w:tabs>
          <w:tab w:val="num" w:pos="3600"/>
        </w:tabs>
        <w:ind w:left="3600" w:hanging="360"/>
      </w:pPr>
      <w:rPr>
        <w:rFonts w:ascii="Wingdings" w:hAnsi="Wingdings" w:hint="default"/>
      </w:rPr>
    </w:lvl>
    <w:lvl w:ilvl="5" w:tplc="C5781AEA" w:tentative="1">
      <w:start w:val="1"/>
      <w:numFmt w:val="bullet"/>
      <w:lvlText w:val=""/>
      <w:lvlJc w:val="left"/>
      <w:pPr>
        <w:tabs>
          <w:tab w:val="num" w:pos="4320"/>
        </w:tabs>
        <w:ind w:left="4320" w:hanging="360"/>
      </w:pPr>
      <w:rPr>
        <w:rFonts w:ascii="Wingdings" w:hAnsi="Wingdings" w:hint="default"/>
      </w:rPr>
    </w:lvl>
    <w:lvl w:ilvl="6" w:tplc="E3D2B260" w:tentative="1">
      <w:start w:val="1"/>
      <w:numFmt w:val="bullet"/>
      <w:lvlText w:val=""/>
      <w:lvlJc w:val="left"/>
      <w:pPr>
        <w:tabs>
          <w:tab w:val="num" w:pos="5040"/>
        </w:tabs>
        <w:ind w:left="5040" w:hanging="360"/>
      </w:pPr>
      <w:rPr>
        <w:rFonts w:ascii="Wingdings" w:hAnsi="Wingdings" w:hint="default"/>
      </w:rPr>
    </w:lvl>
    <w:lvl w:ilvl="7" w:tplc="C3761EA0" w:tentative="1">
      <w:start w:val="1"/>
      <w:numFmt w:val="bullet"/>
      <w:lvlText w:val=""/>
      <w:lvlJc w:val="left"/>
      <w:pPr>
        <w:tabs>
          <w:tab w:val="num" w:pos="5760"/>
        </w:tabs>
        <w:ind w:left="5760" w:hanging="360"/>
      </w:pPr>
      <w:rPr>
        <w:rFonts w:ascii="Wingdings" w:hAnsi="Wingdings" w:hint="default"/>
      </w:rPr>
    </w:lvl>
    <w:lvl w:ilvl="8" w:tplc="49F841A2" w:tentative="1">
      <w:start w:val="1"/>
      <w:numFmt w:val="bullet"/>
      <w:lvlText w:val=""/>
      <w:lvlJc w:val="left"/>
      <w:pPr>
        <w:tabs>
          <w:tab w:val="num" w:pos="6480"/>
        </w:tabs>
        <w:ind w:left="6480" w:hanging="360"/>
      </w:pPr>
      <w:rPr>
        <w:rFonts w:ascii="Wingdings" w:hAnsi="Wingdings" w:hint="default"/>
      </w:rPr>
    </w:lvl>
  </w:abstractNum>
  <w:abstractNum w:abstractNumId="55">
    <w:nsid w:val="76321BAC"/>
    <w:multiLevelType w:val="hybridMultilevel"/>
    <w:tmpl w:val="B7BC4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181FD1"/>
    <w:multiLevelType w:val="hybridMultilevel"/>
    <w:tmpl w:val="C34479D8"/>
    <w:lvl w:ilvl="0" w:tplc="40B6D2A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783D060E"/>
    <w:multiLevelType w:val="hybridMultilevel"/>
    <w:tmpl w:val="FB440820"/>
    <w:lvl w:ilvl="0" w:tplc="10DC2D70">
      <w:start w:val="1"/>
      <w:numFmt w:val="bullet"/>
      <w:lvlText w:val=""/>
      <w:lvlJc w:val="left"/>
      <w:pPr>
        <w:tabs>
          <w:tab w:val="num" w:pos="720"/>
        </w:tabs>
        <w:ind w:left="720" w:hanging="360"/>
      </w:pPr>
      <w:rPr>
        <w:rFonts w:ascii="Wingdings" w:hAnsi="Wingdings" w:hint="default"/>
      </w:rPr>
    </w:lvl>
    <w:lvl w:ilvl="1" w:tplc="80E2CD92" w:tentative="1">
      <w:start w:val="1"/>
      <w:numFmt w:val="bullet"/>
      <w:lvlText w:val=""/>
      <w:lvlJc w:val="left"/>
      <w:pPr>
        <w:tabs>
          <w:tab w:val="num" w:pos="1440"/>
        </w:tabs>
        <w:ind w:left="1440" w:hanging="360"/>
      </w:pPr>
      <w:rPr>
        <w:rFonts w:ascii="Wingdings" w:hAnsi="Wingdings" w:hint="default"/>
      </w:rPr>
    </w:lvl>
    <w:lvl w:ilvl="2" w:tplc="D0584762" w:tentative="1">
      <w:start w:val="1"/>
      <w:numFmt w:val="bullet"/>
      <w:lvlText w:val=""/>
      <w:lvlJc w:val="left"/>
      <w:pPr>
        <w:tabs>
          <w:tab w:val="num" w:pos="2160"/>
        </w:tabs>
        <w:ind w:left="2160" w:hanging="360"/>
      </w:pPr>
      <w:rPr>
        <w:rFonts w:ascii="Wingdings" w:hAnsi="Wingdings" w:hint="default"/>
      </w:rPr>
    </w:lvl>
    <w:lvl w:ilvl="3" w:tplc="DB3632D2" w:tentative="1">
      <w:start w:val="1"/>
      <w:numFmt w:val="bullet"/>
      <w:lvlText w:val=""/>
      <w:lvlJc w:val="left"/>
      <w:pPr>
        <w:tabs>
          <w:tab w:val="num" w:pos="2880"/>
        </w:tabs>
        <w:ind w:left="2880" w:hanging="360"/>
      </w:pPr>
      <w:rPr>
        <w:rFonts w:ascii="Wingdings" w:hAnsi="Wingdings" w:hint="default"/>
      </w:rPr>
    </w:lvl>
    <w:lvl w:ilvl="4" w:tplc="EE48DA0E" w:tentative="1">
      <w:start w:val="1"/>
      <w:numFmt w:val="bullet"/>
      <w:lvlText w:val=""/>
      <w:lvlJc w:val="left"/>
      <w:pPr>
        <w:tabs>
          <w:tab w:val="num" w:pos="3600"/>
        </w:tabs>
        <w:ind w:left="3600" w:hanging="360"/>
      </w:pPr>
      <w:rPr>
        <w:rFonts w:ascii="Wingdings" w:hAnsi="Wingdings" w:hint="default"/>
      </w:rPr>
    </w:lvl>
    <w:lvl w:ilvl="5" w:tplc="FE267F6C" w:tentative="1">
      <w:start w:val="1"/>
      <w:numFmt w:val="bullet"/>
      <w:lvlText w:val=""/>
      <w:lvlJc w:val="left"/>
      <w:pPr>
        <w:tabs>
          <w:tab w:val="num" w:pos="4320"/>
        </w:tabs>
        <w:ind w:left="4320" w:hanging="360"/>
      </w:pPr>
      <w:rPr>
        <w:rFonts w:ascii="Wingdings" w:hAnsi="Wingdings" w:hint="default"/>
      </w:rPr>
    </w:lvl>
    <w:lvl w:ilvl="6" w:tplc="C0AAC13C" w:tentative="1">
      <w:start w:val="1"/>
      <w:numFmt w:val="bullet"/>
      <w:lvlText w:val=""/>
      <w:lvlJc w:val="left"/>
      <w:pPr>
        <w:tabs>
          <w:tab w:val="num" w:pos="5040"/>
        </w:tabs>
        <w:ind w:left="5040" w:hanging="360"/>
      </w:pPr>
      <w:rPr>
        <w:rFonts w:ascii="Wingdings" w:hAnsi="Wingdings" w:hint="default"/>
      </w:rPr>
    </w:lvl>
    <w:lvl w:ilvl="7" w:tplc="CC187102" w:tentative="1">
      <w:start w:val="1"/>
      <w:numFmt w:val="bullet"/>
      <w:lvlText w:val=""/>
      <w:lvlJc w:val="left"/>
      <w:pPr>
        <w:tabs>
          <w:tab w:val="num" w:pos="5760"/>
        </w:tabs>
        <w:ind w:left="5760" w:hanging="360"/>
      </w:pPr>
      <w:rPr>
        <w:rFonts w:ascii="Wingdings" w:hAnsi="Wingdings" w:hint="default"/>
      </w:rPr>
    </w:lvl>
    <w:lvl w:ilvl="8" w:tplc="F93C02BE" w:tentative="1">
      <w:start w:val="1"/>
      <w:numFmt w:val="bullet"/>
      <w:lvlText w:val=""/>
      <w:lvlJc w:val="left"/>
      <w:pPr>
        <w:tabs>
          <w:tab w:val="num" w:pos="6480"/>
        </w:tabs>
        <w:ind w:left="6480" w:hanging="360"/>
      </w:pPr>
      <w:rPr>
        <w:rFonts w:ascii="Wingdings" w:hAnsi="Wingdings" w:hint="default"/>
      </w:rPr>
    </w:lvl>
  </w:abstractNum>
  <w:abstractNum w:abstractNumId="58">
    <w:nsid w:val="78477B14"/>
    <w:multiLevelType w:val="hybridMultilevel"/>
    <w:tmpl w:val="F7CA8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B386BFA"/>
    <w:multiLevelType w:val="hybridMultilevel"/>
    <w:tmpl w:val="2E247D8C"/>
    <w:lvl w:ilvl="0" w:tplc="C882D702">
      <w:start w:val="1"/>
      <w:numFmt w:val="bullet"/>
      <w:lvlText w:val=""/>
      <w:lvlJc w:val="left"/>
      <w:pPr>
        <w:tabs>
          <w:tab w:val="num" w:pos="720"/>
        </w:tabs>
        <w:ind w:left="720" w:hanging="360"/>
      </w:pPr>
      <w:rPr>
        <w:rFonts w:ascii="Wingdings" w:hAnsi="Wingdings" w:hint="default"/>
      </w:rPr>
    </w:lvl>
    <w:lvl w:ilvl="1" w:tplc="E534B224" w:tentative="1">
      <w:start w:val="1"/>
      <w:numFmt w:val="bullet"/>
      <w:lvlText w:val=""/>
      <w:lvlJc w:val="left"/>
      <w:pPr>
        <w:tabs>
          <w:tab w:val="num" w:pos="1440"/>
        </w:tabs>
        <w:ind w:left="1440" w:hanging="360"/>
      </w:pPr>
      <w:rPr>
        <w:rFonts w:ascii="Wingdings" w:hAnsi="Wingdings" w:hint="default"/>
      </w:rPr>
    </w:lvl>
    <w:lvl w:ilvl="2" w:tplc="B17C7254" w:tentative="1">
      <w:start w:val="1"/>
      <w:numFmt w:val="bullet"/>
      <w:lvlText w:val=""/>
      <w:lvlJc w:val="left"/>
      <w:pPr>
        <w:tabs>
          <w:tab w:val="num" w:pos="2160"/>
        </w:tabs>
        <w:ind w:left="2160" w:hanging="360"/>
      </w:pPr>
      <w:rPr>
        <w:rFonts w:ascii="Wingdings" w:hAnsi="Wingdings" w:hint="default"/>
      </w:rPr>
    </w:lvl>
    <w:lvl w:ilvl="3" w:tplc="8BDAB904" w:tentative="1">
      <w:start w:val="1"/>
      <w:numFmt w:val="bullet"/>
      <w:lvlText w:val=""/>
      <w:lvlJc w:val="left"/>
      <w:pPr>
        <w:tabs>
          <w:tab w:val="num" w:pos="2880"/>
        </w:tabs>
        <w:ind w:left="2880" w:hanging="360"/>
      </w:pPr>
      <w:rPr>
        <w:rFonts w:ascii="Wingdings" w:hAnsi="Wingdings" w:hint="default"/>
      </w:rPr>
    </w:lvl>
    <w:lvl w:ilvl="4" w:tplc="3EB8642A" w:tentative="1">
      <w:start w:val="1"/>
      <w:numFmt w:val="bullet"/>
      <w:lvlText w:val=""/>
      <w:lvlJc w:val="left"/>
      <w:pPr>
        <w:tabs>
          <w:tab w:val="num" w:pos="3600"/>
        </w:tabs>
        <w:ind w:left="3600" w:hanging="360"/>
      </w:pPr>
      <w:rPr>
        <w:rFonts w:ascii="Wingdings" w:hAnsi="Wingdings" w:hint="default"/>
      </w:rPr>
    </w:lvl>
    <w:lvl w:ilvl="5" w:tplc="036A748A" w:tentative="1">
      <w:start w:val="1"/>
      <w:numFmt w:val="bullet"/>
      <w:lvlText w:val=""/>
      <w:lvlJc w:val="left"/>
      <w:pPr>
        <w:tabs>
          <w:tab w:val="num" w:pos="4320"/>
        </w:tabs>
        <w:ind w:left="4320" w:hanging="360"/>
      </w:pPr>
      <w:rPr>
        <w:rFonts w:ascii="Wingdings" w:hAnsi="Wingdings" w:hint="default"/>
      </w:rPr>
    </w:lvl>
    <w:lvl w:ilvl="6" w:tplc="33F25166" w:tentative="1">
      <w:start w:val="1"/>
      <w:numFmt w:val="bullet"/>
      <w:lvlText w:val=""/>
      <w:lvlJc w:val="left"/>
      <w:pPr>
        <w:tabs>
          <w:tab w:val="num" w:pos="5040"/>
        </w:tabs>
        <w:ind w:left="5040" w:hanging="360"/>
      </w:pPr>
      <w:rPr>
        <w:rFonts w:ascii="Wingdings" w:hAnsi="Wingdings" w:hint="default"/>
      </w:rPr>
    </w:lvl>
    <w:lvl w:ilvl="7" w:tplc="3516E61A" w:tentative="1">
      <w:start w:val="1"/>
      <w:numFmt w:val="bullet"/>
      <w:lvlText w:val=""/>
      <w:lvlJc w:val="left"/>
      <w:pPr>
        <w:tabs>
          <w:tab w:val="num" w:pos="5760"/>
        </w:tabs>
        <w:ind w:left="5760" w:hanging="360"/>
      </w:pPr>
      <w:rPr>
        <w:rFonts w:ascii="Wingdings" w:hAnsi="Wingdings" w:hint="default"/>
      </w:rPr>
    </w:lvl>
    <w:lvl w:ilvl="8" w:tplc="1F3A660C" w:tentative="1">
      <w:start w:val="1"/>
      <w:numFmt w:val="bullet"/>
      <w:lvlText w:val=""/>
      <w:lvlJc w:val="left"/>
      <w:pPr>
        <w:tabs>
          <w:tab w:val="num" w:pos="6480"/>
        </w:tabs>
        <w:ind w:left="6480" w:hanging="360"/>
      </w:pPr>
      <w:rPr>
        <w:rFonts w:ascii="Wingdings" w:hAnsi="Wingdings" w:hint="default"/>
      </w:rPr>
    </w:lvl>
  </w:abstractNum>
  <w:abstractNum w:abstractNumId="60">
    <w:nsid w:val="7B5B2132"/>
    <w:multiLevelType w:val="hybridMultilevel"/>
    <w:tmpl w:val="614C4058"/>
    <w:lvl w:ilvl="0" w:tplc="ED20641E">
      <w:start w:val="1"/>
      <w:numFmt w:val="bullet"/>
      <w:lvlText w:val="✓"/>
      <w:lvlJc w:val="left"/>
      <w:pPr>
        <w:ind w:left="358" w:hanging="289"/>
      </w:pPr>
      <w:rPr>
        <w:rFonts w:ascii="EC Square Sans Pro" w:eastAsia="EC Square Sans Pro" w:hAnsi="EC Square Sans Pro" w:hint="default"/>
        <w:b/>
        <w:bCs/>
        <w:color w:val="58595B"/>
        <w:sz w:val="20"/>
        <w:szCs w:val="20"/>
      </w:rPr>
    </w:lvl>
    <w:lvl w:ilvl="1" w:tplc="6B88D808">
      <w:start w:val="1"/>
      <w:numFmt w:val="bullet"/>
      <w:lvlText w:val="•"/>
      <w:lvlJc w:val="left"/>
      <w:pPr>
        <w:ind w:left="793" w:hanging="289"/>
      </w:pPr>
      <w:rPr>
        <w:rFonts w:hint="default"/>
      </w:rPr>
    </w:lvl>
    <w:lvl w:ilvl="2" w:tplc="3A7626FE">
      <w:start w:val="1"/>
      <w:numFmt w:val="bullet"/>
      <w:lvlText w:val="•"/>
      <w:lvlJc w:val="left"/>
      <w:pPr>
        <w:ind w:left="1228" w:hanging="289"/>
      </w:pPr>
      <w:rPr>
        <w:rFonts w:hint="default"/>
      </w:rPr>
    </w:lvl>
    <w:lvl w:ilvl="3" w:tplc="45321774">
      <w:start w:val="1"/>
      <w:numFmt w:val="bullet"/>
      <w:lvlText w:val="•"/>
      <w:lvlJc w:val="left"/>
      <w:pPr>
        <w:ind w:left="1663" w:hanging="289"/>
      </w:pPr>
      <w:rPr>
        <w:rFonts w:hint="default"/>
      </w:rPr>
    </w:lvl>
    <w:lvl w:ilvl="4" w:tplc="37D8BD82">
      <w:start w:val="1"/>
      <w:numFmt w:val="bullet"/>
      <w:lvlText w:val="•"/>
      <w:lvlJc w:val="left"/>
      <w:pPr>
        <w:ind w:left="2099" w:hanging="289"/>
      </w:pPr>
      <w:rPr>
        <w:rFonts w:hint="default"/>
      </w:rPr>
    </w:lvl>
    <w:lvl w:ilvl="5" w:tplc="B96AB6CE">
      <w:start w:val="1"/>
      <w:numFmt w:val="bullet"/>
      <w:lvlText w:val="•"/>
      <w:lvlJc w:val="left"/>
      <w:pPr>
        <w:ind w:left="2534" w:hanging="289"/>
      </w:pPr>
      <w:rPr>
        <w:rFonts w:hint="default"/>
      </w:rPr>
    </w:lvl>
    <w:lvl w:ilvl="6" w:tplc="A87E6818">
      <w:start w:val="1"/>
      <w:numFmt w:val="bullet"/>
      <w:lvlText w:val="•"/>
      <w:lvlJc w:val="left"/>
      <w:pPr>
        <w:ind w:left="2969" w:hanging="289"/>
      </w:pPr>
      <w:rPr>
        <w:rFonts w:hint="default"/>
      </w:rPr>
    </w:lvl>
    <w:lvl w:ilvl="7" w:tplc="E844F624">
      <w:start w:val="1"/>
      <w:numFmt w:val="bullet"/>
      <w:lvlText w:val="•"/>
      <w:lvlJc w:val="left"/>
      <w:pPr>
        <w:ind w:left="3404" w:hanging="289"/>
      </w:pPr>
      <w:rPr>
        <w:rFonts w:hint="default"/>
      </w:rPr>
    </w:lvl>
    <w:lvl w:ilvl="8" w:tplc="6330B7EC">
      <w:start w:val="1"/>
      <w:numFmt w:val="bullet"/>
      <w:lvlText w:val="•"/>
      <w:lvlJc w:val="left"/>
      <w:pPr>
        <w:ind w:left="3839" w:hanging="289"/>
      </w:pPr>
      <w:rPr>
        <w:rFonts w:hint="default"/>
      </w:rPr>
    </w:lvl>
  </w:abstractNum>
  <w:num w:numId="1">
    <w:abstractNumId w:val="51"/>
  </w:num>
  <w:num w:numId="2">
    <w:abstractNumId w:val="28"/>
  </w:num>
  <w:num w:numId="3">
    <w:abstractNumId w:val="52"/>
  </w:num>
  <w:num w:numId="4">
    <w:abstractNumId w:val="34"/>
  </w:num>
  <w:num w:numId="5">
    <w:abstractNumId w:val="55"/>
  </w:num>
  <w:num w:numId="6">
    <w:abstractNumId w:val="44"/>
  </w:num>
  <w:num w:numId="7">
    <w:abstractNumId w:val="58"/>
  </w:num>
  <w:num w:numId="8">
    <w:abstractNumId w:val="5"/>
  </w:num>
  <w:num w:numId="9">
    <w:abstractNumId w:val="40"/>
  </w:num>
  <w:num w:numId="10">
    <w:abstractNumId w:val="43"/>
  </w:num>
  <w:num w:numId="11">
    <w:abstractNumId w:val="10"/>
  </w:num>
  <w:num w:numId="12">
    <w:abstractNumId w:val="36"/>
  </w:num>
  <w:num w:numId="13">
    <w:abstractNumId w:val="57"/>
  </w:num>
  <w:num w:numId="14">
    <w:abstractNumId w:val="2"/>
  </w:num>
  <w:num w:numId="15">
    <w:abstractNumId w:val="59"/>
  </w:num>
  <w:num w:numId="16">
    <w:abstractNumId w:val="49"/>
  </w:num>
  <w:num w:numId="17">
    <w:abstractNumId w:val="47"/>
  </w:num>
  <w:num w:numId="18">
    <w:abstractNumId w:val="16"/>
  </w:num>
  <w:num w:numId="19">
    <w:abstractNumId w:val="13"/>
  </w:num>
  <w:num w:numId="20">
    <w:abstractNumId w:val="37"/>
  </w:num>
  <w:num w:numId="21">
    <w:abstractNumId w:val="8"/>
  </w:num>
  <w:num w:numId="22">
    <w:abstractNumId w:val="30"/>
  </w:num>
  <w:num w:numId="23">
    <w:abstractNumId w:val="54"/>
  </w:num>
  <w:num w:numId="24">
    <w:abstractNumId w:val="42"/>
  </w:num>
  <w:num w:numId="25">
    <w:abstractNumId w:val="9"/>
  </w:num>
  <w:num w:numId="26">
    <w:abstractNumId w:val="19"/>
  </w:num>
  <w:num w:numId="27">
    <w:abstractNumId w:val="33"/>
  </w:num>
  <w:num w:numId="28">
    <w:abstractNumId w:val="27"/>
  </w:num>
  <w:num w:numId="29">
    <w:abstractNumId w:val="22"/>
  </w:num>
  <w:num w:numId="30">
    <w:abstractNumId w:val="46"/>
  </w:num>
  <w:num w:numId="31">
    <w:abstractNumId w:val="35"/>
  </w:num>
  <w:num w:numId="32">
    <w:abstractNumId w:val="48"/>
  </w:num>
  <w:num w:numId="33">
    <w:abstractNumId w:val="6"/>
  </w:num>
  <w:num w:numId="34">
    <w:abstractNumId w:val="15"/>
  </w:num>
  <w:num w:numId="35">
    <w:abstractNumId w:val="39"/>
  </w:num>
  <w:num w:numId="36">
    <w:abstractNumId w:val="50"/>
  </w:num>
  <w:num w:numId="37">
    <w:abstractNumId w:val="14"/>
  </w:num>
  <w:num w:numId="38">
    <w:abstractNumId w:val="29"/>
  </w:num>
  <w:num w:numId="39">
    <w:abstractNumId w:val="0"/>
  </w:num>
  <w:num w:numId="40">
    <w:abstractNumId w:val="18"/>
  </w:num>
  <w:num w:numId="41">
    <w:abstractNumId w:val="21"/>
  </w:num>
  <w:num w:numId="42">
    <w:abstractNumId w:val="32"/>
  </w:num>
  <w:num w:numId="43">
    <w:abstractNumId w:val="56"/>
  </w:num>
  <w:num w:numId="44">
    <w:abstractNumId w:val="4"/>
  </w:num>
  <w:num w:numId="45">
    <w:abstractNumId w:val="1"/>
  </w:num>
  <w:num w:numId="46">
    <w:abstractNumId w:val="25"/>
  </w:num>
  <w:num w:numId="47">
    <w:abstractNumId w:val="20"/>
  </w:num>
  <w:num w:numId="48">
    <w:abstractNumId w:val="7"/>
  </w:num>
  <w:num w:numId="49">
    <w:abstractNumId w:val="53"/>
  </w:num>
  <w:num w:numId="50">
    <w:abstractNumId w:val="11"/>
  </w:num>
  <w:num w:numId="51">
    <w:abstractNumId w:val="41"/>
  </w:num>
  <w:num w:numId="52">
    <w:abstractNumId w:val="12"/>
  </w:num>
  <w:num w:numId="53">
    <w:abstractNumId w:val="17"/>
  </w:num>
  <w:num w:numId="54">
    <w:abstractNumId w:val="31"/>
  </w:num>
  <w:num w:numId="55">
    <w:abstractNumId w:val="23"/>
  </w:num>
  <w:num w:numId="56">
    <w:abstractNumId w:val="3"/>
  </w:num>
  <w:num w:numId="57">
    <w:abstractNumId w:val="60"/>
  </w:num>
  <w:num w:numId="58">
    <w:abstractNumId w:val="26"/>
  </w:num>
  <w:num w:numId="59">
    <w:abstractNumId w:val="24"/>
  </w:num>
  <w:num w:numId="60">
    <w:abstractNumId w:val="45"/>
  </w:num>
  <w:num w:numId="61">
    <w:abstractNumId w:val="3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80C5A6-5844-4026-88CC-EE053E646897"/>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5?\u1054?-\u1053?\u1040?\u1058?\u1040?\u1058?\u1066?\u1064?\u1053?\u1048? \u1057?\u1058?\u1066?\u1055?\u1050?\u1048? \u1050?\u1066?\u1052? \u1047?\u1040?\u1042?\u1066?\u1056?\u1064?\u1042?\u1040?\u1053?\u1045?\u1058?\u1054? \u1053?\u1040? \u1048?\u1050?\u1054?\u1053?\u1054?\u1052?\u1048?\u1063?\u1045?\u1057?\u1050?\u1048?\u1071? \u1048? \u1055?\u1040?\u1056?\u1048?\u1063?\u1045?\u1053? \u1057?\u1066?\u1070?\u1047?&lt;/FMT&gt;: \u1055?\u1066?\u1058?\u1053?\u1040? \u1050?\u1040?\u1056?\u1058?\u1040?"/>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TableParagraph">
    <w:name w:val="Table Paragraph"/>
    <w:basedOn w:val="Normal"/>
    <w:uiPriority w:val="1"/>
    <w:qFormat/>
    <w:pPr>
      <w:widowControl w:val="0"/>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LightList-Accent11">
    <w:name w:val="Light List - Accent 11"/>
    <w:basedOn w:val="TableNormal"/>
    <w:next w:val="LightList-Accent1"/>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TableParagraph">
    <w:name w:val="Table Paragraph"/>
    <w:basedOn w:val="Normal"/>
    <w:uiPriority w:val="1"/>
    <w:qFormat/>
    <w:pPr>
      <w:widowControl w:val="0"/>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C36E-7E38-4557-886C-E59633DF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6316</Words>
  <Characters>36637</Characters>
  <Application>Microsoft Office Word</Application>
  <DocSecurity>0</DocSecurity>
  <Lines>654</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37</cp:revision>
  <cp:lastPrinted>2017-12-06T08:41:00Z</cp:lastPrinted>
  <dcterms:created xsi:type="dcterms:W3CDTF">2017-12-06T08:38:00Z</dcterms:created>
  <dcterms:modified xsi:type="dcterms:W3CDTF">2017-12-06T18:03:00Z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