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38E76C6-DB2E-40E4-A70E-016B3DC004F2" style="width:450.45pt;height:366.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widowControl w:val="0"/>
        <w:shd w:val="clear" w:color="auto" w:fill="FFFFFF"/>
        <w:autoSpaceDE w:val="0"/>
        <w:autoSpaceDN w:val="0"/>
        <w:adjustRightInd w:val="0"/>
        <w:spacing w:before="230" w:after="0" w:line="269" w:lineRule="exact"/>
        <w:ind w:right="86"/>
        <w:rPr>
          <w:noProof/>
        </w:rPr>
      </w:pPr>
      <w:r>
        <w:rPr>
          <w:noProof/>
        </w:rPr>
        <w:t>Програмата за подкрепа на структурните реформи за периода 2017—2020 г., която е в ход от 20 май 2017 г., разполага с бюджет в размер на 142,8 млн. евро</w:t>
      </w:r>
      <w:r>
        <w:rPr>
          <w:rStyle w:val="FootnoteReference"/>
          <w:noProof/>
        </w:rPr>
        <w:footnoteReference w:id="2"/>
      </w:r>
      <w:r>
        <w:rPr>
          <w:noProof/>
        </w:rPr>
        <w:t xml:space="preserve">. Тя е учредена </w:t>
      </w:r>
      <w:r>
        <w:rPr>
          <w:noProof/>
        </w:rPr>
        <w:br/>
        <w:t xml:space="preserve"> с цел укрепване на капацитета на държавите членки за изготвяне и изпълнение на поддържащите растежа административни и структурни реформи, включително чрез помощ за ефикасното и ефективно използване на фондовете на Съюза. Подкрепата по програмата се предоставя от Комисията по искане на съответната държава членка и може да обхваща широк кръг области.</w:t>
      </w:r>
    </w:p>
    <w:p>
      <w:pPr>
        <w:rPr>
          <w:noProof/>
        </w:rPr>
      </w:pPr>
      <w:r>
        <w:rPr>
          <w:noProof/>
        </w:rPr>
        <w:t>От влизането в сила на Регламента за Програмата за подкрепа на структурните реформи е налице засилен интерес към нея от страна на държавите членки, като исканията за подкрепа значително надвишават сумата на предвиденото финансиране за годишните цикли. Показателни за това са данните за цикъла за 2017 г., през който, независимо от късното приемане на Регламента относно Програмата за подкрепа на структурните реформи, бяха подадени 271 искания за подкрепа от 16 държави членки на обща прогнозна стойност над 80 млн. евро на фона на заделените 22,5 млн. евро за 2017 г. Това накара Комисията да преразгледа приоритетите, което стана причина няколко искания за финансиране да бъдат отхвърлени. Тенденцията ще се прояви още по-категорично в цикъла за 2018 г., който започна неотдавна (крайният срок за подаване на заявления беше 31 октомври 2017 г.). Подадени са 444 искания за подкрепа от 24 държави членки, като тяхната обща прогнозна стойност се изчислява на приблизително 152 млн. евро, на фона на заделените за 2018 г. 30,5 млн. евро. Това показва ясно интереса и нуждата от подкрепа в държавите членки, които надхвърлят значително наличните финансови ресурси на програмата.</w:t>
      </w:r>
    </w:p>
    <w:p>
      <w:pPr>
        <w:widowControl w:val="0"/>
        <w:shd w:val="clear" w:color="auto" w:fill="FFFFFF"/>
        <w:autoSpaceDE w:val="0"/>
        <w:autoSpaceDN w:val="0"/>
        <w:adjustRightInd w:val="0"/>
        <w:spacing w:before="230" w:after="0" w:line="269" w:lineRule="exact"/>
        <w:ind w:right="86"/>
        <w:rPr>
          <w:noProof/>
        </w:rPr>
      </w:pPr>
      <w:r>
        <w:rPr>
          <w:noProof/>
        </w:rPr>
        <w:t xml:space="preserve">Опитът показва, че много държави членки са поискали подкрепа по Програмата и че исканията за подкрепа са разпределени между всички области на политиката, обхванати от програмата, като например управление и публична администрация, управление на приходите и на публичните финанси, растеж и бизнес среда, пазар на труда, образование, здравеопазване и социални услуги, финансов сектор и достъп до финансиране. </w:t>
      </w:r>
    </w:p>
    <w:p>
      <w:pPr>
        <w:widowControl w:val="0"/>
        <w:shd w:val="clear" w:color="auto" w:fill="FFFFFF"/>
        <w:autoSpaceDE w:val="0"/>
        <w:autoSpaceDN w:val="0"/>
        <w:adjustRightInd w:val="0"/>
        <w:spacing w:before="230" w:line="269" w:lineRule="exact"/>
        <w:ind w:right="86"/>
        <w:rPr>
          <w:noProof/>
        </w:rPr>
      </w:pPr>
      <w:r>
        <w:rPr>
          <w:noProof/>
        </w:rPr>
        <w:t>Както беше посочено в речта на председателя Юнкер (и приложеното писмо за намерение) пред Европейския парламент на 13 септември 2017 г. относно състоянието на Съюза</w:t>
      </w:r>
      <w:r>
        <w:rPr>
          <w:rStyle w:val="FootnoteReference"/>
          <w:noProof/>
        </w:rPr>
        <w:footnoteReference w:id="3"/>
      </w:r>
      <w:r>
        <w:rPr>
          <w:noProof/>
        </w:rPr>
        <w:t xml:space="preserve">, еврото е единната валута на Съюза като цяло и в крайна сметка — всички, с изключение на две държави членки, са поискали да се присъединят към еврозоната. Поради това е необходимо да се мисли напред и да се окаже подкрепа на държавите членки извън еврозоната в подготовката им за присъединяване към нея, когато те пожелаят това. За да могат да се присъединят към еврозоната, държавите членки </w:t>
      </w:r>
      <w:r>
        <w:rPr>
          <w:noProof/>
        </w:rPr>
        <w:lastRenderedPageBreak/>
        <w:t xml:space="preserve">трябва да отговарят на „критериите от Маастрихт“ или т.нар. „критерии за конвергенция“, които са показателни за постигането на </w:t>
      </w:r>
      <w:r>
        <w:rPr>
          <w:i/>
          <w:noProof/>
        </w:rPr>
        <w:t>висока степен на устойчиво сближаване</w:t>
      </w:r>
      <w:r>
        <w:rPr>
          <w:noProof/>
        </w:rPr>
        <w:t xml:space="preserve">. </w:t>
      </w:r>
    </w:p>
    <w:p>
      <w:pPr>
        <w:widowControl w:val="0"/>
        <w:shd w:val="clear" w:color="auto" w:fill="FFFFFF"/>
        <w:autoSpaceDE w:val="0"/>
        <w:autoSpaceDN w:val="0"/>
        <w:adjustRightInd w:val="0"/>
        <w:spacing w:before="230" w:line="269" w:lineRule="exact"/>
        <w:ind w:right="86"/>
        <w:rPr>
          <w:noProof/>
        </w:rPr>
      </w:pPr>
      <w:r>
        <w:rPr>
          <w:noProof/>
        </w:rPr>
        <w:t xml:space="preserve">Икономическата и финансова криза показа, че наред с номиналното сближаване, постигането на действително сближаване и устойчиви икономики, основани на солидни икономически структури, които позволяват на държавите членки да се справят ефективно със сътресения и бързо да се възстановяват след тях, са от основно значение и за успешното участие в еврозоната. По-специално, това налага държавите членки да са в състояние да управляват бюджетите си в съответствие с принципите на стабилното управление на публичните финанси и институционално да са готови да участват в банковия съюз. Освен това, правилното функциониране на пазарите на труда и на стоковите пазари, които са в състояние да поемат външни сътресения, високата степен на интеграция по отношение на търговията със стоки и услуги и доброто функциониране на публичната администрация са от първостепенно значение за успешното интегриране в еврозоната. </w:t>
      </w:r>
    </w:p>
    <w:p>
      <w:pPr>
        <w:widowControl w:val="0"/>
        <w:shd w:val="clear" w:color="auto" w:fill="FFFFFF"/>
        <w:autoSpaceDE w:val="0"/>
        <w:autoSpaceDN w:val="0"/>
        <w:adjustRightInd w:val="0"/>
        <w:spacing w:before="230" w:after="0" w:line="269" w:lineRule="exact"/>
        <w:ind w:right="86"/>
        <w:rPr>
          <w:noProof/>
        </w:rPr>
      </w:pPr>
      <w:r>
        <w:rPr>
          <w:noProof/>
        </w:rPr>
        <w:t>На фона на i) по-големите финансови нужди във връзка с изпълнението на структурните реформи и ii) необходимостта от подкрепа за държавите членки, които възнамеряват да приемат еврото, в усилията им да осъществят реално сближаване и да утвърдят по-устойчиви икономически и социални структури, за да се подсигури безпроблемното им участие в Икономическия и паричен съюз, Комисията се ангажира като първа стъпка да увеличи бюджета на Програмата за подкрепа на структурните реформи с 80 млн. eвро за периода 2019—2020 г. Това следва стане чрез използването на инструмента за гъвкавост по член 11 от действащата Многогодишна финансова рамка</w:t>
      </w:r>
      <w:r>
        <w:rPr>
          <w:rStyle w:val="FootnoteReference"/>
          <w:noProof/>
        </w:rPr>
        <w:footnoteReference w:id="4"/>
      </w:r>
      <w:r>
        <w:rPr>
          <w:noProof/>
        </w:rPr>
        <w:t xml:space="preserve">. Така общият финансов пакет на Програмата за подкрепа на структурните реформи ще бъде повишен до 222,8 млн. eвро. Това увеличение ще позволи не само удовлетворяване на нуждите от подкрепа на държавите членки извън еврозоната, които искат да приемат еврото и трябва да осъществят реформи в своите икономики, но ще позволи също така да бъдат посрещнати разходите по нарасналия брой на исканията за подкрепа за изпълнение на административните и структурните реформи. </w:t>
      </w:r>
    </w:p>
    <w:p>
      <w:pPr>
        <w:widowControl w:val="0"/>
        <w:shd w:val="clear" w:color="auto" w:fill="FFFFFF"/>
        <w:autoSpaceDE w:val="0"/>
        <w:autoSpaceDN w:val="0"/>
        <w:adjustRightInd w:val="0"/>
        <w:spacing w:before="230" w:after="0" w:line="269" w:lineRule="exact"/>
        <w:ind w:right="86"/>
        <w:rPr>
          <w:noProof/>
        </w:rPr>
      </w:pPr>
      <w:r>
        <w:rPr>
          <w:noProof/>
        </w:rPr>
        <w:t xml:space="preserve">Този допълнителен бюджет ще бъде допълнен, като държавите членки бъдат приканени да се възползват от възможността по силата на член 11 от Регламента за Програмата за подкрепа на структурните реформи да прехвърлят част от своите средства от компонента за техническа помощ по линия на европейските структурни и инвестиционни фондове към Програмата за подкрепа на структурните реформи, за да се подпомогнат необходимите реформи, включително и реформите, свързани с приемането на еврото. Въз основа на настоящите прогнози за възможни нужди от подкрепа, това допълнение ще доведе до увеличаване на общата сума от наличния бюджет до 300 млн. евро, като се предвижда удвояване на капацитета до 2020 г. </w:t>
      </w:r>
    </w:p>
    <w:p>
      <w:pPr>
        <w:widowControl w:val="0"/>
        <w:shd w:val="clear" w:color="auto" w:fill="FFFFFF"/>
        <w:autoSpaceDE w:val="0"/>
        <w:autoSpaceDN w:val="0"/>
        <w:adjustRightInd w:val="0"/>
        <w:spacing w:before="230" w:after="0" w:line="269" w:lineRule="exact"/>
        <w:ind w:right="86"/>
        <w:rPr>
          <w:noProof/>
        </w:rPr>
      </w:pPr>
      <w:r>
        <w:rPr>
          <w:noProof/>
        </w:rPr>
        <w:t xml:space="preserve">Ще се предоставя персонализирана помощ за прилагането на всички политики, които да помогнат на държавите членки да постигнат висока степен на устойчиво сближаване. Подкрепа ще бъде предоставена по-специално за подобряване на бизнес средата, за финансовия сектор, пазара на труда и продуктовите пазари, държавната администрация и управлението на публичните финанси. Повечето важни реформи, необходими за насърчаване на устойчивото и реалното сближаване, ще бъдат обект на </w:t>
      </w:r>
      <w:r>
        <w:rPr>
          <w:noProof/>
        </w:rPr>
        <w:lastRenderedPageBreak/>
        <w:t xml:space="preserve">специално внимание в контекста на европейския семестър. </w:t>
      </w:r>
    </w:p>
    <w:p>
      <w:pPr>
        <w:widowControl w:val="0"/>
        <w:shd w:val="clear" w:color="auto" w:fill="FFFFFF"/>
        <w:autoSpaceDE w:val="0"/>
        <w:autoSpaceDN w:val="0"/>
        <w:adjustRightInd w:val="0"/>
        <w:spacing w:before="230" w:after="0" w:line="269" w:lineRule="exact"/>
        <w:ind w:right="86"/>
        <w:rPr>
          <w:noProof/>
        </w:rPr>
      </w:pPr>
      <w:r>
        <w:rPr>
          <w:noProof/>
        </w:rPr>
        <w:t xml:space="preserve">Посредством специален работен механизъм държавите членки, желаещи да постигнат напредък към присъединяването към еврозоната, ще се договарят в диалог с Комисията за ограничен набор от ангажименти за реформи, които са от особено значение за успешното членство в еврозоната. Тези ангажименти за реформи също ще бъдат отразени в националните програми за реформи на съответните държави членки. Чрез Службата за подкрепа на структурните реформи Комисията ще сключи нов План за сътрудничество и подкрепа за съответните държави членки, като акцентът се поставя върху осигуряването на техническа подкрепа за изпълнението на ангажиментите за реформи, свързани с приемането на еврото. Тази договореност ще бъде изцяло на доброволна основа и ще се предлага без съфинансиране от държавите членки бенефициери. </w:t>
      </w:r>
    </w:p>
    <w:p>
      <w:pPr>
        <w:pStyle w:val="ManualHeading2"/>
        <w:ind w:left="0" w:firstLine="0"/>
        <w:rPr>
          <w:rFonts w:eastAsia="Arial Unicode MS"/>
          <w:noProof/>
          <w:color w:val="000000"/>
          <w:u w:color="000000"/>
          <w:bdr w:val="nil"/>
        </w:rPr>
      </w:pP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Style w:val="Default"/>
        <w:jc w:val="both"/>
        <w:rPr>
          <w:noProof/>
          <w:lang w:val="bg-BG"/>
        </w:rPr>
      </w:pPr>
      <w:r>
        <w:rPr>
          <w:noProof/>
          <w:color w:val="auto"/>
          <w:lang w:val="bg-BG"/>
        </w:rPr>
        <w:t>Програмата за подкрепа на структурните реформи</w:t>
      </w:r>
      <w:r>
        <w:rPr>
          <w:noProof/>
          <w:lang w:val="bg-BG"/>
        </w:rPr>
        <w:t xml:space="preserve"> представлява </w:t>
      </w:r>
      <w:r>
        <w:rPr>
          <w:noProof/>
          <w:color w:val="auto"/>
          <w:lang w:val="bg-BG"/>
        </w:rPr>
        <w:t xml:space="preserve">нова програма на Съюза, чрез която Комисията оказва съдействие на държавите членки, по тяхно искане, при разработването и изпълнението на административни и структурни реформи. </w:t>
      </w:r>
      <w:r>
        <w:rPr>
          <w:noProof/>
          <w:lang w:val="bg-BG"/>
        </w:rPr>
        <w:t xml:space="preserve">Тя е насочена към осигуряване на съобразена с конкретния случай помощ и експертен опит на място, които да съдействат на националните органи на отправилите такова искане държави членки в целия процес на реформи или на определен етап/етапи на този процес. Помощта е съобразена с най-неотложните нужди на държавите, съобразно договореното между Комисията и съответната държава членка. </w:t>
      </w:r>
    </w:p>
    <w:p>
      <w:pPr>
        <w:pStyle w:val="Default"/>
        <w:jc w:val="both"/>
        <w:rPr>
          <w:noProof/>
          <w:color w:val="auto"/>
          <w:szCs w:val="22"/>
          <w:lang w:val="bg-BG"/>
        </w:rPr>
      </w:pPr>
    </w:p>
    <w:p>
      <w:pPr>
        <w:pStyle w:val="Default"/>
        <w:jc w:val="both"/>
        <w:rPr>
          <w:noProof/>
          <w:spacing w:val="-2"/>
          <w:lang w:val="bg-BG"/>
        </w:rPr>
      </w:pPr>
      <w:r>
        <w:rPr>
          <w:noProof/>
          <w:color w:val="auto"/>
          <w:spacing w:val="-2"/>
          <w:lang w:val="bg-BG"/>
        </w:rPr>
        <w:t>Програмата</w:t>
      </w:r>
      <w:r>
        <w:rPr>
          <w:noProof/>
          <w:spacing w:val="-2"/>
          <w:lang w:val="bg-BG"/>
        </w:rPr>
        <w:t xml:space="preserve"> допълва съществуващите ресурси за изграждане на капацитет и техническа подкрепа, осигурявани от други програми за финансиране от Съюза по многогодишната финансова рамка, както и техническа помощ и други действия, финансирани от фондовете на Съюза</w:t>
      </w:r>
      <w:r>
        <w:rPr>
          <w:noProof/>
          <w:color w:val="auto"/>
          <w:spacing w:val="-2"/>
          <w:lang w:val="bg-BG"/>
        </w:rPr>
        <w:t>.</w:t>
      </w:r>
      <w:r>
        <w:rPr>
          <w:noProof/>
          <w:spacing w:val="-2"/>
          <w:lang w:val="bg-BG"/>
        </w:rPr>
        <w:t xml:space="preserve"> Това се гарантира едновременно на етапите на програмирането и изпълнението. За тази цел Комисията създаде механизъм за координация на техническата подкрепа с участието на съответните служби, така че да се гарантира, че помощта, предоставяна по различни програми и фондове на Съюза, е съгласувана и не се дублира с мерки по Програмата за подкрепа на структурните реформи. </w:t>
      </w:r>
    </w:p>
    <w:p>
      <w:pPr>
        <w:pStyle w:val="Default"/>
        <w:jc w:val="both"/>
        <w:rPr>
          <w:noProof/>
          <w:lang w:val="bg-BG"/>
        </w:rPr>
      </w:pPr>
    </w:p>
    <w:p>
      <w:pPr>
        <w:pStyle w:val="Default"/>
        <w:jc w:val="both"/>
        <w:rPr>
          <w:noProof/>
          <w:color w:val="auto"/>
          <w:spacing w:val="-4"/>
          <w:szCs w:val="22"/>
          <w:lang w:val="bg-BG"/>
        </w:rPr>
      </w:pPr>
      <w:r>
        <w:rPr>
          <w:noProof/>
          <w:color w:val="auto"/>
          <w:spacing w:val="-4"/>
          <w:lang w:val="bg-BG"/>
        </w:rPr>
        <w:t>Настоящото предложение има за цел да се увеличат финансовите средства</w:t>
      </w:r>
      <w:r>
        <w:rPr>
          <w:noProof/>
          <w:spacing w:val="-4"/>
          <w:lang w:val="bg-BG"/>
        </w:rPr>
        <w:t xml:space="preserve">, отпуснати на Програмата за подкрепа на структурните реформи, </w:t>
      </w:r>
      <w:r>
        <w:rPr>
          <w:noProof/>
          <w:color w:val="auto"/>
          <w:spacing w:val="-4"/>
          <w:lang w:val="bg-BG"/>
        </w:rPr>
        <w:t>за да се позволи на Комисията да отговори на потребностите, по-специално на държавите членки извън еврозоната, които предприемат структурни реформи, целящи да направят икономиките по-устойчиви на сътресения и да ги подготвят за членство в еврозоната, както и в отговор на потребностите, породени от нарастването на броя на исканията от всички държави членки за подкрепа и сумите по тях по отношение на изпълнението на структурни реформи</w:t>
      </w:r>
      <w:r>
        <w:rPr>
          <w:noProof/>
          <w:spacing w:val="-4"/>
          <w:lang w:val="bg-BG"/>
        </w:rPr>
        <w:t>.</w:t>
      </w:r>
      <w:r>
        <w:rPr>
          <w:noProof/>
          <w:color w:val="auto"/>
          <w:spacing w:val="-4"/>
          <w:lang w:val="bg-BG"/>
        </w:rPr>
        <w:t xml:space="preserve"> </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Style w:val="Default"/>
        <w:jc w:val="both"/>
        <w:rPr>
          <w:noProof/>
          <w:color w:val="auto"/>
          <w:szCs w:val="22"/>
          <w:lang w:val="bg-BG"/>
        </w:rPr>
      </w:pPr>
      <w:r>
        <w:rPr>
          <w:noProof/>
          <w:color w:val="auto"/>
          <w:lang w:val="bg-BG"/>
        </w:rPr>
        <w:t xml:space="preserve">Предложението е съобразено със и допринася за основните политически инициативи на Съюза като Европейския семестър и предложенията, направени в документа за </w:t>
      </w:r>
      <w:r>
        <w:rPr>
          <w:noProof/>
          <w:color w:val="auto"/>
          <w:lang w:val="bg-BG"/>
        </w:rPr>
        <w:lastRenderedPageBreak/>
        <w:t>размисъл относно задълбочаването на Икономическия и паричен съюз</w:t>
      </w:r>
      <w:r>
        <w:rPr>
          <w:rStyle w:val="FootnoteReference"/>
          <w:noProof/>
          <w:color w:val="auto"/>
          <w:lang w:val="bg-BG"/>
        </w:rPr>
        <w:footnoteReference w:id="5"/>
      </w:r>
      <w:r>
        <w:rPr>
          <w:noProof/>
          <w:color w:val="auto"/>
          <w:lang w:val="bg-BG"/>
        </w:rPr>
        <w:t>. То съответства и с изложените идеи в речта за състоянието на Съюза през 2017 г. (и приложеното Писмото за намерение), произнесена от председателя Юнкер пред Европейския парламент на 13 септември 2017 г., в която накратко беше представено описание</w:t>
      </w:r>
      <w:r>
        <w:rPr>
          <w:noProof/>
          <w:lang w:val="bg-BG"/>
        </w:rPr>
        <w:t xml:space="preserve"> на </w:t>
      </w:r>
      <w:r>
        <w:rPr>
          <w:noProof/>
          <w:color w:val="auto"/>
          <w:lang w:val="bg-BG"/>
        </w:rPr>
        <w:t xml:space="preserve">укрепването на бъдещия Икономически и паричен съюз. </w:t>
      </w:r>
    </w:p>
    <w:p>
      <w:pPr>
        <w:pStyle w:val="Default"/>
        <w:jc w:val="both"/>
        <w:rPr>
          <w:noProof/>
          <w:color w:val="auto"/>
          <w:szCs w:val="22"/>
          <w:lang w:val="bg-BG"/>
        </w:rPr>
      </w:pPr>
    </w:p>
    <w:p>
      <w:pPr>
        <w:pStyle w:val="Default"/>
        <w:jc w:val="both"/>
        <w:rPr>
          <w:noProof/>
          <w:color w:val="auto"/>
          <w:szCs w:val="22"/>
          <w:lang w:val="bg-BG"/>
        </w:rPr>
      </w:pPr>
      <w:r>
        <w:rPr>
          <w:noProof/>
          <w:color w:val="auto"/>
          <w:lang w:val="bg-BG"/>
        </w:rPr>
        <w:t xml:space="preserve">Предложението дава възможност за повече средства за предоставяне на подкрепа за така необходимите реформи, които ще направят икономиките на държавите членки извън еврозоната по-устойчиви на сътресения и ще помогне за благоденствието на тези държави членки, след като се присъединят към еврозоната. Освен това в предложението се предвижда възможност за повече ресурси, които да бъдат на разположение за подкрепа на изпълнението на структурните реформи в целия Съюз. </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 xml:space="preserve">Правното основание на Програмата за подкрепа за структурните реформи са член 175, трета алинея и член 197, параграф 2 от Договора за функционирането на Европейския съюз. </w:t>
      </w:r>
    </w:p>
    <w:p>
      <w:pPr>
        <w:rPr>
          <w:rFonts w:eastAsia="Arial Unicode MS"/>
          <w:noProof/>
        </w:rPr>
      </w:pPr>
      <w:r>
        <w:rPr>
          <w:noProof/>
        </w:rPr>
        <w:t>С настоящия документ се прави предложение за законодателно изменение с цел i) да се посочи приносът на програмата, за да се улесни участието в еврозоната на държави членки, чиято парична единица не е еврото, ii) да се увеличи финансовият пакет на програмата (посредством инструмента за гъвкавост по действащата многогодишна финансова рамка) и iii) да се адаптира общата цел на Програмата за подкрепа на структурните реформи, за да се подчертае връзката с подготовката за членство в еврозоната. Наред с това се предвиждат и някои технически промени по отношение на използването на разходите за подкрепа по програмата. Благодарение на увеличените си финансови ресурси Програмата за подкрепа на структурните реформи може много да допринесе за изграждането на по-устойчиви икономически структури в държавите членки и за постигане на устойчиво сближаване на държавите членки извън еврозоната, които се подготвят да се присъединят към еврозоната.</w:t>
      </w:r>
    </w:p>
    <w:p>
      <w:pPr>
        <w:rPr>
          <w:rFonts w:eastAsia="Arial Unicode MS"/>
          <w:noProof/>
        </w:rPr>
      </w:pPr>
    </w:p>
    <w:p>
      <w:pPr>
        <w:pStyle w:val="ManualHeading2"/>
        <w:rPr>
          <w:rFonts w:eastAsia="Arial Unicode MS"/>
          <w:noProof/>
          <w:u w:color="000000"/>
          <w:bdr w:val="nil"/>
        </w:rPr>
      </w:pPr>
      <w:r>
        <w:rPr>
          <w:noProof/>
        </w:rPr>
        <w:t>•</w:t>
      </w:r>
      <w:r>
        <w:rPr>
          <w:noProof/>
        </w:rPr>
        <w:tab/>
        <w:t xml:space="preserve">Субсидиарност (извън областите на изключителна компетентност) </w:t>
      </w:r>
    </w:p>
    <w:p>
      <w:pPr>
        <w:rPr>
          <w:noProof/>
        </w:rPr>
      </w:pPr>
      <w:r>
        <w:rPr>
          <w:noProof/>
        </w:rPr>
        <w:t xml:space="preserve">Финансирането на дейността на програмата чрез предвиденото изменение е съобразено с принципите на европейска добавена стойност и на субсидиарност. Необходимо е увеличаване на финансирането от бюджета на Съюза по отношение на общата подкрепа за изпълнение на структурните реформи с оглед на неочаквано високия интерес към програмата от страна на държавите членки. Това е наложително и с цел постигане на устойчиво сближаване на държавите членки извън еврозоната, което е от съществено значение за просперитета на Съюза и, по-специално — за доброто функциониране на единната валута. Нито една от тези цели (подкрепа за структурните реформи като цяло и подкрепа за членството в еврозоната) може да бъде осъществена в достатъчна степен чрез самостоятелни действия на държавите членки („критерий за необходимост“); с </w:t>
      </w:r>
      <w:r>
        <w:rPr>
          <w:noProof/>
        </w:rPr>
        <w:lastRenderedPageBreak/>
        <w:t xml:space="preserve">намесата на Съюза обаче може да бъде придадена допълнителна стойност в сравнение със самостоятелните действия на държавите членки („критерий за ефективност“). </w:t>
      </w:r>
    </w:p>
    <w:p>
      <w:pPr>
        <w:rPr>
          <w:noProof/>
        </w:rPr>
      </w:pPr>
      <w:r>
        <w:rPr>
          <w:noProof/>
        </w:rPr>
        <w:t xml:space="preserve">Европейският съюз е в по-добра позиция от държавите членки да определя, мобилизира и координира най-добрите налични експертни познания (било то от службите на европейските институции или от други държави, или международни организации), за да насърчава обмена на най-добри практики (както и да осигурява последователното им разпространение в целия Съюз) в подкрепа на държавите членки по пътя към единната валута и на прилагането на целенасочени реформи за стимулиране на техния икономически растеж. </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 xml:space="preserve">Предложението е в съответствие с принципа на пропорционалност, тъй като не излиза извън минимума, необходим за постигането на заявената цел на европейско равнище, и на необходимото за тази цел. </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noProof/>
        </w:rPr>
      </w:pPr>
      <w:r>
        <w:rPr>
          <w:noProof/>
        </w:rPr>
        <w:t>Предложението представлява изменение на Регламента за Програмата за подкрепа на структурните реформи.</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Bdr>
          <w:top w:val="nil"/>
          <w:left w:val="nil"/>
          <w:bottom w:val="nil"/>
          <w:right w:val="nil"/>
          <w:between w:val="nil"/>
          <w:bar w:val="nil"/>
        </w:pBdr>
        <w:spacing w:before="0" w:after="240"/>
        <w:rPr>
          <w:rFonts w:eastAsia="Arial Unicode MS"/>
          <w:noProof/>
        </w:rPr>
      </w:pPr>
      <w:r>
        <w:rPr>
          <w:noProof/>
        </w:rPr>
        <w:t>Настоящото изменение е в отговор на спешната необходимост от подкрепа за държавите членки извън еврозоната, които предприемат структурни реформи, целящи да направят икономиките им по-устойчиви на сътресения, да ускорят процеса на реалното сближаване и да подготвят членството им в еврозоната. Изменението има за цел също да увеличи общия финансов пакет, за да се задоволи много по-високото от очакваното търсене на подкрепа от страна на държавите членки във връзка с изпълнението на структурните реформи.</w:t>
      </w:r>
    </w:p>
    <w:p>
      <w:pPr>
        <w:pStyle w:val="ManualHeading2"/>
        <w:rPr>
          <w:rFonts w:eastAsia="Arial Unicode MS"/>
          <w:noProof/>
          <w:u w:color="000000"/>
          <w:bdr w:val="nil"/>
        </w:rPr>
      </w:pPr>
    </w:p>
    <w:p>
      <w:pPr>
        <w:pStyle w:val="ManualHeading2"/>
        <w:rPr>
          <w:rFonts w:eastAsia="Arial Unicode MS"/>
          <w:noProof/>
          <w:u w:color="000000"/>
          <w:bdr w:val="nil"/>
        </w:rPr>
      </w:pPr>
      <w:r>
        <w:rPr>
          <w:noProof/>
        </w:rPr>
        <w:t>•</w:t>
      </w:r>
      <w:r>
        <w:rPr>
          <w:noProof/>
        </w:rPr>
        <w:tab/>
        <w:t>Регулаторна пригодност и опростяване на законодателството</w:t>
      </w:r>
    </w:p>
    <w:p>
      <w:pPr>
        <w:pBdr>
          <w:top w:val="nil"/>
          <w:left w:val="nil"/>
          <w:bottom w:val="nil"/>
          <w:right w:val="nil"/>
          <w:between w:val="nil"/>
          <w:bar w:val="nil"/>
        </w:pBdr>
        <w:spacing w:before="0" w:after="240"/>
        <w:rPr>
          <w:noProof/>
        </w:rPr>
      </w:pPr>
      <w:r>
        <w:rPr>
          <w:noProof/>
        </w:rPr>
        <w:t xml:space="preserve">Предложението не е свързано с регулаторната пригодност и опростяване на законодателството и не поражда разходи за привеждане в съответствие за малките и средните предприятия или други заинтересовани страни. Програмата за подкрепа на структурните реформи ще започне да се прилага скоро чрез електронна платформа (JIRA), която ще бъде достъпна за службите на Комисията и държавите членки. </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rPr>
          <w:rFonts w:eastAsia="Arial Unicode MS"/>
          <w:noProof/>
        </w:rPr>
      </w:pPr>
      <w:r>
        <w:rPr>
          <w:noProof/>
        </w:rPr>
        <w:t xml:space="preserve">Предложението ще има положителен ефект за запазването и развитието на политиката на Съюза в областта на основните права, като се предполага, че държавите членки искат и получават техническа помощ в съответните области. Например, помощта в области като миграцията, пазара на труда и социалното осигуряване, здравеопазването, образованието, околната среда, собствеността, публичната администрация и съдебната </w:t>
      </w:r>
      <w:r>
        <w:rPr>
          <w:noProof/>
        </w:rPr>
        <w:lastRenderedPageBreak/>
        <w:t xml:space="preserve">система може да е от полза за основните права на Съюза, като например правото на достойнство, свобода, равенство, солидарност, граждански права и правосъдие. </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t>4.</w:t>
      </w:r>
      <w:r>
        <w:rPr>
          <w:noProof/>
        </w:rPr>
        <w:tab/>
        <w:t>ВЪЗДЕЙСТВИЕ ВЪРХУ БЮДЖЕТА</w:t>
      </w:r>
    </w:p>
    <w:p>
      <w:pPr>
        <w:rPr>
          <w:noProof/>
        </w:rPr>
      </w:pPr>
      <w:r>
        <w:rPr>
          <w:noProof/>
        </w:rPr>
        <w:t>Предлага се увеличение на специалния финансов пакет за Програмата за подкрепа на структурните реформи от 142 800 000 eвро (по текущи цени) на 222 800 000 eвро (по текущи цени). Увеличението ще се прилага за 2019 г. и 2020 г. Законодателната финансова обосновка дава необходимите разяснения.</w:t>
      </w:r>
    </w:p>
    <w:p>
      <w:pPr>
        <w:rPr>
          <w:noProof/>
        </w:rPr>
      </w:pPr>
      <w:r>
        <w:rPr>
          <w:noProof/>
        </w:rPr>
        <w:t xml:space="preserve">Увеличението следва да стане възможно чрез използване на 80 000 000 eвро, преразпределени от инструмента за гъвкавост съгласно действащата многогодишна финансова рамка (член 11 от Регламент № 1311/2013 на Съвета), което дава възможност за допълване на финансирането в общия бюджет на Съюза за финансовите 2018 г. и 2019 г. над тавана за функция 1б (сближаване). </w:t>
      </w:r>
    </w:p>
    <w:p>
      <w:pPr>
        <w:rPr>
          <w:noProof/>
        </w:rPr>
      </w:pPr>
      <w:r>
        <w:rPr>
          <w:noProof/>
        </w:rPr>
        <w:t xml:space="preserve">Този увеличен бюджет ще бъде допълнен, като държавите членки бъдат приканени да се възползват от възможността по силата на член 11 от Регламента за Програмата за подкрепа на структурните реформи да прехвърлят част от своите средства от компонента за техническа помощ по линия на европейските структурни и инвестиционни фондове към Програмата за подкрепа на структурните реформи, за да се подпомогнат необходимите реформи, включително и реформите, свързани с приемането на еврото. Въз основа на настоящите прогнози за възможни нужди от подкрепа, това допълнение ще доведе до увеличаване на общата сума от наличния бюджет на 300 млн. eвро. </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noProof/>
        </w:rPr>
      </w:pPr>
      <w:r>
        <w:rPr>
          <w:noProof/>
        </w:rPr>
        <w:t xml:space="preserve">Изискванията за мониторинг, оценка и докладване са надлежно предвидени в Регламента за Програмата за подкрепа на структурните реформи. Не се предвижда промяна в тази връзка. </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rPr>
        <w:t>•</w:t>
      </w:r>
      <w:r>
        <w:rPr>
          <w:noProof/>
        </w:rPr>
        <w:tab/>
        <w:t>Обяснителни документи (за директиви)</w:t>
      </w:r>
    </w:p>
    <w:p>
      <w:pPr>
        <w:pBdr>
          <w:top w:val="nil"/>
          <w:left w:val="nil"/>
          <w:bottom w:val="nil"/>
          <w:right w:val="nil"/>
          <w:between w:val="nil"/>
          <w:bar w:val="nil"/>
        </w:pBdr>
        <w:spacing w:before="0" w:after="240"/>
        <w:rPr>
          <w:noProof/>
        </w:rPr>
      </w:pPr>
      <w:r>
        <w:rPr>
          <w:noProof/>
        </w:rPr>
        <w:t>Не е приложимо</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autoSpaceDE w:val="0"/>
        <w:rPr>
          <w:noProof/>
          <w:spacing w:val="-2"/>
        </w:rPr>
      </w:pPr>
      <w:r>
        <w:rPr>
          <w:noProof/>
          <w:spacing w:val="-2"/>
        </w:rPr>
        <w:t xml:space="preserve">С предложението се изменя член 4 от Регламента за Програмата за подкрепа на структурните реформи (общата цел), за да се добави подкрепата за членството в еврозоната към целите, за които се отпускат средства по Програмата. По-специално, по Програмата се предоставя подкрепа за националните органи за реформиране на институциите, управлението, администрацията, икономическите и социалните сектори в отговор на икономическите и социалните предизвикателства. С предложеното изменение се подчертава, че задълбочаването на сближаването, конкурентоспособността, производителността, устойчивия растеж и създаването на работни места следва да </w:t>
      </w:r>
      <w:r>
        <w:rPr>
          <w:noProof/>
          <w:spacing w:val="-2"/>
        </w:rPr>
        <w:lastRenderedPageBreak/>
        <w:t>допринесат и за подготовката за участие в еврозоната на държавите членки, чиято парична единица не е еврото и които желаят да се присъединят към единната валута.</w:t>
      </w:r>
    </w:p>
    <w:p>
      <w:pPr>
        <w:autoSpaceDE w:val="0"/>
        <w:rPr>
          <w:noProof/>
        </w:rPr>
      </w:pPr>
      <w:r>
        <w:rPr>
          <w:noProof/>
        </w:rPr>
        <w:t xml:space="preserve">Предложеният член 5а подчертава приноса на Програмата към специално работно направление за подкрепата за реформи, които могат да помогнат на държавите членки в подготовката им за еврозоната. </w:t>
      </w:r>
    </w:p>
    <w:p>
      <w:pPr>
        <w:autoSpaceDE w:val="0"/>
        <w:rPr>
          <w:noProof/>
        </w:rPr>
      </w:pPr>
      <w:r>
        <w:rPr>
          <w:noProof/>
        </w:rPr>
        <w:t xml:space="preserve">С предложението се изменя параграф 1 от член 10 от Регламента за Програмата за подкрепа на структурните реформи във връзка със специалния финансов пакет на Програмата за подкрепа на структурните реформи, за да може той да бъде увеличен на 222,8 млн. евро по текущи цени. </w:t>
      </w:r>
    </w:p>
    <w:p>
      <w:pPr>
        <w:rPr>
          <w:noProof/>
        </w:rPr>
        <w:sectPr>
          <w:footerReference w:type="default" r:id="rId16"/>
          <w:footerReference w:type="first" r:id="rId17"/>
          <w:pgSz w:w="11907" w:h="16839"/>
          <w:pgMar w:top="1134" w:right="1417" w:bottom="1134" w:left="1417" w:header="709" w:footer="709" w:gutter="0"/>
          <w:cols w:space="708"/>
          <w:docGrid w:linePitch="360"/>
        </w:sectPr>
      </w:pPr>
      <w:r>
        <w:rPr>
          <w:noProof/>
        </w:rPr>
        <w:t>С предложението се изменя член 10, параграф 2 от Регламента за Програмата за подкрепа на структурните реформи, а именно — разпоредбата относно разходите за подкрепа по програмата, чрез добавяне на възможността за финансиране на дейности за подпомагане, като например контрол на качеството и наблюдение на място на конкретни проекти за подкрепа.</w:t>
      </w:r>
    </w:p>
    <w:p>
      <w:pPr>
        <w:pStyle w:val="Rfrenceinterinstitutionnelle"/>
        <w:rPr>
          <w:noProof/>
        </w:rPr>
      </w:pPr>
      <w:r>
        <w:rPr>
          <w:noProof/>
        </w:rPr>
        <w:lastRenderedPageBreak/>
        <w:t>2017/0334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pPr>
      <w:r>
        <w:rPr>
          <w:noProof/>
        </w:rPr>
        <w:t xml:space="preserve">за изменение на Регламент (ЕС) 2017/825 с цел увеличаване на финансовия пакет на Програмата за подкрепа на структурните реформи и адаптиране на общата ѝ цел </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175, трета алинея и член 197,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 предвид становището на Европейския икономически и социален комитет</w:t>
      </w:r>
      <w:r>
        <w:rPr>
          <w:rStyle w:val="FootnoteReference"/>
          <w:noProof/>
        </w:rPr>
        <w:footnoteReference w:id="6"/>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7"/>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rPr>
          <w:noProof/>
        </w:rPr>
      </w:pPr>
    </w:p>
    <w:p>
      <w:pPr>
        <w:pStyle w:val="ManualConsidrant"/>
        <w:rPr>
          <w:noProof/>
        </w:rPr>
      </w:pPr>
      <w:r>
        <w:t>(1)</w:t>
      </w:r>
      <w:r>
        <w:tab/>
      </w:r>
      <w:r>
        <w:rPr>
          <w:noProof/>
        </w:rPr>
        <w:t xml:space="preserve">Програмата за подкрепа на структурните реформи („Програмата“) беше създадена с цел укрепване на капацитета на държавите членки за изготвяне и изпълнение на стимулиращи растежа административни и структурни реформи, включително чрез помощ за ефикасното и ефективно използване на фондове на Съюза. Подкрепата по програмата се предоставя от Комисията по искане на съответната държава членка и може да обхваща широк кръг области. Развитието на устойчиви икономики върху стабилни икономически и социални структури, които позволяват на държавите членки да поемат шокове и да се възстановяват бързо след тях, допринася за икономическото и социално сближаване. Изпълнението на институционалните, административните и поддържащите растежа структурни реформи е подходящо средство за постигането на такова развитие. </w:t>
      </w:r>
    </w:p>
    <w:p>
      <w:pPr>
        <w:pStyle w:val="ManualConsidrant"/>
        <w:rPr>
          <w:noProof/>
        </w:rPr>
      </w:pPr>
      <w:r>
        <w:t>(2)</w:t>
      </w:r>
      <w:r>
        <w:tab/>
      </w:r>
      <w:r>
        <w:rPr>
          <w:noProof/>
        </w:rPr>
        <w:t xml:space="preserve">Държавите членки търсят все по-често подкрепа по линия на програмата извън първоначалните очаквания. Исканията за подкрепа, получени от Комисията по време на цикъла за 2017 г., се оценяват на много над наличните годишни средства. Що се отнася до цикъла за 2018 г., прогнозната стойност на получените искания е пет пъти по-висока от наличните за тази година финансови ресурси. Почти всички държави членки поискаха подкрепа по </w:t>
      </w:r>
      <w:r>
        <w:rPr>
          <w:noProof/>
        </w:rPr>
        <w:lastRenderedPageBreak/>
        <w:t>Програмата, а исканията са разпределени между всички области на политиката, обхванати от програмата.</w:t>
      </w:r>
    </w:p>
    <w:p>
      <w:pPr>
        <w:pStyle w:val="ManualConsidrant"/>
        <w:rPr>
          <w:noProof/>
        </w:rPr>
      </w:pPr>
      <w:r>
        <w:t>(3)</w:t>
      </w:r>
      <w:r>
        <w:tab/>
      </w:r>
      <w:r>
        <w:rPr>
          <w:noProof/>
        </w:rPr>
        <w:t>Укрепването на икономическото и социалното сближаване чрез засилване на структурните реформи е от решаващо значение за успешното участие в Икономическия и паричен съюз. Това е от особено значение за държавите членки, чиято валута не е евро, в подготовката им за присъединяване към еврозоната.</w:t>
      </w:r>
    </w:p>
    <w:p>
      <w:pPr>
        <w:pStyle w:val="ManualConsidrant"/>
        <w:rPr>
          <w:noProof/>
        </w:rPr>
      </w:pPr>
      <w:r>
        <w:t>(4)</w:t>
      </w:r>
      <w:r>
        <w:tab/>
      </w:r>
      <w:r>
        <w:rPr>
          <w:noProof/>
        </w:rPr>
        <w:t>В този смисъл е целесъобразно да се подчертае в общата цел на програмата — в рамките на нейния принос към преодоляването на икономическите и социалните предизвикателства, че насърчаването на сближаването, конкурентоспособността, производителността, устойчивия растеж и създаването на работни места, следва да допринесат и за подготовката за бъдещо участие в еврозоната от онези държави членки, чиято парична единица не е еврото.</w:t>
      </w:r>
    </w:p>
    <w:p>
      <w:pPr>
        <w:pStyle w:val="ManualConsidrant"/>
        <w:rPr>
          <w:noProof/>
        </w:rPr>
      </w:pPr>
      <w:r>
        <w:t>(5)</w:t>
      </w:r>
      <w:r>
        <w:tab/>
      </w:r>
      <w:r>
        <w:rPr>
          <w:noProof/>
        </w:rPr>
        <w:t>Необходимо е също така да се посочи, че действията и мерките по Програмата могат да бъдат от подкрепа за реформи, които да помогнат на държавите членки, желаещи да приемат еврото, да се подготвят за участието в еврозоната.</w:t>
      </w:r>
    </w:p>
    <w:p>
      <w:pPr>
        <w:pStyle w:val="ManualConsidrant"/>
        <w:rPr>
          <w:noProof/>
        </w:rPr>
      </w:pPr>
      <w:r>
        <w:t>(6)</w:t>
      </w:r>
      <w:r>
        <w:tab/>
      </w:r>
      <w:r>
        <w:rPr>
          <w:noProof/>
        </w:rPr>
        <w:t>С оглед задоволяване на нарастващото търсене на подкрепа от страна на държавите членки, както и поради необходимостта от подпомагане на изпълнението на структурните реформи в държавите членки, чиято парична единица не е еврото, отпуснатите за програмата финансови средства следва да се увеличат до достатъчно високо ниво, позволяващо на Съюза да оказва подкрепата, от която се нуждаят отправилите искането държави членки.</w:t>
      </w:r>
    </w:p>
    <w:p>
      <w:pPr>
        <w:pStyle w:val="ManualConsidrant"/>
        <w:rPr>
          <w:noProof/>
        </w:rPr>
      </w:pPr>
      <w:r>
        <w:t>(7)</w:t>
      </w:r>
      <w:r>
        <w:tab/>
      </w:r>
      <w:r>
        <w:rPr>
          <w:noProof/>
        </w:rPr>
        <w:t xml:space="preserve">За да може подкрепата да бъде предоставена във възможно най-кратки срокове, Комисията следва да може да използва част от финансовия пакет и за покриване на разходите за дейности в подкрепа на програмата, като например разходи, свързани с контрола на качеството и мониторинга на проектите на място. </w:t>
      </w:r>
    </w:p>
    <w:p>
      <w:pPr>
        <w:pStyle w:val="ManualConsidrant"/>
        <w:rPr>
          <w:noProof/>
        </w:rPr>
      </w:pPr>
      <w:r>
        <w:t>(8)</w:t>
      </w:r>
      <w:r>
        <w:tab/>
      </w:r>
      <w:r>
        <w:rPr>
          <w:noProof/>
        </w:rPr>
        <w:t>Поради това Регламент (ЕС) 2017/825 следва да бъде съответно изменен.</w:t>
      </w:r>
    </w:p>
    <w:p>
      <w:pPr>
        <w:pStyle w:val="ManualConsidrant"/>
        <w:rPr>
          <w:noProof/>
        </w:rPr>
      </w:pPr>
      <w:r>
        <w:t>(9)</w:t>
      </w:r>
      <w:r>
        <w:tab/>
      </w:r>
      <w:r>
        <w:rPr>
          <w:noProof/>
        </w:rPr>
        <w:t>С цел да се създадат условия за незабавното прилагане на предвидените в настоящия регламент мерки, той следва да влезе в сила в деня след публикуването му в Официален вестник на Европейския съюз,</w:t>
      </w:r>
    </w:p>
    <w:p>
      <w:pPr>
        <w:rPr>
          <w:noProof/>
        </w:rPr>
      </w:pPr>
    </w:p>
    <w:p>
      <w:pPr>
        <w:pStyle w:val="Formuledadoption"/>
        <w:rPr>
          <w:noProof/>
        </w:rPr>
      </w:pPr>
      <w:r>
        <w:rPr>
          <w:noProof/>
        </w:rPr>
        <w:t>ПРИЕХА НАСТОЯЩИЯ РЕГЛАМЕНТ:</w:t>
      </w:r>
    </w:p>
    <w:p>
      <w:pPr>
        <w:pStyle w:val="Titrearticle"/>
        <w:rPr>
          <w:noProof/>
        </w:rPr>
      </w:pPr>
      <w:r>
        <w:rPr>
          <w:noProof/>
        </w:rPr>
        <w:t>Член 1</w:t>
      </w:r>
    </w:p>
    <w:p>
      <w:pPr>
        <w:rPr>
          <w:noProof/>
        </w:rPr>
      </w:pPr>
      <w:r>
        <w:rPr>
          <w:noProof/>
        </w:rPr>
        <w:t xml:space="preserve">Регламент (ЕС) 2017/825 се изменя, както следва: </w:t>
      </w:r>
    </w:p>
    <w:p>
      <w:pPr>
        <w:rPr>
          <w:noProof/>
        </w:rPr>
      </w:pPr>
    </w:p>
    <w:p>
      <w:pPr>
        <w:rPr>
          <w:noProof/>
        </w:rPr>
      </w:pPr>
      <w:r>
        <w:rPr>
          <w:noProof/>
        </w:rPr>
        <w:t>1.</w:t>
      </w:r>
      <w:r>
        <w:rPr>
          <w:noProof/>
        </w:rPr>
        <w:tab/>
        <w:t>Член 4 се заменя със следното:</w:t>
      </w:r>
    </w:p>
    <w:p>
      <w:pPr>
        <w:ind w:left="720"/>
        <w:rPr>
          <w:noProof/>
        </w:rPr>
      </w:pPr>
      <w:r>
        <w:rPr>
          <w:noProof/>
        </w:rPr>
        <w:t>„Член 4</w:t>
      </w:r>
    </w:p>
    <w:p>
      <w:pPr>
        <w:ind w:left="720"/>
        <w:rPr>
          <w:noProof/>
        </w:rPr>
      </w:pPr>
      <w:r>
        <w:rPr>
          <w:noProof/>
        </w:rPr>
        <w:t>Обща цел</w:t>
      </w:r>
    </w:p>
    <w:p>
      <w:pPr>
        <w:ind w:left="720"/>
        <w:rPr>
          <w:noProof/>
        </w:rPr>
      </w:pPr>
      <w:r>
        <w:rPr>
          <w:noProof/>
        </w:rPr>
        <w:t xml:space="preserve">Общата цел на Програмата е да допринесе за институционалните, административните и поддържащите растежа структурни реформи в държавите членки, като предоставя подкрепа на националните органи за мерки, насочени към реформирането и укрепването на институциите, управлението, публичната администрация и икономическите и социалните сектори в отговор на </w:t>
      </w:r>
      <w:r>
        <w:rPr>
          <w:noProof/>
        </w:rPr>
        <w:lastRenderedPageBreak/>
        <w:t>икономическите и социалните предизвикателства с цел увеличаване на сближаването, конкурентоспособността, производителността, устойчивия растеж, създаването на работни места и инвестициите, което също така ще ги подготви за участие в еврозоната, по специално в контекста на процедурите за икономическо управление, включително чрез подкрепа за ефикасното, ефективно и прозрачно използване на фондове на Съюза.“;</w:t>
      </w:r>
    </w:p>
    <w:p>
      <w:pPr>
        <w:rPr>
          <w:noProof/>
        </w:rPr>
      </w:pPr>
    </w:p>
    <w:p>
      <w:pPr>
        <w:rPr>
          <w:noProof/>
        </w:rPr>
      </w:pPr>
      <w:r>
        <w:rPr>
          <w:noProof/>
        </w:rPr>
        <w:t>2.</w:t>
      </w:r>
      <w:r>
        <w:rPr>
          <w:noProof/>
        </w:rPr>
        <w:tab/>
        <w:t>Добавя се член 5а</w:t>
      </w:r>
    </w:p>
    <w:p>
      <w:pPr>
        <w:ind w:firstLine="720"/>
        <w:rPr>
          <w:noProof/>
        </w:rPr>
      </w:pPr>
      <w:r>
        <w:rPr>
          <w:noProof/>
        </w:rPr>
        <w:t>„Член 5a</w:t>
      </w:r>
    </w:p>
    <w:p>
      <w:pPr>
        <w:ind w:firstLine="720"/>
        <w:rPr>
          <w:noProof/>
        </w:rPr>
      </w:pPr>
      <w:r>
        <w:rPr>
          <w:noProof/>
        </w:rPr>
        <w:t>Подкрепа за подготовката за членство в еврозоната</w:t>
      </w:r>
    </w:p>
    <w:p>
      <w:pPr>
        <w:ind w:left="720"/>
        <w:rPr>
          <w:noProof/>
          <w:color w:val="1F497D"/>
        </w:rPr>
      </w:pPr>
      <w:r>
        <w:rPr>
          <w:noProof/>
        </w:rPr>
        <w:t>Програмата може да финансира действия и мерки в подкрепа на реформите, които могат да помогнат на държавите членки в подготовката им за присъединяване към еврозоната.“.</w:t>
      </w:r>
    </w:p>
    <w:p>
      <w:pPr>
        <w:ind w:left="720"/>
        <w:rPr>
          <w:noProof/>
        </w:rPr>
      </w:pPr>
    </w:p>
    <w:p>
      <w:pPr>
        <w:rPr>
          <w:noProof/>
        </w:rPr>
      </w:pPr>
      <w:r>
        <w:rPr>
          <w:noProof/>
        </w:rPr>
        <w:t>3.</w:t>
      </w:r>
      <w:r>
        <w:rPr>
          <w:noProof/>
        </w:rPr>
        <w:tab/>
        <w:t>Член 10 се изменя, както следва:</w:t>
      </w:r>
    </w:p>
    <w:p>
      <w:pPr>
        <w:ind w:firstLine="720"/>
        <w:rPr>
          <w:noProof/>
        </w:rPr>
      </w:pPr>
      <w:r>
        <w:rPr>
          <w:noProof/>
        </w:rPr>
        <w:t>а) параграф 1 се заменя със следното:</w:t>
      </w:r>
    </w:p>
    <w:p>
      <w:pPr>
        <w:pStyle w:val="ti-art"/>
        <w:ind w:left="720"/>
        <w:jc w:val="both"/>
        <w:rPr>
          <w:noProof/>
        </w:rPr>
      </w:pPr>
      <w:r>
        <w:rPr>
          <w:noProof/>
        </w:rPr>
        <w:t>„1.  Размерът на финансовия пакет за изпълнение на Програмата се определя на 222 800 000 eвро по текущи цени.“;</w:t>
      </w:r>
    </w:p>
    <w:p>
      <w:pPr>
        <w:ind w:firstLine="720"/>
        <w:rPr>
          <w:noProof/>
        </w:rPr>
      </w:pPr>
      <w:r>
        <w:rPr>
          <w:noProof/>
        </w:rPr>
        <w:t>б) в параграф 2 се добавя следното изречение:</w:t>
      </w:r>
    </w:p>
    <w:p>
      <w:pPr>
        <w:pStyle w:val="Normal1"/>
        <w:ind w:left="720"/>
        <w:jc w:val="both"/>
        <w:rPr>
          <w:noProof/>
        </w:rPr>
      </w:pPr>
      <w:r>
        <w:rPr>
          <w:noProof/>
        </w:rPr>
        <w:t>„Разходите могат да покриват и разходите за други дейности за подпомагане, като например контрол на качеството и мониторинг на проекти на място.“.</w:t>
      </w:r>
    </w:p>
    <w:p>
      <w:pPr>
        <w:rPr>
          <w:noProof/>
        </w:rPr>
      </w:pPr>
    </w:p>
    <w:p>
      <w:pPr>
        <w:pStyle w:val="Titrearticle"/>
        <w:rPr>
          <w:noProof/>
        </w:rPr>
      </w:pPr>
      <w:r>
        <w:rPr>
          <w:noProof/>
        </w:rPr>
        <w:t>Член 2</w:t>
      </w:r>
    </w:p>
    <w:p>
      <w:pPr>
        <w:rPr>
          <w:noProof/>
        </w:rPr>
      </w:pPr>
      <w:r>
        <w:rPr>
          <w:noProof/>
        </w:rPr>
        <w:t xml:space="preserve">Настоящият регламент влиза в сила в деня след публикуването му в </w:t>
      </w:r>
      <w:r>
        <w:rPr>
          <w:i/>
          <w:noProof/>
        </w:rPr>
        <w:t>Официален вестник на Европейския съюз</w:t>
      </w:r>
      <w:r>
        <w:rPr>
          <w:noProof/>
        </w:rPr>
        <w:t>.</w:t>
      </w:r>
    </w:p>
    <w:p>
      <w:pPr>
        <w:pStyle w:val="Applicationdirecte"/>
        <w:rPr>
          <w:noProof/>
        </w:rPr>
      </w:pP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Applicationdirecte"/>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spacing w:before="0" w:after="200" w:line="276" w:lineRule="auto"/>
        <w:jc w:val="left"/>
        <w:rPr>
          <w:noProof/>
        </w:rPr>
      </w:pPr>
      <w:r>
        <w:rPr>
          <w:noProof/>
        </w:rPr>
        <w:br w:type="page"/>
      </w:r>
    </w:p>
    <w:p>
      <w:pPr>
        <w:pStyle w:val="Fichefinanciretitre"/>
        <w:rPr>
          <w:noProof/>
        </w:rPr>
      </w:pPr>
      <w:r>
        <w:rPr>
          <w:noProof/>
        </w:rPr>
        <w:lastRenderedPageBreak/>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Засегната(и) област(и) на политиката</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 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spacing w:val="-6"/>
        </w:rPr>
      </w:pPr>
      <w:r>
        <w:rPr>
          <w:noProof/>
        </w:rPr>
        <w:tab/>
      </w:r>
      <w:r>
        <w:rPr>
          <w:noProof/>
          <w:spacing w:val="-6"/>
        </w:rPr>
        <w:t>3.2.2.</w:t>
      </w:r>
      <w:r>
        <w:rPr>
          <w:noProof/>
          <w:spacing w:val="-6"/>
        </w:rPr>
        <w:tab/>
        <w:t xml:space="preserve">Очаквано отражение върху бюджетните кредити за оперативни разходи </w:t>
      </w:r>
    </w:p>
    <w:p>
      <w:pPr>
        <w:pStyle w:val="ManualHeading3"/>
        <w:rPr>
          <w:noProof/>
          <w:spacing w:val="-6"/>
        </w:rPr>
      </w:pPr>
      <w:r>
        <w:rPr>
          <w:noProof/>
          <w:spacing w:val="-6"/>
        </w:rPr>
        <w:tab/>
        <w:t>3.2.3.</w:t>
      </w:r>
      <w:r>
        <w:rPr>
          <w:noProof/>
          <w:spacing w:val="-6"/>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Участие на трети страни във финансирането </w:t>
      </w:r>
    </w:p>
    <w:p>
      <w:pPr>
        <w:pStyle w:val="ManualHeading2"/>
        <w:jc w:val="left"/>
        <w:rPr>
          <w:b w:val="0"/>
          <w:noProof/>
        </w:rPr>
        <w:sectPr>
          <w:pgSz w:w="11907" w:h="16840" w:code="9"/>
          <w:pgMar w:top="1134" w:right="1418" w:bottom="1134" w:left="1418" w:header="709" w:footer="709" w:gutter="0"/>
          <w:cols w:space="720"/>
          <w:docGrid w:linePitch="360"/>
        </w:sectPr>
      </w:pPr>
      <w:r>
        <w:rPr>
          <w:noProof/>
        </w:rPr>
        <w:tab/>
      </w:r>
      <w:r>
        <w:rPr>
          <w:b w:val="0"/>
          <w:noProof/>
        </w:rPr>
        <w:t>3.3.</w:t>
      </w:r>
      <w:r>
        <w:rPr>
          <w:noProof/>
        </w:rPr>
        <w:tab/>
      </w:r>
      <w:r>
        <w:rPr>
          <w:b w:val="0"/>
          <w:noProof/>
        </w:rPr>
        <w:t>Очаквано отражение върху приходите</w:t>
      </w:r>
    </w:p>
    <w:p>
      <w:pPr>
        <w:jc w:val="center"/>
        <w:rPr>
          <w:b/>
          <w:noProof/>
          <w:u w:val="single"/>
        </w:rPr>
      </w:pPr>
      <w:r>
        <w:rPr>
          <w:b/>
          <w:noProof/>
          <w:u w:val="single"/>
        </w:rPr>
        <w:t>ЗАКОНОДАТЕЛНА ФИНАНСОВА ОБОСНОВКА</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spacing w:val="-2"/>
        </w:rPr>
      </w:pPr>
      <w:r>
        <w:rPr>
          <w:noProof/>
          <w:spacing w:val="-2"/>
        </w:rPr>
        <w:t xml:space="preserve">Предложение за Регламент на Европейския парламент и на Съвета за изменение на Регламент (ЕС) 2017/825 с цел увеличаване на финансовия пакет на Програмата за подкрепа на структурните реформи и адаптиране на общата ѝ цел </w:t>
      </w:r>
    </w:p>
    <w:p>
      <w:pPr>
        <w:pStyle w:val="ManualHeading2"/>
        <w:rPr>
          <w:noProof/>
          <w:szCs w:val="24"/>
        </w:rPr>
      </w:pPr>
      <w:r>
        <w:t>1.2.</w:t>
      </w:r>
      <w:r>
        <w:tab/>
      </w:r>
      <w:r>
        <w:rPr>
          <w:noProof/>
        </w:rPr>
        <w:t>Засегната(и) област(и) на политиката</w:t>
      </w:r>
      <w:r>
        <w:rPr>
          <w:i/>
          <w:noProof/>
        </w:rPr>
        <w:t xml:space="preserve"> </w:t>
      </w:r>
    </w:p>
    <w:p>
      <w:pPr>
        <w:pStyle w:val="Text1"/>
        <w:pBdr>
          <w:top w:val="single" w:sz="4" w:space="1" w:color="auto"/>
          <w:left w:val="single" w:sz="4" w:space="4" w:color="auto"/>
          <w:bottom w:val="single" w:sz="4" w:space="1" w:color="auto"/>
          <w:right w:val="single" w:sz="4" w:space="4" w:color="auto"/>
        </w:pBdr>
        <w:jc w:val="left"/>
        <w:rPr>
          <w:noProof/>
        </w:rPr>
      </w:pPr>
      <w:r>
        <w:rPr>
          <w:noProof/>
        </w:rPr>
        <w:t xml:space="preserve">Област на политиката: </w:t>
      </w:r>
      <w:r>
        <w:rPr>
          <w:caps/>
          <w:noProof/>
        </w:rPr>
        <w:t>Координиране на политиките на Комисията и правни съвети</w:t>
      </w:r>
    </w:p>
    <w:p>
      <w:pPr>
        <w:pStyle w:val="Text1"/>
        <w:pBdr>
          <w:top w:val="single" w:sz="4" w:space="1" w:color="auto"/>
          <w:left w:val="single" w:sz="4" w:space="4" w:color="auto"/>
          <w:bottom w:val="single" w:sz="4" w:space="1" w:color="auto"/>
          <w:right w:val="single" w:sz="4" w:space="4" w:color="auto"/>
        </w:pBdr>
        <w:jc w:val="left"/>
        <w:rPr>
          <w:noProof/>
        </w:rPr>
      </w:pPr>
      <w:r>
        <w:rPr>
          <w:noProof/>
        </w:rPr>
        <w:t>Дейност във връзка с БД: Програма за подкрепа на структурните реформи</w:t>
      </w:r>
    </w:p>
    <w:p>
      <w:pPr>
        <w:pStyle w:val="Text1"/>
        <w:pBdr>
          <w:top w:val="single" w:sz="4" w:space="1" w:color="auto"/>
          <w:left w:val="single" w:sz="4" w:space="4" w:color="auto"/>
          <w:bottom w:val="single" w:sz="4" w:space="1" w:color="auto"/>
          <w:right w:val="single" w:sz="4" w:space="4" w:color="auto"/>
        </w:pBdr>
        <w:jc w:val="left"/>
        <w:rPr>
          <w:noProof/>
        </w:rPr>
      </w:pPr>
      <w:r>
        <w:rPr>
          <w:noProof/>
        </w:rPr>
        <w:t>За подробен отчет на дейностите във връзка с БД вж. точка 3.2</w:t>
      </w:r>
    </w:p>
    <w:p>
      <w:pPr>
        <w:pStyle w:val="Text1"/>
        <w:pBdr>
          <w:top w:val="single" w:sz="4" w:space="1" w:color="auto"/>
          <w:left w:val="single" w:sz="4" w:space="4" w:color="auto"/>
          <w:bottom w:val="single" w:sz="4" w:space="1" w:color="auto"/>
          <w:right w:val="single" w:sz="4" w:space="4" w:color="auto"/>
        </w:pBdr>
        <w:jc w:val="left"/>
        <w:rPr>
          <w:noProof/>
        </w:rPr>
      </w:pPr>
      <w:r>
        <w:rPr>
          <w:noProof/>
        </w:rPr>
        <w:t>Област на политиката: Трудова заетост, социални въпроси и приобщаване</w:t>
      </w:r>
    </w:p>
    <w:p>
      <w:pPr>
        <w:pStyle w:val="Text1"/>
        <w:pBdr>
          <w:top w:val="single" w:sz="4" w:space="1" w:color="auto"/>
          <w:left w:val="single" w:sz="4" w:space="4" w:color="auto"/>
          <w:bottom w:val="single" w:sz="4" w:space="1" w:color="auto"/>
          <w:right w:val="single" w:sz="4" w:space="4" w:color="auto"/>
        </w:pBdr>
        <w:jc w:val="left"/>
        <w:rPr>
          <w:noProof/>
        </w:rPr>
      </w:pPr>
      <w:r>
        <w:rPr>
          <w:noProof/>
        </w:rPr>
        <w:t>Област на политиката: Регионална и селищна политика</w:t>
      </w:r>
    </w:p>
    <w:p>
      <w:pPr>
        <w:pStyle w:val="Text1"/>
        <w:pBdr>
          <w:top w:val="single" w:sz="4" w:space="1" w:color="auto"/>
          <w:left w:val="single" w:sz="4" w:space="4" w:color="auto"/>
          <w:bottom w:val="single" w:sz="4" w:space="1" w:color="auto"/>
          <w:right w:val="single" w:sz="4" w:space="4" w:color="auto"/>
        </w:pBdr>
        <w:rPr>
          <w:noProof/>
        </w:rPr>
      </w:pPr>
      <w:r>
        <w:rPr>
          <w:noProof/>
        </w:rPr>
        <w:t>Област на политиката: Земеделие и развитие на селските райони</w:t>
      </w:r>
    </w:p>
    <w:p>
      <w:pPr>
        <w:pStyle w:val="Text1"/>
        <w:pBdr>
          <w:top w:val="single" w:sz="4" w:space="1" w:color="auto"/>
          <w:left w:val="single" w:sz="4" w:space="4" w:color="auto"/>
          <w:bottom w:val="single" w:sz="4" w:space="1" w:color="auto"/>
          <w:right w:val="single" w:sz="4" w:space="4" w:color="auto"/>
        </w:pBdr>
        <w:rPr>
          <w:noProof/>
        </w:rPr>
      </w:pPr>
      <w:r>
        <w:rPr>
          <w:noProof/>
        </w:rPr>
        <w:t>Област на политиката: Миграция и убежище</w:t>
      </w:r>
    </w:p>
    <w:p>
      <w:pPr>
        <w:pStyle w:val="Text1"/>
        <w:pBdr>
          <w:top w:val="single" w:sz="4" w:space="1" w:color="auto"/>
          <w:left w:val="single" w:sz="4" w:space="4" w:color="auto"/>
          <w:bottom w:val="single" w:sz="4" w:space="1" w:color="auto"/>
          <w:right w:val="single" w:sz="4" w:space="4" w:color="auto"/>
        </w:pBdr>
        <w:rPr>
          <w:noProof/>
        </w:rPr>
      </w:pPr>
      <w:r>
        <w:rPr>
          <w:noProof/>
        </w:rPr>
        <w:t>Област на политиката: Икономически и финансови въпроси</w:t>
      </w:r>
    </w:p>
    <w:p>
      <w:pPr>
        <w:pStyle w:val="ManualHeading2"/>
        <w:rPr>
          <w:bCs/>
          <w:noProof/>
          <w:szCs w:val="24"/>
        </w:rPr>
      </w:pPr>
      <w:r>
        <w:t>1.3.</w:t>
      </w:r>
      <w:r>
        <w:tab/>
      </w:r>
      <w:r>
        <w:rPr>
          <w:noProof/>
        </w:rPr>
        <w:t xml:space="preserve">Естество на предложението/инициативата </w:t>
      </w:r>
    </w:p>
    <w:p>
      <w:pPr>
        <w:pStyle w:val="Text1"/>
        <w:rPr>
          <w:b/>
          <w:noProof/>
          <w:sz w:val="22"/>
        </w:rPr>
      </w:pPr>
      <w:r>
        <w:rPr>
          <w:noProof/>
          <w:sz w:val="22"/>
        </w:rPr>
        <w:sym w:font="Wingdings" w:char="F0A8"/>
      </w:r>
      <w:r>
        <w:rPr>
          <w:b/>
          <w:i/>
          <w:noProof/>
          <w:sz w:val="22"/>
        </w:rPr>
        <w:t xml:space="preserve"> </w:t>
      </w:r>
      <w:r>
        <w:rPr>
          <w:noProof/>
        </w:rPr>
        <w:t xml:space="preserve">Предложението/инициативата е във връзка с </w:t>
      </w:r>
      <w:r>
        <w:rPr>
          <w:b/>
          <w:noProof/>
        </w:rPr>
        <w:t>ново действие</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ново действие след пилотен проект/подготвително действие</w:t>
      </w:r>
      <w:r>
        <w:rPr>
          <w:rStyle w:val="FootnoteReference"/>
          <w:b/>
          <w:noProof/>
        </w:rPr>
        <w:footnoteReference w:id="8"/>
      </w:r>
      <w:r>
        <w:rPr>
          <w:noProof/>
        </w:rPr>
        <w:t xml:space="preserve"> </w:t>
      </w:r>
    </w:p>
    <w:p>
      <w:pPr>
        <w:pStyle w:val="Text1"/>
        <w:rPr>
          <w:noProof/>
          <w:sz w:val="22"/>
        </w:rPr>
      </w:pPr>
      <w:r>
        <w:rPr>
          <w:noProof/>
          <w:sz w:val="22"/>
        </w:rPr>
        <w:sym w:font="Wingdings" w:char="F0FC"/>
      </w:r>
      <w:r>
        <w:rPr>
          <w:i/>
          <w:noProof/>
          <w:sz w:val="22"/>
        </w:rPr>
        <w:t xml:space="preserve"> </w:t>
      </w:r>
      <w:r>
        <w:rPr>
          <w:noProof/>
        </w:rPr>
        <w:t xml:space="preserve">Предложението/инициативата е във връзка с </w:t>
      </w:r>
      <w:r>
        <w:rPr>
          <w:b/>
          <w:noProof/>
        </w:rPr>
        <w:t>продължаване на съществуващо действие</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Предложението/инициативата е във връзка </w:t>
      </w:r>
      <w:r>
        <w:rPr>
          <w:b/>
          <w:noProof/>
        </w:rPr>
        <w:t xml:space="preserve">с действие, пренасочено към ново действие </w:t>
      </w:r>
    </w:p>
    <w:p>
      <w:pPr>
        <w:pStyle w:val="ManualHeading2"/>
        <w:rPr>
          <w:bCs/>
          <w:noProof/>
          <w:szCs w:val="24"/>
        </w:rPr>
      </w:pPr>
      <w:r>
        <w:t>1.4.</w:t>
      </w:r>
      <w:r>
        <w:tab/>
      </w:r>
      <w:r>
        <w:rPr>
          <w:noProof/>
        </w:rPr>
        <w:t>Цел(и)</w:t>
      </w:r>
    </w:p>
    <w:p>
      <w:pPr>
        <w:pStyle w:val="ManualHeading3"/>
        <w:rPr>
          <w:noProof/>
        </w:rPr>
      </w:pPr>
      <w:r>
        <w:t>1.4.1.</w:t>
      </w:r>
      <w:r>
        <w:tab/>
      </w:r>
      <w:r>
        <w:rPr>
          <w:noProof/>
        </w:rPr>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0" w:color="auto"/>
          <w:right w:val="single" w:sz="4" w:space="4" w:color="auto"/>
        </w:pBdr>
        <w:rPr>
          <w:noProof/>
        </w:rPr>
      </w:pPr>
      <w:r>
        <w:rPr>
          <w:noProof/>
        </w:rPr>
        <w:t xml:space="preserve">Програмата допринася за постигането на приоритетната цел: увеличение на работните места, растежа и инвестициите. </w:t>
      </w:r>
    </w:p>
    <w:p>
      <w:pPr>
        <w:pStyle w:val="Text1"/>
        <w:pBdr>
          <w:top w:val="single" w:sz="4" w:space="1" w:color="auto"/>
          <w:left w:val="single" w:sz="4" w:space="4" w:color="auto"/>
          <w:bottom w:val="single" w:sz="4" w:space="0" w:color="auto"/>
          <w:right w:val="single" w:sz="4" w:space="4" w:color="auto"/>
        </w:pBdr>
        <w:rPr>
          <w:noProof/>
        </w:rPr>
      </w:pPr>
      <w:r>
        <w:rPr>
          <w:noProof/>
        </w:rPr>
        <w:t>Общата цел на Програмата, съобразно измененията по силата на настоящото предложение, е да допринесе за институционалните, административните и поддържащите растежа структурни реформи в държавите членки, като предоставя подкрепа на националните органи за мерки, насочени към реформирането и укрепването на институциите, управлението, публичната администрация и икономическите и социалните сектори в отговор на икономическите и социалните предизвикателства с цел увеличаване на сближаването, конкурентоспособността, производителността, устойчивия растеж, създаването на работни места и инвестициите, което също така ще ги подготви за участие в еврозоната, в частност в контекста на процедурите за икономическо управление, включително чрез подкрепа за ефикасното, ефективно и прозрачно използване на фондове на Съюза.</w:t>
      </w:r>
    </w:p>
    <w:p>
      <w:pPr>
        <w:pStyle w:val="Text1"/>
        <w:pBdr>
          <w:top w:val="single" w:sz="4" w:space="1" w:color="auto"/>
          <w:left w:val="single" w:sz="4" w:space="4" w:color="auto"/>
          <w:bottom w:val="single" w:sz="4" w:space="0" w:color="auto"/>
          <w:right w:val="single" w:sz="4" w:space="4" w:color="auto"/>
        </w:pBdr>
        <w:rPr>
          <w:noProof/>
        </w:rPr>
      </w:pPr>
      <w:r>
        <w:rPr>
          <w:noProof/>
        </w:rPr>
        <w:t>По-специално, с предложението за изменение Програмата също така ще допринесе за подкрепата на реформи, които могат да помогнат на държавите членки в подготовката им за присъединяване към еврозоната.</w:t>
      </w:r>
    </w:p>
    <w:p>
      <w:pPr>
        <w:pStyle w:val="ManualHeading3"/>
        <w:rPr>
          <w:bCs/>
          <w:noProof/>
          <w:szCs w:val="24"/>
        </w:rPr>
      </w:pPr>
      <w:r>
        <w:t>1.4.2.</w:t>
      </w:r>
      <w:r>
        <w:tab/>
      </w:r>
      <w:r>
        <w:rPr>
          <w:noProof/>
        </w:rPr>
        <w:t xml:space="preserve">Конкретни цели и конкретна цел № [ ] </w:t>
      </w:r>
    </w:p>
    <w:p>
      <w:pPr>
        <w:pStyle w:val="Text1"/>
        <w:pBdr>
          <w:top w:val="single" w:sz="4" w:space="1" w:color="auto"/>
          <w:left w:val="single" w:sz="4" w:space="4" w:color="auto"/>
          <w:bottom w:val="single" w:sz="4" w:space="1" w:color="auto"/>
          <w:right w:val="single" w:sz="4" w:space="4" w:color="auto"/>
        </w:pBdr>
        <w:rPr>
          <w:bCs/>
          <w:noProof/>
          <w:szCs w:val="24"/>
        </w:rPr>
      </w:pPr>
      <w:r>
        <w:rPr>
          <w:noProof/>
        </w:rPr>
        <w:t>Тъй като настоящото предложение представлява изменение на Регламент (ЕС) 2017/825, специфичните цели на предложението са едни и същи с тези, посочени в член 5 от Регламента.</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1.4.3.</w:t>
      </w:r>
      <w:r>
        <w:tab/>
      </w:r>
      <w:r>
        <w:rPr>
          <w:noProof/>
        </w:rPr>
        <w:t>Очаквани резултати и отражение</w:t>
      </w:r>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Очакваните резултати са посочените в Регламент (ЕС) 2017/825, както е отразено в предложението COM(2015)701 final.</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Предложеното изменение се очаква също така да укрепи административния капацитет на държавите членки за реформиране на институциите, администрацията, икономическите и социалните сектори, да насърчи устойчивото сближаване с цел да подпомогне държавите членки в подготовката им за присъединяване към еврозоната.</w:t>
      </w:r>
    </w:p>
    <w:p>
      <w:pPr>
        <w:pStyle w:val="Text1"/>
        <w:pBdr>
          <w:top w:val="single" w:sz="4" w:space="1" w:color="auto"/>
          <w:left w:val="single" w:sz="4" w:space="4" w:color="auto"/>
          <w:bottom w:val="single" w:sz="4" w:space="1" w:color="auto"/>
          <w:right w:val="single" w:sz="4" w:space="4" w:color="auto"/>
        </w:pBdr>
        <w:rPr>
          <w:noProof/>
        </w:rPr>
      </w:pPr>
      <w:r>
        <w:t xml:space="preserve"> </w:t>
      </w:r>
    </w:p>
    <w:p>
      <w:pPr>
        <w:pStyle w:val="ManualHeading3"/>
        <w:rPr>
          <w:bCs/>
          <w:noProof/>
          <w:szCs w:val="24"/>
        </w:rPr>
      </w:pPr>
      <w:r>
        <w:t>1.4.4.</w:t>
      </w:r>
      <w:r>
        <w:tab/>
      </w:r>
      <w:r>
        <w:rPr>
          <w:noProof/>
        </w:rPr>
        <w:t xml:space="preserve">Показатели за резултатите и за отражението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bCs/>
          <w:noProof/>
          <w:szCs w:val="24"/>
        </w:rPr>
      </w:pPr>
      <w:r>
        <w:rPr>
          <w:noProof/>
        </w:rPr>
        <w:t>Тъй като настоящото предложение е изменение на Регламент (ЕС) 2017/825, показатели за мониторинг на резултатите и въздействието ще бъдат посочените в приложението към посочения регламент.</w:t>
      </w:r>
    </w:p>
    <w:p>
      <w:pPr>
        <w:pStyle w:val="ManualHeading3"/>
        <w:rPr>
          <w:noProof/>
        </w:rPr>
      </w:pPr>
      <w:r>
        <w:t>1.4.5.</w:t>
      </w:r>
      <w:r>
        <w:tab/>
      </w:r>
      <w:r>
        <w:rPr>
          <w:noProof/>
        </w:rPr>
        <w:t xml:space="preserve">Нужди, които трябва да бъдат задоволени в краткосрочен или дългосрочен план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Изискванията са посочените в Регламент (ЕС) 2017/825, както е отразено в предложението COM(2015)701 final.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Предложеното изменение се очаква също така да насърчи устойчивото сближаване с цел да подпомогне държавите членки в подготовката им за присъединяване към еврозоната.</w:t>
      </w:r>
    </w:p>
    <w:p>
      <w:pPr>
        <w:pStyle w:val="Text1"/>
        <w:pBdr>
          <w:top w:val="single" w:sz="4" w:space="1" w:color="auto"/>
          <w:left w:val="single" w:sz="4" w:space="4" w:color="auto"/>
          <w:bottom w:val="single" w:sz="4" w:space="1" w:color="auto"/>
          <w:right w:val="single" w:sz="4" w:space="4" w:color="auto"/>
        </w:pBdr>
        <w:rPr>
          <w:noProof/>
        </w:rPr>
      </w:pPr>
      <w:r>
        <w:t xml:space="preserve"> </w:t>
      </w:r>
    </w:p>
    <w:p>
      <w:pPr>
        <w:pStyle w:val="ManualHeading3"/>
        <w:rPr>
          <w:bCs/>
          <w:noProof/>
          <w:szCs w:val="24"/>
        </w:rPr>
      </w:pPr>
      <w:r>
        <w:t>1.4.6.</w:t>
      </w:r>
      <w:r>
        <w:tab/>
      </w:r>
      <w:r>
        <w:rPr>
          <w:noProof/>
        </w:rPr>
        <w:t>Добавена стойност от намесата на Съюза (може да е в резултат от различни фактори, например ползи от координиране, правна сигурност, по-добра ефективност или взаимно допълване). За целите на тази точка „добавена стойност от намесата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Тъй като настоящото предложение представлява изменение на Регламент (ЕС) 2017/825, добавената стойност на програмата е отразена в член 3 от него. </w:t>
      </w:r>
    </w:p>
    <w:p>
      <w:pPr>
        <w:pStyle w:val="Text1"/>
        <w:pBdr>
          <w:top w:val="single" w:sz="4" w:space="1" w:color="auto"/>
          <w:left w:val="single" w:sz="4" w:space="4" w:color="auto"/>
          <w:bottom w:val="single" w:sz="4" w:space="1" w:color="auto"/>
          <w:right w:val="single" w:sz="4" w:space="4" w:color="auto"/>
        </w:pBdr>
      </w:pPr>
      <w:r>
        <w:rPr>
          <w:noProof/>
        </w:rPr>
        <w:t>Освен това Европейският съюз е в по-добра позиция от държавите членки да определя, мобилизира и координира най-добрите налични експертни познания (било то от службите на европейските институции или от други държави или международни организации), за да насърчава обмена на най-добри практики (както и да осигурява последователното им разпространение в целия Съюз) в подкрепа на прилагането на целенасочени реформи за стимулиране на растежа в държавите членки и за подпомагане на държавите извън еврозоната в подготовката им за присъединяване към нея.</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1.4.7.</w:t>
      </w:r>
      <w:r>
        <w:tab/>
      </w:r>
      <w:r>
        <w:rPr>
          <w:noProof/>
        </w:rPr>
        <w:t>Изводи от подобен опит в миналото</w:t>
      </w:r>
    </w:p>
    <w:p>
      <w:pPr>
        <w:pStyle w:val="Text1"/>
        <w:pBdr>
          <w:top w:val="single" w:sz="4" w:space="1" w:color="auto"/>
          <w:left w:val="single" w:sz="4" w:space="4" w:color="auto"/>
          <w:bottom w:val="single" w:sz="4" w:space="0" w:color="auto"/>
          <w:right w:val="single" w:sz="4" w:space="4" w:color="auto"/>
        </w:pBdr>
        <w:rPr>
          <w:noProof/>
        </w:rPr>
      </w:pPr>
      <w:r>
        <w:rPr>
          <w:noProof/>
        </w:rPr>
        <w:t xml:space="preserve">Опитът, придобит при изпълнението на подготвителното действие „Изграждане на капацитет и институционално изграждане в подкрепа на провеждането на икономически реформи“, и по-специално първата година от изпълнението на Програмата за подкрепа на структурните реформи потвърждават полезността на програмата за техническа поддръжка, отворена за всички държави членки и за голям брой области: Държавите членки потвърдиха интереса си да се възползват от експертния опит на Комисията в подкрепа на собствените си реформи или реформите, провеждани в съответствие с препоръките, издадени в рамките на европейския семестър. </w:t>
      </w:r>
    </w:p>
    <w:p>
      <w:pPr>
        <w:pStyle w:val="Text1"/>
        <w:pBdr>
          <w:top w:val="single" w:sz="4" w:space="1" w:color="auto"/>
          <w:left w:val="single" w:sz="4" w:space="4" w:color="auto"/>
          <w:bottom w:val="single" w:sz="4" w:space="0" w:color="auto"/>
          <w:right w:val="single" w:sz="4" w:space="4" w:color="auto"/>
        </w:pBdr>
        <w:rPr>
          <w:noProof/>
        </w:rPr>
      </w:pPr>
      <w:r>
        <w:rPr>
          <w:noProof/>
        </w:rPr>
        <w:t>През 2018 г. почти всички държави членки (24) са представили искане за подкрепа, като както за 2017 г., така и за 2018 г., исканията сериозно превишават заделените бюджетни средства за програмата. Това показва ясно интереса и нуждата от подкрепа в държавите членки, които надхвърлят значително наличните финансови ресурси на програмата.</w:t>
      </w:r>
    </w:p>
    <w:p>
      <w:pPr>
        <w:pStyle w:val="ManualHeading3"/>
        <w:rPr>
          <w:bCs/>
          <w:noProof/>
          <w:szCs w:val="24"/>
        </w:rPr>
      </w:pPr>
      <w:r>
        <w:t>1.4.8.</w:t>
      </w:r>
      <w:r>
        <w:tab/>
      </w:r>
      <w:r>
        <w:rPr>
          <w:noProof/>
        </w:rPr>
        <w:t>Съвместимост и евентуална синергия с други подходящи инструменти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Програмата ще допълва съществуващите ресурси за изграждането на капацитет и техническа подкрепа, осигурявани от други програми за финансиране от Съюза по многогодишната финансова рамка, както и техническа помощ и други действия, финансирани от фондовете на Съюза. </w:t>
      </w:r>
    </w:p>
    <w:p>
      <w:pPr>
        <w:pStyle w:val="ManualHeading2"/>
        <w:rPr>
          <w:bCs/>
          <w:noProof/>
          <w:szCs w:val="24"/>
        </w:rPr>
      </w:pPr>
      <w:r>
        <w:t>1.5.</w:t>
      </w:r>
      <w:r>
        <w:tab/>
      </w:r>
    </w:p>
    <w:p>
      <w:pPr>
        <w:pStyle w:val="ManualHeading2"/>
        <w:rPr>
          <w:bCs/>
          <w:noProof/>
          <w:szCs w:val="24"/>
        </w:rPr>
      </w:pPr>
      <w:r>
        <w:t>1.6.</w:t>
      </w:r>
      <w:r>
        <w:tab/>
      </w:r>
      <w:r>
        <w:rPr>
          <w:noProof/>
        </w:rPr>
        <w:t xml:space="preserve">Срок на действие и финансово отражение </w:t>
      </w:r>
    </w:p>
    <w:p>
      <w:pPr>
        <w:pStyle w:val="Text1"/>
        <w:rPr>
          <w:noProof/>
        </w:rPr>
      </w:pPr>
      <w:r>
        <w:rPr>
          <w:noProof/>
        </w:rPr>
        <w:sym w:font="Wingdings" w:char="F0FC"/>
      </w:r>
      <w:r>
        <w:rPr>
          <w:b/>
          <w:i/>
          <w:noProof/>
        </w:rPr>
        <w:t xml:space="preserve"> </w:t>
      </w:r>
      <w:r>
        <w:rPr>
          <w:noProof/>
        </w:rPr>
        <w:t xml:space="preserve">Предложение/инициатива с </w:t>
      </w:r>
      <w:r>
        <w:rPr>
          <w:b/>
          <w:noProof/>
        </w:rPr>
        <w:t xml:space="preserve">ограничен срок на действие </w:t>
      </w:r>
    </w:p>
    <w:p>
      <w:pPr>
        <w:pStyle w:val="ListDash2"/>
        <w:rPr>
          <w:noProof/>
        </w:rPr>
      </w:pPr>
      <w:r>
        <w:rPr>
          <w:noProof/>
        </w:rPr>
        <w:sym w:font="Wingdings" w:char="F0FC"/>
      </w:r>
      <w:r>
        <w:rPr>
          <w:noProof/>
        </w:rPr>
        <w:tab/>
        <w:t>Предложение/инициатива в сила от 2019 г. до 2020 г.</w:t>
      </w:r>
    </w:p>
    <w:p>
      <w:pPr>
        <w:pStyle w:val="ListDash2"/>
        <w:rPr>
          <w:noProof/>
        </w:rPr>
      </w:pPr>
      <w:r>
        <w:rPr>
          <w:noProof/>
        </w:rPr>
        <w:sym w:font="Wingdings" w:char="F0FC"/>
      </w:r>
      <w:r>
        <w:rPr>
          <w:noProof/>
        </w:rPr>
        <w:tab/>
        <w:t xml:space="preserve">Финансово отражение от 2019 г. до 2020 г. </w:t>
      </w:r>
    </w:p>
    <w:p>
      <w:pPr>
        <w:pStyle w:val="Text1"/>
        <w:rPr>
          <w:noProof/>
        </w:rPr>
      </w:pPr>
      <w:r>
        <w:rPr>
          <w:noProof/>
        </w:rPr>
        <w:sym w:font="Wingdings" w:char="F0A8"/>
      </w:r>
      <w:r>
        <w:rPr>
          <w:b/>
          <w:i/>
          <w:noProof/>
        </w:rPr>
        <w:t xml:space="preserve"> </w:t>
      </w:r>
      <w:r>
        <w:rPr>
          <w:noProof/>
        </w:rPr>
        <w:t xml:space="preserve">Предложение/инициатива с </w:t>
      </w:r>
      <w:r>
        <w:rPr>
          <w:b/>
          <w:noProof/>
        </w:rPr>
        <w:t>неограничен срок на действие</w:t>
      </w:r>
    </w:p>
    <w:p>
      <w:pPr>
        <w:pStyle w:val="ListDash2"/>
        <w:rPr>
          <w:noProof/>
        </w:rPr>
      </w:pPr>
      <w:r>
        <w:rPr>
          <w:noProof/>
        </w:rPr>
        <w:t>Осъществяване със стартов период от ГГГГ до ГГГГ,</w:t>
      </w:r>
    </w:p>
    <w:p>
      <w:pPr>
        <w:pStyle w:val="ListDash2"/>
        <w:rPr>
          <w:noProof/>
        </w:rPr>
      </w:pPr>
      <w:r>
        <w:rPr>
          <w:noProof/>
        </w:rPr>
        <w:t>последван от функциониране с пълен капацитет.</w:t>
      </w:r>
    </w:p>
    <w:p>
      <w:pPr>
        <w:pStyle w:val="ManualHeading2"/>
        <w:rPr>
          <w:bCs/>
          <w:noProof/>
          <w:szCs w:val="24"/>
        </w:rPr>
      </w:pPr>
      <w:r>
        <w:t>1.7.</w:t>
      </w:r>
      <w:r>
        <w:tab/>
      </w:r>
      <w:r>
        <w:rPr>
          <w:noProof/>
        </w:rPr>
        <w:t>Планирани методи на управление</w:t>
      </w:r>
      <w:r>
        <w:rPr>
          <w:rStyle w:val="FootnoteReference"/>
          <w:noProof/>
        </w:rPr>
        <w:footnoteReference w:id="9"/>
      </w:r>
      <w:r>
        <w:rPr>
          <w:rStyle w:val="FootnoteReference"/>
          <w:noProof/>
        </w:rPr>
        <w:t xml:space="preserve"> </w:t>
      </w:r>
    </w:p>
    <w:p>
      <w:pPr>
        <w:pStyle w:val="Text1"/>
        <w:rPr>
          <w:noProof/>
        </w:rPr>
      </w:pPr>
      <w:r>
        <w:rPr>
          <w:noProof/>
        </w:rPr>
        <w:sym w:font="Wingdings" w:char="F0FC"/>
      </w:r>
      <w:r>
        <w:rPr>
          <w:i/>
          <w:noProof/>
        </w:rPr>
        <w:t xml:space="preserve"> </w:t>
      </w:r>
      <w:r>
        <w:rPr>
          <w:b/>
          <w:noProof/>
        </w:rPr>
        <w:t xml:space="preserve">Пряко управление </w:t>
      </w:r>
      <w:r>
        <w:rPr>
          <w:noProof/>
        </w:rPr>
        <w:t>от Комисията</w:t>
      </w:r>
    </w:p>
    <w:p>
      <w:pPr>
        <w:pStyle w:val="ListDash2"/>
        <w:rPr>
          <w:rFonts w:cs="EUAlbertina"/>
          <w:noProof/>
          <w:spacing w:val="-6"/>
        </w:rPr>
      </w:pPr>
      <w:r>
        <w:rPr>
          <w:noProof/>
        </w:rPr>
        <w:sym w:font="Wingdings" w:char="F0FC"/>
      </w:r>
      <w:r>
        <w:rPr>
          <w:noProof/>
        </w:rPr>
        <w:tab/>
      </w:r>
      <w:r>
        <w:rPr>
          <w:noProof/>
          <w:spacing w:val="-6"/>
        </w:rPr>
        <w:t xml:space="preserve">от нейните служби, включително от нейния персонал в делегациите на Съюза; </w:t>
      </w:r>
    </w:p>
    <w:p>
      <w:pPr>
        <w:pStyle w:val="ListDash2"/>
        <w:rPr>
          <w:noProof/>
        </w:rPr>
      </w:pPr>
      <w:r>
        <w:rPr>
          <w:noProof/>
        </w:rPr>
        <w:sym w:font="Wingdings" w:char="F0A8"/>
      </w:r>
      <w:r>
        <w:rPr>
          <w:noProof/>
          <w:lang w:val="it-IT"/>
        </w:rPr>
        <w:tab/>
      </w:r>
      <w:r>
        <w:rPr>
          <w:noProof/>
        </w:rPr>
        <w:t xml:space="preserve">от изпълнителните агенции </w:t>
      </w:r>
    </w:p>
    <w:p>
      <w:pPr>
        <w:pStyle w:val="Text1"/>
        <w:rPr>
          <w:noProof/>
        </w:rPr>
      </w:pPr>
      <w:r>
        <w:rPr>
          <w:noProof/>
        </w:rPr>
        <w:sym w:font="Wingdings" w:char="F0A8"/>
      </w:r>
      <w:r>
        <w:rPr>
          <w:b/>
          <w:i/>
          <w:noProof/>
        </w:rPr>
        <w:t xml:space="preserve"> </w:t>
      </w:r>
      <w:r>
        <w:rPr>
          <w:b/>
          <w:noProof/>
        </w:rPr>
        <w:t xml:space="preserve">Споделено управление </w:t>
      </w:r>
      <w:r>
        <w:rPr>
          <w:noProof/>
        </w:rPr>
        <w:t xml:space="preserve">с държавите членки </w:t>
      </w:r>
    </w:p>
    <w:p>
      <w:pPr>
        <w:pStyle w:val="Text1"/>
        <w:rPr>
          <w:noProof/>
        </w:rPr>
      </w:pPr>
      <w:r>
        <w:rPr>
          <w:noProof/>
        </w:rPr>
        <w:sym w:font="Wingdings" w:char="F0FC"/>
      </w:r>
      <w:r>
        <w:rPr>
          <w:i/>
          <w:noProof/>
        </w:rPr>
        <w:t xml:space="preserve"> </w:t>
      </w:r>
      <w:r>
        <w:rPr>
          <w:b/>
          <w:noProof/>
        </w:rPr>
        <w:t xml:space="preserve">Непряко управление </w:t>
      </w:r>
      <w:r>
        <w:rPr>
          <w:noProof/>
        </w:rPr>
        <w:t>чрез делегиране на задачи по изпълнението на бюджета на:</w:t>
      </w:r>
    </w:p>
    <w:p>
      <w:pPr>
        <w:pStyle w:val="ListDash2"/>
        <w:rPr>
          <w:noProof/>
        </w:rPr>
      </w:pPr>
      <w:r>
        <w:rPr>
          <w:noProof/>
        </w:rPr>
        <w:sym w:font="Wingdings" w:char="F0A8"/>
      </w:r>
      <w:r>
        <w:rPr>
          <w:noProof/>
        </w:rPr>
        <w:tab/>
        <w:t>трети държави или органите, определени от тях;</w:t>
      </w:r>
    </w:p>
    <w:p>
      <w:pPr>
        <w:pStyle w:val="ListDash2"/>
        <w:rPr>
          <w:noProof/>
        </w:rPr>
      </w:pPr>
      <w:r>
        <w:rPr>
          <w:noProof/>
        </w:rPr>
        <w:sym w:font="Wingdings" w:char="F0FC"/>
      </w:r>
      <w:r>
        <w:rPr>
          <w:noProof/>
        </w:rPr>
        <w:tab/>
        <w:t>международни организации и техните агенции (да се уточни);</w:t>
      </w:r>
    </w:p>
    <w:p>
      <w:pPr>
        <w:pStyle w:val="ListDash2"/>
        <w:rPr>
          <w:noProof/>
        </w:rPr>
      </w:pPr>
      <w:r>
        <w:rPr>
          <w:noProof/>
        </w:rPr>
        <w:sym w:font="Wingdings" w:char="F0FC"/>
      </w:r>
      <w:r>
        <w:rPr>
          <w:noProof/>
        </w:rPr>
        <w:tab/>
        <w:t>ЕИБ и Европейския инвестиционен фонд;</w:t>
      </w:r>
    </w:p>
    <w:p>
      <w:pPr>
        <w:pStyle w:val="ListDash2"/>
        <w:rPr>
          <w:noProof/>
        </w:rPr>
      </w:pPr>
      <w:r>
        <w:rPr>
          <w:noProof/>
        </w:rPr>
        <w:sym w:font="Wingdings" w:char="F0A8"/>
      </w:r>
      <w:r>
        <w:rPr>
          <w:noProof/>
        </w:rPr>
        <w:tab/>
        <w:t>органите, посочени в членове 208 и 209 от Финансовия регламент;</w:t>
      </w:r>
    </w:p>
    <w:p>
      <w:pPr>
        <w:pStyle w:val="ListDash2"/>
        <w:rPr>
          <w:noProof/>
        </w:rPr>
      </w:pPr>
      <w:r>
        <w:rPr>
          <w:noProof/>
        </w:rPr>
        <w:sym w:font="Wingdings" w:char="F0FC"/>
      </w:r>
      <w:r>
        <w:rPr>
          <w:noProof/>
        </w:rPr>
        <w:tab/>
        <w:t>публичноправни организации;</w:t>
      </w:r>
    </w:p>
    <w:p>
      <w:pPr>
        <w:pStyle w:val="ListDash2"/>
        <w:rPr>
          <w:noProof/>
        </w:rPr>
      </w:pPr>
      <w:r>
        <w:rPr>
          <w:noProof/>
        </w:rPr>
        <w:sym w:font="Wingdings" w:char="F0FC"/>
      </w:r>
      <w:r>
        <w:rPr>
          <w:noProof/>
        </w:rPr>
        <w:tab/>
        <w:t>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FC"/>
      </w:r>
      <w:r>
        <w:rPr>
          <w:noProof/>
        </w:rPr>
        <w:tab/>
        <w:t>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ab/>
        <w:t>лица, на които е възложено изпълнението на специфични действия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r>
        <w:rPr>
          <w:noProof/>
        </w:rPr>
        <w:t xml:space="preserve">Това е в съответствие с настоящите разпоредби на изменяния регламент. </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МЕРКИ ЗА УПРАВЛЕНИЕ </w:t>
      </w:r>
    </w:p>
    <w:p>
      <w:pPr>
        <w:pStyle w:val="ManualHeading2"/>
        <w:rPr>
          <w:noProof/>
        </w:rPr>
      </w:pPr>
      <w:r>
        <w:t>2.1.</w:t>
      </w:r>
      <w:r>
        <w:tab/>
      </w:r>
      <w:r>
        <w:rPr>
          <w:noProof/>
        </w:rPr>
        <w:t xml:space="preserve">Правила за мониторинг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Правилата за мониторинг и докладване са от изменения Регламент (ЕС) 2017/825.</w:t>
      </w:r>
    </w:p>
    <w:p>
      <w:pPr>
        <w:pStyle w:val="ManualHeading2"/>
        <w:rPr>
          <w:bCs/>
          <w:noProof/>
          <w:szCs w:val="24"/>
        </w:rPr>
      </w:pPr>
      <w:r>
        <w:t>2.2.</w:t>
      </w:r>
      <w:r>
        <w:tab/>
      </w:r>
      <w:r>
        <w:rPr>
          <w:noProof/>
        </w:rPr>
        <w:t xml:space="preserve">Система за управление и контрол </w:t>
      </w:r>
    </w:p>
    <w:p>
      <w:pPr>
        <w:pStyle w:val="ManualHeading3"/>
        <w:rPr>
          <w:noProof/>
        </w:rPr>
      </w:pPr>
      <w:r>
        <w:t>2.2.1.</w:t>
      </w:r>
      <w:r>
        <w:tab/>
      </w:r>
      <w:r>
        <w:rPr>
          <w:noProof/>
        </w:rPr>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Установените рискове са залегналите в предложението за приемане на Регламент (ЕС) 2017/825, т.е. COM(2015) 701 final.</w:t>
      </w:r>
    </w:p>
    <w:p>
      <w:pPr>
        <w:pStyle w:val="ManualHeading3"/>
        <w:rPr>
          <w:bCs/>
          <w:noProof/>
          <w:szCs w:val="24"/>
        </w:rPr>
      </w:pPr>
      <w:r>
        <w:t>2.2.2.</w:t>
      </w:r>
      <w:r>
        <w:tab/>
      </w:r>
      <w:r>
        <w:rPr>
          <w:noProof/>
        </w:rPr>
        <w:t>Информация за изградената система за вътрешен контрол</w:t>
      </w:r>
    </w:p>
    <w:p>
      <w:pPr>
        <w:pStyle w:val="Text1"/>
        <w:pBdr>
          <w:top w:val="single" w:sz="4" w:space="1" w:color="auto"/>
          <w:left w:val="single" w:sz="4" w:space="4" w:color="auto"/>
          <w:bottom w:val="single" w:sz="4" w:space="1" w:color="auto"/>
          <w:right w:val="single" w:sz="4" w:space="4" w:color="auto"/>
        </w:pBdr>
        <w:rPr>
          <w:noProof/>
        </w:rPr>
      </w:pPr>
      <w:r>
        <w:rPr>
          <w:noProof/>
        </w:rPr>
        <w:t>Както е посочено по-горе, вж. финансовата обосновка, придружаваща COM(2015)701 final.</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noProof/>
        </w:rPr>
      </w:pPr>
      <w:r>
        <w:t>2.2.3.</w:t>
      </w:r>
      <w:r>
        <w:tab/>
      </w:r>
      <w:r>
        <w:rPr>
          <w:noProof/>
        </w:rPr>
        <w:t xml:space="preserve">Оценка на разходите и ползите от проверките и на очаквания риск от грешка </w:t>
      </w:r>
    </w:p>
    <w:p>
      <w:pPr>
        <w:pStyle w:val="Text1"/>
        <w:pBdr>
          <w:top w:val="single" w:sz="4" w:space="1" w:color="auto"/>
          <w:left w:val="single" w:sz="4" w:space="4" w:color="auto"/>
          <w:bottom w:val="single" w:sz="4" w:space="1" w:color="auto"/>
          <w:right w:val="single" w:sz="4" w:space="4" w:color="auto"/>
        </w:pBdr>
        <w:rPr>
          <w:noProof/>
        </w:rPr>
      </w:pPr>
      <w:r>
        <w:rPr>
          <w:noProof/>
        </w:rPr>
        <w:t>Както е посочено по-горе, вж. финансовата обосновка, придружаваща COM(2015)701 final.</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t>2.3.</w:t>
      </w:r>
      <w:r>
        <w:tab/>
      </w:r>
      <w:r>
        <w:rPr>
          <w:noProof/>
        </w:rPr>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pPr>
      <w:r>
        <w:rPr>
          <w:noProof/>
        </w:rPr>
        <w:t>Както е посочено по-горе, вж. финансовата обосновка, придружаваща COM(2015)701 final.</w:t>
      </w:r>
    </w:p>
    <w:p>
      <w:pPr>
        <w:pStyle w:val="Text1"/>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ОЧАКВАНО ФИНАНСОВО ОТРАЖЕНИЕ НА ПРЕДЛОЖЕНИЕТО/ ИНИЦИАТИВАТА </w:t>
      </w:r>
    </w:p>
    <w:p>
      <w:pPr>
        <w:pStyle w:val="ManualHeading2"/>
        <w:rPr>
          <w:noProof/>
        </w:rPr>
      </w:pPr>
      <w:r>
        <w:t>3.1.</w:t>
      </w:r>
      <w:r>
        <w:tab/>
      </w:r>
      <w:r>
        <w:rPr>
          <w:noProof/>
        </w:rPr>
        <w:t xml:space="preserve">Съответни функции от многогодишната финансова рамка и разходни бюджетни редове </w:t>
      </w:r>
    </w:p>
    <w:p>
      <w:pPr>
        <w:pStyle w:val="ListBullet1"/>
        <w:rPr>
          <w:noProof/>
        </w:rPr>
      </w:pPr>
      <w:r>
        <w:rPr>
          <w:noProof/>
        </w:rPr>
        <w:t xml:space="preserve">Съществуващи бюджетни редове </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16"/>
        <w:gridCol w:w="1224"/>
        <w:gridCol w:w="956"/>
        <w:gridCol w:w="1080"/>
        <w:gridCol w:w="956"/>
        <w:gridCol w:w="1448"/>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816" w:type="dxa"/>
            <w:vAlign w:val="center"/>
          </w:tcPr>
          <w:p>
            <w:pPr>
              <w:spacing w:before="60" w:after="60"/>
              <w:jc w:val="center"/>
              <w:rPr>
                <w:noProof/>
              </w:rPr>
            </w:pPr>
            <w:r>
              <w:rPr>
                <w:noProof/>
                <w:sz w:val="20"/>
              </w:rPr>
              <w:t>Бюджетен ред</w:t>
            </w:r>
          </w:p>
        </w:tc>
        <w:tc>
          <w:tcPr>
            <w:tcW w:w="1224" w:type="dxa"/>
            <w:vAlign w:val="center"/>
          </w:tcPr>
          <w:p>
            <w:pPr>
              <w:spacing w:before="60" w:after="60"/>
              <w:jc w:val="center"/>
              <w:rPr>
                <w:noProof/>
              </w:rPr>
            </w:pPr>
            <w:r>
              <w:rPr>
                <w:noProof/>
                <w:sz w:val="18"/>
              </w:rPr>
              <w:t>Вид наразхода</w:t>
            </w:r>
          </w:p>
        </w:tc>
        <w:tc>
          <w:tcPr>
            <w:tcW w:w="4440"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jc w:val="center"/>
              <w:rPr>
                <w:noProof/>
              </w:rPr>
            </w:pPr>
          </w:p>
        </w:tc>
        <w:tc>
          <w:tcPr>
            <w:tcW w:w="3816" w:type="dxa"/>
            <w:vAlign w:val="center"/>
          </w:tcPr>
          <w:p>
            <w:pPr>
              <w:rPr>
                <w:noProof/>
              </w:rPr>
            </w:pPr>
            <w:r>
              <w:rPr>
                <w:noProof/>
              </w:rPr>
              <w:t xml:space="preserve">1б </w:t>
            </w:r>
            <w:r>
              <w:rPr>
                <w:b/>
                <w:noProof/>
                <w:sz w:val="20"/>
              </w:rPr>
              <w:t>Икономическо, социално и териториално сближаване</w:t>
            </w:r>
          </w:p>
        </w:tc>
        <w:tc>
          <w:tcPr>
            <w:tcW w:w="1224" w:type="dxa"/>
            <w:vAlign w:val="center"/>
          </w:tcPr>
          <w:p>
            <w:pPr>
              <w:jc w:val="center"/>
              <w:rPr>
                <w:noProof/>
              </w:rPr>
            </w:pPr>
            <w:r>
              <w:rPr>
                <w:noProof/>
                <w:sz w:val="18"/>
              </w:rPr>
              <w:t>Многогод./</w:t>
            </w:r>
            <w:r>
              <w:rPr>
                <w:noProof/>
                <w:sz w:val="18"/>
                <w:lang w:val="it-IT"/>
              </w:rPr>
              <w:br/>
            </w:r>
            <w:r>
              <w:rPr>
                <w:noProof/>
                <w:sz w:val="18"/>
              </w:rPr>
              <w:t>едногод.</w:t>
            </w:r>
            <w:r>
              <w:rPr>
                <w:rStyle w:val="FootnoteReference"/>
                <w:noProof/>
                <w:sz w:val="18"/>
              </w:rPr>
              <w:footnoteReference w:id="10"/>
            </w:r>
          </w:p>
        </w:tc>
        <w:tc>
          <w:tcPr>
            <w:tcW w:w="956" w:type="dxa"/>
            <w:vAlign w:val="center"/>
          </w:tcPr>
          <w:p>
            <w:pPr>
              <w:jc w:val="center"/>
              <w:rPr>
                <w:noProof/>
              </w:rPr>
            </w:pPr>
            <w:r>
              <w:rPr>
                <w:noProof/>
                <w:sz w:val="18"/>
              </w:rPr>
              <w:t>от държави от ЕАСТ</w:t>
            </w:r>
            <w:r>
              <w:rPr>
                <w:rStyle w:val="FootnoteReference"/>
                <w:noProof/>
                <w:sz w:val="18"/>
              </w:rPr>
              <w:footnoteReference w:id="11"/>
            </w:r>
          </w:p>
          <w:p>
            <w:pPr>
              <w:spacing w:before="0" w:after="0"/>
              <w:jc w:val="center"/>
              <w:rPr>
                <w:b/>
                <w:noProof/>
                <w:sz w:val="18"/>
              </w:rPr>
            </w:pPr>
          </w:p>
        </w:tc>
        <w:tc>
          <w:tcPr>
            <w:tcW w:w="1080" w:type="dxa"/>
            <w:vAlign w:val="center"/>
          </w:tcPr>
          <w:p>
            <w:pPr>
              <w:jc w:val="center"/>
              <w:rPr>
                <w:noProof/>
              </w:rPr>
            </w:pPr>
            <w:r>
              <w:rPr>
                <w:noProof/>
                <w:sz w:val="18"/>
              </w:rPr>
              <w:t>от държави кандидатки</w:t>
            </w:r>
            <w:r>
              <w:rPr>
                <w:rStyle w:val="FootnoteReference"/>
                <w:noProof/>
                <w:sz w:val="18"/>
              </w:rPr>
              <w:footnoteReference w:id="12"/>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r>
              <w:rPr>
                <w:noProof/>
                <w:color w:val="0000FF"/>
              </w:rPr>
              <w:t>1.б</w:t>
            </w:r>
          </w:p>
        </w:tc>
        <w:tc>
          <w:tcPr>
            <w:tcW w:w="3816" w:type="dxa"/>
            <w:vAlign w:val="center"/>
          </w:tcPr>
          <w:p>
            <w:pPr>
              <w:jc w:val="center"/>
              <w:rPr>
                <w:noProof/>
              </w:rPr>
            </w:pPr>
            <w:r>
              <w:rPr>
                <w:noProof/>
              </w:rPr>
              <w:t>13.08.01</w:t>
            </w:r>
          </w:p>
          <w:p>
            <w:pPr>
              <w:rPr>
                <w:noProof/>
              </w:rPr>
            </w:pPr>
          </w:p>
        </w:tc>
        <w:tc>
          <w:tcPr>
            <w:tcW w:w="1224" w:type="dxa"/>
            <w:vAlign w:val="center"/>
          </w:tcPr>
          <w:p>
            <w:pPr>
              <w:jc w:val="center"/>
              <w:rPr>
                <w:noProof/>
                <w:sz w:val="22"/>
              </w:rPr>
            </w:pPr>
            <w:r>
              <w:rPr>
                <w:noProof/>
                <w:sz w:val="22"/>
              </w:rPr>
              <w:t>Многогод.</w:t>
            </w:r>
          </w:p>
        </w:tc>
        <w:tc>
          <w:tcPr>
            <w:tcW w:w="956" w:type="dxa"/>
            <w:vAlign w:val="center"/>
          </w:tcPr>
          <w:p>
            <w:pPr>
              <w:jc w:val="center"/>
              <w:rPr>
                <w:noProof/>
                <w:sz w:val="22"/>
              </w:rPr>
            </w:pPr>
            <w:r>
              <w:rPr>
                <w:noProof/>
                <w:sz w:val="22"/>
              </w:rPr>
              <w:t>ДА</w:t>
            </w:r>
          </w:p>
        </w:tc>
        <w:tc>
          <w:tcPr>
            <w:tcW w:w="1080" w:type="dxa"/>
            <w:vAlign w:val="center"/>
          </w:tcPr>
          <w:p>
            <w:pPr>
              <w:jc w:val="center"/>
              <w:rPr>
                <w:noProof/>
                <w:sz w:val="22"/>
              </w:rPr>
            </w:pPr>
            <w:r>
              <w:rPr>
                <w:noProof/>
                <w:sz w:val="22"/>
              </w:rPr>
              <w:t>НЕ</w:t>
            </w:r>
          </w:p>
        </w:tc>
        <w:tc>
          <w:tcPr>
            <w:tcW w:w="956" w:type="dxa"/>
            <w:vAlign w:val="center"/>
          </w:tcPr>
          <w:p>
            <w:pPr>
              <w:jc w:val="center"/>
              <w:rPr>
                <w:noProof/>
                <w:sz w:val="22"/>
              </w:rPr>
            </w:pPr>
            <w:r>
              <w:rPr>
                <w:noProof/>
                <w:sz w:val="22"/>
              </w:rPr>
              <w:t xml:space="preserve">НЕ </w:t>
            </w:r>
          </w:p>
        </w:tc>
        <w:tc>
          <w:tcPr>
            <w:tcW w:w="1448" w:type="dxa"/>
            <w:vAlign w:val="center"/>
          </w:tcPr>
          <w:p>
            <w:pPr>
              <w:jc w:val="center"/>
              <w:rPr>
                <w:noProof/>
                <w:sz w:val="22"/>
              </w:rPr>
            </w:pPr>
            <w:r>
              <w:rPr>
                <w:noProof/>
                <w:sz w:val="22"/>
              </w:rPr>
              <w:t>НЕ</w:t>
            </w:r>
          </w:p>
        </w:tc>
      </w:tr>
    </w:tbl>
    <w:p>
      <w:pPr>
        <w:pStyle w:val="ListBullet1"/>
        <w:rPr>
          <w:noProof/>
        </w:rPr>
      </w:pPr>
      <w:r>
        <w:rPr>
          <w:noProof/>
        </w:rPr>
        <w:t xml:space="preserve">Поискани нови бюджетни редове </w:t>
      </w:r>
    </w:p>
    <w:p>
      <w:pPr>
        <w:pStyle w:val="Text1"/>
        <w:rPr>
          <w:i/>
          <w:noProof/>
          <w:sz w:val="20"/>
        </w:rPr>
      </w:pPr>
      <w:r>
        <w:rPr>
          <w:i/>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16"/>
        <w:gridCol w:w="1224"/>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816" w:type="dxa"/>
            <w:vAlign w:val="center"/>
          </w:tcPr>
          <w:p>
            <w:pPr>
              <w:spacing w:before="60" w:after="60"/>
              <w:jc w:val="center"/>
              <w:rPr>
                <w:noProof/>
              </w:rPr>
            </w:pPr>
            <w:r>
              <w:rPr>
                <w:noProof/>
                <w:sz w:val="20"/>
              </w:rPr>
              <w:t>Бюджетен ред</w:t>
            </w:r>
          </w:p>
        </w:tc>
        <w:tc>
          <w:tcPr>
            <w:tcW w:w="1224" w:type="dxa"/>
            <w:vAlign w:val="center"/>
          </w:tcPr>
          <w:p>
            <w:pPr>
              <w:spacing w:before="60" w:after="60"/>
              <w:jc w:val="center"/>
              <w:rPr>
                <w:noProof/>
              </w:rPr>
            </w:pPr>
            <w:r>
              <w:rPr>
                <w:noProof/>
                <w:sz w:val="18"/>
              </w:rPr>
              <w:t>Вид наразхода</w:t>
            </w:r>
          </w:p>
        </w:tc>
        <w:tc>
          <w:tcPr>
            <w:tcW w:w="4440"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jc w:val="center"/>
              <w:rPr>
                <w:noProof/>
              </w:rPr>
            </w:pPr>
          </w:p>
        </w:tc>
        <w:tc>
          <w:tcPr>
            <w:tcW w:w="3816" w:type="dxa"/>
            <w:vAlign w:val="center"/>
          </w:tcPr>
          <w:p>
            <w:pPr>
              <w:rPr>
                <w:noProof/>
              </w:rPr>
            </w:pPr>
            <w:r>
              <w:rPr>
                <w:noProof/>
                <w:sz w:val="20"/>
              </w:rPr>
              <w:t>Номер</w:t>
            </w:r>
            <w:r>
              <w:rPr>
                <w:noProof/>
                <w:sz w:val="22"/>
              </w:rPr>
              <w:br/>
            </w:r>
            <w:r>
              <w:rPr>
                <w:noProof/>
                <w:sz w:val="20"/>
              </w:rPr>
              <w:t>[Функция………………………………………]</w:t>
            </w:r>
          </w:p>
        </w:tc>
        <w:tc>
          <w:tcPr>
            <w:tcW w:w="1224" w:type="dxa"/>
            <w:vAlign w:val="center"/>
          </w:tcPr>
          <w:p>
            <w:pPr>
              <w:jc w:val="center"/>
              <w:rPr>
                <w:noProof/>
              </w:rPr>
            </w:pPr>
            <w:r>
              <w:rPr>
                <w:noProof/>
                <w:sz w:val="18"/>
              </w:rPr>
              <w:t>Многогод./</w:t>
            </w:r>
            <w:r>
              <w:rPr>
                <w:noProof/>
                <w:sz w:val="18"/>
                <w:lang w:val="it-IT"/>
              </w:rPr>
              <w:br/>
            </w:r>
            <w:r>
              <w:rPr>
                <w:noProof/>
                <w:sz w:val="18"/>
              </w:rPr>
              <w:t>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p>
        </w:tc>
        <w:tc>
          <w:tcPr>
            <w:tcW w:w="3816" w:type="dxa"/>
            <w:vAlign w:val="center"/>
          </w:tcPr>
          <w:p>
            <w:pPr>
              <w:spacing w:before="60"/>
              <w:rPr>
                <w:noProof/>
              </w:rPr>
            </w:pPr>
            <w:r>
              <w:rPr>
                <w:noProof/>
                <w:sz w:val="22"/>
              </w:rPr>
              <w:t>[XX.YY.YY.YY]</w:t>
            </w:r>
          </w:p>
          <w:p>
            <w:pPr>
              <w:spacing w:after="60"/>
              <w:rPr>
                <w:noProof/>
                <w:color w:val="0000FF"/>
              </w:rPr>
            </w:pPr>
          </w:p>
        </w:tc>
        <w:tc>
          <w:tcPr>
            <w:tcW w:w="1224" w:type="dxa"/>
            <w:vAlign w:val="center"/>
          </w:tcPr>
          <w:p>
            <w:pPr>
              <w:jc w:val="center"/>
              <w:rPr>
                <w:noProof/>
                <w:color w:val="0000FF"/>
              </w:rPr>
            </w:pPr>
          </w:p>
        </w:tc>
        <w:tc>
          <w:tcPr>
            <w:tcW w:w="956" w:type="dxa"/>
            <w:vAlign w:val="center"/>
          </w:tcPr>
          <w:p>
            <w:pPr>
              <w:jc w:val="center"/>
              <w:rPr>
                <w:noProof/>
              </w:rPr>
            </w:pPr>
            <w:r>
              <w:rPr>
                <w:noProof/>
                <w:sz w:val="22"/>
              </w:rPr>
              <w:t>ДА/НЕ</w:t>
            </w:r>
          </w:p>
        </w:tc>
        <w:tc>
          <w:tcPr>
            <w:tcW w:w="1080" w:type="dxa"/>
            <w:vAlign w:val="center"/>
          </w:tcPr>
          <w:p>
            <w:pPr>
              <w:jc w:val="center"/>
              <w:rPr>
                <w:noProof/>
                <w:color w:val="0000FF"/>
                <w:sz w:val="18"/>
              </w:rPr>
            </w:pPr>
            <w:r>
              <w:rPr>
                <w:noProof/>
                <w:sz w:val="22"/>
              </w:rPr>
              <w:t>ДА/НЕ</w:t>
            </w:r>
          </w:p>
        </w:tc>
        <w:tc>
          <w:tcPr>
            <w:tcW w:w="956" w:type="dxa"/>
            <w:vAlign w:val="center"/>
          </w:tcPr>
          <w:p>
            <w:pPr>
              <w:jc w:val="center"/>
              <w:rPr>
                <w:noProof/>
                <w:color w:val="0000FF"/>
                <w:sz w:val="18"/>
              </w:rPr>
            </w:pPr>
            <w:r>
              <w:rPr>
                <w:noProof/>
                <w:sz w:val="22"/>
              </w:rPr>
              <w:t>ДА/НЕ</w:t>
            </w:r>
          </w:p>
        </w:tc>
        <w:tc>
          <w:tcPr>
            <w:tcW w:w="1448" w:type="dxa"/>
            <w:vAlign w:val="center"/>
          </w:tcPr>
          <w:p>
            <w:pPr>
              <w:jc w:val="center"/>
              <w:rPr>
                <w:noProof/>
              </w:rPr>
            </w:pPr>
            <w:r>
              <w:rPr>
                <w:noProof/>
                <w:sz w:val="22"/>
              </w:rPr>
              <w:t>ДА/НЕ</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Очаквано отражение върху разходите </w:t>
      </w:r>
    </w:p>
    <w:p>
      <w:pPr>
        <w:pStyle w:val="ManualHeading3"/>
        <w:rPr>
          <w:noProof/>
          <w:u w:val="single"/>
        </w:rPr>
      </w:pPr>
      <w:r>
        <w:t>3.2.1.</w:t>
      </w:r>
      <w:r>
        <w:tab/>
      </w:r>
      <w:r>
        <w:rPr>
          <w:noProof/>
        </w:rPr>
        <w:t xml:space="preserve">Обобщение на очакваното отражение върху разходите </w:t>
      </w:r>
    </w:p>
    <w:p>
      <w:pPr>
        <w:jc w:val="right"/>
        <w:rPr>
          <w:noProof/>
          <w:sz w:val="20"/>
        </w:rPr>
      </w:pPr>
      <w:r>
        <w:rPr>
          <w:noProof/>
          <w:sz w:val="20"/>
        </w:rPr>
        <w:t>В млн. евро (до третия знак след десетичната запетая)</w:t>
      </w:r>
    </w:p>
    <w:tbl>
      <w:tblPr>
        <w:tblW w:w="13380" w:type="dxa"/>
        <w:tblInd w:w="93" w:type="dxa"/>
        <w:tblLook w:val="04A0" w:firstRow="1" w:lastRow="0" w:firstColumn="1" w:lastColumn="0" w:noHBand="0" w:noVBand="1"/>
      </w:tblPr>
      <w:tblGrid>
        <w:gridCol w:w="3336"/>
        <w:gridCol w:w="1976"/>
        <w:gridCol w:w="1238"/>
        <w:gridCol w:w="957"/>
        <w:gridCol w:w="959"/>
        <w:gridCol w:w="957"/>
        <w:gridCol w:w="966"/>
        <w:gridCol w:w="966"/>
        <w:gridCol w:w="1059"/>
        <w:gridCol w:w="966"/>
      </w:tblGrid>
      <w:tr>
        <w:trPr>
          <w:trHeight w:val="315"/>
        </w:trPr>
        <w:tc>
          <w:tcPr>
            <w:tcW w:w="7507" w:type="dxa"/>
            <w:gridSpan w:val="4"/>
            <w:tcBorders>
              <w:top w:val="single" w:sz="8" w:space="0" w:color="auto"/>
              <w:left w:val="single" w:sz="8" w:space="0" w:color="auto"/>
              <w:bottom w:val="nil"/>
              <w:right w:val="single" w:sz="8" w:space="0" w:color="000000"/>
            </w:tcBorders>
            <w:shd w:val="thinDiagStripe" w:color="C0C0C0" w:fill="F1F1F1"/>
            <w:vAlign w:val="center"/>
            <w:hideMark/>
          </w:tcPr>
          <w:p>
            <w:pPr>
              <w:spacing w:before="0" w:after="0"/>
              <w:jc w:val="center"/>
              <w:rPr>
                <w:b/>
                <w:bCs/>
                <w:noProof/>
                <w:color w:val="000000"/>
                <w:szCs w:val="24"/>
              </w:rPr>
            </w:pPr>
            <w:r>
              <w:rPr>
                <w:b/>
                <w:noProof/>
                <w:color w:val="000000"/>
              </w:rPr>
              <w:t xml:space="preserve">Функция от многогодишната финансова </w:t>
            </w:r>
          </w:p>
        </w:tc>
        <w:tc>
          <w:tcPr>
            <w:tcW w:w="9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pPr>
              <w:spacing w:before="0" w:after="0"/>
              <w:jc w:val="center"/>
              <w:rPr>
                <w:noProof/>
                <w:color w:val="000000"/>
                <w:sz w:val="22"/>
              </w:rPr>
            </w:pPr>
            <w:r>
              <w:rPr>
                <w:noProof/>
                <w:color w:val="000000"/>
                <w:sz w:val="22"/>
              </w:rPr>
              <w:t>1б</w:t>
            </w:r>
          </w:p>
        </w:tc>
        <w:tc>
          <w:tcPr>
            <w:tcW w:w="4914"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pPr>
              <w:spacing w:before="0" w:after="0"/>
              <w:jc w:val="center"/>
              <w:rPr>
                <w:b/>
                <w:bCs/>
                <w:noProof/>
                <w:color w:val="000000"/>
                <w:sz w:val="20"/>
                <w:szCs w:val="20"/>
              </w:rPr>
            </w:pPr>
            <w:r>
              <w:rPr>
                <w:b/>
                <w:noProof/>
                <w:color w:val="000000"/>
                <w:sz w:val="20"/>
              </w:rPr>
              <w:t>Икономическо, социално и териториално сближаване/устойчив растеж: природни ресурси</w:t>
            </w:r>
          </w:p>
        </w:tc>
      </w:tr>
      <w:tr>
        <w:trPr>
          <w:trHeight w:val="330"/>
        </w:trPr>
        <w:tc>
          <w:tcPr>
            <w:tcW w:w="7507" w:type="dxa"/>
            <w:gridSpan w:val="4"/>
            <w:tcBorders>
              <w:top w:val="nil"/>
              <w:left w:val="single" w:sz="8" w:space="0" w:color="auto"/>
              <w:bottom w:val="single" w:sz="8" w:space="0" w:color="auto"/>
              <w:right w:val="single" w:sz="8" w:space="0" w:color="000000"/>
            </w:tcBorders>
            <w:shd w:val="thinDiagStripe" w:color="C0C0C0" w:fill="F1F1F1"/>
            <w:vAlign w:val="center"/>
            <w:hideMark/>
          </w:tcPr>
          <w:p>
            <w:pPr>
              <w:spacing w:before="0" w:after="0"/>
              <w:jc w:val="center"/>
              <w:rPr>
                <w:b/>
                <w:bCs/>
                <w:noProof/>
                <w:color w:val="000000"/>
                <w:szCs w:val="24"/>
              </w:rPr>
            </w:pPr>
            <w:r>
              <w:rPr>
                <w:b/>
                <w:noProof/>
                <w:color w:val="000000"/>
              </w:rPr>
              <w:t xml:space="preserve">рамка </w:t>
            </w:r>
          </w:p>
        </w:tc>
        <w:tc>
          <w:tcPr>
            <w:tcW w:w="959" w:type="dxa"/>
            <w:vMerge/>
            <w:tcBorders>
              <w:top w:val="single" w:sz="8" w:space="0" w:color="auto"/>
              <w:left w:val="single" w:sz="8" w:space="0" w:color="auto"/>
              <w:bottom w:val="single" w:sz="8" w:space="0" w:color="000000"/>
              <w:right w:val="single" w:sz="8" w:space="0" w:color="auto"/>
            </w:tcBorders>
            <w:vAlign w:val="center"/>
            <w:hideMark/>
          </w:tcPr>
          <w:p>
            <w:pPr>
              <w:spacing w:before="0" w:after="0"/>
              <w:jc w:val="left"/>
              <w:rPr>
                <w:noProof/>
                <w:color w:val="000000"/>
                <w:sz w:val="22"/>
              </w:rPr>
            </w:pPr>
          </w:p>
        </w:tc>
        <w:tc>
          <w:tcPr>
            <w:tcW w:w="4914" w:type="dxa"/>
            <w:gridSpan w:val="5"/>
            <w:vMerge/>
            <w:tcBorders>
              <w:top w:val="single" w:sz="8" w:space="0" w:color="auto"/>
              <w:left w:val="single" w:sz="8" w:space="0" w:color="auto"/>
              <w:bottom w:val="single" w:sz="8" w:space="0" w:color="000000"/>
              <w:right w:val="single" w:sz="8" w:space="0" w:color="000000"/>
            </w:tcBorders>
            <w:vAlign w:val="center"/>
            <w:hideMark/>
          </w:tcPr>
          <w:p>
            <w:pPr>
              <w:spacing w:before="0" w:after="0"/>
              <w:jc w:val="left"/>
              <w:rPr>
                <w:b/>
                <w:bCs/>
                <w:noProof/>
                <w:color w:val="000000"/>
                <w:sz w:val="20"/>
                <w:szCs w:val="20"/>
              </w:rPr>
            </w:pPr>
          </w:p>
        </w:tc>
      </w:tr>
      <w:tr>
        <w:trPr>
          <w:trHeight w:val="300"/>
        </w:trPr>
        <w:tc>
          <w:tcPr>
            <w:tcW w:w="5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pPr>
              <w:spacing w:before="0" w:after="0"/>
              <w:jc w:val="center"/>
              <w:rPr>
                <w:noProof/>
                <w:color w:val="000000"/>
                <w:sz w:val="22"/>
              </w:rPr>
            </w:pPr>
            <w:r>
              <w:rPr>
                <w:noProof/>
                <w:color w:val="000000"/>
                <w:sz w:val="22"/>
              </w:rPr>
              <w:t xml:space="preserve">DG:SG / </w:t>
            </w:r>
            <w:r>
              <w:rPr>
                <w:noProof/>
                <w:color w:val="000000"/>
              </w:rPr>
              <w:t>SRSS</w:t>
            </w:r>
          </w:p>
        </w:tc>
        <w:tc>
          <w:tcPr>
            <w:tcW w:w="1238"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rPr>
                <w:noProof/>
                <w:color w:val="000000"/>
                <w:sz w:val="20"/>
                <w:szCs w:val="20"/>
              </w:rPr>
            </w:pPr>
            <w:r>
              <w:rPr>
                <w:noProof/>
                <w:color w:val="000000"/>
                <w:sz w:val="20"/>
              </w:rPr>
              <w:t> </w:t>
            </w:r>
          </w:p>
        </w:tc>
        <w:tc>
          <w:tcPr>
            <w:tcW w:w="287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pPr>
              <w:spacing w:before="0" w:after="0"/>
              <w:jc w:val="center"/>
              <w:rPr>
                <w:noProof/>
                <w:color w:val="000000"/>
                <w:sz w:val="20"/>
                <w:szCs w:val="20"/>
              </w:rPr>
            </w:pPr>
            <w:r>
              <w:rPr>
                <w:noProof/>
                <w:color w:val="000000"/>
                <w:sz w:val="20"/>
              </w:rPr>
              <w:t> </w:t>
            </w:r>
          </w:p>
        </w:tc>
        <w:tc>
          <w:tcPr>
            <w:tcW w:w="966" w:type="dxa"/>
            <w:tcBorders>
              <w:top w:val="nil"/>
              <w:left w:val="nil"/>
              <w:bottom w:val="nil"/>
              <w:right w:val="single" w:sz="8" w:space="0" w:color="auto"/>
            </w:tcBorders>
            <w:shd w:val="clear" w:color="auto" w:fill="auto"/>
            <w:vAlign w:val="center"/>
            <w:hideMark/>
          </w:tcPr>
          <w:p>
            <w:pPr>
              <w:spacing w:before="0" w:after="0"/>
              <w:jc w:val="center"/>
              <w:rPr>
                <w:noProof/>
                <w:color w:val="000000"/>
                <w:sz w:val="20"/>
                <w:szCs w:val="20"/>
              </w:rPr>
            </w:pPr>
            <w:r>
              <w:rPr>
                <w:noProof/>
                <w:color w:val="000000"/>
                <w:sz w:val="20"/>
              </w:rPr>
              <w:t>Година</w:t>
            </w:r>
          </w:p>
        </w:tc>
        <w:tc>
          <w:tcPr>
            <w:tcW w:w="966" w:type="dxa"/>
            <w:tcBorders>
              <w:top w:val="nil"/>
              <w:left w:val="nil"/>
              <w:bottom w:val="nil"/>
              <w:right w:val="single" w:sz="8" w:space="0" w:color="auto"/>
            </w:tcBorders>
            <w:shd w:val="clear" w:color="auto" w:fill="auto"/>
            <w:vAlign w:val="center"/>
            <w:hideMark/>
          </w:tcPr>
          <w:p>
            <w:pPr>
              <w:spacing w:before="0" w:after="0"/>
              <w:jc w:val="center"/>
              <w:rPr>
                <w:noProof/>
                <w:color w:val="000000"/>
                <w:sz w:val="20"/>
                <w:szCs w:val="20"/>
              </w:rPr>
            </w:pPr>
            <w:r>
              <w:rPr>
                <w:noProof/>
                <w:color w:val="000000"/>
                <w:sz w:val="20"/>
              </w:rPr>
              <w:t>Година</w:t>
            </w:r>
          </w:p>
        </w:tc>
        <w:tc>
          <w:tcPr>
            <w:tcW w:w="1059" w:type="dxa"/>
            <w:tcBorders>
              <w:top w:val="nil"/>
              <w:left w:val="nil"/>
              <w:bottom w:val="nil"/>
              <w:right w:val="single" w:sz="8" w:space="0" w:color="auto"/>
            </w:tcBorders>
            <w:shd w:val="clear" w:color="auto" w:fill="auto"/>
            <w:vAlign w:val="center"/>
            <w:hideMark/>
          </w:tcPr>
          <w:p>
            <w:pPr>
              <w:spacing w:before="0" w:after="0"/>
              <w:jc w:val="center"/>
              <w:rPr>
                <w:noProof/>
                <w:color w:val="000000"/>
                <w:sz w:val="20"/>
                <w:szCs w:val="20"/>
              </w:rPr>
            </w:pPr>
            <w:r>
              <w:rPr>
                <w:noProof/>
                <w:color w:val="000000"/>
                <w:sz w:val="20"/>
              </w:rPr>
              <w:t>Години</w:t>
            </w: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center"/>
              <w:rPr>
                <w:b/>
                <w:bCs/>
                <w:noProof/>
                <w:color w:val="000000"/>
                <w:sz w:val="20"/>
                <w:szCs w:val="20"/>
              </w:rPr>
            </w:pPr>
            <w:r>
              <w:rPr>
                <w:b/>
                <w:noProof/>
                <w:color w:val="000000"/>
                <w:sz w:val="20"/>
              </w:rPr>
              <w:t>ОБЩО</w:t>
            </w:r>
          </w:p>
        </w:tc>
      </w:tr>
      <w:tr>
        <w:trPr>
          <w:trHeight w:val="525"/>
        </w:trPr>
        <w:tc>
          <w:tcPr>
            <w:tcW w:w="5312" w:type="dxa"/>
            <w:gridSpan w:val="2"/>
            <w:vMerge/>
            <w:tcBorders>
              <w:top w:val="single" w:sz="8" w:space="0" w:color="auto"/>
              <w:left w:val="single" w:sz="8" w:space="0" w:color="auto"/>
              <w:bottom w:val="single" w:sz="8" w:space="0" w:color="000000"/>
              <w:right w:val="single" w:sz="8" w:space="0" w:color="000000"/>
            </w:tcBorders>
            <w:vAlign w:val="center"/>
            <w:hideMark/>
          </w:tcPr>
          <w:p>
            <w:pPr>
              <w:spacing w:before="0" w:after="0"/>
              <w:jc w:val="left"/>
              <w:rPr>
                <w:noProof/>
                <w:color w:val="000000"/>
                <w:sz w:val="22"/>
              </w:rPr>
            </w:pPr>
          </w:p>
        </w:tc>
        <w:tc>
          <w:tcPr>
            <w:tcW w:w="1238" w:type="dxa"/>
            <w:vMerge/>
            <w:tcBorders>
              <w:top w:val="nil"/>
              <w:left w:val="single" w:sz="8" w:space="0" w:color="auto"/>
              <w:bottom w:val="single" w:sz="8" w:space="0" w:color="000000"/>
              <w:right w:val="single" w:sz="8" w:space="0" w:color="auto"/>
            </w:tcBorders>
            <w:vAlign w:val="center"/>
            <w:hideMark/>
          </w:tcPr>
          <w:p>
            <w:pPr>
              <w:spacing w:before="0" w:after="0"/>
              <w:jc w:val="left"/>
              <w:rPr>
                <w:noProof/>
                <w:color w:val="000000"/>
                <w:sz w:val="20"/>
                <w:szCs w:val="20"/>
              </w:rPr>
            </w:pPr>
          </w:p>
        </w:tc>
        <w:tc>
          <w:tcPr>
            <w:tcW w:w="2873" w:type="dxa"/>
            <w:gridSpan w:val="3"/>
            <w:vMerge/>
            <w:tcBorders>
              <w:top w:val="single" w:sz="8" w:space="0" w:color="auto"/>
              <w:left w:val="single" w:sz="8" w:space="0" w:color="auto"/>
              <w:bottom w:val="single" w:sz="8" w:space="0" w:color="000000"/>
              <w:right w:val="single" w:sz="8" w:space="0" w:color="000000"/>
            </w:tcBorders>
            <w:vAlign w:val="center"/>
            <w:hideMark/>
          </w:tcPr>
          <w:p>
            <w:pPr>
              <w:spacing w:before="0" w:after="0"/>
              <w:jc w:val="left"/>
              <w:rPr>
                <w:noProof/>
                <w:color w:val="000000"/>
                <w:sz w:val="20"/>
                <w:szCs w:val="20"/>
              </w:rPr>
            </w:pPr>
          </w:p>
        </w:tc>
        <w:tc>
          <w:tcPr>
            <w:tcW w:w="966" w:type="dxa"/>
            <w:tcBorders>
              <w:top w:val="nil"/>
              <w:left w:val="nil"/>
              <w:bottom w:val="single" w:sz="8" w:space="0" w:color="auto"/>
              <w:right w:val="single" w:sz="8" w:space="0" w:color="auto"/>
            </w:tcBorders>
            <w:shd w:val="clear" w:color="auto" w:fill="auto"/>
            <w:vAlign w:val="center"/>
            <w:hideMark/>
          </w:tcPr>
          <w:p>
            <w:pPr>
              <w:spacing w:before="0" w:after="0"/>
              <w:jc w:val="center"/>
              <w:rPr>
                <w:b/>
                <w:bCs/>
                <w:noProof/>
                <w:color w:val="000000"/>
                <w:sz w:val="20"/>
                <w:szCs w:val="20"/>
              </w:rPr>
            </w:pPr>
            <w:r>
              <w:rPr>
                <w:b/>
                <w:noProof/>
                <w:color w:val="000000"/>
                <w:sz w:val="20"/>
              </w:rPr>
              <w:t>2019</w:t>
            </w:r>
          </w:p>
        </w:tc>
        <w:tc>
          <w:tcPr>
            <w:tcW w:w="966" w:type="dxa"/>
            <w:tcBorders>
              <w:top w:val="nil"/>
              <w:left w:val="nil"/>
              <w:bottom w:val="single" w:sz="8" w:space="0" w:color="auto"/>
              <w:right w:val="single" w:sz="8" w:space="0" w:color="auto"/>
            </w:tcBorders>
            <w:shd w:val="clear" w:color="auto" w:fill="auto"/>
            <w:vAlign w:val="center"/>
            <w:hideMark/>
          </w:tcPr>
          <w:p>
            <w:pPr>
              <w:spacing w:before="0" w:after="0"/>
              <w:jc w:val="center"/>
              <w:rPr>
                <w:b/>
                <w:bCs/>
                <w:noProof/>
                <w:color w:val="000000"/>
                <w:sz w:val="20"/>
                <w:szCs w:val="20"/>
              </w:rPr>
            </w:pPr>
            <w:r>
              <w:rPr>
                <w:b/>
                <w:noProof/>
                <w:color w:val="000000"/>
                <w:sz w:val="20"/>
              </w:rPr>
              <w:t>2020</w:t>
            </w:r>
          </w:p>
        </w:tc>
        <w:tc>
          <w:tcPr>
            <w:tcW w:w="1059" w:type="dxa"/>
            <w:tcBorders>
              <w:top w:val="nil"/>
              <w:left w:val="nil"/>
              <w:bottom w:val="single" w:sz="8" w:space="0" w:color="auto"/>
              <w:right w:val="single" w:sz="8" w:space="0" w:color="auto"/>
            </w:tcBorders>
            <w:shd w:val="clear" w:color="auto" w:fill="auto"/>
            <w:vAlign w:val="center"/>
            <w:hideMark/>
          </w:tcPr>
          <w:p>
            <w:pPr>
              <w:spacing w:before="0" w:after="0"/>
              <w:jc w:val="center"/>
              <w:rPr>
                <w:b/>
                <w:bCs/>
                <w:noProof/>
                <w:color w:val="000000"/>
                <w:sz w:val="20"/>
                <w:szCs w:val="20"/>
              </w:rPr>
            </w:pPr>
            <w:r>
              <w:rPr>
                <w:b/>
                <w:noProof/>
                <w:color w:val="000000"/>
                <w:sz w:val="20"/>
              </w:rPr>
              <w:t>2021 и 2022</w:t>
            </w:r>
          </w:p>
        </w:tc>
        <w:tc>
          <w:tcPr>
            <w:tcW w:w="966" w:type="dxa"/>
            <w:vMerge/>
            <w:tcBorders>
              <w:top w:val="nil"/>
              <w:left w:val="single" w:sz="8" w:space="0" w:color="auto"/>
              <w:bottom w:val="single" w:sz="8" w:space="0" w:color="000000"/>
              <w:right w:val="single" w:sz="8" w:space="0" w:color="auto"/>
            </w:tcBorders>
            <w:vAlign w:val="center"/>
            <w:hideMark/>
          </w:tcPr>
          <w:p>
            <w:pPr>
              <w:spacing w:before="0" w:after="0"/>
              <w:jc w:val="left"/>
              <w:rPr>
                <w:b/>
                <w:bCs/>
                <w:noProof/>
                <w:color w:val="000000"/>
                <w:sz w:val="20"/>
                <w:szCs w:val="20"/>
              </w:rPr>
            </w:pPr>
          </w:p>
        </w:tc>
      </w:tr>
      <w:tr>
        <w:trPr>
          <w:trHeight w:val="315"/>
        </w:trPr>
        <w:tc>
          <w:tcPr>
            <w:tcW w:w="942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before="0" w:after="0"/>
              <w:rPr>
                <w:b/>
                <w:bCs/>
                <w:noProof/>
                <w:color w:val="000000"/>
                <w:sz w:val="18"/>
                <w:szCs w:val="18"/>
              </w:rPr>
            </w:pPr>
            <w:r>
              <w:rPr>
                <w:b/>
                <w:noProof/>
                <w:color w:val="000000"/>
                <w:sz w:val="18"/>
              </w:rPr>
              <w:t>Бюджетни кредити за оперативни разходи</w:t>
            </w:r>
          </w:p>
        </w:tc>
        <w:tc>
          <w:tcPr>
            <w:tcW w:w="966" w:type="dxa"/>
            <w:tcBorders>
              <w:top w:val="nil"/>
              <w:left w:val="nil"/>
              <w:bottom w:val="single" w:sz="8" w:space="0" w:color="auto"/>
              <w:right w:val="single" w:sz="8" w:space="0" w:color="auto"/>
            </w:tcBorders>
            <w:shd w:val="clear" w:color="auto" w:fill="auto"/>
            <w:vAlign w:val="center"/>
            <w:hideMark/>
          </w:tcPr>
          <w:p>
            <w:pPr>
              <w:spacing w:before="0" w:after="0"/>
              <w:rPr>
                <w:noProof/>
                <w:color w:val="000000"/>
                <w:sz w:val="20"/>
                <w:szCs w:val="20"/>
              </w:rPr>
            </w:pPr>
            <w:r>
              <w:rPr>
                <w:noProof/>
                <w:color w:val="000000"/>
                <w:sz w:val="20"/>
              </w:rPr>
              <w:t> </w:t>
            </w:r>
          </w:p>
        </w:tc>
        <w:tc>
          <w:tcPr>
            <w:tcW w:w="966" w:type="dxa"/>
            <w:tcBorders>
              <w:top w:val="nil"/>
              <w:left w:val="nil"/>
              <w:bottom w:val="single" w:sz="8" w:space="0" w:color="auto"/>
              <w:right w:val="single" w:sz="8" w:space="0" w:color="auto"/>
            </w:tcBorders>
            <w:shd w:val="clear" w:color="auto" w:fill="auto"/>
            <w:vAlign w:val="center"/>
            <w:hideMark/>
          </w:tcPr>
          <w:p>
            <w:pPr>
              <w:spacing w:before="0" w:after="0"/>
              <w:rPr>
                <w:noProof/>
                <w:color w:val="000000"/>
                <w:sz w:val="20"/>
                <w:szCs w:val="20"/>
              </w:rPr>
            </w:pPr>
            <w:r>
              <w:rPr>
                <w:noProof/>
                <w:color w:val="000000"/>
                <w:sz w:val="20"/>
              </w:rPr>
              <w:t> </w:t>
            </w:r>
          </w:p>
        </w:tc>
        <w:tc>
          <w:tcPr>
            <w:tcW w:w="1059" w:type="dxa"/>
            <w:tcBorders>
              <w:top w:val="nil"/>
              <w:left w:val="nil"/>
              <w:bottom w:val="single" w:sz="8" w:space="0" w:color="auto"/>
              <w:right w:val="single" w:sz="8" w:space="0" w:color="auto"/>
            </w:tcBorders>
            <w:shd w:val="clear" w:color="auto" w:fill="auto"/>
            <w:vAlign w:val="center"/>
            <w:hideMark/>
          </w:tcPr>
          <w:p>
            <w:pPr>
              <w:spacing w:before="0" w:after="0"/>
              <w:rPr>
                <w:noProof/>
                <w:color w:val="000000"/>
                <w:sz w:val="20"/>
                <w:szCs w:val="20"/>
              </w:rPr>
            </w:pPr>
            <w:r>
              <w:rPr>
                <w:noProof/>
                <w:color w:val="000000"/>
                <w:sz w:val="20"/>
              </w:rPr>
              <w:t> </w:t>
            </w:r>
          </w:p>
        </w:tc>
        <w:tc>
          <w:tcPr>
            <w:tcW w:w="966" w:type="dxa"/>
            <w:tcBorders>
              <w:top w:val="nil"/>
              <w:left w:val="nil"/>
              <w:bottom w:val="single" w:sz="8" w:space="0" w:color="auto"/>
              <w:right w:val="single" w:sz="8" w:space="0" w:color="auto"/>
            </w:tcBorders>
            <w:shd w:val="clear" w:color="auto" w:fill="auto"/>
            <w:vAlign w:val="center"/>
            <w:hideMark/>
          </w:tcPr>
          <w:p>
            <w:pPr>
              <w:spacing w:before="0" w:after="0"/>
              <w:rPr>
                <w:b/>
                <w:bCs/>
                <w:noProof/>
                <w:color w:val="000000"/>
                <w:sz w:val="20"/>
                <w:szCs w:val="20"/>
              </w:rPr>
            </w:pPr>
            <w:r>
              <w:rPr>
                <w:b/>
                <w:noProof/>
                <w:color w:val="000000"/>
                <w:sz w:val="20"/>
              </w:rPr>
              <w:t> </w:t>
            </w:r>
          </w:p>
        </w:tc>
      </w:tr>
      <w:tr>
        <w:trPr>
          <w:trHeight w:val="300"/>
        </w:trPr>
        <w:tc>
          <w:tcPr>
            <w:tcW w:w="3336"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rPr>
                <w:b/>
                <w:bCs/>
                <w:noProof/>
                <w:color w:val="000000"/>
                <w:szCs w:val="24"/>
              </w:rPr>
            </w:pPr>
            <w:r>
              <w:rPr>
                <w:b/>
                <w:noProof/>
                <w:color w:val="000000"/>
              </w:rPr>
              <w:t>13.08.01</w:t>
            </w:r>
          </w:p>
        </w:tc>
        <w:tc>
          <w:tcPr>
            <w:tcW w:w="321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pPr>
              <w:spacing w:before="0" w:after="0"/>
              <w:rPr>
                <w:noProof/>
                <w:color w:val="000000"/>
                <w:sz w:val="18"/>
                <w:szCs w:val="18"/>
              </w:rPr>
            </w:pPr>
            <w:r>
              <w:rPr>
                <w:noProof/>
                <w:color w:val="000000"/>
                <w:sz w:val="18"/>
              </w:rPr>
              <w:t>Поети задължения</w:t>
            </w:r>
          </w:p>
        </w:tc>
        <w:tc>
          <w:tcPr>
            <w:tcW w:w="287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pPr>
              <w:spacing w:before="0" w:after="0"/>
              <w:jc w:val="center"/>
              <w:rPr>
                <w:noProof/>
                <w:color w:val="000000"/>
                <w:sz w:val="14"/>
                <w:szCs w:val="14"/>
              </w:rPr>
            </w:pPr>
            <w:r>
              <w:rPr>
                <w:noProof/>
                <w:color w:val="000000"/>
                <w:sz w:val="14"/>
              </w:rPr>
              <w:t>1.</w:t>
            </w: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b/>
                <w:bCs/>
                <w:noProof/>
                <w:color w:val="000000"/>
                <w:sz w:val="20"/>
                <w:szCs w:val="20"/>
              </w:rPr>
            </w:pPr>
            <w:r>
              <w:rPr>
                <w:b/>
                <w:noProof/>
                <w:color w:val="000000"/>
                <w:sz w:val="20"/>
              </w:rPr>
              <w:t>40,000</w:t>
            </w: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b/>
                <w:bCs/>
                <w:noProof/>
                <w:color w:val="000000"/>
                <w:sz w:val="20"/>
                <w:szCs w:val="20"/>
              </w:rPr>
            </w:pPr>
            <w:r>
              <w:rPr>
                <w:b/>
                <w:noProof/>
                <w:color w:val="000000"/>
                <w:sz w:val="20"/>
              </w:rPr>
              <w:t>40,000</w:t>
            </w:r>
          </w:p>
        </w:tc>
        <w:tc>
          <w:tcPr>
            <w:tcW w:w="1059"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b/>
                <w:bCs/>
                <w:noProof/>
                <w:color w:val="000000"/>
                <w:sz w:val="20"/>
                <w:szCs w:val="20"/>
              </w:rPr>
            </w:pP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b/>
                <w:bCs/>
                <w:noProof/>
                <w:color w:val="000000"/>
                <w:sz w:val="20"/>
                <w:szCs w:val="20"/>
              </w:rPr>
            </w:pPr>
            <w:r>
              <w:rPr>
                <w:b/>
                <w:noProof/>
                <w:color w:val="000000"/>
                <w:sz w:val="20"/>
              </w:rPr>
              <w:t>80,000</w:t>
            </w:r>
          </w:p>
        </w:tc>
      </w:tr>
      <w:tr>
        <w:trPr>
          <w:trHeight w:val="315"/>
        </w:trPr>
        <w:tc>
          <w:tcPr>
            <w:tcW w:w="3336" w:type="dxa"/>
            <w:vMerge/>
            <w:tcBorders>
              <w:top w:val="nil"/>
              <w:left w:val="single" w:sz="8" w:space="0" w:color="auto"/>
              <w:bottom w:val="single" w:sz="8" w:space="0" w:color="000000"/>
              <w:right w:val="single" w:sz="8" w:space="0" w:color="auto"/>
            </w:tcBorders>
            <w:vAlign w:val="center"/>
            <w:hideMark/>
          </w:tcPr>
          <w:p>
            <w:pPr>
              <w:spacing w:before="0" w:after="0"/>
              <w:jc w:val="left"/>
              <w:rPr>
                <w:b/>
                <w:bCs/>
                <w:noProof/>
                <w:color w:val="000000"/>
                <w:szCs w:val="24"/>
              </w:rPr>
            </w:pPr>
          </w:p>
        </w:tc>
        <w:tc>
          <w:tcPr>
            <w:tcW w:w="3214" w:type="dxa"/>
            <w:gridSpan w:val="2"/>
            <w:vMerge/>
            <w:tcBorders>
              <w:top w:val="single" w:sz="8" w:space="0" w:color="auto"/>
              <w:left w:val="single" w:sz="8" w:space="0" w:color="auto"/>
              <w:bottom w:val="single" w:sz="8" w:space="0" w:color="000000"/>
              <w:right w:val="single" w:sz="8" w:space="0" w:color="000000"/>
            </w:tcBorders>
            <w:vAlign w:val="center"/>
            <w:hideMark/>
          </w:tcPr>
          <w:p>
            <w:pPr>
              <w:spacing w:before="0" w:after="0"/>
              <w:jc w:val="left"/>
              <w:rPr>
                <w:noProof/>
                <w:color w:val="000000"/>
                <w:sz w:val="18"/>
                <w:szCs w:val="18"/>
              </w:rPr>
            </w:pPr>
          </w:p>
        </w:tc>
        <w:tc>
          <w:tcPr>
            <w:tcW w:w="2873" w:type="dxa"/>
            <w:gridSpan w:val="3"/>
            <w:vMerge/>
            <w:tcBorders>
              <w:top w:val="single" w:sz="8" w:space="0" w:color="auto"/>
              <w:left w:val="single" w:sz="8" w:space="0" w:color="auto"/>
              <w:bottom w:val="single" w:sz="8" w:space="0" w:color="000000"/>
              <w:right w:val="single" w:sz="8" w:space="0" w:color="000000"/>
            </w:tcBorders>
            <w:vAlign w:val="center"/>
            <w:hideMark/>
          </w:tcPr>
          <w:p>
            <w:pPr>
              <w:spacing w:before="0" w:after="0"/>
              <w:jc w:val="left"/>
              <w:rPr>
                <w:noProof/>
                <w:color w:val="000000"/>
                <w:sz w:val="14"/>
                <w:szCs w:val="14"/>
              </w:rPr>
            </w:pPr>
          </w:p>
        </w:tc>
        <w:tc>
          <w:tcPr>
            <w:tcW w:w="966" w:type="dxa"/>
            <w:vMerge/>
            <w:tcBorders>
              <w:top w:val="nil"/>
              <w:left w:val="single" w:sz="8" w:space="0" w:color="auto"/>
              <w:bottom w:val="single" w:sz="8" w:space="0" w:color="000000"/>
              <w:right w:val="single" w:sz="8" w:space="0" w:color="auto"/>
            </w:tcBorders>
            <w:vAlign w:val="center"/>
            <w:hideMark/>
          </w:tcPr>
          <w:p>
            <w:pPr>
              <w:spacing w:before="0" w:after="0"/>
              <w:jc w:val="left"/>
              <w:rPr>
                <w:b/>
                <w:bCs/>
                <w:noProof/>
                <w:color w:val="000000"/>
                <w:sz w:val="20"/>
                <w:szCs w:val="20"/>
              </w:rPr>
            </w:pPr>
          </w:p>
        </w:tc>
        <w:tc>
          <w:tcPr>
            <w:tcW w:w="966" w:type="dxa"/>
            <w:vMerge/>
            <w:tcBorders>
              <w:top w:val="nil"/>
              <w:left w:val="single" w:sz="8" w:space="0" w:color="auto"/>
              <w:bottom w:val="single" w:sz="8" w:space="0" w:color="000000"/>
              <w:right w:val="single" w:sz="8" w:space="0" w:color="auto"/>
            </w:tcBorders>
            <w:vAlign w:val="center"/>
            <w:hideMark/>
          </w:tcPr>
          <w:p>
            <w:pPr>
              <w:spacing w:before="0" w:after="0"/>
              <w:jc w:val="left"/>
              <w:rPr>
                <w:b/>
                <w:bCs/>
                <w:noProof/>
                <w:color w:val="000000"/>
                <w:sz w:val="20"/>
                <w:szCs w:val="20"/>
              </w:rPr>
            </w:pPr>
          </w:p>
        </w:tc>
        <w:tc>
          <w:tcPr>
            <w:tcW w:w="1059" w:type="dxa"/>
            <w:vMerge/>
            <w:tcBorders>
              <w:top w:val="nil"/>
              <w:left w:val="single" w:sz="8" w:space="0" w:color="auto"/>
              <w:bottom w:val="single" w:sz="8" w:space="0" w:color="000000"/>
              <w:right w:val="single" w:sz="8" w:space="0" w:color="auto"/>
            </w:tcBorders>
            <w:vAlign w:val="center"/>
            <w:hideMark/>
          </w:tcPr>
          <w:p>
            <w:pPr>
              <w:spacing w:before="0" w:after="0"/>
              <w:jc w:val="left"/>
              <w:rPr>
                <w:b/>
                <w:bCs/>
                <w:noProof/>
                <w:color w:val="000000"/>
                <w:sz w:val="20"/>
                <w:szCs w:val="20"/>
              </w:rPr>
            </w:pPr>
          </w:p>
        </w:tc>
        <w:tc>
          <w:tcPr>
            <w:tcW w:w="966" w:type="dxa"/>
            <w:vMerge/>
            <w:tcBorders>
              <w:top w:val="nil"/>
              <w:left w:val="single" w:sz="8" w:space="0" w:color="auto"/>
              <w:bottom w:val="single" w:sz="8" w:space="0" w:color="000000"/>
              <w:right w:val="single" w:sz="8" w:space="0" w:color="auto"/>
            </w:tcBorders>
            <w:vAlign w:val="center"/>
            <w:hideMark/>
          </w:tcPr>
          <w:p>
            <w:pPr>
              <w:spacing w:before="0" w:after="0"/>
              <w:jc w:val="left"/>
              <w:rPr>
                <w:b/>
                <w:bCs/>
                <w:noProof/>
                <w:color w:val="000000"/>
                <w:sz w:val="20"/>
                <w:szCs w:val="20"/>
              </w:rPr>
            </w:pPr>
          </w:p>
        </w:tc>
      </w:tr>
      <w:tr>
        <w:trPr>
          <w:trHeight w:val="315"/>
        </w:trPr>
        <w:tc>
          <w:tcPr>
            <w:tcW w:w="3336" w:type="dxa"/>
            <w:vMerge/>
            <w:tcBorders>
              <w:top w:val="nil"/>
              <w:left w:val="single" w:sz="8" w:space="0" w:color="auto"/>
              <w:bottom w:val="single" w:sz="8" w:space="0" w:color="000000"/>
              <w:right w:val="single" w:sz="8" w:space="0" w:color="auto"/>
            </w:tcBorders>
            <w:vAlign w:val="center"/>
            <w:hideMark/>
          </w:tcPr>
          <w:p>
            <w:pPr>
              <w:spacing w:before="0" w:after="0"/>
              <w:jc w:val="left"/>
              <w:rPr>
                <w:b/>
                <w:bCs/>
                <w:noProof/>
                <w:color w:val="000000"/>
                <w:szCs w:val="24"/>
              </w:rPr>
            </w:pPr>
          </w:p>
        </w:tc>
        <w:tc>
          <w:tcPr>
            <w:tcW w:w="3214" w:type="dxa"/>
            <w:gridSpan w:val="2"/>
            <w:tcBorders>
              <w:top w:val="single" w:sz="8" w:space="0" w:color="auto"/>
              <w:left w:val="nil"/>
              <w:bottom w:val="single" w:sz="8" w:space="0" w:color="auto"/>
              <w:right w:val="single" w:sz="8" w:space="0" w:color="000000"/>
            </w:tcBorders>
            <w:shd w:val="clear" w:color="auto" w:fill="auto"/>
            <w:vAlign w:val="center"/>
            <w:hideMark/>
          </w:tcPr>
          <w:p>
            <w:pPr>
              <w:spacing w:before="0" w:after="0"/>
              <w:rPr>
                <w:noProof/>
                <w:color w:val="000000"/>
                <w:sz w:val="18"/>
                <w:szCs w:val="18"/>
              </w:rPr>
            </w:pPr>
            <w:r>
              <w:rPr>
                <w:noProof/>
                <w:color w:val="000000"/>
                <w:sz w:val="18"/>
              </w:rPr>
              <w:t>Плащания</w:t>
            </w:r>
          </w:p>
        </w:tc>
        <w:tc>
          <w:tcPr>
            <w:tcW w:w="2873" w:type="dxa"/>
            <w:gridSpan w:val="3"/>
            <w:tcBorders>
              <w:top w:val="single" w:sz="8" w:space="0" w:color="auto"/>
              <w:left w:val="nil"/>
              <w:bottom w:val="single" w:sz="8" w:space="0" w:color="auto"/>
              <w:right w:val="single" w:sz="8" w:space="0" w:color="000000"/>
            </w:tcBorders>
            <w:shd w:val="clear" w:color="auto" w:fill="auto"/>
            <w:vAlign w:val="center"/>
            <w:hideMark/>
          </w:tcPr>
          <w:p>
            <w:pPr>
              <w:spacing w:before="0" w:after="0"/>
              <w:jc w:val="center"/>
              <w:rPr>
                <w:noProof/>
                <w:color w:val="000000"/>
                <w:sz w:val="14"/>
                <w:szCs w:val="14"/>
              </w:rPr>
            </w:pPr>
            <w:r>
              <w:rPr>
                <w:noProof/>
                <w:color w:val="000000"/>
                <w:sz w:val="14"/>
              </w:rPr>
              <w:t>2.</w:t>
            </w:r>
          </w:p>
        </w:tc>
        <w:tc>
          <w:tcPr>
            <w:tcW w:w="966" w:type="dxa"/>
            <w:tcBorders>
              <w:top w:val="nil"/>
              <w:left w:val="nil"/>
              <w:bottom w:val="single" w:sz="8" w:space="0" w:color="auto"/>
              <w:right w:val="single" w:sz="8" w:space="0" w:color="auto"/>
            </w:tcBorders>
            <w:shd w:val="clear" w:color="auto" w:fill="auto"/>
            <w:vAlign w:val="center"/>
            <w:hideMark/>
          </w:tcPr>
          <w:p>
            <w:pPr>
              <w:spacing w:before="0" w:after="0"/>
              <w:jc w:val="right"/>
              <w:rPr>
                <w:b/>
                <w:bCs/>
                <w:noProof/>
                <w:color w:val="000000"/>
                <w:sz w:val="20"/>
                <w:szCs w:val="20"/>
              </w:rPr>
            </w:pPr>
            <w:r>
              <w:rPr>
                <w:b/>
                <w:noProof/>
                <w:color w:val="000000"/>
                <w:sz w:val="20"/>
              </w:rPr>
              <w:t>17,200</w:t>
            </w:r>
          </w:p>
        </w:tc>
        <w:tc>
          <w:tcPr>
            <w:tcW w:w="966" w:type="dxa"/>
            <w:tcBorders>
              <w:top w:val="nil"/>
              <w:left w:val="nil"/>
              <w:bottom w:val="single" w:sz="8" w:space="0" w:color="auto"/>
              <w:right w:val="single" w:sz="8" w:space="0" w:color="auto"/>
            </w:tcBorders>
            <w:shd w:val="clear" w:color="auto" w:fill="auto"/>
            <w:vAlign w:val="center"/>
            <w:hideMark/>
          </w:tcPr>
          <w:p>
            <w:pPr>
              <w:spacing w:before="0" w:after="0"/>
              <w:jc w:val="right"/>
              <w:rPr>
                <w:b/>
                <w:bCs/>
                <w:noProof/>
                <w:color w:val="000000"/>
                <w:sz w:val="20"/>
                <w:szCs w:val="20"/>
              </w:rPr>
            </w:pPr>
            <w:r>
              <w:rPr>
                <w:b/>
                <w:noProof/>
                <w:color w:val="000000"/>
                <w:sz w:val="20"/>
              </w:rPr>
              <w:t>28,600</w:t>
            </w:r>
          </w:p>
        </w:tc>
        <w:tc>
          <w:tcPr>
            <w:tcW w:w="1059" w:type="dxa"/>
            <w:tcBorders>
              <w:top w:val="nil"/>
              <w:left w:val="nil"/>
              <w:bottom w:val="single" w:sz="8" w:space="0" w:color="auto"/>
              <w:right w:val="single" w:sz="8" w:space="0" w:color="auto"/>
            </w:tcBorders>
            <w:shd w:val="clear" w:color="auto" w:fill="auto"/>
            <w:vAlign w:val="center"/>
            <w:hideMark/>
          </w:tcPr>
          <w:p>
            <w:pPr>
              <w:spacing w:before="0" w:after="0"/>
              <w:jc w:val="right"/>
              <w:rPr>
                <w:b/>
                <w:bCs/>
                <w:noProof/>
                <w:color w:val="000000"/>
                <w:sz w:val="20"/>
                <w:szCs w:val="20"/>
              </w:rPr>
            </w:pPr>
            <w:r>
              <w:rPr>
                <w:b/>
                <w:noProof/>
                <w:color w:val="000000"/>
                <w:sz w:val="20"/>
              </w:rPr>
              <w:t>34,200</w:t>
            </w:r>
          </w:p>
        </w:tc>
        <w:tc>
          <w:tcPr>
            <w:tcW w:w="966" w:type="dxa"/>
            <w:tcBorders>
              <w:top w:val="nil"/>
              <w:left w:val="nil"/>
              <w:bottom w:val="single" w:sz="8" w:space="0" w:color="auto"/>
              <w:right w:val="single" w:sz="8" w:space="0" w:color="auto"/>
            </w:tcBorders>
            <w:shd w:val="clear" w:color="auto" w:fill="auto"/>
            <w:vAlign w:val="center"/>
            <w:hideMark/>
          </w:tcPr>
          <w:p>
            <w:pPr>
              <w:spacing w:before="0" w:after="0"/>
              <w:jc w:val="right"/>
              <w:rPr>
                <w:b/>
                <w:bCs/>
                <w:noProof/>
                <w:color w:val="000000"/>
                <w:sz w:val="20"/>
                <w:szCs w:val="20"/>
              </w:rPr>
            </w:pPr>
            <w:r>
              <w:rPr>
                <w:b/>
                <w:noProof/>
                <w:color w:val="000000"/>
                <w:sz w:val="20"/>
              </w:rPr>
              <w:t>80,000</w:t>
            </w:r>
          </w:p>
        </w:tc>
      </w:tr>
      <w:tr>
        <w:trPr>
          <w:trHeight w:val="315"/>
        </w:trPr>
        <w:tc>
          <w:tcPr>
            <w:tcW w:w="3336" w:type="dxa"/>
            <w:vMerge/>
            <w:tcBorders>
              <w:top w:val="nil"/>
              <w:left w:val="single" w:sz="8" w:space="0" w:color="auto"/>
              <w:bottom w:val="single" w:sz="8" w:space="0" w:color="000000"/>
              <w:right w:val="single" w:sz="8" w:space="0" w:color="auto"/>
            </w:tcBorders>
            <w:vAlign w:val="center"/>
            <w:hideMark/>
          </w:tcPr>
          <w:p>
            <w:pPr>
              <w:spacing w:before="0" w:after="0"/>
              <w:jc w:val="left"/>
              <w:rPr>
                <w:b/>
                <w:bCs/>
                <w:noProof/>
                <w:color w:val="000000"/>
                <w:szCs w:val="24"/>
              </w:rPr>
            </w:pPr>
          </w:p>
        </w:tc>
        <w:tc>
          <w:tcPr>
            <w:tcW w:w="3214" w:type="dxa"/>
            <w:gridSpan w:val="2"/>
            <w:tcBorders>
              <w:top w:val="single" w:sz="8" w:space="0" w:color="auto"/>
              <w:left w:val="single" w:sz="8" w:space="0" w:color="auto"/>
              <w:bottom w:val="single" w:sz="8" w:space="0" w:color="000000"/>
              <w:right w:val="single" w:sz="8" w:space="0" w:color="000000"/>
            </w:tcBorders>
            <w:vAlign w:val="center"/>
            <w:hideMark/>
          </w:tcPr>
          <w:p>
            <w:pPr>
              <w:spacing w:before="0" w:after="0"/>
              <w:jc w:val="left"/>
              <w:rPr>
                <w:noProof/>
                <w:color w:val="000000"/>
                <w:sz w:val="18"/>
                <w:szCs w:val="18"/>
              </w:rPr>
            </w:pPr>
          </w:p>
        </w:tc>
        <w:tc>
          <w:tcPr>
            <w:tcW w:w="2873" w:type="dxa"/>
            <w:gridSpan w:val="3"/>
            <w:tcBorders>
              <w:top w:val="single" w:sz="8" w:space="0" w:color="auto"/>
              <w:left w:val="single" w:sz="8" w:space="0" w:color="auto"/>
              <w:bottom w:val="single" w:sz="8" w:space="0" w:color="000000"/>
              <w:right w:val="single" w:sz="8" w:space="0" w:color="000000"/>
            </w:tcBorders>
            <w:vAlign w:val="center"/>
            <w:hideMark/>
          </w:tcPr>
          <w:p>
            <w:pPr>
              <w:spacing w:before="0" w:after="0"/>
              <w:jc w:val="left"/>
              <w:rPr>
                <w:noProof/>
                <w:color w:val="000000"/>
                <w:sz w:val="14"/>
                <w:szCs w:val="14"/>
              </w:rPr>
            </w:pPr>
          </w:p>
        </w:tc>
        <w:tc>
          <w:tcPr>
            <w:tcW w:w="966" w:type="dxa"/>
            <w:tcBorders>
              <w:top w:val="nil"/>
              <w:left w:val="single" w:sz="8" w:space="0" w:color="auto"/>
              <w:bottom w:val="single" w:sz="8" w:space="0" w:color="000000"/>
              <w:right w:val="single" w:sz="8" w:space="0" w:color="auto"/>
            </w:tcBorders>
            <w:vAlign w:val="center"/>
            <w:hideMark/>
          </w:tcPr>
          <w:p>
            <w:pPr>
              <w:spacing w:before="0" w:after="0"/>
              <w:jc w:val="left"/>
              <w:rPr>
                <w:b/>
                <w:bCs/>
                <w:noProof/>
                <w:color w:val="000000"/>
                <w:sz w:val="20"/>
                <w:szCs w:val="20"/>
              </w:rPr>
            </w:pPr>
          </w:p>
        </w:tc>
        <w:tc>
          <w:tcPr>
            <w:tcW w:w="966" w:type="dxa"/>
            <w:tcBorders>
              <w:top w:val="nil"/>
              <w:left w:val="single" w:sz="8" w:space="0" w:color="auto"/>
              <w:bottom w:val="single" w:sz="8" w:space="0" w:color="000000"/>
              <w:right w:val="single" w:sz="8" w:space="0" w:color="auto"/>
            </w:tcBorders>
            <w:vAlign w:val="center"/>
            <w:hideMark/>
          </w:tcPr>
          <w:p>
            <w:pPr>
              <w:spacing w:before="0" w:after="0"/>
              <w:jc w:val="left"/>
              <w:rPr>
                <w:b/>
                <w:bCs/>
                <w:noProof/>
                <w:color w:val="000000"/>
                <w:sz w:val="20"/>
                <w:szCs w:val="20"/>
              </w:rPr>
            </w:pPr>
          </w:p>
        </w:tc>
        <w:tc>
          <w:tcPr>
            <w:tcW w:w="1059" w:type="dxa"/>
            <w:tcBorders>
              <w:top w:val="nil"/>
              <w:left w:val="single" w:sz="8" w:space="0" w:color="auto"/>
              <w:bottom w:val="single" w:sz="8" w:space="0" w:color="000000"/>
              <w:right w:val="single" w:sz="8" w:space="0" w:color="auto"/>
            </w:tcBorders>
            <w:vAlign w:val="center"/>
            <w:hideMark/>
          </w:tcPr>
          <w:p>
            <w:pPr>
              <w:spacing w:before="0" w:after="0"/>
              <w:jc w:val="left"/>
              <w:rPr>
                <w:b/>
                <w:bCs/>
                <w:noProof/>
                <w:color w:val="000000"/>
                <w:sz w:val="20"/>
                <w:szCs w:val="20"/>
              </w:rPr>
            </w:pPr>
          </w:p>
        </w:tc>
        <w:tc>
          <w:tcPr>
            <w:tcW w:w="966" w:type="dxa"/>
            <w:tcBorders>
              <w:top w:val="nil"/>
              <w:left w:val="single" w:sz="8" w:space="0" w:color="auto"/>
              <w:bottom w:val="single" w:sz="8" w:space="0" w:color="000000"/>
              <w:right w:val="single" w:sz="8" w:space="0" w:color="auto"/>
            </w:tcBorders>
            <w:vAlign w:val="center"/>
            <w:hideMark/>
          </w:tcPr>
          <w:p>
            <w:pPr>
              <w:spacing w:before="0" w:after="0"/>
              <w:jc w:val="left"/>
              <w:rPr>
                <w:b/>
                <w:bCs/>
                <w:noProof/>
                <w:color w:val="000000"/>
                <w:sz w:val="20"/>
                <w:szCs w:val="20"/>
              </w:rPr>
            </w:pPr>
          </w:p>
        </w:tc>
      </w:tr>
      <w:tr>
        <w:trPr>
          <w:trHeight w:val="300"/>
        </w:trPr>
        <w:tc>
          <w:tcPr>
            <w:tcW w:w="3336" w:type="dxa"/>
            <w:tcBorders>
              <w:top w:val="nil"/>
              <w:left w:val="single" w:sz="8" w:space="0" w:color="auto"/>
              <w:bottom w:val="nil"/>
              <w:right w:val="single" w:sz="8" w:space="0" w:color="auto"/>
            </w:tcBorders>
            <w:shd w:val="clear" w:color="auto" w:fill="auto"/>
            <w:vAlign w:val="center"/>
            <w:hideMark/>
          </w:tcPr>
          <w:p>
            <w:pPr>
              <w:spacing w:before="0" w:after="0"/>
              <w:jc w:val="center"/>
              <w:rPr>
                <w:b/>
                <w:bCs/>
                <w:noProof/>
                <w:color w:val="000000"/>
                <w:sz w:val="22"/>
              </w:rPr>
            </w:pPr>
            <w:r>
              <w:rPr>
                <w:b/>
                <w:noProof/>
                <w:color w:val="000000"/>
                <w:sz w:val="22"/>
              </w:rPr>
              <w:t>ОБЩО бюджетни кредити</w:t>
            </w:r>
          </w:p>
        </w:tc>
        <w:tc>
          <w:tcPr>
            <w:tcW w:w="321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pPr>
              <w:spacing w:before="0" w:after="0"/>
              <w:rPr>
                <w:noProof/>
                <w:color w:val="000000"/>
                <w:sz w:val="18"/>
                <w:szCs w:val="18"/>
              </w:rPr>
            </w:pPr>
            <w:r>
              <w:rPr>
                <w:noProof/>
                <w:color w:val="000000"/>
                <w:sz w:val="18"/>
              </w:rPr>
              <w:t>Поети задължения</w:t>
            </w:r>
          </w:p>
        </w:tc>
        <w:tc>
          <w:tcPr>
            <w:tcW w:w="287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pPr>
              <w:spacing w:before="0" w:after="0"/>
              <w:jc w:val="center"/>
              <w:rPr>
                <w:noProof/>
                <w:color w:val="000000"/>
                <w:sz w:val="14"/>
                <w:szCs w:val="14"/>
              </w:rPr>
            </w:pPr>
            <w:r>
              <w:rPr>
                <w:noProof/>
                <w:color w:val="000000"/>
                <w:sz w:val="14"/>
              </w:rPr>
              <w:t>=1+1a +3</w:t>
            </w: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b/>
                <w:bCs/>
                <w:noProof/>
                <w:color w:val="000000"/>
                <w:sz w:val="22"/>
              </w:rPr>
            </w:pPr>
            <w:r>
              <w:rPr>
                <w:b/>
                <w:noProof/>
                <w:color w:val="000000"/>
                <w:sz w:val="22"/>
              </w:rPr>
              <w:t>40,000</w:t>
            </w: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b/>
                <w:bCs/>
                <w:noProof/>
                <w:color w:val="000000"/>
                <w:sz w:val="22"/>
              </w:rPr>
            </w:pPr>
            <w:r>
              <w:rPr>
                <w:b/>
                <w:noProof/>
                <w:color w:val="000000"/>
                <w:sz w:val="22"/>
              </w:rPr>
              <w:t>40,000</w:t>
            </w:r>
          </w:p>
        </w:tc>
        <w:tc>
          <w:tcPr>
            <w:tcW w:w="1059"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b/>
                <w:bCs/>
                <w:noProof/>
                <w:color w:val="000000"/>
                <w:szCs w:val="24"/>
              </w:rPr>
            </w:pP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b/>
                <w:bCs/>
                <w:noProof/>
                <w:color w:val="000000"/>
                <w:sz w:val="22"/>
              </w:rPr>
            </w:pPr>
            <w:r>
              <w:rPr>
                <w:b/>
                <w:noProof/>
                <w:color w:val="000000"/>
                <w:sz w:val="22"/>
              </w:rPr>
              <w:t>80,000</w:t>
            </w:r>
          </w:p>
        </w:tc>
      </w:tr>
      <w:tr>
        <w:trPr>
          <w:trHeight w:val="315"/>
        </w:trPr>
        <w:tc>
          <w:tcPr>
            <w:tcW w:w="3336" w:type="dxa"/>
            <w:tcBorders>
              <w:top w:val="nil"/>
              <w:left w:val="single" w:sz="8" w:space="0" w:color="auto"/>
              <w:bottom w:val="nil"/>
              <w:right w:val="single" w:sz="8" w:space="0" w:color="auto"/>
            </w:tcBorders>
            <w:shd w:val="clear" w:color="auto" w:fill="auto"/>
            <w:vAlign w:val="center"/>
            <w:hideMark/>
          </w:tcPr>
          <w:p>
            <w:pPr>
              <w:spacing w:before="0" w:after="0"/>
              <w:jc w:val="center"/>
              <w:rPr>
                <w:b/>
                <w:bCs/>
                <w:noProof/>
                <w:color w:val="000000"/>
                <w:sz w:val="22"/>
              </w:rPr>
            </w:pPr>
            <w:r>
              <w:rPr>
                <w:b/>
                <w:noProof/>
                <w:color w:val="000000"/>
                <w:sz w:val="22"/>
              </w:rPr>
              <w:t xml:space="preserve">за 13 </w:t>
            </w:r>
          </w:p>
        </w:tc>
        <w:tc>
          <w:tcPr>
            <w:tcW w:w="3214" w:type="dxa"/>
            <w:gridSpan w:val="2"/>
            <w:vMerge/>
            <w:tcBorders>
              <w:top w:val="nil"/>
              <w:left w:val="single" w:sz="8" w:space="0" w:color="auto"/>
              <w:bottom w:val="nil"/>
              <w:right w:val="single" w:sz="8" w:space="0" w:color="auto"/>
            </w:tcBorders>
            <w:vAlign w:val="center"/>
            <w:hideMark/>
          </w:tcPr>
          <w:p>
            <w:pPr>
              <w:spacing w:before="0" w:after="0"/>
              <w:jc w:val="left"/>
              <w:rPr>
                <w:noProof/>
                <w:color w:val="000000"/>
                <w:sz w:val="18"/>
                <w:szCs w:val="18"/>
              </w:rPr>
            </w:pPr>
          </w:p>
        </w:tc>
        <w:tc>
          <w:tcPr>
            <w:tcW w:w="2873" w:type="dxa"/>
            <w:gridSpan w:val="3"/>
            <w:vMerge/>
            <w:tcBorders>
              <w:top w:val="nil"/>
              <w:left w:val="single" w:sz="8" w:space="0" w:color="auto"/>
              <w:bottom w:val="nil"/>
              <w:right w:val="single" w:sz="8" w:space="0" w:color="auto"/>
            </w:tcBorders>
            <w:vAlign w:val="center"/>
            <w:hideMark/>
          </w:tcPr>
          <w:p>
            <w:pPr>
              <w:spacing w:before="0" w:after="0"/>
              <w:jc w:val="left"/>
              <w:rPr>
                <w:noProof/>
                <w:color w:val="000000"/>
                <w:sz w:val="14"/>
                <w:szCs w:val="14"/>
              </w:rPr>
            </w:pPr>
          </w:p>
        </w:tc>
        <w:tc>
          <w:tcPr>
            <w:tcW w:w="966" w:type="dxa"/>
            <w:vMerge/>
            <w:tcBorders>
              <w:top w:val="nil"/>
              <w:left w:val="single" w:sz="8" w:space="0" w:color="auto"/>
              <w:bottom w:val="single" w:sz="8" w:space="0" w:color="000000"/>
              <w:right w:val="single" w:sz="8" w:space="0" w:color="auto"/>
            </w:tcBorders>
            <w:vAlign w:val="center"/>
            <w:hideMark/>
          </w:tcPr>
          <w:p>
            <w:pPr>
              <w:spacing w:before="0" w:after="0"/>
              <w:jc w:val="left"/>
              <w:rPr>
                <w:b/>
                <w:bCs/>
                <w:noProof/>
                <w:color w:val="000000"/>
                <w:sz w:val="22"/>
              </w:rPr>
            </w:pPr>
          </w:p>
        </w:tc>
        <w:tc>
          <w:tcPr>
            <w:tcW w:w="966" w:type="dxa"/>
            <w:vMerge/>
            <w:tcBorders>
              <w:top w:val="nil"/>
              <w:left w:val="single" w:sz="8" w:space="0" w:color="auto"/>
              <w:bottom w:val="single" w:sz="8" w:space="0" w:color="000000"/>
              <w:right w:val="single" w:sz="8" w:space="0" w:color="auto"/>
            </w:tcBorders>
            <w:vAlign w:val="center"/>
            <w:hideMark/>
          </w:tcPr>
          <w:p>
            <w:pPr>
              <w:spacing w:before="0" w:after="0"/>
              <w:jc w:val="left"/>
              <w:rPr>
                <w:b/>
                <w:bCs/>
                <w:noProof/>
                <w:color w:val="000000"/>
                <w:sz w:val="22"/>
              </w:rPr>
            </w:pPr>
          </w:p>
        </w:tc>
        <w:tc>
          <w:tcPr>
            <w:tcW w:w="1059" w:type="dxa"/>
            <w:vMerge/>
            <w:tcBorders>
              <w:top w:val="nil"/>
              <w:left w:val="single" w:sz="8" w:space="0" w:color="auto"/>
              <w:bottom w:val="single" w:sz="8" w:space="0" w:color="000000"/>
              <w:right w:val="single" w:sz="8" w:space="0" w:color="auto"/>
            </w:tcBorders>
            <w:vAlign w:val="center"/>
            <w:hideMark/>
          </w:tcPr>
          <w:p>
            <w:pPr>
              <w:spacing w:before="0" w:after="0"/>
              <w:jc w:val="left"/>
              <w:rPr>
                <w:b/>
                <w:bCs/>
                <w:noProof/>
                <w:color w:val="000000"/>
                <w:szCs w:val="24"/>
              </w:rPr>
            </w:pPr>
          </w:p>
        </w:tc>
        <w:tc>
          <w:tcPr>
            <w:tcW w:w="966" w:type="dxa"/>
            <w:vMerge/>
            <w:tcBorders>
              <w:top w:val="nil"/>
              <w:left w:val="single" w:sz="8" w:space="0" w:color="auto"/>
              <w:bottom w:val="single" w:sz="8" w:space="0" w:color="000000"/>
              <w:right w:val="single" w:sz="8" w:space="0" w:color="auto"/>
            </w:tcBorders>
            <w:vAlign w:val="center"/>
            <w:hideMark/>
          </w:tcPr>
          <w:p>
            <w:pPr>
              <w:spacing w:before="0" w:after="0"/>
              <w:jc w:val="left"/>
              <w:rPr>
                <w:b/>
                <w:bCs/>
                <w:noProof/>
                <w:color w:val="000000"/>
                <w:sz w:val="22"/>
              </w:rPr>
            </w:pPr>
          </w:p>
        </w:tc>
      </w:tr>
      <w:tr>
        <w:trPr>
          <w:trHeight w:val="300"/>
        </w:trPr>
        <w:tc>
          <w:tcPr>
            <w:tcW w:w="3336" w:type="dxa"/>
            <w:tcBorders>
              <w:top w:val="nil"/>
              <w:left w:val="single" w:sz="8" w:space="0" w:color="auto"/>
              <w:bottom w:val="nil"/>
              <w:right w:val="single" w:sz="8" w:space="0" w:color="auto"/>
            </w:tcBorders>
            <w:shd w:val="clear" w:color="auto" w:fill="auto"/>
            <w:vAlign w:val="center"/>
            <w:hideMark/>
          </w:tcPr>
          <w:p>
            <w:pPr>
              <w:spacing w:before="0" w:after="0"/>
              <w:jc w:val="left"/>
              <w:rPr>
                <w:rFonts w:ascii="Calibri" w:hAnsi="Calibri" w:cs="Calibri"/>
                <w:noProof/>
                <w:color w:val="000000"/>
                <w:sz w:val="22"/>
              </w:rPr>
            </w:pPr>
            <w:r>
              <w:rPr>
                <w:rFonts w:ascii="Calibri" w:hAnsi="Calibri"/>
                <w:noProof/>
                <w:color w:val="000000"/>
                <w:sz w:val="22"/>
              </w:rPr>
              <w:t> </w:t>
            </w:r>
          </w:p>
        </w:tc>
        <w:tc>
          <w:tcPr>
            <w:tcW w:w="321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pPr>
              <w:spacing w:before="0" w:after="0"/>
              <w:rPr>
                <w:noProof/>
                <w:color w:val="000000"/>
                <w:sz w:val="18"/>
                <w:szCs w:val="18"/>
              </w:rPr>
            </w:pPr>
            <w:r>
              <w:rPr>
                <w:noProof/>
                <w:color w:val="000000"/>
                <w:sz w:val="18"/>
              </w:rPr>
              <w:t>Плащания</w:t>
            </w:r>
          </w:p>
        </w:tc>
        <w:tc>
          <w:tcPr>
            <w:tcW w:w="2873" w:type="dxa"/>
            <w:gridSpan w:val="3"/>
            <w:tcBorders>
              <w:top w:val="single" w:sz="8" w:space="0" w:color="auto"/>
              <w:left w:val="nil"/>
              <w:bottom w:val="nil"/>
              <w:right w:val="single" w:sz="8" w:space="0" w:color="000000"/>
            </w:tcBorders>
            <w:shd w:val="clear" w:color="auto" w:fill="auto"/>
            <w:vAlign w:val="center"/>
            <w:hideMark/>
          </w:tcPr>
          <w:p>
            <w:pPr>
              <w:spacing w:before="0" w:after="0"/>
              <w:jc w:val="center"/>
              <w:rPr>
                <w:noProof/>
                <w:color w:val="000000"/>
                <w:sz w:val="14"/>
                <w:szCs w:val="14"/>
              </w:rPr>
            </w:pPr>
            <w:r>
              <w:rPr>
                <w:noProof/>
                <w:color w:val="000000"/>
                <w:sz w:val="14"/>
              </w:rPr>
              <w:t>=2+2а</w:t>
            </w: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b/>
                <w:bCs/>
                <w:noProof/>
                <w:color w:val="000000"/>
                <w:sz w:val="22"/>
              </w:rPr>
            </w:pPr>
            <w:r>
              <w:rPr>
                <w:b/>
                <w:noProof/>
                <w:color w:val="000000"/>
                <w:sz w:val="22"/>
              </w:rPr>
              <w:t>17,200</w:t>
            </w: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b/>
                <w:bCs/>
                <w:noProof/>
                <w:color w:val="000000"/>
                <w:sz w:val="22"/>
              </w:rPr>
            </w:pPr>
            <w:r>
              <w:rPr>
                <w:b/>
                <w:noProof/>
                <w:color w:val="000000"/>
                <w:sz w:val="22"/>
              </w:rPr>
              <w:t>28,600</w:t>
            </w:r>
          </w:p>
        </w:tc>
        <w:tc>
          <w:tcPr>
            <w:tcW w:w="1059"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b/>
                <w:bCs/>
                <w:noProof/>
                <w:color w:val="000000"/>
                <w:sz w:val="22"/>
              </w:rPr>
            </w:pPr>
            <w:r>
              <w:rPr>
                <w:b/>
                <w:noProof/>
                <w:color w:val="000000"/>
                <w:sz w:val="22"/>
              </w:rPr>
              <w:t>34,200</w:t>
            </w: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b/>
                <w:bCs/>
                <w:noProof/>
                <w:color w:val="000000"/>
                <w:sz w:val="22"/>
              </w:rPr>
            </w:pPr>
            <w:r>
              <w:rPr>
                <w:b/>
                <w:noProof/>
                <w:color w:val="000000"/>
                <w:sz w:val="22"/>
              </w:rPr>
              <w:t>80,000</w:t>
            </w:r>
          </w:p>
        </w:tc>
      </w:tr>
      <w:tr>
        <w:trPr>
          <w:trHeight w:val="315"/>
        </w:trPr>
        <w:tc>
          <w:tcPr>
            <w:tcW w:w="3336"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left"/>
              <w:rPr>
                <w:rFonts w:ascii="Calibri" w:hAnsi="Calibri" w:cs="Calibri"/>
                <w:noProof/>
                <w:color w:val="000000"/>
                <w:sz w:val="22"/>
              </w:rPr>
            </w:pPr>
            <w:r>
              <w:rPr>
                <w:rFonts w:ascii="Calibri" w:hAnsi="Calibri"/>
                <w:noProof/>
                <w:color w:val="000000"/>
                <w:sz w:val="22"/>
              </w:rPr>
              <w:t> </w:t>
            </w:r>
          </w:p>
        </w:tc>
        <w:tc>
          <w:tcPr>
            <w:tcW w:w="3214" w:type="dxa"/>
            <w:gridSpan w:val="2"/>
            <w:vMerge/>
            <w:tcBorders>
              <w:top w:val="nil"/>
              <w:left w:val="single" w:sz="8" w:space="0" w:color="auto"/>
              <w:bottom w:val="single" w:sz="8" w:space="0" w:color="auto"/>
              <w:right w:val="single" w:sz="8" w:space="0" w:color="auto"/>
            </w:tcBorders>
            <w:vAlign w:val="center"/>
            <w:hideMark/>
          </w:tcPr>
          <w:p>
            <w:pPr>
              <w:spacing w:before="0" w:after="0"/>
              <w:jc w:val="left"/>
              <w:rPr>
                <w:noProof/>
                <w:color w:val="000000"/>
                <w:sz w:val="18"/>
                <w:szCs w:val="18"/>
              </w:rPr>
            </w:pPr>
          </w:p>
        </w:tc>
        <w:tc>
          <w:tcPr>
            <w:tcW w:w="2873" w:type="dxa"/>
            <w:gridSpan w:val="3"/>
            <w:tcBorders>
              <w:top w:val="nil"/>
              <w:left w:val="nil"/>
              <w:bottom w:val="single" w:sz="8" w:space="0" w:color="auto"/>
              <w:right w:val="single" w:sz="8" w:space="0" w:color="000000"/>
            </w:tcBorders>
            <w:shd w:val="clear" w:color="auto" w:fill="auto"/>
            <w:vAlign w:val="center"/>
            <w:hideMark/>
          </w:tcPr>
          <w:p>
            <w:pPr>
              <w:spacing w:before="0" w:after="0"/>
              <w:jc w:val="center"/>
              <w:rPr>
                <w:noProof/>
                <w:color w:val="000000"/>
                <w:sz w:val="14"/>
                <w:szCs w:val="14"/>
              </w:rPr>
            </w:pPr>
            <w:r>
              <w:rPr>
                <w:noProof/>
                <w:color w:val="000000"/>
                <w:sz w:val="14"/>
              </w:rPr>
              <w:t>3</w:t>
            </w:r>
          </w:p>
        </w:tc>
        <w:tc>
          <w:tcPr>
            <w:tcW w:w="966" w:type="dxa"/>
            <w:vMerge/>
            <w:tcBorders>
              <w:top w:val="nil"/>
              <w:left w:val="single" w:sz="8" w:space="0" w:color="auto"/>
              <w:bottom w:val="single" w:sz="8" w:space="0" w:color="000000"/>
              <w:right w:val="single" w:sz="8" w:space="0" w:color="auto"/>
            </w:tcBorders>
            <w:vAlign w:val="center"/>
            <w:hideMark/>
          </w:tcPr>
          <w:p>
            <w:pPr>
              <w:spacing w:before="0" w:after="0"/>
              <w:jc w:val="left"/>
              <w:rPr>
                <w:b/>
                <w:bCs/>
                <w:noProof/>
                <w:color w:val="000000"/>
                <w:sz w:val="22"/>
              </w:rPr>
            </w:pPr>
          </w:p>
        </w:tc>
        <w:tc>
          <w:tcPr>
            <w:tcW w:w="966" w:type="dxa"/>
            <w:vMerge/>
            <w:tcBorders>
              <w:top w:val="nil"/>
              <w:left w:val="single" w:sz="8" w:space="0" w:color="auto"/>
              <w:bottom w:val="single" w:sz="8" w:space="0" w:color="000000"/>
              <w:right w:val="single" w:sz="8" w:space="0" w:color="auto"/>
            </w:tcBorders>
            <w:vAlign w:val="center"/>
            <w:hideMark/>
          </w:tcPr>
          <w:p>
            <w:pPr>
              <w:spacing w:before="0" w:after="0"/>
              <w:jc w:val="left"/>
              <w:rPr>
                <w:b/>
                <w:bCs/>
                <w:noProof/>
                <w:color w:val="000000"/>
                <w:sz w:val="22"/>
              </w:rPr>
            </w:pPr>
          </w:p>
        </w:tc>
        <w:tc>
          <w:tcPr>
            <w:tcW w:w="1059" w:type="dxa"/>
            <w:vMerge/>
            <w:tcBorders>
              <w:top w:val="nil"/>
              <w:left w:val="single" w:sz="8" w:space="0" w:color="auto"/>
              <w:bottom w:val="single" w:sz="8" w:space="0" w:color="000000"/>
              <w:right w:val="single" w:sz="8" w:space="0" w:color="auto"/>
            </w:tcBorders>
            <w:vAlign w:val="center"/>
            <w:hideMark/>
          </w:tcPr>
          <w:p>
            <w:pPr>
              <w:spacing w:before="0" w:after="0"/>
              <w:jc w:val="left"/>
              <w:rPr>
                <w:b/>
                <w:bCs/>
                <w:noProof/>
                <w:color w:val="000000"/>
                <w:sz w:val="22"/>
              </w:rPr>
            </w:pPr>
          </w:p>
        </w:tc>
        <w:tc>
          <w:tcPr>
            <w:tcW w:w="966" w:type="dxa"/>
            <w:vMerge/>
            <w:tcBorders>
              <w:top w:val="nil"/>
              <w:left w:val="single" w:sz="8" w:space="0" w:color="auto"/>
              <w:bottom w:val="single" w:sz="8" w:space="0" w:color="000000"/>
              <w:right w:val="single" w:sz="8" w:space="0" w:color="auto"/>
            </w:tcBorders>
            <w:vAlign w:val="center"/>
            <w:hideMark/>
          </w:tcPr>
          <w:p>
            <w:pPr>
              <w:spacing w:before="0" w:after="0"/>
              <w:jc w:val="left"/>
              <w:rPr>
                <w:b/>
                <w:bCs/>
                <w:noProof/>
                <w:color w:val="000000"/>
                <w:sz w:val="22"/>
              </w:rPr>
            </w:pPr>
          </w:p>
        </w:tc>
      </w:tr>
    </w:tbl>
    <w:p>
      <w:pPr>
        <w:jc w:val="left"/>
        <w:rPr>
          <w:noProof/>
          <w:sz w:val="20"/>
        </w:rPr>
      </w:pPr>
    </w:p>
    <w:p>
      <w:pPr>
        <w:jc w:val="left"/>
        <w:rPr>
          <w:noProof/>
          <w:sz w:val="20"/>
        </w:rPr>
      </w:pPr>
    </w:p>
    <w:tbl>
      <w:tblPr>
        <w:tblW w:w="13482" w:type="dxa"/>
        <w:tblInd w:w="93" w:type="dxa"/>
        <w:tblLayout w:type="fixed"/>
        <w:tblLook w:val="04A0" w:firstRow="1" w:lastRow="0" w:firstColumn="1" w:lastColumn="0" w:noHBand="0" w:noVBand="1"/>
      </w:tblPr>
      <w:tblGrid>
        <w:gridCol w:w="5118"/>
        <w:gridCol w:w="1843"/>
        <w:gridCol w:w="2410"/>
        <w:gridCol w:w="992"/>
        <w:gridCol w:w="992"/>
        <w:gridCol w:w="1134"/>
        <w:gridCol w:w="993"/>
      </w:tblGrid>
      <w:tr>
        <w:trPr>
          <w:trHeight w:val="662"/>
        </w:trPr>
        <w:tc>
          <w:tcPr>
            <w:tcW w:w="51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pPr>
              <w:pStyle w:val="ListParagraph"/>
              <w:numPr>
                <w:ilvl w:val="0"/>
                <w:numId w:val="18"/>
              </w:numPr>
              <w:spacing w:before="0" w:after="0"/>
              <w:rPr>
                <w:noProof/>
                <w:color w:val="000000"/>
                <w:sz w:val="21"/>
                <w:szCs w:val="21"/>
              </w:rPr>
            </w:pPr>
            <w:r>
              <w:rPr>
                <w:b/>
                <w:noProof/>
                <w:color w:val="000000"/>
                <w:sz w:val="22"/>
              </w:rPr>
              <w:t>ОБЩО бюджетни кредити за оперативни разходи</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pPr>
              <w:spacing w:before="0" w:after="0"/>
              <w:rPr>
                <w:noProof/>
                <w:color w:val="000000"/>
                <w:sz w:val="18"/>
                <w:szCs w:val="18"/>
              </w:rPr>
            </w:pPr>
            <w:r>
              <w:rPr>
                <w:noProof/>
                <w:color w:val="000000"/>
                <w:sz w:val="18"/>
              </w:rPr>
              <w:t>Поети задължения</w:t>
            </w:r>
          </w:p>
        </w:tc>
        <w:tc>
          <w:tcPr>
            <w:tcW w:w="2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pPr>
              <w:spacing w:before="0" w:after="0"/>
              <w:jc w:val="center"/>
              <w:rPr>
                <w:noProof/>
                <w:color w:val="000000"/>
                <w:sz w:val="14"/>
                <w:szCs w:val="14"/>
              </w:rPr>
            </w:pPr>
            <w:r>
              <w:rPr>
                <w:noProof/>
                <w:color w:val="000000"/>
                <w:sz w:val="14"/>
              </w:rPr>
              <w:t>4.</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pPr>
              <w:spacing w:before="0" w:after="0"/>
              <w:jc w:val="right"/>
              <w:rPr>
                <w:b/>
                <w:bCs/>
                <w:noProof/>
                <w:color w:val="000000"/>
                <w:sz w:val="20"/>
                <w:szCs w:val="20"/>
              </w:rPr>
            </w:pPr>
            <w:r>
              <w:rPr>
                <w:b/>
                <w:noProof/>
                <w:color w:val="000000"/>
                <w:sz w:val="20"/>
              </w:rPr>
              <w:t>40,000</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pPr>
              <w:spacing w:before="0" w:after="0"/>
              <w:jc w:val="right"/>
              <w:rPr>
                <w:b/>
                <w:bCs/>
                <w:noProof/>
                <w:color w:val="000000"/>
                <w:sz w:val="20"/>
                <w:szCs w:val="20"/>
              </w:rPr>
            </w:pPr>
            <w:r>
              <w:rPr>
                <w:b/>
                <w:noProof/>
                <w:color w:val="000000"/>
                <w:sz w:val="20"/>
              </w:rPr>
              <w:t>40,000</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pPr>
              <w:spacing w:before="0" w:after="0"/>
              <w:jc w:val="right"/>
              <w:rPr>
                <w:b/>
                <w:bCs/>
                <w:noProof/>
                <w:color w:val="000000"/>
                <w:sz w:val="20"/>
                <w:szCs w:val="20"/>
              </w:rPr>
            </w:pP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pPr>
              <w:spacing w:before="0" w:after="0"/>
              <w:jc w:val="right"/>
              <w:rPr>
                <w:b/>
                <w:bCs/>
                <w:noProof/>
                <w:color w:val="000000"/>
                <w:sz w:val="20"/>
                <w:szCs w:val="20"/>
              </w:rPr>
            </w:pPr>
            <w:r>
              <w:rPr>
                <w:b/>
                <w:noProof/>
                <w:color w:val="000000"/>
                <w:sz w:val="20"/>
              </w:rPr>
              <w:t>80,000</w:t>
            </w:r>
          </w:p>
        </w:tc>
      </w:tr>
      <w:tr>
        <w:trPr>
          <w:trHeight w:val="302"/>
        </w:trPr>
        <w:tc>
          <w:tcPr>
            <w:tcW w:w="5118" w:type="dxa"/>
            <w:vMerge/>
            <w:tcBorders>
              <w:top w:val="single" w:sz="8" w:space="0" w:color="auto"/>
              <w:left w:val="single" w:sz="8" w:space="0" w:color="auto"/>
              <w:bottom w:val="single" w:sz="8" w:space="0" w:color="000000"/>
              <w:right w:val="single" w:sz="8" w:space="0" w:color="auto"/>
            </w:tcBorders>
            <w:vAlign w:val="center"/>
            <w:hideMark/>
          </w:tcPr>
          <w:p>
            <w:pPr>
              <w:spacing w:before="0" w:after="0"/>
              <w:jc w:val="left"/>
              <w:rPr>
                <w:noProof/>
                <w:color w:val="000000"/>
                <w:sz w:val="21"/>
                <w:szCs w:val="21"/>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pPr>
              <w:spacing w:before="0" w:after="0"/>
              <w:jc w:val="left"/>
              <w:rPr>
                <w:noProof/>
                <w:color w:val="000000"/>
                <w:sz w:val="18"/>
                <w:szCs w:val="18"/>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pPr>
              <w:spacing w:before="0" w:after="0"/>
              <w:jc w:val="left"/>
              <w:rPr>
                <w:noProof/>
                <w:color w:val="000000"/>
                <w:sz w:val="14"/>
                <w:szCs w:val="14"/>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pPr>
              <w:spacing w:before="0" w:after="0"/>
              <w:jc w:val="left"/>
              <w:rPr>
                <w:b/>
                <w:bCs/>
                <w:noProof/>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pPr>
              <w:spacing w:before="0" w:after="0"/>
              <w:jc w:val="left"/>
              <w:rPr>
                <w:b/>
                <w:bCs/>
                <w:noProof/>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pPr>
              <w:spacing w:before="0" w:after="0"/>
              <w:jc w:val="left"/>
              <w:rPr>
                <w:b/>
                <w:bCs/>
                <w:noProof/>
                <w:color w:val="000000"/>
                <w:sz w:val="20"/>
                <w:szCs w:val="20"/>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pPr>
              <w:spacing w:before="0" w:after="0"/>
              <w:jc w:val="left"/>
              <w:rPr>
                <w:b/>
                <w:bCs/>
                <w:noProof/>
                <w:color w:val="000000"/>
                <w:sz w:val="20"/>
                <w:szCs w:val="20"/>
              </w:rPr>
            </w:pPr>
          </w:p>
        </w:tc>
      </w:tr>
      <w:tr>
        <w:trPr>
          <w:trHeight w:val="288"/>
        </w:trPr>
        <w:tc>
          <w:tcPr>
            <w:tcW w:w="5118" w:type="dxa"/>
            <w:vMerge/>
            <w:tcBorders>
              <w:top w:val="single" w:sz="8" w:space="0" w:color="auto"/>
              <w:left w:val="single" w:sz="8" w:space="0" w:color="auto"/>
              <w:bottom w:val="single" w:sz="8" w:space="0" w:color="000000"/>
              <w:right w:val="single" w:sz="8" w:space="0" w:color="auto"/>
            </w:tcBorders>
            <w:vAlign w:val="center"/>
            <w:hideMark/>
          </w:tcPr>
          <w:p>
            <w:pPr>
              <w:spacing w:before="0" w:after="0"/>
              <w:jc w:val="left"/>
              <w:rPr>
                <w:noProof/>
                <w:color w:val="000000"/>
                <w:sz w:val="21"/>
                <w:szCs w:val="21"/>
              </w:rPr>
            </w:pP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rPr>
                <w:noProof/>
                <w:color w:val="000000"/>
                <w:sz w:val="18"/>
                <w:szCs w:val="18"/>
              </w:rPr>
            </w:pPr>
            <w:r>
              <w:rPr>
                <w:noProof/>
                <w:color w:val="000000"/>
                <w:sz w:val="18"/>
              </w:rPr>
              <w:t>Плащания</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center"/>
              <w:rPr>
                <w:noProof/>
                <w:color w:val="000000"/>
                <w:sz w:val="14"/>
                <w:szCs w:val="14"/>
              </w:rPr>
            </w:pPr>
            <w:r>
              <w:rPr>
                <w:noProof/>
                <w:color w:val="000000"/>
                <w:sz w:val="14"/>
              </w:rPr>
              <w:t>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b/>
                <w:bCs/>
                <w:noProof/>
                <w:color w:val="000000"/>
                <w:sz w:val="20"/>
                <w:szCs w:val="20"/>
              </w:rPr>
            </w:pPr>
            <w:r>
              <w:rPr>
                <w:b/>
                <w:noProof/>
                <w:color w:val="000000"/>
                <w:sz w:val="20"/>
              </w:rPr>
              <w:t>17,200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b/>
                <w:bCs/>
                <w:noProof/>
                <w:color w:val="000000"/>
                <w:sz w:val="20"/>
                <w:szCs w:val="20"/>
              </w:rPr>
            </w:pPr>
            <w:r>
              <w:rPr>
                <w:b/>
                <w:noProof/>
                <w:color w:val="000000"/>
                <w:sz w:val="20"/>
              </w:rPr>
              <w:t>28,600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b/>
                <w:bCs/>
                <w:noProof/>
                <w:color w:val="000000"/>
                <w:sz w:val="20"/>
                <w:szCs w:val="20"/>
              </w:rPr>
            </w:pPr>
            <w:r>
              <w:rPr>
                <w:b/>
                <w:noProof/>
                <w:color w:val="000000"/>
                <w:sz w:val="20"/>
              </w:rPr>
              <w:t>34,200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b/>
                <w:bCs/>
                <w:noProof/>
                <w:color w:val="000000"/>
                <w:sz w:val="20"/>
                <w:szCs w:val="20"/>
              </w:rPr>
            </w:pPr>
            <w:r>
              <w:rPr>
                <w:b/>
                <w:noProof/>
                <w:color w:val="000000"/>
                <w:sz w:val="20"/>
              </w:rPr>
              <w:t>80,000</w:t>
            </w:r>
          </w:p>
        </w:tc>
      </w:tr>
      <w:tr>
        <w:trPr>
          <w:trHeight w:val="302"/>
        </w:trPr>
        <w:tc>
          <w:tcPr>
            <w:tcW w:w="5118" w:type="dxa"/>
            <w:vMerge/>
            <w:tcBorders>
              <w:top w:val="single" w:sz="8" w:space="0" w:color="auto"/>
              <w:left w:val="single" w:sz="8" w:space="0" w:color="auto"/>
              <w:bottom w:val="single" w:sz="8" w:space="0" w:color="000000"/>
              <w:right w:val="single" w:sz="8" w:space="0" w:color="auto"/>
            </w:tcBorders>
            <w:vAlign w:val="center"/>
            <w:hideMark/>
          </w:tcPr>
          <w:p>
            <w:pPr>
              <w:spacing w:before="0" w:after="0"/>
              <w:jc w:val="left"/>
              <w:rPr>
                <w:noProof/>
                <w:color w:val="000000"/>
                <w:sz w:val="21"/>
                <w:szCs w:val="21"/>
              </w:rPr>
            </w:pPr>
          </w:p>
        </w:tc>
        <w:tc>
          <w:tcPr>
            <w:tcW w:w="1843" w:type="dxa"/>
            <w:vMerge/>
            <w:tcBorders>
              <w:top w:val="nil"/>
              <w:left w:val="single" w:sz="8" w:space="0" w:color="auto"/>
              <w:bottom w:val="single" w:sz="8" w:space="0" w:color="000000"/>
              <w:right w:val="single" w:sz="8" w:space="0" w:color="auto"/>
            </w:tcBorders>
            <w:vAlign w:val="center"/>
            <w:hideMark/>
          </w:tcPr>
          <w:p>
            <w:pPr>
              <w:spacing w:before="0" w:after="0"/>
              <w:jc w:val="left"/>
              <w:rPr>
                <w:noProof/>
                <w:color w:val="000000"/>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pPr>
              <w:spacing w:before="0" w:after="0"/>
              <w:jc w:val="left"/>
              <w:rPr>
                <w:noProof/>
                <w:color w:val="000000"/>
                <w:sz w:val="14"/>
                <w:szCs w:val="14"/>
              </w:rPr>
            </w:pPr>
          </w:p>
        </w:tc>
        <w:tc>
          <w:tcPr>
            <w:tcW w:w="992" w:type="dxa"/>
            <w:vMerge/>
            <w:tcBorders>
              <w:top w:val="nil"/>
              <w:left w:val="single" w:sz="8" w:space="0" w:color="auto"/>
              <w:bottom w:val="single" w:sz="8" w:space="0" w:color="000000"/>
              <w:right w:val="single" w:sz="8" w:space="0" w:color="auto"/>
            </w:tcBorders>
            <w:vAlign w:val="center"/>
            <w:hideMark/>
          </w:tcPr>
          <w:p>
            <w:pPr>
              <w:spacing w:before="0" w:after="0"/>
              <w:jc w:val="left"/>
              <w:rPr>
                <w:b/>
                <w:bCs/>
                <w:noProof/>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pPr>
              <w:spacing w:before="0" w:after="0"/>
              <w:jc w:val="left"/>
              <w:rPr>
                <w:b/>
                <w:bCs/>
                <w:noProof/>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pPr>
              <w:spacing w:before="0" w:after="0"/>
              <w:jc w:val="left"/>
              <w:rPr>
                <w:b/>
                <w:bCs/>
                <w:noProof/>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pPr>
              <w:spacing w:before="0" w:after="0"/>
              <w:jc w:val="left"/>
              <w:rPr>
                <w:b/>
                <w:bCs/>
                <w:noProof/>
                <w:color w:val="000000"/>
                <w:sz w:val="20"/>
                <w:szCs w:val="20"/>
              </w:rPr>
            </w:pPr>
          </w:p>
        </w:tc>
      </w:tr>
      <w:tr>
        <w:trPr>
          <w:trHeight w:val="734"/>
        </w:trPr>
        <w:tc>
          <w:tcPr>
            <w:tcW w:w="696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pPr>
              <w:pStyle w:val="ListParagraph"/>
              <w:numPr>
                <w:ilvl w:val="0"/>
                <w:numId w:val="18"/>
              </w:numPr>
              <w:spacing w:before="0" w:after="0"/>
              <w:rPr>
                <w:noProof/>
                <w:color w:val="000000"/>
                <w:sz w:val="21"/>
                <w:szCs w:val="21"/>
              </w:rPr>
            </w:pPr>
            <w:r>
              <w:rPr>
                <w:b/>
                <w:noProof/>
                <w:color w:val="000000"/>
                <w:sz w:val="22"/>
              </w:rPr>
              <w:t>ОБЩО оперативни бюджетни кредити за административни разходи, финансирани от пакета за определени програми</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center"/>
              <w:rPr>
                <w:noProof/>
                <w:color w:val="000000"/>
                <w:sz w:val="14"/>
                <w:szCs w:val="14"/>
              </w:rPr>
            </w:pPr>
            <w:r>
              <w:rPr>
                <w:noProof/>
                <w:color w:val="000000"/>
                <w:sz w:val="14"/>
              </w:rPr>
              <w:t>6.</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pPr>
              <w:spacing w:before="0" w:after="0"/>
              <w:jc w:val="right"/>
              <w:rPr>
                <w:b/>
                <w:bCs/>
                <w:noProof/>
                <w:color w:val="000000"/>
                <w:sz w:val="20"/>
                <w:szCs w:val="20"/>
              </w:rPr>
            </w:pP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pPr>
              <w:spacing w:before="0" w:after="0"/>
              <w:jc w:val="right"/>
              <w:rPr>
                <w:b/>
                <w:bCs/>
                <w:noProof/>
                <w:color w:val="000000"/>
                <w:sz w:val="20"/>
                <w:szCs w:val="20"/>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pPr>
              <w:spacing w:before="0" w:after="0"/>
              <w:jc w:val="right"/>
              <w:rPr>
                <w:b/>
                <w:bCs/>
                <w:noProof/>
                <w:color w:val="000000"/>
                <w:sz w:val="20"/>
                <w:szCs w:val="20"/>
              </w:rPr>
            </w:pPr>
          </w:p>
        </w:tc>
        <w:tc>
          <w:tcPr>
            <w:tcW w:w="993" w:type="dxa"/>
            <w:vMerge w:val="restart"/>
            <w:tcBorders>
              <w:top w:val="nil"/>
              <w:left w:val="single" w:sz="8" w:space="0" w:color="auto"/>
              <w:bottom w:val="single" w:sz="8" w:space="0" w:color="000000"/>
              <w:right w:val="single" w:sz="8" w:space="0" w:color="auto"/>
            </w:tcBorders>
            <w:shd w:val="clear" w:color="auto" w:fill="auto"/>
            <w:vAlign w:val="center"/>
          </w:tcPr>
          <w:p>
            <w:pPr>
              <w:spacing w:before="0" w:after="0"/>
              <w:jc w:val="right"/>
              <w:rPr>
                <w:b/>
                <w:bCs/>
                <w:noProof/>
                <w:color w:val="000000"/>
                <w:sz w:val="20"/>
                <w:szCs w:val="20"/>
              </w:rPr>
            </w:pPr>
          </w:p>
        </w:tc>
      </w:tr>
      <w:tr>
        <w:trPr>
          <w:trHeight w:val="302"/>
        </w:trPr>
        <w:tc>
          <w:tcPr>
            <w:tcW w:w="6961" w:type="dxa"/>
            <w:gridSpan w:val="2"/>
            <w:vMerge/>
            <w:tcBorders>
              <w:top w:val="single" w:sz="8" w:space="0" w:color="auto"/>
              <w:left w:val="single" w:sz="8" w:space="0" w:color="auto"/>
              <w:bottom w:val="single" w:sz="8" w:space="0" w:color="000000"/>
              <w:right w:val="single" w:sz="8" w:space="0" w:color="000000"/>
            </w:tcBorders>
            <w:vAlign w:val="center"/>
            <w:hideMark/>
          </w:tcPr>
          <w:p>
            <w:pPr>
              <w:spacing w:before="0" w:after="0"/>
              <w:jc w:val="left"/>
              <w:rPr>
                <w:noProof/>
                <w:color w:val="000000"/>
                <w:sz w:val="21"/>
                <w:szCs w:val="21"/>
              </w:rPr>
            </w:pPr>
          </w:p>
        </w:tc>
        <w:tc>
          <w:tcPr>
            <w:tcW w:w="2410" w:type="dxa"/>
            <w:vMerge/>
            <w:tcBorders>
              <w:top w:val="nil"/>
              <w:left w:val="single" w:sz="8" w:space="0" w:color="auto"/>
              <w:bottom w:val="single" w:sz="8" w:space="0" w:color="000000"/>
              <w:right w:val="single" w:sz="8" w:space="0" w:color="auto"/>
            </w:tcBorders>
            <w:vAlign w:val="center"/>
            <w:hideMark/>
          </w:tcPr>
          <w:p>
            <w:pPr>
              <w:spacing w:before="0" w:after="0"/>
              <w:jc w:val="left"/>
              <w:rPr>
                <w:noProof/>
                <w:color w:val="000000"/>
                <w:sz w:val="14"/>
                <w:szCs w:val="14"/>
              </w:rPr>
            </w:pPr>
          </w:p>
        </w:tc>
        <w:tc>
          <w:tcPr>
            <w:tcW w:w="992" w:type="dxa"/>
            <w:vMerge/>
            <w:tcBorders>
              <w:top w:val="nil"/>
              <w:left w:val="single" w:sz="8" w:space="0" w:color="auto"/>
              <w:bottom w:val="single" w:sz="8" w:space="0" w:color="000000"/>
              <w:right w:val="single" w:sz="8" w:space="0" w:color="auto"/>
            </w:tcBorders>
            <w:vAlign w:val="center"/>
          </w:tcPr>
          <w:p>
            <w:pPr>
              <w:spacing w:before="0" w:after="0"/>
              <w:jc w:val="left"/>
              <w:rPr>
                <w:b/>
                <w:bCs/>
                <w:noProof/>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tcPr>
          <w:p>
            <w:pPr>
              <w:spacing w:before="0" w:after="0"/>
              <w:jc w:val="left"/>
              <w:rPr>
                <w:b/>
                <w:bCs/>
                <w:noProof/>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tcPr>
          <w:p>
            <w:pPr>
              <w:spacing w:before="0" w:after="0"/>
              <w:jc w:val="left"/>
              <w:rPr>
                <w:b/>
                <w:bCs/>
                <w:noProof/>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tcPr>
          <w:p>
            <w:pPr>
              <w:spacing w:before="0" w:after="0"/>
              <w:jc w:val="left"/>
              <w:rPr>
                <w:b/>
                <w:bCs/>
                <w:noProof/>
                <w:color w:val="000000"/>
                <w:sz w:val="20"/>
                <w:szCs w:val="20"/>
              </w:rPr>
            </w:pPr>
          </w:p>
        </w:tc>
      </w:tr>
      <w:tr>
        <w:trPr>
          <w:trHeight w:val="288"/>
        </w:trPr>
        <w:tc>
          <w:tcPr>
            <w:tcW w:w="5118" w:type="dxa"/>
            <w:tcBorders>
              <w:top w:val="nil"/>
              <w:left w:val="single" w:sz="8" w:space="0" w:color="auto"/>
              <w:bottom w:val="nil"/>
              <w:right w:val="single" w:sz="8" w:space="0" w:color="auto"/>
            </w:tcBorders>
            <w:shd w:val="thinDiagStripe" w:color="C0C0C0" w:fill="F1F1F1"/>
            <w:vAlign w:val="center"/>
            <w:hideMark/>
          </w:tcPr>
          <w:p>
            <w:pPr>
              <w:spacing w:before="0" w:after="0"/>
              <w:jc w:val="center"/>
              <w:rPr>
                <w:b/>
                <w:bCs/>
                <w:noProof/>
                <w:color w:val="000000"/>
                <w:sz w:val="22"/>
              </w:rPr>
            </w:pPr>
            <w:r>
              <w:rPr>
                <w:b/>
                <w:noProof/>
                <w:color w:val="000000"/>
                <w:sz w:val="22"/>
              </w:rPr>
              <w:t xml:space="preserve">ОБЩО бюджетни кредити </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rPr>
                <w:noProof/>
                <w:color w:val="000000"/>
                <w:sz w:val="18"/>
                <w:szCs w:val="18"/>
              </w:rPr>
            </w:pPr>
            <w:r>
              <w:rPr>
                <w:noProof/>
                <w:color w:val="000000"/>
                <w:sz w:val="18"/>
              </w:rPr>
              <w:t>Поети задължения</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noProof/>
                <w:color w:val="000000"/>
                <w:sz w:val="14"/>
                <w:szCs w:val="14"/>
              </w:rPr>
            </w:pPr>
            <w:r>
              <w:rPr>
                <w:noProof/>
                <w:color w:val="000000"/>
                <w:sz w:val="14"/>
              </w:rPr>
              <w:t>(4+6)</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b/>
                <w:bCs/>
                <w:noProof/>
                <w:color w:val="000000"/>
                <w:sz w:val="22"/>
              </w:rPr>
            </w:pPr>
            <w:r>
              <w:rPr>
                <w:b/>
                <w:noProof/>
                <w:color w:val="000000"/>
                <w:sz w:val="22"/>
              </w:rPr>
              <w:t>40,000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b/>
                <w:bCs/>
                <w:noProof/>
                <w:color w:val="000000"/>
                <w:sz w:val="22"/>
              </w:rPr>
            </w:pPr>
            <w:r>
              <w:rPr>
                <w:b/>
                <w:noProof/>
                <w:color w:val="000000"/>
                <w:sz w:val="22"/>
              </w:rPr>
              <w:t>40,000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b/>
                <w:bCs/>
                <w:noProof/>
                <w:color w:val="000000"/>
                <w:szCs w:val="24"/>
              </w:rPr>
            </w:pP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b/>
                <w:bCs/>
                <w:noProof/>
                <w:color w:val="000000"/>
                <w:sz w:val="22"/>
              </w:rPr>
            </w:pPr>
            <w:r>
              <w:rPr>
                <w:b/>
                <w:noProof/>
                <w:color w:val="000000"/>
                <w:sz w:val="22"/>
              </w:rPr>
              <w:t>80,000</w:t>
            </w:r>
          </w:p>
        </w:tc>
      </w:tr>
      <w:tr>
        <w:trPr>
          <w:trHeight w:val="302"/>
        </w:trPr>
        <w:tc>
          <w:tcPr>
            <w:tcW w:w="5118" w:type="dxa"/>
            <w:tcBorders>
              <w:top w:val="nil"/>
              <w:left w:val="single" w:sz="8" w:space="0" w:color="auto"/>
              <w:bottom w:val="nil"/>
              <w:right w:val="single" w:sz="8" w:space="0" w:color="auto"/>
            </w:tcBorders>
            <w:shd w:val="thinDiagStripe" w:color="C0C0C0" w:fill="F1F1F1"/>
            <w:vAlign w:val="center"/>
            <w:hideMark/>
          </w:tcPr>
          <w:p>
            <w:pPr>
              <w:spacing w:before="0" w:after="0"/>
              <w:jc w:val="center"/>
              <w:rPr>
                <w:b/>
                <w:bCs/>
                <w:noProof/>
                <w:color w:val="000000"/>
                <w:sz w:val="22"/>
              </w:rPr>
            </w:pPr>
            <w:r>
              <w:rPr>
                <w:b/>
                <w:noProof/>
                <w:color w:val="000000"/>
                <w:sz w:val="22"/>
              </w:rPr>
              <w:t>по ФУНКЦИЯ 1б</w:t>
            </w:r>
          </w:p>
        </w:tc>
        <w:tc>
          <w:tcPr>
            <w:tcW w:w="1843" w:type="dxa"/>
            <w:vMerge/>
            <w:tcBorders>
              <w:top w:val="nil"/>
              <w:left w:val="single" w:sz="8" w:space="0" w:color="auto"/>
              <w:bottom w:val="single" w:sz="8" w:space="0" w:color="000000"/>
              <w:right w:val="single" w:sz="8" w:space="0" w:color="auto"/>
            </w:tcBorders>
            <w:vAlign w:val="center"/>
            <w:hideMark/>
          </w:tcPr>
          <w:p>
            <w:pPr>
              <w:spacing w:before="0" w:after="0"/>
              <w:jc w:val="left"/>
              <w:rPr>
                <w:noProof/>
                <w:color w:val="000000"/>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pPr>
              <w:spacing w:before="0" w:after="0"/>
              <w:jc w:val="left"/>
              <w:rPr>
                <w:noProof/>
                <w:color w:val="000000"/>
                <w:sz w:val="14"/>
                <w:szCs w:val="14"/>
              </w:rPr>
            </w:pPr>
          </w:p>
        </w:tc>
        <w:tc>
          <w:tcPr>
            <w:tcW w:w="992" w:type="dxa"/>
            <w:vMerge/>
            <w:tcBorders>
              <w:top w:val="nil"/>
              <w:left w:val="single" w:sz="8" w:space="0" w:color="auto"/>
              <w:bottom w:val="single" w:sz="8" w:space="0" w:color="000000"/>
              <w:right w:val="single" w:sz="8" w:space="0" w:color="auto"/>
            </w:tcBorders>
            <w:vAlign w:val="center"/>
            <w:hideMark/>
          </w:tcPr>
          <w:p>
            <w:pPr>
              <w:spacing w:before="0" w:after="0"/>
              <w:jc w:val="left"/>
              <w:rPr>
                <w:b/>
                <w:bCs/>
                <w:noProof/>
                <w:color w:val="000000"/>
                <w:sz w:val="22"/>
              </w:rPr>
            </w:pPr>
          </w:p>
        </w:tc>
        <w:tc>
          <w:tcPr>
            <w:tcW w:w="992" w:type="dxa"/>
            <w:vMerge/>
            <w:tcBorders>
              <w:top w:val="nil"/>
              <w:left w:val="single" w:sz="8" w:space="0" w:color="auto"/>
              <w:bottom w:val="single" w:sz="8" w:space="0" w:color="000000"/>
              <w:right w:val="single" w:sz="8" w:space="0" w:color="auto"/>
            </w:tcBorders>
            <w:vAlign w:val="center"/>
            <w:hideMark/>
          </w:tcPr>
          <w:p>
            <w:pPr>
              <w:spacing w:before="0" w:after="0"/>
              <w:jc w:val="left"/>
              <w:rPr>
                <w:b/>
                <w:bCs/>
                <w:noProof/>
                <w:color w:val="000000"/>
                <w:sz w:val="22"/>
              </w:rPr>
            </w:pPr>
          </w:p>
        </w:tc>
        <w:tc>
          <w:tcPr>
            <w:tcW w:w="1134" w:type="dxa"/>
            <w:vMerge/>
            <w:tcBorders>
              <w:top w:val="nil"/>
              <w:left w:val="single" w:sz="8" w:space="0" w:color="auto"/>
              <w:bottom w:val="single" w:sz="8" w:space="0" w:color="000000"/>
              <w:right w:val="single" w:sz="8" w:space="0" w:color="auto"/>
            </w:tcBorders>
            <w:vAlign w:val="center"/>
            <w:hideMark/>
          </w:tcPr>
          <w:p>
            <w:pPr>
              <w:spacing w:before="0" w:after="0"/>
              <w:jc w:val="left"/>
              <w:rPr>
                <w:b/>
                <w:bCs/>
                <w:noProof/>
                <w:color w:val="000000"/>
                <w:szCs w:val="24"/>
              </w:rPr>
            </w:pPr>
          </w:p>
        </w:tc>
        <w:tc>
          <w:tcPr>
            <w:tcW w:w="993" w:type="dxa"/>
            <w:vMerge/>
            <w:tcBorders>
              <w:top w:val="nil"/>
              <w:left w:val="single" w:sz="8" w:space="0" w:color="auto"/>
              <w:bottom w:val="single" w:sz="8" w:space="0" w:color="000000"/>
              <w:right w:val="single" w:sz="8" w:space="0" w:color="auto"/>
            </w:tcBorders>
            <w:vAlign w:val="center"/>
            <w:hideMark/>
          </w:tcPr>
          <w:p>
            <w:pPr>
              <w:spacing w:before="0" w:after="0"/>
              <w:jc w:val="left"/>
              <w:rPr>
                <w:b/>
                <w:bCs/>
                <w:noProof/>
                <w:color w:val="000000"/>
                <w:sz w:val="22"/>
              </w:rPr>
            </w:pPr>
          </w:p>
        </w:tc>
      </w:tr>
      <w:tr>
        <w:trPr>
          <w:trHeight w:val="576"/>
        </w:trPr>
        <w:tc>
          <w:tcPr>
            <w:tcW w:w="5118" w:type="dxa"/>
            <w:tcBorders>
              <w:top w:val="nil"/>
              <w:left w:val="single" w:sz="8" w:space="0" w:color="auto"/>
              <w:bottom w:val="nil"/>
              <w:right w:val="single" w:sz="8" w:space="0" w:color="auto"/>
            </w:tcBorders>
            <w:shd w:val="thinDiagStripe" w:color="C0C0C0" w:fill="F1F1F1"/>
            <w:vAlign w:val="center"/>
            <w:hideMark/>
          </w:tcPr>
          <w:p>
            <w:pPr>
              <w:spacing w:before="0" w:after="0"/>
              <w:jc w:val="center"/>
              <w:rPr>
                <w:noProof/>
                <w:color w:val="000000"/>
                <w:sz w:val="22"/>
              </w:rPr>
            </w:pP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rPr>
                <w:noProof/>
                <w:color w:val="000000"/>
                <w:sz w:val="18"/>
                <w:szCs w:val="18"/>
              </w:rPr>
            </w:pPr>
            <w:r>
              <w:rPr>
                <w:noProof/>
                <w:color w:val="000000"/>
                <w:sz w:val="18"/>
              </w:rPr>
              <w:t>Плащания</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noProof/>
                <w:color w:val="000000"/>
                <w:sz w:val="14"/>
                <w:szCs w:val="14"/>
              </w:rPr>
            </w:pPr>
            <w:r>
              <w:rPr>
                <w:noProof/>
                <w:color w:val="000000"/>
                <w:sz w:val="14"/>
              </w:rPr>
              <w:t>(5+6)</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b/>
                <w:bCs/>
                <w:noProof/>
                <w:color w:val="000000"/>
                <w:sz w:val="22"/>
              </w:rPr>
            </w:pPr>
            <w:r>
              <w:rPr>
                <w:b/>
                <w:noProof/>
                <w:color w:val="000000"/>
                <w:sz w:val="22"/>
              </w:rPr>
              <w:t>17,200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b/>
                <w:bCs/>
                <w:noProof/>
                <w:color w:val="000000"/>
                <w:sz w:val="22"/>
              </w:rPr>
            </w:pPr>
            <w:r>
              <w:rPr>
                <w:b/>
                <w:noProof/>
                <w:color w:val="000000"/>
                <w:sz w:val="22"/>
              </w:rPr>
              <w:t>28,600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b/>
                <w:bCs/>
                <w:noProof/>
                <w:color w:val="000000"/>
                <w:sz w:val="22"/>
              </w:rPr>
            </w:pPr>
            <w:r>
              <w:rPr>
                <w:b/>
                <w:noProof/>
                <w:color w:val="000000"/>
                <w:sz w:val="22"/>
              </w:rPr>
              <w:t>34,200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b/>
                <w:bCs/>
                <w:noProof/>
                <w:color w:val="000000"/>
                <w:sz w:val="22"/>
              </w:rPr>
            </w:pPr>
            <w:r>
              <w:rPr>
                <w:b/>
                <w:noProof/>
                <w:color w:val="000000"/>
                <w:sz w:val="22"/>
              </w:rPr>
              <w:t>80,000</w:t>
            </w:r>
          </w:p>
        </w:tc>
      </w:tr>
      <w:tr>
        <w:trPr>
          <w:trHeight w:val="302"/>
        </w:trPr>
        <w:tc>
          <w:tcPr>
            <w:tcW w:w="5118" w:type="dxa"/>
            <w:tcBorders>
              <w:top w:val="nil"/>
              <w:left w:val="single" w:sz="8" w:space="0" w:color="auto"/>
              <w:bottom w:val="single" w:sz="8" w:space="0" w:color="auto"/>
              <w:right w:val="single" w:sz="8" w:space="0" w:color="auto"/>
            </w:tcBorders>
            <w:shd w:val="thinDiagStripe" w:color="C0C0C0" w:fill="F1F1F1"/>
            <w:vAlign w:val="center"/>
            <w:hideMark/>
          </w:tcPr>
          <w:p>
            <w:pPr>
              <w:spacing w:before="0" w:after="0"/>
              <w:jc w:val="left"/>
              <w:rPr>
                <w:rFonts w:ascii="Calibri" w:hAnsi="Calibri" w:cs="Calibri"/>
                <w:noProof/>
                <w:color w:val="000000"/>
                <w:sz w:val="22"/>
              </w:rPr>
            </w:pPr>
            <w:r>
              <w:rPr>
                <w:rFonts w:ascii="Calibri" w:hAnsi="Calibri"/>
                <w:noProof/>
                <w:color w:val="000000"/>
                <w:sz w:val="22"/>
              </w:rPr>
              <w:t> </w:t>
            </w:r>
          </w:p>
        </w:tc>
        <w:tc>
          <w:tcPr>
            <w:tcW w:w="1843" w:type="dxa"/>
            <w:vMerge/>
            <w:tcBorders>
              <w:top w:val="nil"/>
              <w:left w:val="single" w:sz="8" w:space="0" w:color="auto"/>
              <w:bottom w:val="single" w:sz="8" w:space="0" w:color="000000"/>
              <w:right w:val="single" w:sz="8" w:space="0" w:color="auto"/>
            </w:tcBorders>
            <w:vAlign w:val="center"/>
            <w:hideMark/>
          </w:tcPr>
          <w:p>
            <w:pPr>
              <w:spacing w:before="0" w:after="0"/>
              <w:jc w:val="left"/>
              <w:rPr>
                <w:noProof/>
                <w:color w:val="000000"/>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pPr>
              <w:spacing w:before="0" w:after="0"/>
              <w:jc w:val="left"/>
              <w:rPr>
                <w:noProof/>
                <w:color w:val="000000"/>
                <w:sz w:val="14"/>
                <w:szCs w:val="14"/>
              </w:rPr>
            </w:pPr>
          </w:p>
        </w:tc>
        <w:tc>
          <w:tcPr>
            <w:tcW w:w="992" w:type="dxa"/>
            <w:vMerge/>
            <w:tcBorders>
              <w:top w:val="nil"/>
              <w:left w:val="single" w:sz="8" w:space="0" w:color="auto"/>
              <w:bottom w:val="single" w:sz="8" w:space="0" w:color="000000"/>
              <w:right w:val="single" w:sz="8" w:space="0" w:color="auto"/>
            </w:tcBorders>
            <w:vAlign w:val="center"/>
            <w:hideMark/>
          </w:tcPr>
          <w:p>
            <w:pPr>
              <w:spacing w:before="0" w:after="0"/>
              <w:jc w:val="left"/>
              <w:rPr>
                <w:b/>
                <w:bCs/>
                <w:noProof/>
                <w:color w:val="000000"/>
                <w:sz w:val="22"/>
              </w:rPr>
            </w:pPr>
          </w:p>
        </w:tc>
        <w:tc>
          <w:tcPr>
            <w:tcW w:w="992" w:type="dxa"/>
            <w:vMerge/>
            <w:tcBorders>
              <w:top w:val="nil"/>
              <w:left w:val="single" w:sz="8" w:space="0" w:color="auto"/>
              <w:bottom w:val="single" w:sz="8" w:space="0" w:color="000000"/>
              <w:right w:val="single" w:sz="8" w:space="0" w:color="auto"/>
            </w:tcBorders>
            <w:vAlign w:val="center"/>
            <w:hideMark/>
          </w:tcPr>
          <w:p>
            <w:pPr>
              <w:spacing w:before="0" w:after="0"/>
              <w:jc w:val="left"/>
              <w:rPr>
                <w:b/>
                <w:bCs/>
                <w:noProof/>
                <w:color w:val="000000"/>
                <w:sz w:val="22"/>
              </w:rPr>
            </w:pPr>
          </w:p>
        </w:tc>
        <w:tc>
          <w:tcPr>
            <w:tcW w:w="1134" w:type="dxa"/>
            <w:vMerge/>
            <w:tcBorders>
              <w:top w:val="nil"/>
              <w:left w:val="single" w:sz="8" w:space="0" w:color="auto"/>
              <w:bottom w:val="single" w:sz="8" w:space="0" w:color="000000"/>
              <w:right w:val="single" w:sz="8" w:space="0" w:color="auto"/>
            </w:tcBorders>
            <w:vAlign w:val="center"/>
            <w:hideMark/>
          </w:tcPr>
          <w:p>
            <w:pPr>
              <w:spacing w:before="0" w:after="0"/>
              <w:jc w:val="left"/>
              <w:rPr>
                <w:b/>
                <w:bCs/>
                <w:noProof/>
                <w:color w:val="000000"/>
                <w:sz w:val="22"/>
              </w:rPr>
            </w:pPr>
          </w:p>
        </w:tc>
        <w:tc>
          <w:tcPr>
            <w:tcW w:w="993" w:type="dxa"/>
            <w:vMerge/>
            <w:tcBorders>
              <w:top w:val="nil"/>
              <w:left w:val="single" w:sz="8" w:space="0" w:color="auto"/>
              <w:bottom w:val="single" w:sz="8" w:space="0" w:color="000000"/>
              <w:right w:val="single" w:sz="8" w:space="0" w:color="auto"/>
            </w:tcBorders>
            <w:vAlign w:val="center"/>
            <w:hideMark/>
          </w:tcPr>
          <w:p>
            <w:pPr>
              <w:spacing w:before="0" w:after="0"/>
              <w:jc w:val="left"/>
              <w:rPr>
                <w:b/>
                <w:bCs/>
                <w:noProof/>
                <w:color w:val="000000"/>
                <w:sz w:val="22"/>
              </w:rPr>
            </w:pPr>
          </w:p>
        </w:tc>
      </w:tr>
    </w:tbl>
    <w:p>
      <w:pPr>
        <w:jc w:val="left"/>
        <w:rPr>
          <w:noProof/>
          <w:sz w:val="20"/>
        </w:rPr>
      </w:pPr>
    </w:p>
    <w:p>
      <w:pPr>
        <w:jc w:val="left"/>
        <w:rPr>
          <w:noProof/>
          <w:sz w:val="20"/>
        </w:rPr>
      </w:pPr>
    </w:p>
    <w:tbl>
      <w:tblPr>
        <w:tblW w:w="13827" w:type="dxa"/>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5463"/>
        <w:gridCol w:w="1843"/>
        <w:gridCol w:w="2410"/>
        <w:gridCol w:w="992"/>
        <w:gridCol w:w="992"/>
        <w:gridCol w:w="1134"/>
        <w:gridCol w:w="993"/>
      </w:tblGrid>
      <w:tr>
        <w:tc>
          <w:tcPr>
            <w:tcW w:w="5463"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ОБЩО бюджетни кредити</w:t>
            </w:r>
            <w:r>
              <w:rPr>
                <w:noProof/>
                <w:sz w:val="22"/>
              </w:rPr>
              <w:br/>
            </w:r>
            <w:r>
              <w:rPr>
                <w:b/>
                <w:noProof/>
                <w:sz w:val="22"/>
              </w:rPr>
              <w:t>за ФУНКЦИИ 1—4</w:t>
            </w:r>
            <w:r>
              <w:rPr>
                <w:noProof/>
                <w:sz w:val="22"/>
              </w:rPr>
              <w:br/>
              <w:t>от многогодишната финансова рамка</w:t>
            </w:r>
            <w:r>
              <w:rPr>
                <w:noProof/>
                <w:sz w:val="22"/>
              </w:rPr>
              <w:br/>
            </w:r>
            <w:r>
              <w:rPr>
                <w:noProof/>
                <w:sz w:val="20"/>
              </w:rPr>
              <w:t>(Референтна стойност)</w:t>
            </w:r>
          </w:p>
        </w:tc>
        <w:tc>
          <w:tcPr>
            <w:tcW w:w="1843" w:type="dxa"/>
            <w:vAlign w:val="center"/>
          </w:tcPr>
          <w:p>
            <w:pPr>
              <w:rPr>
                <w:noProof/>
                <w:sz w:val="18"/>
              </w:rPr>
            </w:pPr>
            <w:r>
              <w:rPr>
                <w:noProof/>
                <w:sz w:val="18"/>
              </w:rPr>
              <w:t>Поети задължения</w:t>
            </w:r>
          </w:p>
        </w:tc>
        <w:tc>
          <w:tcPr>
            <w:tcW w:w="2410" w:type="dxa"/>
            <w:vAlign w:val="center"/>
          </w:tcPr>
          <w:p>
            <w:pPr>
              <w:jc w:val="center"/>
              <w:rPr>
                <w:noProof/>
                <w:sz w:val="14"/>
              </w:rPr>
            </w:pPr>
            <w:r>
              <w:rPr>
                <w:noProof/>
                <w:sz w:val="14"/>
              </w:rPr>
              <w:t>=4+ 6</w:t>
            </w:r>
          </w:p>
        </w:tc>
        <w:tc>
          <w:tcPr>
            <w:tcW w:w="992" w:type="dxa"/>
            <w:vAlign w:val="center"/>
          </w:tcPr>
          <w:p>
            <w:pPr>
              <w:spacing w:before="20" w:after="20"/>
              <w:jc w:val="right"/>
              <w:rPr>
                <w:noProof/>
                <w:sz w:val="20"/>
              </w:rPr>
            </w:pPr>
            <w:r>
              <w:rPr>
                <w:noProof/>
                <w:sz w:val="20"/>
              </w:rPr>
              <w:t>40,000</w:t>
            </w:r>
          </w:p>
        </w:tc>
        <w:tc>
          <w:tcPr>
            <w:tcW w:w="992" w:type="dxa"/>
            <w:vAlign w:val="center"/>
          </w:tcPr>
          <w:p>
            <w:pPr>
              <w:spacing w:before="20" w:after="20"/>
              <w:jc w:val="right"/>
              <w:rPr>
                <w:noProof/>
                <w:sz w:val="20"/>
              </w:rPr>
            </w:pPr>
            <w:r>
              <w:rPr>
                <w:noProof/>
                <w:sz w:val="20"/>
              </w:rPr>
              <w:t>40,000</w:t>
            </w:r>
          </w:p>
        </w:tc>
        <w:tc>
          <w:tcPr>
            <w:tcW w:w="1134" w:type="dxa"/>
            <w:vAlign w:val="center"/>
          </w:tcPr>
          <w:p>
            <w:pPr>
              <w:spacing w:before="20" w:after="20"/>
              <w:jc w:val="right"/>
              <w:rPr>
                <w:b/>
                <w:noProof/>
                <w:sz w:val="20"/>
              </w:rPr>
            </w:pPr>
          </w:p>
        </w:tc>
        <w:tc>
          <w:tcPr>
            <w:tcW w:w="993" w:type="dxa"/>
            <w:tcBorders>
              <w:right w:val="single" w:sz="4" w:space="0" w:color="auto"/>
            </w:tcBorders>
            <w:vAlign w:val="center"/>
          </w:tcPr>
          <w:p>
            <w:pPr>
              <w:spacing w:before="20" w:after="20"/>
              <w:jc w:val="right"/>
              <w:rPr>
                <w:b/>
                <w:noProof/>
                <w:sz w:val="20"/>
              </w:rPr>
            </w:pPr>
            <w:r>
              <w:rPr>
                <w:b/>
                <w:noProof/>
                <w:sz w:val="20"/>
              </w:rPr>
              <w:t>80,000</w:t>
            </w:r>
          </w:p>
        </w:tc>
      </w:tr>
      <w:tr>
        <w:tc>
          <w:tcPr>
            <w:tcW w:w="5463"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843" w:type="dxa"/>
            <w:tcBorders>
              <w:bottom w:val="single" w:sz="4" w:space="0" w:color="FF0000"/>
            </w:tcBorders>
            <w:vAlign w:val="center"/>
          </w:tcPr>
          <w:p>
            <w:pPr>
              <w:rPr>
                <w:noProof/>
                <w:sz w:val="18"/>
              </w:rPr>
            </w:pPr>
            <w:r>
              <w:rPr>
                <w:noProof/>
                <w:sz w:val="18"/>
              </w:rPr>
              <w:t>Плащания</w:t>
            </w:r>
          </w:p>
        </w:tc>
        <w:tc>
          <w:tcPr>
            <w:tcW w:w="2410" w:type="dxa"/>
            <w:tcBorders>
              <w:bottom w:val="single" w:sz="4" w:space="0" w:color="FF0000"/>
            </w:tcBorders>
            <w:vAlign w:val="center"/>
          </w:tcPr>
          <w:p>
            <w:pPr>
              <w:jc w:val="center"/>
              <w:rPr>
                <w:noProof/>
                <w:sz w:val="14"/>
              </w:rPr>
            </w:pPr>
            <w:r>
              <w:rPr>
                <w:noProof/>
                <w:sz w:val="14"/>
              </w:rPr>
              <w:t>=5+ 6</w:t>
            </w:r>
          </w:p>
        </w:tc>
        <w:tc>
          <w:tcPr>
            <w:tcW w:w="992" w:type="dxa"/>
            <w:tcBorders>
              <w:bottom w:val="single" w:sz="4" w:space="0" w:color="FF0000"/>
            </w:tcBorders>
            <w:vAlign w:val="center"/>
          </w:tcPr>
          <w:p>
            <w:pPr>
              <w:spacing w:before="20" w:after="20"/>
              <w:jc w:val="right"/>
              <w:rPr>
                <w:noProof/>
                <w:sz w:val="20"/>
              </w:rPr>
            </w:pPr>
            <w:r>
              <w:rPr>
                <w:noProof/>
                <w:sz w:val="20"/>
              </w:rPr>
              <w:t>17,200</w:t>
            </w:r>
          </w:p>
        </w:tc>
        <w:tc>
          <w:tcPr>
            <w:tcW w:w="992" w:type="dxa"/>
            <w:tcBorders>
              <w:bottom w:val="single" w:sz="4" w:space="0" w:color="FF0000"/>
            </w:tcBorders>
            <w:vAlign w:val="center"/>
          </w:tcPr>
          <w:p>
            <w:pPr>
              <w:spacing w:before="20" w:after="20"/>
              <w:jc w:val="right"/>
              <w:rPr>
                <w:noProof/>
                <w:sz w:val="20"/>
              </w:rPr>
            </w:pPr>
            <w:r>
              <w:rPr>
                <w:noProof/>
                <w:sz w:val="20"/>
              </w:rPr>
              <w:t>28,600</w:t>
            </w:r>
          </w:p>
        </w:tc>
        <w:tc>
          <w:tcPr>
            <w:tcW w:w="1134" w:type="dxa"/>
            <w:tcBorders>
              <w:bottom w:val="single" w:sz="4" w:space="0" w:color="FF0000"/>
            </w:tcBorders>
            <w:vAlign w:val="center"/>
          </w:tcPr>
          <w:p>
            <w:pPr>
              <w:spacing w:before="20" w:after="20"/>
              <w:jc w:val="right"/>
              <w:rPr>
                <w:b/>
                <w:noProof/>
                <w:sz w:val="20"/>
              </w:rPr>
            </w:pPr>
            <w:r>
              <w:rPr>
                <w:b/>
                <w:noProof/>
                <w:sz w:val="20"/>
              </w:rPr>
              <w:t>34,200</w:t>
            </w:r>
          </w:p>
        </w:tc>
        <w:tc>
          <w:tcPr>
            <w:tcW w:w="993" w:type="dxa"/>
            <w:tcBorders>
              <w:bottom w:val="single" w:sz="4" w:space="0" w:color="FF0000"/>
              <w:right w:val="single" w:sz="4" w:space="0" w:color="auto"/>
            </w:tcBorders>
            <w:vAlign w:val="center"/>
          </w:tcPr>
          <w:p>
            <w:pPr>
              <w:spacing w:before="20" w:after="20"/>
              <w:jc w:val="right"/>
              <w:rPr>
                <w:b/>
                <w:noProof/>
                <w:sz w:val="20"/>
              </w:rPr>
            </w:pPr>
            <w:r>
              <w:rPr>
                <w:b/>
                <w:noProof/>
                <w:sz w:val="20"/>
              </w:rPr>
              <w:t>80,000</w:t>
            </w:r>
          </w:p>
        </w:tc>
      </w:tr>
    </w:tbl>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Функция от многогодишната финансова</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„Административни разходи“</w:t>
            </w:r>
          </w:p>
        </w:tc>
      </w:tr>
    </w:tbl>
    <w:p>
      <w:pPr>
        <w:jc w:val="right"/>
        <w:rPr>
          <w:noProof/>
          <w:sz w:val="20"/>
        </w:rPr>
      </w:pPr>
      <w:r>
        <w:rPr>
          <w:noProof/>
          <w:sz w:val="20"/>
        </w:rPr>
        <w:t>В млн. евро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b/>
                <w:noProof/>
                <w:sz w:val="20"/>
              </w:rPr>
              <w:t>2019</w:t>
            </w:r>
          </w:p>
        </w:tc>
        <w:tc>
          <w:tcPr>
            <w:tcW w:w="868" w:type="dxa"/>
            <w:vAlign w:val="center"/>
          </w:tcPr>
          <w:p>
            <w:pPr>
              <w:jc w:val="center"/>
              <w:rPr>
                <w:noProof/>
                <w:sz w:val="20"/>
              </w:rPr>
            </w:pPr>
            <w:r>
              <w:rPr>
                <w:noProof/>
                <w:sz w:val="20"/>
              </w:rPr>
              <w:t>Година</w:t>
            </w:r>
            <w:r>
              <w:rPr>
                <w:b/>
                <w:noProof/>
                <w:sz w:val="20"/>
              </w:rPr>
              <w:t>2020</w:t>
            </w:r>
          </w:p>
        </w:tc>
        <w:tc>
          <w:tcPr>
            <w:tcW w:w="868" w:type="dxa"/>
            <w:vAlign w:val="center"/>
          </w:tcPr>
          <w:p>
            <w:pPr>
              <w:jc w:val="center"/>
              <w:rPr>
                <w:noProof/>
                <w:sz w:val="20"/>
              </w:rPr>
            </w:pPr>
          </w:p>
        </w:tc>
        <w:tc>
          <w:tcPr>
            <w:tcW w:w="868" w:type="dxa"/>
            <w:vAlign w:val="center"/>
          </w:tcPr>
          <w:p>
            <w:pPr>
              <w:jc w:val="center"/>
              <w:rPr>
                <w:noProof/>
                <w:sz w:val="20"/>
              </w:rPr>
            </w:pPr>
          </w:p>
        </w:tc>
        <w:tc>
          <w:tcPr>
            <w:tcW w:w="2604" w:type="dxa"/>
            <w:gridSpan w:val="3"/>
            <w:vAlign w:val="center"/>
          </w:tcPr>
          <w:p>
            <w:pPr>
              <w:jc w:val="center"/>
              <w:rPr>
                <w:b/>
                <w:noProof/>
                <w:sz w:val="18"/>
              </w:rPr>
            </w:pPr>
            <w:r>
              <w:rPr>
                <w:noProof/>
                <w:sz w:val="18"/>
              </w:rPr>
              <w:t xml:space="preserve">Да се добавят толкова години, колкото е необходимо, за да се обхване продължителността на отражението (вж. точка 1.6) </w:t>
            </w:r>
          </w:p>
        </w:tc>
        <w:tc>
          <w:tcPr>
            <w:tcW w:w="1777" w:type="dxa"/>
            <w:vAlign w:val="center"/>
          </w:tcPr>
          <w:p>
            <w:pPr>
              <w:jc w:val="center"/>
              <w:rPr>
                <w:b/>
                <w:noProof/>
                <w:sz w:val="20"/>
              </w:rPr>
            </w:pPr>
            <w:r>
              <w:rPr>
                <w:b/>
                <w:noProof/>
                <w:sz w:val="20"/>
              </w:rPr>
              <w:t>ОБЩО</w:t>
            </w:r>
          </w:p>
        </w:tc>
      </w:tr>
      <w:tr>
        <w:trPr>
          <w:gridAfter w:val="10"/>
          <w:wAfter w:w="9947" w:type="dxa"/>
        </w:trPr>
        <w:tc>
          <w:tcPr>
            <w:tcW w:w="3960" w:type="dxa"/>
            <w:vAlign w:val="center"/>
          </w:tcPr>
          <w:p>
            <w:pPr>
              <w:spacing w:before="60" w:after="60"/>
              <w:jc w:val="center"/>
              <w:rPr>
                <w:noProof/>
              </w:rPr>
            </w:pPr>
            <w:r>
              <w:rPr>
                <w:noProof/>
                <w:sz w:val="22"/>
              </w:rPr>
              <w:t>ГД: SG/SRSS</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Човешки ресурси</w:t>
            </w:r>
          </w:p>
        </w:tc>
        <w:tc>
          <w:tcPr>
            <w:tcW w:w="868" w:type="dxa"/>
            <w:vAlign w:val="center"/>
          </w:tcPr>
          <w:p>
            <w:pPr>
              <w:spacing w:before="20" w:after="20"/>
              <w:jc w:val="right"/>
              <w:rPr>
                <w:noProof/>
                <w:sz w:val="20"/>
              </w:rPr>
            </w:pPr>
            <w:r>
              <w:rPr>
                <w:noProof/>
                <w:sz w:val="20"/>
              </w:rPr>
              <w:t>3,594</w:t>
            </w:r>
          </w:p>
        </w:tc>
        <w:tc>
          <w:tcPr>
            <w:tcW w:w="868" w:type="dxa"/>
            <w:vAlign w:val="center"/>
          </w:tcPr>
          <w:p>
            <w:pPr>
              <w:spacing w:before="20" w:after="20"/>
              <w:jc w:val="right"/>
              <w:rPr>
                <w:noProof/>
                <w:sz w:val="20"/>
              </w:rPr>
            </w:pPr>
            <w:r>
              <w:rPr>
                <w:noProof/>
                <w:sz w:val="20"/>
              </w:rPr>
              <w:t>3,594</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7,188</w:t>
            </w: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Други административни разходи</w:t>
            </w:r>
          </w:p>
        </w:tc>
        <w:tc>
          <w:tcPr>
            <w:tcW w:w="868" w:type="dxa"/>
            <w:vAlign w:val="center"/>
          </w:tcPr>
          <w:p>
            <w:pPr>
              <w:spacing w:before="20" w:after="20"/>
              <w:jc w:val="right"/>
              <w:rPr>
                <w:b/>
                <w:noProof/>
                <w:sz w:val="20"/>
              </w:rPr>
            </w:pPr>
            <w:r>
              <w:rPr>
                <w:rFonts w:ascii="Arial Narrow" w:hAnsi="Arial Narrow"/>
                <w:noProof/>
                <w:sz w:val="20"/>
              </w:rPr>
              <w:t>0,300</w:t>
            </w:r>
          </w:p>
        </w:tc>
        <w:tc>
          <w:tcPr>
            <w:tcW w:w="868" w:type="dxa"/>
            <w:vAlign w:val="center"/>
          </w:tcPr>
          <w:p>
            <w:pPr>
              <w:spacing w:before="20" w:after="20"/>
              <w:jc w:val="right"/>
              <w:rPr>
                <w:b/>
                <w:noProof/>
                <w:sz w:val="20"/>
              </w:rPr>
            </w:pPr>
            <w:r>
              <w:rPr>
                <w:rFonts w:ascii="Arial Narrow" w:hAnsi="Arial Narrow"/>
                <w:noProof/>
                <w:sz w:val="20"/>
              </w:rPr>
              <w:t>0,300</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0,600</w:t>
            </w:r>
          </w:p>
        </w:tc>
      </w:tr>
      <w:tr>
        <w:tc>
          <w:tcPr>
            <w:tcW w:w="3960" w:type="dxa"/>
            <w:vAlign w:val="center"/>
          </w:tcPr>
          <w:p>
            <w:pPr>
              <w:jc w:val="center"/>
              <w:rPr>
                <w:b/>
                <w:noProof/>
              </w:rPr>
            </w:pPr>
            <w:r>
              <w:rPr>
                <w:b/>
                <w:noProof/>
                <w:sz w:val="22"/>
              </w:rPr>
              <w:t>ОБЩО ГД</w:t>
            </w:r>
            <w:r>
              <w:rPr>
                <w:noProof/>
              </w:rPr>
              <w:t xml:space="preserve"> </w:t>
            </w:r>
            <w:r>
              <w:rPr>
                <w:b/>
                <w:noProof/>
                <w:sz w:val="22"/>
              </w:rPr>
              <w:t>SG/SRSS</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20"/>
              </w:rPr>
            </w:pPr>
            <w:r>
              <w:rPr>
                <w:noProof/>
                <w:sz w:val="20"/>
              </w:rPr>
              <w:t>3,894</w:t>
            </w:r>
          </w:p>
        </w:tc>
        <w:tc>
          <w:tcPr>
            <w:tcW w:w="868" w:type="dxa"/>
            <w:vAlign w:val="center"/>
          </w:tcPr>
          <w:p>
            <w:pPr>
              <w:spacing w:before="20" w:after="20"/>
              <w:jc w:val="right"/>
              <w:rPr>
                <w:noProof/>
                <w:sz w:val="20"/>
              </w:rPr>
            </w:pPr>
            <w:r>
              <w:rPr>
                <w:noProof/>
                <w:sz w:val="20"/>
              </w:rPr>
              <w:t>3,894</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7,788</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ОБЩО бюджетни кредити</w:t>
            </w:r>
            <w:r>
              <w:rPr>
                <w:noProof/>
                <w:sz w:val="22"/>
              </w:rPr>
              <w:br/>
            </w:r>
            <w:r>
              <w:rPr>
                <w:b/>
                <w:noProof/>
                <w:sz w:val="22"/>
              </w:rPr>
              <w:t>за ФУНКЦИЯ 5</w:t>
            </w:r>
            <w:r>
              <w:rPr>
                <w:noProof/>
                <w:sz w:val="22"/>
              </w:rPr>
              <w:br/>
              <w:t>от многогодишната финансова рамка</w:t>
            </w:r>
            <w:r>
              <w:rPr>
                <w:b/>
                <w:noProof/>
                <w:sz w:val="22"/>
              </w:rPr>
              <w:t xml:space="preserve"> </w:t>
            </w:r>
          </w:p>
        </w:tc>
        <w:tc>
          <w:tcPr>
            <w:tcW w:w="2094" w:type="dxa"/>
            <w:vAlign w:val="center"/>
          </w:tcPr>
          <w:p>
            <w:pPr>
              <w:spacing w:before="40" w:after="40"/>
              <w:rPr>
                <w:noProof/>
              </w:rPr>
            </w:pPr>
            <w:r>
              <w:rPr>
                <w:noProof/>
                <w:sz w:val="18"/>
              </w:rPr>
              <w:t>(Общо поети задължения = Общо плащания)</w:t>
            </w:r>
          </w:p>
        </w:tc>
        <w:tc>
          <w:tcPr>
            <w:tcW w:w="868" w:type="dxa"/>
            <w:vAlign w:val="center"/>
          </w:tcPr>
          <w:p>
            <w:pPr>
              <w:spacing w:before="20" w:after="20"/>
              <w:jc w:val="right"/>
              <w:rPr>
                <w:noProof/>
                <w:sz w:val="20"/>
              </w:rPr>
            </w:pPr>
            <w:r>
              <w:rPr>
                <w:noProof/>
                <w:sz w:val="20"/>
              </w:rPr>
              <w:t>3,894</w:t>
            </w:r>
          </w:p>
        </w:tc>
        <w:tc>
          <w:tcPr>
            <w:tcW w:w="868" w:type="dxa"/>
            <w:vAlign w:val="center"/>
          </w:tcPr>
          <w:p>
            <w:pPr>
              <w:spacing w:before="20" w:after="20"/>
              <w:jc w:val="right"/>
              <w:rPr>
                <w:noProof/>
                <w:sz w:val="20"/>
              </w:rPr>
            </w:pPr>
            <w:r>
              <w:rPr>
                <w:noProof/>
                <w:sz w:val="20"/>
              </w:rPr>
              <w:t>3,894</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7,788</w:t>
            </w:r>
          </w:p>
        </w:tc>
      </w:tr>
    </w:tbl>
    <w:p>
      <w:pPr>
        <w:jc w:val="right"/>
        <w:rPr>
          <w:noProof/>
          <w:sz w:val="20"/>
        </w:rPr>
      </w:pPr>
      <w:r>
        <w:rPr>
          <w:noProof/>
          <w:sz w:val="20"/>
        </w:rPr>
        <w:t>В млн. евро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b/>
                <w:noProof/>
                <w:sz w:val="20"/>
              </w:rPr>
              <w:t>2019</w:t>
            </w:r>
          </w:p>
        </w:tc>
        <w:tc>
          <w:tcPr>
            <w:tcW w:w="868" w:type="dxa"/>
            <w:vAlign w:val="center"/>
          </w:tcPr>
          <w:p>
            <w:pPr>
              <w:jc w:val="center"/>
              <w:rPr>
                <w:noProof/>
                <w:sz w:val="20"/>
              </w:rPr>
            </w:pPr>
            <w:r>
              <w:rPr>
                <w:noProof/>
                <w:sz w:val="20"/>
              </w:rPr>
              <w:t>Година</w:t>
            </w:r>
            <w:r>
              <w:rPr>
                <w:b/>
                <w:noProof/>
                <w:sz w:val="20"/>
              </w:rPr>
              <w:t>2020</w:t>
            </w:r>
          </w:p>
        </w:tc>
        <w:tc>
          <w:tcPr>
            <w:tcW w:w="868" w:type="dxa"/>
            <w:vAlign w:val="center"/>
          </w:tcPr>
          <w:p>
            <w:pPr>
              <w:jc w:val="center"/>
              <w:rPr>
                <w:noProof/>
                <w:sz w:val="20"/>
              </w:rPr>
            </w:pPr>
            <w:r>
              <w:rPr>
                <w:noProof/>
                <w:color w:val="000000"/>
                <w:sz w:val="20"/>
              </w:rPr>
              <w:t xml:space="preserve">2021 и 2022 </w:t>
            </w:r>
          </w:p>
        </w:tc>
        <w:tc>
          <w:tcPr>
            <w:tcW w:w="868" w:type="dxa"/>
            <w:vAlign w:val="center"/>
          </w:tcPr>
          <w:p>
            <w:pPr>
              <w:jc w:val="center"/>
              <w:rPr>
                <w:noProof/>
                <w:sz w:val="20"/>
              </w:rPr>
            </w:pPr>
          </w:p>
        </w:tc>
        <w:tc>
          <w:tcPr>
            <w:tcW w:w="2604"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777"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rPr>
            </w:pPr>
            <w:r>
              <w:rPr>
                <w:b/>
                <w:noProof/>
                <w:sz w:val="22"/>
              </w:rPr>
              <w:t>ОБЩО бюджетни кредити</w:t>
            </w:r>
            <w:r>
              <w:rPr>
                <w:noProof/>
                <w:sz w:val="22"/>
              </w:rPr>
              <w:br/>
            </w:r>
            <w:r>
              <w:rPr>
                <w:b/>
                <w:noProof/>
                <w:sz w:val="22"/>
              </w:rPr>
              <w:t>за ФУНКЦИИ 1—5</w:t>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right"/>
              <w:rPr>
                <w:noProof/>
                <w:sz w:val="20"/>
              </w:rPr>
            </w:pPr>
            <w:r>
              <w:rPr>
                <w:noProof/>
                <w:sz w:val="20"/>
              </w:rPr>
              <w:t>43,894</w:t>
            </w:r>
          </w:p>
        </w:tc>
        <w:tc>
          <w:tcPr>
            <w:tcW w:w="868" w:type="dxa"/>
            <w:vAlign w:val="center"/>
          </w:tcPr>
          <w:p>
            <w:pPr>
              <w:spacing w:before="60" w:after="60"/>
              <w:jc w:val="right"/>
              <w:rPr>
                <w:noProof/>
                <w:sz w:val="20"/>
              </w:rPr>
            </w:pPr>
            <w:r>
              <w:rPr>
                <w:noProof/>
                <w:sz w:val="20"/>
              </w:rPr>
              <w:t>43,894</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87,788</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jc w:val="right"/>
              <w:rPr>
                <w:noProof/>
                <w:sz w:val="20"/>
              </w:rPr>
            </w:pPr>
            <w:r>
              <w:rPr>
                <w:noProof/>
                <w:sz w:val="20"/>
              </w:rPr>
              <w:t>21,094</w:t>
            </w:r>
          </w:p>
        </w:tc>
        <w:tc>
          <w:tcPr>
            <w:tcW w:w="868" w:type="dxa"/>
            <w:vAlign w:val="center"/>
          </w:tcPr>
          <w:p>
            <w:pPr>
              <w:spacing w:before="60" w:after="60"/>
              <w:jc w:val="right"/>
              <w:rPr>
                <w:noProof/>
                <w:sz w:val="20"/>
              </w:rPr>
            </w:pPr>
            <w:r>
              <w:rPr>
                <w:noProof/>
                <w:sz w:val="20"/>
              </w:rPr>
              <w:t>32,494</w:t>
            </w:r>
          </w:p>
        </w:tc>
        <w:tc>
          <w:tcPr>
            <w:tcW w:w="868" w:type="dxa"/>
            <w:vAlign w:val="center"/>
          </w:tcPr>
          <w:p>
            <w:pPr>
              <w:spacing w:before="60" w:after="60"/>
              <w:jc w:val="right"/>
              <w:rPr>
                <w:noProof/>
                <w:sz w:val="20"/>
              </w:rPr>
            </w:pPr>
            <w:r>
              <w:rPr>
                <w:noProof/>
                <w:sz w:val="20"/>
              </w:rPr>
              <w:t>34,200</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87,788</w:t>
            </w:r>
          </w:p>
        </w:tc>
      </w:tr>
    </w:tbl>
    <w:p>
      <w:pPr>
        <w:rPr>
          <w:noProof/>
        </w:rPr>
        <w:sectPr>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Очаквано отражение върху бюджетните кредити за оперативни разходи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rPr>
          <w:noProof/>
        </w:rPr>
      </w:pPr>
      <w:r>
        <w:rPr>
          <w:noProof/>
        </w:rPr>
        <w:sym w:font="Wingdings" w:char="F0FC"/>
      </w:r>
      <w:r>
        <w:rPr>
          <w:noProof/>
        </w:rPr>
        <w:tab/>
        <w:t>Предложението/инициативата налага използване на бюджетни кредити за оперативни разходи, както е пояснено по-долу:</w:t>
      </w:r>
    </w:p>
    <w:p>
      <w:pPr>
        <w:jc w:val="right"/>
        <w:rPr>
          <w:noProof/>
          <w:sz w:val="20"/>
        </w:rPr>
      </w:pPr>
      <w:r>
        <w:rPr>
          <w:noProof/>
          <w:sz w:val="20"/>
        </w:rPr>
        <w:t>Бюджетни кредити за поети задължения в млн. евро (до третия знак след десетичната запетая)</w:t>
      </w:r>
    </w:p>
    <w:tbl>
      <w:tblPr>
        <w:tblW w:w="10040" w:type="dxa"/>
        <w:tblInd w:w="93" w:type="dxa"/>
        <w:tblLook w:val="04A0" w:firstRow="1" w:lastRow="0" w:firstColumn="1" w:lastColumn="0" w:noHBand="0" w:noVBand="1"/>
      </w:tblPr>
      <w:tblGrid>
        <w:gridCol w:w="1199"/>
        <w:gridCol w:w="1980"/>
        <w:gridCol w:w="1240"/>
        <w:gridCol w:w="960"/>
        <w:gridCol w:w="960"/>
        <w:gridCol w:w="960"/>
        <w:gridCol w:w="960"/>
        <w:gridCol w:w="960"/>
        <w:gridCol w:w="1060"/>
      </w:tblGrid>
      <w:tr>
        <w:trPr>
          <w:gridAfter w:val="1"/>
          <w:wAfter w:w="1060" w:type="dxa"/>
          <w:trHeight w:val="975"/>
        </w:trPr>
        <w:tc>
          <w:tcPr>
            <w:tcW w:w="960" w:type="dxa"/>
            <w:tcBorders>
              <w:top w:val="single" w:sz="8" w:space="0" w:color="auto"/>
              <w:left w:val="single" w:sz="8" w:space="0" w:color="auto"/>
              <w:bottom w:val="nil"/>
              <w:right w:val="nil"/>
            </w:tcBorders>
            <w:shd w:val="clear" w:color="auto" w:fill="auto"/>
            <w:vAlign w:val="center"/>
            <w:hideMark/>
          </w:tcPr>
          <w:p>
            <w:pPr>
              <w:spacing w:before="0" w:after="0"/>
              <w:jc w:val="center"/>
              <w:rPr>
                <w:b/>
                <w:bCs/>
                <w:noProof/>
                <w:color w:val="000000"/>
                <w:sz w:val="18"/>
                <w:szCs w:val="18"/>
              </w:rPr>
            </w:pPr>
            <w:r>
              <w:rPr>
                <w:b/>
                <w:noProof/>
                <w:color w:val="000000"/>
                <w:sz w:val="18"/>
              </w:rPr>
              <w:t xml:space="preserve">Да се посочат целите и резултатите </w:t>
            </w:r>
          </w:p>
        </w:tc>
        <w:tc>
          <w:tcPr>
            <w:tcW w:w="3220" w:type="dxa"/>
            <w:gridSpan w:val="2"/>
            <w:vMerge w:val="restart"/>
            <w:tcBorders>
              <w:top w:val="single" w:sz="8" w:space="0" w:color="auto"/>
              <w:left w:val="nil"/>
              <w:bottom w:val="single" w:sz="8" w:space="0" w:color="000000"/>
              <w:right w:val="nil"/>
            </w:tcBorders>
            <w:shd w:val="clear" w:color="auto" w:fill="auto"/>
            <w:vAlign w:val="center"/>
            <w:hideMark/>
          </w:tcPr>
          <w:p>
            <w:pPr>
              <w:spacing w:before="0" w:after="0"/>
              <w:jc w:val="center"/>
              <w:rPr>
                <w:noProof/>
                <w:color w:val="000000"/>
                <w:sz w:val="18"/>
                <w:szCs w:val="18"/>
              </w:rPr>
            </w:pPr>
            <w:r>
              <w:rPr>
                <w:noProof/>
                <w:color w:val="000000"/>
                <w:sz w:val="18"/>
              </w:rPr>
              <w:t> </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before="0" w:after="0"/>
              <w:jc w:val="center"/>
              <w:rPr>
                <w:noProof/>
                <w:color w:val="000000"/>
                <w:sz w:val="18"/>
                <w:szCs w:val="18"/>
              </w:rPr>
            </w:pPr>
            <w:r>
              <w:rPr>
                <w:noProof/>
                <w:color w:val="000000"/>
                <w:sz w:val="18"/>
              </w:rPr>
              <w:t>Година</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pPr>
              <w:spacing w:before="0" w:after="0"/>
              <w:jc w:val="center"/>
              <w:rPr>
                <w:noProof/>
                <w:color w:val="000000"/>
                <w:sz w:val="18"/>
                <w:szCs w:val="18"/>
              </w:rPr>
            </w:pPr>
            <w:r>
              <w:rPr>
                <w:noProof/>
                <w:color w:val="000000"/>
                <w:sz w:val="18"/>
              </w:rPr>
              <w:t>Година</w:t>
            </w:r>
          </w:p>
        </w:tc>
        <w:tc>
          <w:tcPr>
            <w:tcW w:w="960" w:type="dxa"/>
            <w:tcBorders>
              <w:top w:val="single" w:sz="8" w:space="0" w:color="auto"/>
              <w:left w:val="nil"/>
              <w:bottom w:val="nil"/>
              <w:right w:val="single" w:sz="8" w:space="0" w:color="auto"/>
            </w:tcBorders>
            <w:shd w:val="clear" w:color="auto" w:fill="auto"/>
            <w:vAlign w:val="center"/>
            <w:hideMark/>
          </w:tcPr>
          <w:p>
            <w:pPr>
              <w:spacing w:before="0" w:after="0"/>
              <w:jc w:val="left"/>
              <w:rPr>
                <w:b/>
                <w:bCs/>
                <w:noProof/>
                <w:color w:val="000000"/>
                <w:sz w:val="18"/>
                <w:szCs w:val="18"/>
              </w:rPr>
            </w:pPr>
            <w:r>
              <w:rPr>
                <w:b/>
                <w:noProof/>
                <w:color w:val="000000"/>
                <w:sz w:val="18"/>
              </w:rPr>
              <w:t>ОБЩО</w:t>
            </w:r>
          </w:p>
        </w:tc>
      </w:tr>
      <w:tr>
        <w:trPr>
          <w:gridAfter w:val="1"/>
          <w:wAfter w:w="1060" w:type="dxa"/>
          <w:trHeight w:val="330"/>
        </w:trPr>
        <w:tc>
          <w:tcPr>
            <w:tcW w:w="960" w:type="dxa"/>
            <w:tcBorders>
              <w:top w:val="nil"/>
              <w:left w:val="single" w:sz="8" w:space="0" w:color="auto"/>
              <w:bottom w:val="single" w:sz="8" w:space="0" w:color="auto"/>
              <w:right w:val="nil"/>
            </w:tcBorders>
            <w:shd w:val="clear" w:color="auto" w:fill="auto"/>
            <w:vAlign w:val="center"/>
            <w:hideMark/>
          </w:tcPr>
          <w:p>
            <w:pPr>
              <w:spacing w:before="0" w:after="0"/>
              <w:jc w:val="center"/>
              <w:rPr>
                <w:b/>
                <w:bCs/>
                <w:noProof/>
                <w:color w:val="000000"/>
                <w:sz w:val="18"/>
                <w:szCs w:val="18"/>
              </w:rPr>
            </w:pPr>
            <w:r>
              <w:rPr>
                <w:b/>
                <w:noProof/>
                <w:color w:val="000000"/>
                <w:sz w:val="18"/>
              </w:rPr>
              <w:t> </w:t>
            </w:r>
          </w:p>
        </w:tc>
        <w:tc>
          <w:tcPr>
            <w:tcW w:w="3220" w:type="dxa"/>
            <w:gridSpan w:val="2"/>
            <w:vMerge/>
            <w:tcBorders>
              <w:top w:val="nil"/>
              <w:left w:val="single" w:sz="8" w:space="0" w:color="auto"/>
              <w:bottom w:val="single" w:sz="8" w:space="0" w:color="auto"/>
              <w:right w:val="nil"/>
            </w:tcBorders>
            <w:vAlign w:val="center"/>
            <w:hideMark/>
          </w:tcPr>
          <w:p>
            <w:pPr>
              <w:spacing w:before="0" w:after="0"/>
              <w:jc w:val="left"/>
              <w:rPr>
                <w:noProof/>
                <w:color w:val="000000"/>
                <w:sz w:val="18"/>
                <w:szCs w:val="18"/>
              </w:rPr>
            </w:pP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before="0" w:after="0"/>
              <w:jc w:val="center"/>
              <w:rPr>
                <w:b/>
                <w:bCs/>
                <w:noProof/>
                <w:color w:val="000000"/>
                <w:sz w:val="18"/>
                <w:szCs w:val="18"/>
              </w:rPr>
            </w:pPr>
            <w:r>
              <w:rPr>
                <w:b/>
                <w:noProof/>
                <w:color w:val="000000"/>
                <w:sz w:val="18"/>
              </w:rPr>
              <w:t>2019</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pPr>
              <w:spacing w:before="0" w:after="0"/>
              <w:jc w:val="center"/>
              <w:rPr>
                <w:b/>
                <w:bCs/>
                <w:noProof/>
                <w:color w:val="000000"/>
                <w:sz w:val="18"/>
                <w:szCs w:val="18"/>
              </w:rPr>
            </w:pPr>
            <w:r>
              <w:rPr>
                <w:b/>
                <w:noProof/>
                <w:color w:val="000000"/>
                <w:sz w:val="18"/>
              </w:rPr>
              <w:t>2020</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left"/>
              <w:rPr>
                <w:b/>
                <w:bCs/>
                <w:noProof/>
                <w:color w:val="000000"/>
                <w:sz w:val="18"/>
                <w:szCs w:val="18"/>
              </w:rPr>
            </w:pPr>
            <w:r>
              <w:rPr>
                <w:b/>
                <w:noProof/>
                <w:color w:val="000000"/>
                <w:sz w:val="18"/>
              </w:rPr>
              <w:t> </w:t>
            </w:r>
          </w:p>
        </w:tc>
      </w:tr>
      <w:tr>
        <w:trPr>
          <w:trHeight w:val="315"/>
        </w:trPr>
        <w:tc>
          <w:tcPr>
            <w:tcW w:w="960" w:type="dxa"/>
            <w:tcBorders>
              <w:top w:val="nil"/>
              <w:left w:val="single" w:sz="8" w:space="0" w:color="auto"/>
              <w:bottom w:val="nil"/>
              <w:right w:val="nil"/>
            </w:tcBorders>
            <w:shd w:val="clear" w:color="auto" w:fill="auto"/>
            <w:vAlign w:val="center"/>
            <w:hideMark/>
          </w:tcPr>
          <w:p>
            <w:pPr>
              <w:spacing w:before="0" w:after="0"/>
              <w:jc w:val="center"/>
              <w:rPr>
                <w:rFonts w:ascii="Wingdings" w:hAnsi="Wingdings" w:cs="Calibri"/>
                <w:noProof/>
                <w:color w:val="000000"/>
                <w:sz w:val="18"/>
                <w:szCs w:val="18"/>
              </w:rPr>
            </w:pPr>
            <w:r>
              <w:rPr>
                <w:rFonts w:ascii="Wingdings" w:hAnsi="Wingdings" w:cs="Calibri"/>
                <w:noProof/>
                <w:color w:val="000000"/>
                <w:sz w:val="18"/>
                <w:szCs w:val="18"/>
              </w:rPr>
              <w:t></w:t>
            </w:r>
          </w:p>
        </w:tc>
        <w:tc>
          <w:tcPr>
            <w:tcW w:w="9080" w:type="dxa"/>
            <w:gridSpan w:val="8"/>
            <w:tcBorders>
              <w:top w:val="nil"/>
              <w:left w:val="nil"/>
              <w:bottom w:val="nil"/>
              <w:right w:val="nil"/>
            </w:tcBorders>
            <w:shd w:val="clear" w:color="auto" w:fill="auto"/>
            <w:vAlign w:val="center"/>
            <w:hideMark/>
          </w:tcPr>
          <w:p>
            <w:pPr>
              <w:spacing w:before="0" w:after="0"/>
              <w:jc w:val="center"/>
              <w:rPr>
                <w:b/>
                <w:bCs/>
                <w:noProof/>
                <w:color w:val="000000"/>
                <w:sz w:val="18"/>
                <w:szCs w:val="18"/>
              </w:rPr>
            </w:pPr>
            <w:r>
              <w:rPr>
                <w:b/>
                <w:noProof/>
                <w:color w:val="000000"/>
                <w:sz w:val="18"/>
              </w:rPr>
              <w:t>РЕЗУЛТАТИ</w:t>
            </w:r>
          </w:p>
        </w:tc>
      </w:tr>
      <w:tr>
        <w:trPr>
          <w:gridAfter w:val="1"/>
          <w:wAfter w:w="1060" w:type="dxa"/>
          <w:trHeight w:val="315"/>
        </w:trPr>
        <w:tc>
          <w:tcPr>
            <w:tcW w:w="960" w:type="dxa"/>
            <w:tcBorders>
              <w:top w:val="nil"/>
              <w:left w:val="single" w:sz="8" w:space="0" w:color="auto"/>
              <w:bottom w:val="nil"/>
              <w:right w:val="nil"/>
            </w:tcBorders>
            <w:shd w:val="clear" w:color="auto" w:fill="auto"/>
            <w:vAlign w:val="center"/>
            <w:hideMark/>
          </w:tcPr>
          <w:p>
            <w:pPr>
              <w:spacing w:before="0" w:after="0"/>
              <w:jc w:val="left"/>
              <w:rPr>
                <w:rFonts w:ascii="Calibri" w:hAnsi="Calibri" w:cs="Calibri"/>
                <w:noProof/>
                <w:color w:val="000000"/>
                <w:szCs w:val="24"/>
              </w:rPr>
            </w:pPr>
            <w:r>
              <w:rPr>
                <w:rFonts w:ascii="Calibri" w:hAnsi="Calibri"/>
                <w:noProof/>
                <w:color w:val="000000"/>
              </w:rPr>
              <w:t> </w:t>
            </w:r>
          </w:p>
        </w:tc>
        <w:tc>
          <w:tcPr>
            <w:tcW w:w="1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pPr>
              <w:spacing w:before="0" w:after="0"/>
              <w:jc w:val="center"/>
              <w:rPr>
                <w:rFonts w:ascii="Calibri" w:hAnsi="Calibri" w:cs="Calibri"/>
                <w:noProof/>
                <w:color w:val="0000FF"/>
                <w:sz w:val="22"/>
                <w:u w:val="single"/>
              </w:rPr>
            </w:pPr>
            <w:r>
              <w:rPr>
                <w:rFonts w:ascii="Calibri" w:hAnsi="Calibri"/>
                <w:noProof/>
                <w:color w:val="0000FF"/>
                <w:sz w:val="22"/>
                <w:u w:val="single"/>
              </w:rPr>
              <w:t>Тип[1]</w:t>
            </w:r>
          </w:p>
        </w:tc>
        <w:tc>
          <w:tcPr>
            <w:tcW w:w="1240" w:type="dxa"/>
            <w:tcBorders>
              <w:top w:val="single" w:sz="8" w:space="0" w:color="auto"/>
              <w:left w:val="nil"/>
              <w:bottom w:val="nil"/>
              <w:right w:val="nil"/>
            </w:tcBorders>
            <w:shd w:val="clear" w:color="auto" w:fill="auto"/>
            <w:vAlign w:val="center"/>
            <w:hideMark/>
          </w:tcPr>
          <w:p>
            <w:pPr>
              <w:spacing w:before="0" w:after="0"/>
              <w:jc w:val="left"/>
              <w:rPr>
                <w:noProof/>
                <w:color w:val="000000"/>
                <w:sz w:val="18"/>
                <w:szCs w:val="18"/>
              </w:rPr>
            </w:pPr>
            <w:r>
              <w:rPr>
                <w:noProof/>
                <w:color w:val="000000"/>
                <w:sz w:val="18"/>
              </w:rPr>
              <w:t>Среден разход</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pPr>
              <w:spacing w:before="0" w:after="0"/>
              <w:jc w:val="center"/>
              <w:rPr>
                <w:noProof/>
                <w:color w:val="000000"/>
                <w:sz w:val="18"/>
                <w:szCs w:val="18"/>
              </w:rPr>
            </w:pPr>
            <w:r>
              <w:rPr>
                <w:noProof/>
                <w:color w:val="000000"/>
                <w:sz w:val="18"/>
              </w:rPr>
              <w:t>№</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Разходи</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pPr>
              <w:spacing w:before="0" w:after="0"/>
              <w:jc w:val="center"/>
              <w:rPr>
                <w:noProof/>
                <w:color w:val="000000"/>
                <w:sz w:val="18"/>
                <w:szCs w:val="18"/>
              </w:rPr>
            </w:pPr>
            <w:r>
              <w:rPr>
                <w:noProof/>
                <w:color w:val="000000"/>
                <w:sz w:val="18"/>
              </w:rPr>
              <w:t>№</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Разходи</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Общо разходи</w:t>
            </w:r>
          </w:p>
        </w:tc>
      </w:tr>
      <w:tr>
        <w:trPr>
          <w:gridAfter w:val="1"/>
          <w:wAfter w:w="1060" w:type="dxa"/>
          <w:trHeight w:val="330"/>
        </w:trPr>
        <w:tc>
          <w:tcPr>
            <w:tcW w:w="960" w:type="dxa"/>
            <w:tcBorders>
              <w:top w:val="nil"/>
              <w:left w:val="single" w:sz="8" w:space="0" w:color="auto"/>
              <w:bottom w:val="single" w:sz="8" w:space="0" w:color="auto"/>
              <w:right w:val="nil"/>
            </w:tcBorders>
            <w:shd w:val="clear" w:color="auto" w:fill="auto"/>
            <w:vAlign w:val="center"/>
            <w:hideMark/>
          </w:tcPr>
          <w:p>
            <w:pPr>
              <w:spacing w:before="0" w:after="0"/>
              <w:jc w:val="left"/>
              <w:rPr>
                <w:rFonts w:ascii="Calibri" w:hAnsi="Calibri" w:cs="Calibri"/>
                <w:noProof/>
                <w:color w:val="000000"/>
                <w:szCs w:val="24"/>
              </w:rPr>
            </w:pPr>
            <w:r>
              <w:rPr>
                <w:rFonts w:ascii="Calibri" w:hAnsi="Calibri"/>
                <w:noProof/>
                <w:color w:val="000000"/>
              </w:rPr>
              <w:t> </w:t>
            </w:r>
          </w:p>
        </w:tc>
        <w:tc>
          <w:tcPr>
            <w:tcW w:w="1980" w:type="dxa"/>
            <w:vMerge/>
            <w:tcBorders>
              <w:top w:val="single" w:sz="8" w:space="0" w:color="auto"/>
              <w:left w:val="single" w:sz="8" w:space="0" w:color="auto"/>
              <w:bottom w:val="single" w:sz="8" w:space="0" w:color="000000"/>
              <w:right w:val="single" w:sz="8" w:space="0" w:color="auto"/>
            </w:tcBorders>
            <w:vAlign w:val="center"/>
            <w:hideMark/>
          </w:tcPr>
          <w:p>
            <w:pPr>
              <w:spacing w:before="0" w:after="0"/>
              <w:jc w:val="left"/>
              <w:rPr>
                <w:rFonts w:ascii="Calibri" w:hAnsi="Calibri" w:cs="Calibri"/>
                <w:noProof/>
                <w:color w:val="0000FF"/>
                <w:sz w:val="22"/>
                <w:u w:val="single"/>
              </w:rPr>
            </w:pPr>
          </w:p>
        </w:tc>
        <w:tc>
          <w:tcPr>
            <w:tcW w:w="1240" w:type="dxa"/>
            <w:tcBorders>
              <w:top w:val="nil"/>
              <w:left w:val="nil"/>
              <w:bottom w:val="single" w:sz="8" w:space="0" w:color="auto"/>
              <w:right w:val="nil"/>
            </w:tcBorders>
            <w:shd w:val="clear" w:color="auto" w:fill="auto"/>
            <w:vAlign w:val="center"/>
            <w:hideMark/>
          </w:tcPr>
          <w:p>
            <w:pPr>
              <w:spacing w:before="0" w:after="0"/>
              <w:jc w:val="left"/>
              <w:rPr>
                <w:noProof/>
                <w:color w:val="000000"/>
                <w:sz w:val="18"/>
                <w:szCs w:val="18"/>
              </w:rPr>
            </w:pPr>
            <w:r>
              <w:rPr>
                <w:noProof/>
                <w:color w:val="000000"/>
                <w:sz w:val="18"/>
              </w:rPr>
              <w:t> </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pPr>
              <w:spacing w:before="0" w:after="0"/>
              <w:jc w:val="left"/>
              <w:rPr>
                <w:noProof/>
                <w:color w:val="000000"/>
                <w:sz w:val="18"/>
                <w:szCs w:val="18"/>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pPr>
              <w:spacing w:before="0" w:after="0"/>
              <w:jc w:val="left"/>
              <w:rPr>
                <w:noProof/>
                <w:color w:val="000000"/>
                <w:sz w:val="18"/>
                <w:szCs w:val="18"/>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pPr>
              <w:spacing w:before="0" w:after="0"/>
              <w:jc w:val="left"/>
              <w:rPr>
                <w:noProof/>
                <w:color w:val="000000"/>
                <w:sz w:val="18"/>
                <w:szCs w:val="18"/>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pPr>
              <w:spacing w:before="0" w:after="0"/>
              <w:jc w:val="left"/>
              <w:rPr>
                <w:noProof/>
                <w:color w:val="000000"/>
                <w:sz w:val="18"/>
                <w:szCs w:val="18"/>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pPr>
              <w:spacing w:before="0" w:after="0"/>
              <w:jc w:val="left"/>
              <w:rPr>
                <w:noProof/>
                <w:color w:val="000000"/>
                <w:sz w:val="18"/>
                <w:szCs w:val="18"/>
              </w:rPr>
            </w:pPr>
          </w:p>
        </w:tc>
      </w:tr>
      <w:tr>
        <w:trPr>
          <w:trHeight w:val="315"/>
        </w:trPr>
        <w:tc>
          <w:tcPr>
            <w:tcW w:w="61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before="0" w:after="0"/>
              <w:jc w:val="left"/>
              <w:rPr>
                <w:b/>
                <w:bCs/>
                <w:noProof/>
                <w:color w:val="000000"/>
                <w:sz w:val="18"/>
                <w:szCs w:val="18"/>
              </w:rPr>
            </w:pPr>
            <w:r>
              <w:rPr>
                <w:b/>
                <w:noProof/>
                <w:color w:val="000000"/>
                <w:sz w:val="18"/>
              </w:rPr>
              <w:t>КОНКРЕТНА ЦЕЛ № 1:</w:t>
            </w:r>
          </w:p>
        </w:tc>
        <w:tc>
          <w:tcPr>
            <w:tcW w:w="3940" w:type="dxa"/>
            <w:gridSpan w:val="4"/>
            <w:vMerge w:val="restart"/>
            <w:tcBorders>
              <w:top w:val="nil"/>
              <w:left w:val="single" w:sz="8" w:space="0" w:color="000000"/>
              <w:bottom w:val="nil"/>
              <w:right w:val="nil"/>
            </w:tcBorders>
            <w:shd w:val="clear" w:color="auto" w:fill="auto"/>
            <w:vAlign w:val="center"/>
            <w:hideMark/>
          </w:tcPr>
          <w:p>
            <w:pPr>
              <w:spacing w:before="0" w:after="0"/>
              <w:jc w:val="left"/>
              <w:rPr>
                <w:rFonts w:ascii="Calibri" w:hAnsi="Calibri" w:cs="Calibri"/>
                <w:noProof/>
                <w:color w:val="000000"/>
                <w:sz w:val="22"/>
              </w:rPr>
            </w:pPr>
            <w:r>
              <w:rPr>
                <w:rFonts w:ascii="Calibri" w:hAnsi="Calibri"/>
                <w:noProof/>
                <w:color w:val="000000"/>
                <w:sz w:val="22"/>
              </w:rPr>
              <w:t> </w:t>
            </w:r>
          </w:p>
        </w:tc>
      </w:tr>
      <w:tr>
        <w:trPr>
          <w:trHeight w:val="480"/>
        </w:trPr>
        <w:tc>
          <w:tcPr>
            <w:tcW w:w="61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before="0" w:after="0"/>
              <w:jc w:val="left"/>
              <w:rPr>
                <w:b/>
                <w:bCs/>
                <w:noProof/>
                <w:color w:val="000000"/>
                <w:sz w:val="18"/>
                <w:szCs w:val="18"/>
              </w:rPr>
            </w:pPr>
            <w:r>
              <w:rPr>
                <w:b/>
                <w:noProof/>
                <w:color w:val="000000"/>
                <w:sz w:val="18"/>
              </w:rPr>
              <w:t>подпомагане на инициативите на националните органи да разработят реформите си в съответствие с приоритетите, като се вземат предвид изходните условия и очакваните социално-икономически въздействия</w:t>
            </w:r>
          </w:p>
        </w:tc>
        <w:tc>
          <w:tcPr>
            <w:tcW w:w="3940" w:type="dxa"/>
            <w:gridSpan w:val="4"/>
            <w:vMerge/>
            <w:tcBorders>
              <w:top w:val="nil"/>
              <w:left w:val="single" w:sz="8" w:space="0" w:color="000000"/>
              <w:bottom w:val="nil"/>
              <w:right w:val="nil"/>
            </w:tcBorders>
            <w:vAlign w:val="center"/>
            <w:hideMark/>
          </w:tcPr>
          <w:p>
            <w:pPr>
              <w:spacing w:before="0" w:after="0"/>
              <w:jc w:val="left"/>
              <w:rPr>
                <w:rFonts w:ascii="Calibri" w:hAnsi="Calibri" w:cs="Calibri"/>
                <w:noProof/>
                <w:color w:val="000000"/>
                <w:sz w:val="22"/>
              </w:rPr>
            </w:pPr>
          </w:p>
        </w:tc>
      </w:tr>
      <w:tr>
        <w:trPr>
          <w:gridAfter w:val="1"/>
          <w:wAfter w:w="1060" w:type="dxa"/>
          <w:trHeight w:val="690"/>
        </w:trPr>
        <w:tc>
          <w:tcPr>
            <w:tcW w:w="96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 Резултат А</w:t>
            </w:r>
          </w:p>
        </w:tc>
        <w:tc>
          <w:tcPr>
            <w:tcW w:w="1980" w:type="dxa"/>
            <w:tcBorders>
              <w:top w:val="nil"/>
              <w:left w:val="nil"/>
              <w:bottom w:val="single" w:sz="8" w:space="0" w:color="auto"/>
              <w:right w:val="single" w:sz="8" w:space="0" w:color="auto"/>
            </w:tcBorders>
            <w:shd w:val="clear" w:color="auto" w:fill="auto"/>
            <w:vAlign w:val="center"/>
            <w:hideMark/>
          </w:tcPr>
          <w:p>
            <w:pPr>
              <w:spacing w:before="0" w:after="0"/>
              <w:rPr>
                <w:noProof/>
                <w:color w:val="000000"/>
                <w:sz w:val="16"/>
                <w:szCs w:val="16"/>
              </w:rPr>
            </w:pPr>
            <w:r>
              <w:rPr>
                <w:noProof/>
                <w:color w:val="000000"/>
                <w:sz w:val="16"/>
              </w:rPr>
              <w:t>Брой анализи в подкрепа на националните реформи</w:t>
            </w:r>
          </w:p>
        </w:tc>
        <w:tc>
          <w:tcPr>
            <w:tcW w:w="1240" w:type="dxa"/>
            <w:tcBorders>
              <w:top w:val="nil"/>
              <w:left w:val="nil"/>
              <w:bottom w:val="single" w:sz="8" w:space="0" w:color="auto"/>
              <w:right w:val="nil"/>
            </w:tcBorders>
            <w:shd w:val="clear" w:color="auto" w:fill="auto"/>
            <w:vAlign w:val="center"/>
            <w:hideMark/>
          </w:tcPr>
          <w:p>
            <w:pPr>
              <w:spacing w:before="0" w:after="0"/>
              <w:jc w:val="left"/>
              <w:rPr>
                <w:noProof/>
                <w:color w:val="000000"/>
                <w:sz w:val="18"/>
                <w:szCs w:val="18"/>
              </w:rPr>
            </w:pPr>
            <w:r>
              <w:rPr>
                <w:noProof/>
                <w:color w:val="000000"/>
                <w:sz w:val="18"/>
              </w:rPr>
              <w:t>0,06</w:t>
            </w:r>
          </w:p>
        </w:tc>
        <w:tc>
          <w:tcPr>
            <w:tcW w:w="96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50-60</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b/>
                <w:bCs/>
                <w:noProof/>
                <w:color w:val="000000"/>
                <w:sz w:val="18"/>
                <w:szCs w:val="18"/>
              </w:rPr>
            </w:pPr>
            <w:r>
              <w:rPr>
                <w:b/>
                <w:noProof/>
                <w:color w:val="000000"/>
                <w:sz w:val="18"/>
              </w:rPr>
              <w:t>3,360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50-60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b/>
                <w:bCs/>
                <w:noProof/>
                <w:color w:val="000000"/>
                <w:sz w:val="18"/>
                <w:szCs w:val="18"/>
              </w:rPr>
            </w:pPr>
            <w:r>
              <w:rPr>
                <w:b/>
                <w:noProof/>
                <w:color w:val="000000"/>
                <w:sz w:val="18"/>
              </w:rPr>
              <w:t>3,360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b/>
                <w:bCs/>
                <w:noProof/>
                <w:color w:val="000000"/>
                <w:sz w:val="18"/>
                <w:szCs w:val="18"/>
              </w:rPr>
            </w:pPr>
            <w:r>
              <w:rPr>
                <w:b/>
                <w:noProof/>
                <w:color w:val="000000"/>
                <w:sz w:val="18"/>
              </w:rPr>
              <w:t>6,720</w:t>
            </w:r>
          </w:p>
        </w:tc>
      </w:tr>
      <w:tr>
        <w:trPr>
          <w:gridAfter w:val="1"/>
          <w:wAfter w:w="1060" w:type="dxa"/>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 Резултат Б</w:t>
            </w:r>
          </w:p>
        </w:tc>
        <w:tc>
          <w:tcPr>
            <w:tcW w:w="198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6"/>
                <w:szCs w:val="16"/>
              </w:rPr>
            </w:pPr>
            <w:r>
              <w:rPr>
                <w:noProof/>
                <w:color w:val="000000"/>
                <w:sz w:val="16"/>
              </w:rPr>
              <w:t>Брой експерти</w:t>
            </w:r>
          </w:p>
        </w:tc>
        <w:tc>
          <w:tcPr>
            <w:tcW w:w="1240" w:type="dxa"/>
            <w:tcBorders>
              <w:top w:val="nil"/>
              <w:left w:val="nil"/>
              <w:bottom w:val="single" w:sz="8" w:space="0" w:color="auto"/>
              <w:right w:val="nil"/>
            </w:tcBorders>
            <w:shd w:val="clear" w:color="auto" w:fill="auto"/>
            <w:vAlign w:val="center"/>
            <w:hideMark/>
          </w:tcPr>
          <w:p>
            <w:pPr>
              <w:spacing w:before="0" w:after="0"/>
              <w:jc w:val="left"/>
              <w:rPr>
                <w:noProof/>
                <w:color w:val="000000"/>
                <w:sz w:val="18"/>
                <w:szCs w:val="18"/>
              </w:rPr>
            </w:pPr>
            <w:r>
              <w:rPr>
                <w:noProof/>
                <w:color w:val="000000"/>
                <w:sz w:val="18"/>
              </w:rPr>
              <w:t>0,00115</w:t>
            </w:r>
          </w:p>
        </w:tc>
        <w:tc>
          <w:tcPr>
            <w:tcW w:w="96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80</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b/>
                <w:bCs/>
                <w:noProof/>
                <w:color w:val="000000"/>
                <w:sz w:val="18"/>
                <w:szCs w:val="18"/>
              </w:rPr>
            </w:pPr>
            <w:r>
              <w:rPr>
                <w:b/>
                <w:noProof/>
                <w:color w:val="000000"/>
                <w:sz w:val="18"/>
              </w:rPr>
              <w:t>0,092</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80</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b/>
                <w:bCs/>
                <w:noProof/>
                <w:color w:val="000000"/>
                <w:sz w:val="18"/>
                <w:szCs w:val="18"/>
              </w:rPr>
            </w:pPr>
            <w:r>
              <w:rPr>
                <w:b/>
                <w:noProof/>
                <w:color w:val="000000"/>
                <w:sz w:val="18"/>
              </w:rPr>
              <w:t>0,092</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b/>
                <w:bCs/>
                <w:noProof/>
                <w:color w:val="000000"/>
                <w:sz w:val="18"/>
                <w:szCs w:val="18"/>
              </w:rPr>
            </w:pPr>
            <w:r>
              <w:rPr>
                <w:b/>
                <w:noProof/>
                <w:color w:val="000000"/>
                <w:sz w:val="18"/>
              </w:rPr>
              <w:t>0,184</w:t>
            </w:r>
          </w:p>
        </w:tc>
      </w:tr>
      <w:tr>
        <w:trPr>
          <w:gridAfter w:val="1"/>
          <w:wAfter w:w="1060" w:type="dxa"/>
          <w:trHeight w:val="330"/>
        </w:trPr>
        <w:tc>
          <w:tcPr>
            <w:tcW w:w="4180" w:type="dxa"/>
            <w:gridSpan w:val="3"/>
            <w:tcBorders>
              <w:top w:val="single" w:sz="8" w:space="0" w:color="auto"/>
              <w:left w:val="single" w:sz="8" w:space="0" w:color="auto"/>
              <w:bottom w:val="single" w:sz="8" w:space="0" w:color="auto"/>
              <w:right w:val="nil"/>
            </w:tcBorders>
            <w:shd w:val="clear" w:color="auto" w:fill="auto"/>
            <w:vAlign w:val="center"/>
            <w:hideMark/>
          </w:tcPr>
          <w:p>
            <w:pPr>
              <w:spacing w:before="0" w:after="0"/>
              <w:jc w:val="center"/>
              <w:rPr>
                <w:noProof/>
                <w:color w:val="000000"/>
                <w:sz w:val="18"/>
                <w:szCs w:val="18"/>
              </w:rPr>
            </w:pPr>
            <w:r>
              <w:rPr>
                <w:noProof/>
                <w:color w:val="000000"/>
                <w:sz w:val="18"/>
              </w:rPr>
              <w:t>Междинен сбор за конкретна цел № 1</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 </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b/>
                <w:bCs/>
                <w:noProof/>
                <w:color w:val="FF0000"/>
                <w:sz w:val="18"/>
                <w:szCs w:val="18"/>
              </w:rPr>
            </w:pPr>
            <w:r>
              <w:rPr>
                <w:b/>
                <w:noProof/>
                <w:color w:val="FF0000"/>
                <w:sz w:val="18"/>
              </w:rPr>
              <w:t>3,452</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 </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b/>
                <w:bCs/>
                <w:noProof/>
                <w:color w:val="FF0000"/>
                <w:sz w:val="18"/>
                <w:szCs w:val="18"/>
              </w:rPr>
            </w:pPr>
            <w:r>
              <w:rPr>
                <w:b/>
                <w:noProof/>
                <w:color w:val="FF0000"/>
                <w:sz w:val="18"/>
              </w:rPr>
              <w:t>3,452</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b/>
                <w:bCs/>
                <w:noProof/>
                <w:color w:val="000000"/>
                <w:sz w:val="18"/>
                <w:szCs w:val="18"/>
              </w:rPr>
            </w:pPr>
            <w:r>
              <w:rPr>
                <w:b/>
                <w:noProof/>
                <w:color w:val="000000"/>
                <w:sz w:val="18"/>
              </w:rPr>
              <w:t>6,904</w:t>
            </w:r>
          </w:p>
        </w:tc>
      </w:tr>
      <w:tr>
        <w:trPr>
          <w:trHeight w:val="315"/>
        </w:trPr>
        <w:tc>
          <w:tcPr>
            <w:tcW w:w="960" w:type="dxa"/>
            <w:tcBorders>
              <w:top w:val="nil"/>
              <w:left w:val="nil"/>
              <w:bottom w:val="nil"/>
              <w:right w:val="nil"/>
            </w:tcBorders>
            <w:shd w:val="clear" w:color="auto" w:fill="auto"/>
            <w:noWrap/>
            <w:vAlign w:val="bottom"/>
            <w:hideMark/>
          </w:tcPr>
          <w:p>
            <w:pPr>
              <w:spacing w:before="0" w:after="0"/>
              <w:jc w:val="left"/>
              <w:rPr>
                <w:rFonts w:ascii="Calibri" w:hAnsi="Calibri" w:cs="Calibri"/>
                <w:noProof/>
                <w:color w:val="000000"/>
                <w:sz w:val="22"/>
              </w:rPr>
            </w:pPr>
          </w:p>
          <w:p>
            <w:pPr>
              <w:spacing w:before="0" w:after="0"/>
              <w:jc w:val="left"/>
              <w:rPr>
                <w:rFonts w:ascii="Calibri" w:hAnsi="Calibri" w:cs="Calibri"/>
                <w:noProof/>
                <w:color w:val="000000"/>
                <w:sz w:val="22"/>
              </w:rPr>
            </w:pPr>
          </w:p>
          <w:p>
            <w:pPr>
              <w:spacing w:before="0" w:after="0"/>
              <w:jc w:val="left"/>
              <w:rPr>
                <w:rFonts w:ascii="Calibri" w:hAnsi="Calibri" w:cs="Calibri"/>
                <w:noProof/>
                <w:color w:val="000000"/>
                <w:sz w:val="22"/>
              </w:rPr>
            </w:pPr>
          </w:p>
          <w:p>
            <w:pPr>
              <w:spacing w:before="0" w:after="0"/>
              <w:jc w:val="left"/>
              <w:rPr>
                <w:rFonts w:ascii="Calibri" w:hAnsi="Calibri" w:cs="Calibri"/>
                <w:noProof/>
                <w:color w:val="000000"/>
                <w:sz w:val="22"/>
              </w:rPr>
            </w:pPr>
          </w:p>
          <w:p>
            <w:pPr>
              <w:spacing w:before="0" w:after="0"/>
              <w:jc w:val="left"/>
              <w:rPr>
                <w:rFonts w:ascii="Calibri" w:hAnsi="Calibri" w:cs="Calibri"/>
                <w:noProof/>
                <w:color w:val="000000"/>
                <w:sz w:val="22"/>
              </w:rPr>
            </w:pPr>
          </w:p>
          <w:p>
            <w:pPr>
              <w:spacing w:before="0" w:after="0"/>
              <w:jc w:val="left"/>
              <w:rPr>
                <w:rFonts w:ascii="Calibri" w:hAnsi="Calibri" w:cs="Calibri"/>
                <w:noProof/>
                <w:color w:val="000000"/>
                <w:sz w:val="22"/>
              </w:rPr>
            </w:pPr>
          </w:p>
          <w:p>
            <w:pPr>
              <w:spacing w:before="0" w:after="0"/>
              <w:jc w:val="left"/>
              <w:rPr>
                <w:rFonts w:ascii="Calibri" w:hAnsi="Calibri" w:cs="Calibri"/>
                <w:noProof/>
                <w:color w:val="000000"/>
                <w:sz w:val="22"/>
              </w:rPr>
            </w:pPr>
          </w:p>
          <w:p>
            <w:pPr>
              <w:spacing w:before="0" w:after="0"/>
              <w:jc w:val="left"/>
              <w:rPr>
                <w:rFonts w:ascii="Calibri" w:hAnsi="Calibri" w:cs="Calibri"/>
                <w:noProof/>
                <w:color w:val="000000"/>
                <w:sz w:val="22"/>
              </w:rPr>
            </w:pPr>
          </w:p>
          <w:p>
            <w:pPr>
              <w:spacing w:before="0" w:after="0"/>
              <w:jc w:val="left"/>
              <w:rPr>
                <w:rFonts w:ascii="Calibri" w:hAnsi="Calibri" w:cs="Calibri"/>
                <w:noProof/>
                <w:color w:val="000000"/>
                <w:sz w:val="22"/>
              </w:rPr>
            </w:pPr>
          </w:p>
          <w:p>
            <w:pPr>
              <w:spacing w:before="0" w:after="0"/>
              <w:jc w:val="left"/>
              <w:rPr>
                <w:rFonts w:ascii="Calibri" w:hAnsi="Calibri" w:cs="Calibri"/>
                <w:noProof/>
                <w:color w:val="000000"/>
                <w:sz w:val="22"/>
              </w:rPr>
            </w:pPr>
          </w:p>
        </w:tc>
        <w:tc>
          <w:tcPr>
            <w:tcW w:w="1980" w:type="dxa"/>
            <w:tcBorders>
              <w:top w:val="nil"/>
              <w:left w:val="nil"/>
              <w:bottom w:val="nil"/>
              <w:right w:val="nil"/>
            </w:tcBorders>
            <w:shd w:val="clear" w:color="auto" w:fill="auto"/>
            <w:noWrap/>
            <w:vAlign w:val="bottom"/>
            <w:hideMark/>
          </w:tcPr>
          <w:p>
            <w:pPr>
              <w:spacing w:before="0" w:after="0"/>
              <w:jc w:val="left"/>
              <w:rPr>
                <w:rFonts w:ascii="Calibri" w:hAnsi="Calibri" w:cs="Calibri"/>
                <w:noProof/>
                <w:color w:val="000000"/>
                <w:sz w:val="22"/>
              </w:rPr>
            </w:pPr>
          </w:p>
        </w:tc>
        <w:tc>
          <w:tcPr>
            <w:tcW w:w="1240" w:type="dxa"/>
            <w:tcBorders>
              <w:top w:val="nil"/>
              <w:left w:val="nil"/>
              <w:bottom w:val="nil"/>
              <w:right w:val="nil"/>
            </w:tcBorders>
            <w:shd w:val="clear" w:color="auto" w:fill="auto"/>
            <w:noWrap/>
            <w:vAlign w:val="bottom"/>
            <w:hideMark/>
          </w:tcPr>
          <w:p>
            <w:pPr>
              <w:spacing w:before="0" w:after="0"/>
              <w:jc w:val="left"/>
              <w:rPr>
                <w:rFonts w:ascii="Calibri" w:hAnsi="Calibri" w:cs="Calibri"/>
                <w:noProof/>
                <w:color w:val="000000"/>
                <w:sz w:val="22"/>
              </w:rPr>
            </w:pPr>
          </w:p>
        </w:tc>
        <w:tc>
          <w:tcPr>
            <w:tcW w:w="960" w:type="dxa"/>
            <w:tcBorders>
              <w:top w:val="nil"/>
              <w:left w:val="nil"/>
              <w:bottom w:val="nil"/>
              <w:right w:val="nil"/>
            </w:tcBorders>
            <w:shd w:val="clear" w:color="auto" w:fill="auto"/>
            <w:noWrap/>
            <w:vAlign w:val="bottom"/>
            <w:hideMark/>
          </w:tcPr>
          <w:p>
            <w:pPr>
              <w:spacing w:before="0" w:after="0"/>
              <w:jc w:val="left"/>
              <w:rPr>
                <w:rFonts w:ascii="Calibri" w:hAnsi="Calibri" w:cs="Calibri"/>
                <w:noProof/>
                <w:color w:val="000000"/>
                <w:sz w:val="22"/>
              </w:rPr>
            </w:pPr>
          </w:p>
        </w:tc>
        <w:tc>
          <w:tcPr>
            <w:tcW w:w="960" w:type="dxa"/>
            <w:tcBorders>
              <w:top w:val="nil"/>
              <w:left w:val="nil"/>
              <w:bottom w:val="nil"/>
              <w:right w:val="nil"/>
            </w:tcBorders>
            <w:shd w:val="clear" w:color="auto" w:fill="auto"/>
            <w:noWrap/>
            <w:vAlign w:val="bottom"/>
            <w:hideMark/>
          </w:tcPr>
          <w:p>
            <w:pPr>
              <w:spacing w:before="0" w:after="0"/>
              <w:jc w:val="left"/>
              <w:rPr>
                <w:rFonts w:ascii="Calibri" w:hAnsi="Calibri" w:cs="Calibri"/>
                <w:noProof/>
                <w:color w:val="000000"/>
                <w:sz w:val="22"/>
              </w:rPr>
            </w:pPr>
          </w:p>
        </w:tc>
        <w:tc>
          <w:tcPr>
            <w:tcW w:w="960" w:type="dxa"/>
            <w:tcBorders>
              <w:top w:val="nil"/>
              <w:left w:val="nil"/>
              <w:bottom w:val="nil"/>
              <w:right w:val="nil"/>
            </w:tcBorders>
            <w:shd w:val="clear" w:color="auto" w:fill="auto"/>
            <w:noWrap/>
            <w:vAlign w:val="bottom"/>
            <w:hideMark/>
          </w:tcPr>
          <w:p>
            <w:pPr>
              <w:spacing w:before="0" w:after="0"/>
              <w:jc w:val="left"/>
              <w:rPr>
                <w:rFonts w:ascii="Calibri" w:hAnsi="Calibri" w:cs="Calibri"/>
                <w:noProof/>
                <w:color w:val="000000"/>
                <w:sz w:val="22"/>
              </w:rPr>
            </w:pPr>
          </w:p>
        </w:tc>
        <w:tc>
          <w:tcPr>
            <w:tcW w:w="960" w:type="dxa"/>
            <w:tcBorders>
              <w:top w:val="nil"/>
              <w:left w:val="nil"/>
              <w:bottom w:val="nil"/>
              <w:right w:val="nil"/>
            </w:tcBorders>
            <w:shd w:val="clear" w:color="auto" w:fill="auto"/>
            <w:noWrap/>
            <w:vAlign w:val="bottom"/>
            <w:hideMark/>
          </w:tcPr>
          <w:p>
            <w:pPr>
              <w:spacing w:before="0" w:after="0"/>
              <w:jc w:val="left"/>
              <w:rPr>
                <w:rFonts w:ascii="Calibri" w:hAnsi="Calibri" w:cs="Calibri"/>
                <w:noProof/>
                <w:color w:val="000000"/>
                <w:sz w:val="22"/>
              </w:rPr>
            </w:pPr>
          </w:p>
        </w:tc>
        <w:tc>
          <w:tcPr>
            <w:tcW w:w="960" w:type="dxa"/>
            <w:tcBorders>
              <w:top w:val="nil"/>
              <w:left w:val="nil"/>
              <w:bottom w:val="nil"/>
              <w:right w:val="nil"/>
            </w:tcBorders>
            <w:shd w:val="clear" w:color="auto" w:fill="auto"/>
            <w:noWrap/>
            <w:vAlign w:val="bottom"/>
            <w:hideMark/>
          </w:tcPr>
          <w:p>
            <w:pPr>
              <w:spacing w:before="0" w:after="0"/>
              <w:jc w:val="left"/>
              <w:rPr>
                <w:rFonts w:ascii="Calibri" w:hAnsi="Calibri" w:cs="Calibri"/>
                <w:noProof/>
                <w:color w:val="000000"/>
                <w:sz w:val="22"/>
              </w:rPr>
            </w:pPr>
          </w:p>
        </w:tc>
        <w:tc>
          <w:tcPr>
            <w:tcW w:w="1060" w:type="dxa"/>
            <w:tcBorders>
              <w:top w:val="nil"/>
              <w:left w:val="nil"/>
              <w:bottom w:val="nil"/>
              <w:right w:val="nil"/>
            </w:tcBorders>
            <w:shd w:val="clear" w:color="auto" w:fill="auto"/>
            <w:noWrap/>
            <w:vAlign w:val="bottom"/>
            <w:hideMark/>
          </w:tcPr>
          <w:p>
            <w:pPr>
              <w:spacing w:before="0" w:after="0"/>
              <w:jc w:val="left"/>
              <w:rPr>
                <w:rFonts w:ascii="Calibri" w:hAnsi="Calibri" w:cs="Calibri"/>
                <w:noProof/>
                <w:color w:val="000000"/>
                <w:sz w:val="22"/>
              </w:rPr>
            </w:pPr>
          </w:p>
        </w:tc>
      </w:tr>
      <w:tr>
        <w:trPr>
          <w:trHeight w:val="300"/>
        </w:trPr>
        <w:tc>
          <w:tcPr>
            <w:tcW w:w="6100" w:type="dxa"/>
            <w:gridSpan w:val="5"/>
            <w:tcBorders>
              <w:top w:val="single" w:sz="8" w:space="0" w:color="auto"/>
              <w:left w:val="single" w:sz="8" w:space="0" w:color="auto"/>
              <w:bottom w:val="nil"/>
              <w:right w:val="single" w:sz="8" w:space="0" w:color="000000"/>
            </w:tcBorders>
            <w:shd w:val="clear" w:color="auto" w:fill="auto"/>
            <w:vAlign w:val="center"/>
            <w:hideMark/>
          </w:tcPr>
          <w:p>
            <w:pPr>
              <w:spacing w:before="0" w:after="0"/>
              <w:jc w:val="left"/>
              <w:rPr>
                <w:b/>
                <w:bCs/>
                <w:noProof/>
                <w:color w:val="000000"/>
                <w:sz w:val="18"/>
                <w:szCs w:val="18"/>
              </w:rPr>
            </w:pPr>
            <w:r>
              <w:rPr>
                <w:b/>
                <w:noProof/>
                <w:color w:val="000000"/>
                <w:sz w:val="18"/>
              </w:rPr>
              <w:t> </w:t>
            </w:r>
          </w:p>
        </w:tc>
        <w:tc>
          <w:tcPr>
            <w:tcW w:w="3940" w:type="dxa"/>
            <w:gridSpan w:val="4"/>
            <w:vMerge w:val="restart"/>
            <w:tcBorders>
              <w:top w:val="nil"/>
              <w:left w:val="nil"/>
              <w:bottom w:val="nil"/>
              <w:right w:val="nil"/>
            </w:tcBorders>
            <w:shd w:val="clear" w:color="auto" w:fill="auto"/>
            <w:vAlign w:val="center"/>
            <w:hideMark/>
          </w:tcPr>
          <w:p>
            <w:pPr>
              <w:spacing w:before="0" w:after="0"/>
              <w:jc w:val="left"/>
              <w:rPr>
                <w:rFonts w:ascii="Calibri" w:hAnsi="Calibri" w:cs="Calibri"/>
                <w:noProof/>
                <w:color w:val="000000"/>
                <w:sz w:val="22"/>
              </w:rPr>
            </w:pPr>
          </w:p>
        </w:tc>
      </w:tr>
      <w:tr>
        <w:trPr>
          <w:trHeight w:val="315"/>
        </w:trPr>
        <w:tc>
          <w:tcPr>
            <w:tcW w:w="6100" w:type="dxa"/>
            <w:gridSpan w:val="5"/>
            <w:tcBorders>
              <w:top w:val="nil"/>
              <w:left w:val="single" w:sz="8" w:space="0" w:color="auto"/>
              <w:bottom w:val="single" w:sz="8" w:space="0" w:color="auto"/>
              <w:right w:val="single" w:sz="8" w:space="0" w:color="000000"/>
            </w:tcBorders>
            <w:shd w:val="clear" w:color="auto" w:fill="auto"/>
            <w:vAlign w:val="center"/>
            <w:hideMark/>
          </w:tcPr>
          <w:p>
            <w:pPr>
              <w:spacing w:before="0" w:after="0"/>
              <w:jc w:val="left"/>
              <w:rPr>
                <w:b/>
                <w:bCs/>
                <w:noProof/>
                <w:color w:val="000000"/>
                <w:sz w:val="18"/>
                <w:szCs w:val="18"/>
              </w:rPr>
            </w:pPr>
            <w:r>
              <w:rPr>
                <w:b/>
                <w:noProof/>
                <w:color w:val="000000"/>
                <w:sz w:val="18"/>
              </w:rPr>
              <w:t>КОНКРЕТНА ЦЕЛ № 2:</w:t>
            </w:r>
          </w:p>
        </w:tc>
        <w:tc>
          <w:tcPr>
            <w:tcW w:w="3940" w:type="dxa"/>
            <w:gridSpan w:val="4"/>
            <w:vMerge/>
            <w:tcBorders>
              <w:top w:val="nil"/>
              <w:left w:val="nil"/>
              <w:bottom w:val="nil"/>
              <w:right w:val="nil"/>
            </w:tcBorders>
            <w:vAlign w:val="center"/>
            <w:hideMark/>
          </w:tcPr>
          <w:p>
            <w:pPr>
              <w:spacing w:before="0" w:after="0"/>
              <w:jc w:val="left"/>
              <w:rPr>
                <w:rFonts w:ascii="Calibri" w:hAnsi="Calibri" w:cs="Calibri"/>
                <w:noProof/>
                <w:color w:val="000000"/>
                <w:sz w:val="22"/>
              </w:rPr>
            </w:pPr>
          </w:p>
        </w:tc>
      </w:tr>
      <w:tr>
        <w:trPr>
          <w:trHeight w:val="480"/>
        </w:trPr>
        <w:tc>
          <w:tcPr>
            <w:tcW w:w="61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before="0" w:after="0"/>
              <w:jc w:val="left"/>
              <w:rPr>
                <w:b/>
                <w:bCs/>
                <w:noProof/>
                <w:color w:val="000000"/>
                <w:sz w:val="18"/>
                <w:szCs w:val="18"/>
              </w:rPr>
            </w:pPr>
            <w:r>
              <w:rPr>
                <w:b/>
                <w:noProof/>
                <w:color w:val="000000"/>
                <w:sz w:val="18"/>
              </w:rPr>
              <w:t>оказване на подкрепа на националните органи с цел укрепване на способността им да формулират, разработват и прилагат политики и стратегии за реформи и да прилагат интегриран подход, с който се гарантира последователността между целите и средствата, използвани в различните сектори,</w:t>
            </w:r>
          </w:p>
        </w:tc>
        <w:tc>
          <w:tcPr>
            <w:tcW w:w="3940" w:type="dxa"/>
            <w:gridSpan w:val="4"/>
            <w:vMerge/>
            <w:tcBorders>
              <w:top w:val="nil"/>
              <w:left w:val="nil"/>
              <w:bottom w:val="nil"/>
              <w:right w:val="nil"/>
            </w:tcBorders>
            <w:vAlign w:val="center"/>
            <w:hideMark/>
          </w:tcPr>
          <w:p>
            <w:pPr>
              <w:spacing w:before="0" w:after="0"/>
              <w:jc w:val="left"/>
              <w:rPr>
                <w:rFonts w:ascii="Calibri" w:hAnsi="Calibri" w:cs="Calibri"/>
                <w:noProof/>
                <w:color w:val="000000"/>
                <w:sz w:val="22"/>
              </w:rPr>
            </w:pPr>
          </w:p>
        </w:tc>
      </w:tr>
      <w:tr>
        <w:trPr>
          <w:gridAfter w:val="1"/>
          <w:wAfter w:w="1060" w:type="dxa"/>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 Резултат В</w:t>
            </w:r>
          </w:p>
        </w:tc>
        <w:tc>
          <w:tcPr>
            <w:tcW w:w="198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6"/>
                <w:szCs w:val="16"/>
              </w:rPr>
            </w:pPr>
            <w:r>
              <w:rPr>
                <w:noProof/>
                <w:color w:val="000000"/>
                <w:sz w:val="16"/>
              </w:rPr>
              <w:t>Брой експерти</w:t>
            </w:r>
          </w:p>
        </w:tc>
        <w:tc>
          <w:tcPr>
            <w:tcW w:w="124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0,00115</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100-150</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b/>
                <w:bCs/>
                <w:noProof/>
                <w:color w:val="000000"/>
                <w:sz w:val="18"/>
                <w:szCs w:val="18"/>
              </w:rPr>
            </w:pPr>
            <w:r>
              <w:rPr>
                <w:b/>
                <w:noProof/>
                <w:color w:val="000000"/>
                <w:sz w:val="18"/>
              </w:rPr>
              <w:t>0,141</w:t>
            </w:r>
          </w:p>
        </w:tc>
        <w:tc>
          <w:tcPr>
            <w:tcW w:w="960"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100-150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b/>
                <w:bCs/>
                <w:noProof/>
                <w:color w:val="000000"/>
                <w:sz w:val="18"/>
                <w:szCs w:val="18"/>
              </w:rPr>
            </w:pPr>
            <w:r>
              <w:rPr>
                <w:b/>
                <w:noProof/>
                <w:color w:val="000000"/>
                <w:sz w:val="18"/>
              </w:rPr>
              <w:t>0,141</w:t>
            </w:r>
          </w:p>
        </w:tc>
        <w:tc>
          <w:tcPr>
            <w:tcW w:w="960"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b/>
                <w:bCs/>
                <w:noProof/>
                <w:color w:val="000000"/>
                <w:sz w:val="18"/>
                <w:szCs w:val="18"/>
              </w:rPr>
            </w:pPr>
            <w:r>
              <w:rPr>
                <w:b/>
                <w:noProof/>
                <w:color w:val="000000"/>
                <w:sz w:val="18"/>
              </w:rPr>
              <w:t>0,282</w:t>
            </w:r>
          </w:p>
        </w:tc>
      </w:tr>
      <w:tr>
        <w:trPr>
          <w:gridAfter w:val="1"/>
          <w:wAfter w:w="1060" w:type="dxa"/>
          <w:trHeight w:val="915"/>
        </w:trPr>
        <w:tc>
          <w:tcPr>
            <w:tcW w:w="96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 Резултат Г</w:t>
            </w:r>
          </w:p>
        </w:tc>
        <w:tc>
          <w:tcPr>
            <w:tcW w:w="198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6"/>
                <w:szCs w:val="16"/>
              </w:rPr>
            </w:pPr>
            <w:r>
              <w:rPr>
                <w:noProof/>
                <w:color w:val="000000"/>
                <w:sz w:val="16"/>
              </w:rPr>
              <w:t>Брой пътни карти, планове за действие, изготвени и изпълнявани по сектори и по държави</w:t>
            </w:r>
          </w:p>
        </w:tc>
        <w:tc>
          <w:tcPr>
            <w:tcW w:w="124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0,125</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25-30</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3,125</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25-30</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3,125</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b/>
                <w:bCs/>
                <w:noProof/>
                <w:color w:val="000000"/>
                <w:sz w:val="18"/>
                <w:szCs w:val="18"/>
              </w:rPr>
            </w:pPr>
            <w:r>
              <w:rPr>
                <w:b/>
                <w:noProof/>
                <w:color w:val="000000"/>
                <w:sz w:val="18"/>
              </w:rPr>
              <w:t>6,250</w:t>
            </w:r>
          </w:p>
        </w:tc>
      </w:tr>
      <w:tr>
        <w:trPr>
          <w:gridAfter w:val="1"/>
          <w:wAfter w:w="1060" w:type="dxa"/>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 Резултат Д</w:t>
            </w:r>
          </w:p>
        </w:tc>
        <w:tc>
          <w:tcPr>
            <w:tcW w:w="198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6"/>
                <w:szCs w:val="16"/>
              </w:rPr>
            </w:pPr>
            <w:r>
              <w:rPr>
                <w:noProof/>
                <w:color w:val="000000"/>
                <w:sz w:val="16"/>
              </w:rPr>
              <w:t>Брой специални експертни услуги</w:t>
            </w:r>
          </w:p>
        </w:tc>
        <w:tc>
          <w:tcPr>
            <w:tcW w:w="124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0,015</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25-30</w:t>
            </w:r>
          </w:p>
        </w:tc>
        <w:tc>
          <w:tcPr>
            <w:tcW w:w="960" w:type="dxa"/>
            <w:tcBorders>
              <w:top w:val="nil"/>
              <w:left w:val="nil"/>
              <w:bottom w:val="single" w:sz="8" w:space="0" w:color="auto"/>
              <w:right w:val="nil"/>
            </w:tcBorders>
            <w:shd w:val="clear" w:color="auto" w:fill="auto"/>
            <w:vAlign w:val="center"/>
            <w:hideMark/>
          </w:tcPr>
          <w:p>
            <w:pPr>
              <w:spacing w:before="0" w:after="0"/>
              <w:jc w:val="center"/>
              <w:rPr>
                <w:b/>
                <w:bCs/>
                <w:noProof/>
                <w:color w:val="000000"/>
                <w:sz w:val="18"/>
                <w:szCs w:val="18"/>
              </w:rPr>
            </w:pPr>
            <w:r>
              <w:rPr>
                <w:b/>
                <w:noProof/>
                <w:color w:val="000000"/>
                <w:sz w:val="18"/>
              </w:rPr>
              <w:t>0,390</w:t>
            </w:r>
          </w:p>
        </w:tc>
        <w:tc>
          <w:tcPr>
            <w:tcW w:w="96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25-30</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b/>
                <w:bCs/>
                <w:noProof/>
                <w:color w:val="000000"/>
                <w:sz w:val="18"/>
                <w:szCs w:val="18"/>
              </w:rPr>
            </w:pPr>
            <w:r>
              <w:rPr>
                <w:b/>
                <w:noProof/>
                <w:color w:val="000000"/>
                <w:sz w:val="18"/>
              </w:rPr>
              <w:t>0,390</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b/>
                <w:bCs/>
                <w:noProof/>
                <w:color w:val="000000"/>
                <w:sz w:val="18"/>
                <w:szCs w:val="18"/>
              </w:rPr>
            </w:pPr>
            <w:r>
              <w:rPr>
                <w:b/>
                <w:noProof/>
                <w:color w:val="000000"/>
                <w:sz w:val="18"/>
              </w:rPr>
              <w:t>0,780</w:t>
            </w:r>
          </w:p>
        </w:tc>
      </w:tr>
      <w:tr>
        <w:trPr>
          <w:gridAfter w:val="1"/>
          <w:wAfter w:w="1060" w:type="dxa"/>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 Резултат Е</w:t>
            </w:r>
          </w:p>
        </w:tc>
        <w:tc>
          <w:tcPr>
            <w:tcW w:w="198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6"/>
                <w:szCs w:val="16"/>
              </w:rPr>
            </w:pPr>
            <w:r>
              <w:rPr>
                <w:noProof/>
                <w:color w:val="000000"/>
                <w:sz w:val="16"/>
              </w:rPr>
              <w:t>Брой на получилите подкрепа проекти</w:t>
            </w:r>
          </w:p>
        </w:tc>
        <w:tc>
          <w:tcPr>
            <w:tcW w:w="124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0,900</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6</w:t>
            </w:r>
          </w:p>
        </w:tc>
        <w:tc>
          <w:tcPr>
            <w:tcW w:w="960" w:type="dxa"/>
            <w:tcBorders>
              <w:top w:val="nil"/>
              <w:left w:val="nil"/>
              <w:bottom w:val="single" w:sz="8" w:space="0" w:color="auto"/>
              <w:right w:val="nil"/>
            </w:tcBorders>
            <w:shd w:val="clear" w:color="auto" w:fill="auto"/>
            <w:vAlign w:val="center"/>
            <w:hideMark/>
          </w:tcPr>
          <w:p>
            <w:pPr>
              <w:spacing w:before="0" w:after="0"/>
              <w:jc w:val="center"/>
              <w:rPr>
                <w:b/>
                <w:bCs/>
                <w:noProof/>
                <w:color w:val="000000"/>
                <w:sz w:val="18"/>
                <w:szCs w:val="18"/>
              </w:rPr>
            </w:pPr>
            <w:r>
              <w:rPr>
                <w:b/>
                <w:noProof/>
                <w:color w:val="000000"/>
                <w:sz w:val="18"/>
              </w:rPr>
              <w:t>5,400</w:t>
            </w:r>
          </w:p>
        </w:tc>
        <w:tc>
          <w:tcPr>
            <w:tcW w:w="96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6</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b/>
                <w:bCs/>
                <w:noProof/>
                <w:color w:val="000000"/>
                <w:sz w:val="18"/>
                <w:szCs w:val="18"/>
              </w:rPr>
            </w:pPr>
            <w:r>
              <w:rPr>
                <w:b/>
                <w:noProof/>
                <w:color w:val="000000"/>
                <w:sz w:val="18"/>
              </w:rPr>
              <w:t>5,400</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b/>
                <w:bCs/>
                <w:noProof/>
                <w:color w:val="000000"/>
                <w:sz w:val="18"/>
                <w:szCs w:val="18"/>
              </w:rPr>
            </w:pPr>
            <w:r>
              <w:rPr>
                <w:b/>
                <w:noProof/>
                <w:color w:val="000000"/>
                <w:sz w:val="18"/>
              </w:rPr>
              <w:t>10,800</w:t>
            </w:r>
          </w:p>
        </w:tc>
      </w:tr>
      <w:tr>
        <w:trPr>
          <w:trHeight w:val="330"/>
        </w:trPr>
        <w:tc>
          <w:tcPr>
            <w:tcW w:w="41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before="0" w:after="0"/>
              <w:jc w:val="center"/>
              <w:rPr>
                <w:noProof/>
                <w:color w:val="000000"/>
                <w:sz w:val="18"/>
                <w:szCs w:val="18"/>
              </w:rPr>
            </w:pPr>
            <w:r>
              <w:rPr>
                <w:noProof/>
                <w:color w:val="000000"/>
                <w:sz w:val="18"/>
              </w:rPr>
              <w:t>Междинен сбор за конкретна цел № 2</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 </w:t>
            </w:r>
          </w:p>
        </w:tc>
        <w:tc>
          <w:tcPr>
            <w:tcW w:w="960" w:type="dxa"/>
            <w:tcBorders>
              <w:top w:val="nil"/>
              <w:left w:val="nil"/>
              <w:bottom w:val="single" w:sz="8" w:space="0" w:color="auto"/>
              <w:right w:val="nil"/>
            </w:tcBorders>
            <w:shd w:val="clear" w:color="auto" w:fill="auto"/>
            <w:vAlign w:val="center"/>
            <w:hideMark/>
          </w:tcPr>
          <w:p>
            <w:pPr>
              <w:spacing w:before="0" w:after="0"/>
              <w:jc w:val="center"/>
              <w:rPr>
                <w:b/>
                <w:bCs/>
                <w:noProof/>
                <w:color w:val="FF0000"/>
                <w:sz w:val="18"/>
                <w:szCs w:val="18"/>
              </w:rPr>
            </w:pPr>
            <w:r>
              <w:rPr>
                <w:b/>
                <w:noProof/>
                <w:color w:val="FF0000"/>
                <w:sz w:val="18"/>
              </w:rPr>
              <w:t>9,056</w:t>
            </w:r>
          </w:p>
        </w:tc>
        <w:tc>
          <w:tcPr>
            <w:tcW w:w="96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 </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b/>
                <w:bCs/>
                <w:noProof/>
                <w:color w:val="FF0000"/>
                <w:sz w:val="18"/>
                <w:szCs w:val="18"/>
              </w:rPr>
            </w:pPr>
            <w:r>
              <w:rPr>
                <w:b/>
                <w:noProof/>
                <w:color w:val="FF0000"/>
                <w:sz w:val="18"/>
              </w:rPr>
              <w:t>9,056</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b/>
                <w:bCs/>
                <w:noProof/>
                <w:color w:val="000000"/>
                <w:sz w:val="18"/>
                <w:szCs w:val="18"/>
              </w:rPr>
            </w:pPr>
            <w:r>
              <w:rPr>
                <w:b/>
                <w:noProof/>
                <w:color w:val="000000"/>
                <w:sz w:val="18"/>
              </w:rPr>
              <w:t>18,112</w:t>
            </w:r>
          </w:p>
        </w:tc>
        <w:tc>
          <w:tcPr>
            <w:tcW w:w="1060" w:type="dxa"/>
            <w:tcBorders>
              <w:top w:val="nil"/>
              <w:left w:val="nil"/>
              <w:bottom w:val="nil"/>
              <w:right w:val="nil"/>
            </w:tcBorders>
            <w:shd w:val="clear" w:color="auto" w:fill="auto"/>
            <w:vAlign w:val="center"/>
            <w:hideMark/>
          </w:tcPr>
          <w:p>
            <w:pPr>
              <w:spacing w:before="0" w:after="0"/>
              <w:rPr>
                <w:noProof/>
                <w:color w:val="000000"/>
                <w:szCs w:val="24"/>
              </w:rPr>
            </w:pPr>
          </w:p>
        </w:tc>
      </w:tr>
      <w:tr>
        <w:trPr>
          <w:trHeight w:val="300"/>
        </w:trPr>
        <w:tc>
          <w:tcPr>
            <w:tcW w:w="6100" w:type="dxa"/>
            <w:gridSpan w:val="5"/>
            <w:tcBorders>
              <w:top w:val="single" w:sz="8" w:space="0" w:color="auto"/>
              <w:left w:val="single" w:sz="8" w:space="0" w:color="auto"/>
              <w:bottom w:val="nil"/>
              <w:right w:val="single" w:sz="8" w:space="0" w:color="000000"/>
            </w:tcBorders>
            <w:shd w:val="clear" w:color="auto" w:fill="auto"/>
            <w:vAlign w:val="center"/>
            <w:hideMark/>
          </w:tcPr>
          <w:p>
            <w:pPr>
              <w:spacing w:before="0" w:after="0"/>
              <w:jc w:val="left"/>
              <w:rPr>
                <w:b/>
                <w:bCs/>
                <w:noProof/>
                <w:color w:val="000000"/>
                <w:sz w:val="18"/>
                <w:szCs w:val="18"/>
              </w:rPr>
            </w:pPr>
            <w:r>
              <w:rPr>
                <w:b/>
                <w:noProof/>
                <w:color w:val="000000"/>
                <w:sz w:val="18"/>
              </w:rPr>
              <w:t> </w:t>
            </w:r>
          </w:p>
        </w:tc>
        <w:tc>
          <w:tcPr>
            <w:tcW w:w="3940" w:type="dxa"/>
            <w:gridSpan w:val="4"/>
            <w:vMerge w:val="restart"/>
            <w:tcBorders>
              <w:top w:val="nil"/>
              <w:left w:val="single" w:sz="8" w:space="0" w:color="000000"/>
              <w:bottom w:val="nil"/>
              <w:right w:val="nil"/>
            </w:tcBorders>
            <w:shd w:val="clear" w:color="auto" w:fill="auto"/>
            <w:vAlign w:val="center"/>
            <w:hideMark/>
          </w:tcPr>
          <w:p>
            <w:pPr>
              <w:spacing w:before="0" w:after="0"/>
              <w:jc w:val="left"/>
              <w:rPr>
                <w:rFonts w:ascii="Calibri" w:hAnsi="Calibri" w:cs="Calibri"/>
                <w:noProof/>
                <w:color w:val="000000"/>
                <w:sz w:val="22"/>
              </w:rPr>
            </w:pPr>
            <w:r>
              <w:rPr>
                <w:rFonts w:ascii="Calibri" w:hAnsi="Calibri"/>
                <w:noProof/>
                <w:color w:val="000000"/>
                <w:sz w:val="22"/>
              </w:rPr>
              <w:t> </w:t>
            </w:r>
          </w:p>
        </w:tc>
      </w:tr>
      <w:tr>
        <w:trPr>
          <w:trHeight w:val="420"/>
        </w:trPr>
        <w:tc>
          <w:tcPr>
            <w:tcW w:w="6100" w:type="dxa"/>
            <w:gridSpan w:val="5"/>
            <w:tcBorders>
              <w:top w:val="nil"/>
              <w:left w:val="single" w:sz="8" w:space="0" w:color="auto"/>
              <w:bottom w:val="single" w:sz="8" w:space="0" w:color="auto"/>
              <w:right w:val="single" w:sz="8" w:space="0" w:color="000000"/>
            </w:tcBorders>
            <w:shd w:val="clear" w:color="auto" w:fill="auto"/>
            <w:vAlign w:val="center"/>
            <w:hideMark/>
          </w:tcPr>
          <w:p>
            <w:pPr>
              <w:spacing w:before="0" w:after="0"/>
              <w:jc w:val="left"/>
              <w:rPr>
                <w:b/>
                <w:bCs/>
                <w:noProof/>
                <w:color w:val="000000"/>
                <w:sz w:val="16"/>
                <w:szCs w:val="16"/>
              </w:rPr>
            </w:pPr>
            <w:r>
              <w:rPr>
                <w:b/>
                <w:noProof/>
                <w:color w:val="000000"/>
                <w:sz w:val="16"/>
              </w:rPr>
              <w:t>Да се подкрепят усилията на националните органи при определянето и прилагането на подходящи процеси и методики, като се вземат предвид добрите практики и извлечените поуки от други държави при справянето с подобни ситуации</w:t>
            </w:r>
          </w:p>
        </w:tc>
        <w:tc>
          <w:tcPr>
            <w:tcW w:w="3940" w:type="dxa"/>
            <w:gridSpan w:val="4"/>
            <w:vMerge/>
            <w:tcBorders>
              <w:top w:val="nil"/>
              <w:left w:val="single" w:sz="8" w:space="0" w:color="000000"/>
              <w:bottom w:val="nil"/>
              <w:right w:val="nil"/>
            </w:tcBorders>
            <w:vAlign w:val="center"/>
            <w:hideMark/>
          </w:tcPr>
          <w:p>
            <w:pPr>
              <w:spacing w:before="0" w:after="0"/>
              <w:jc w:val="left"/>
              <w:rPr>
                <w:rFonts w:ascii="Calibri" w:hAnsi="Calibri" w:cs="Calibri"/>
                <w:noProof/>
                <w:color w:val="000000"/>
                <w:sz w:val="22"/>
              </w:rPr>
            </w:pPr>
          </w:p>
        </w:tc>
      </w:tr>
      <w:tr>
        <w:trPr>
          <w:gridAfter w:val="1"/>
          <w:wAfter w:w="1060" w:type="dxa"/>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 Резултат Ж</w:t>
            </w:r>
          </w:p>
        </w:tc>
        <w:tc>
          <w:tcPr>
            <w:tcW w:w="198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6"/>
                <w:szCs w:val="16"/>
              </w:rPr>
            </w:pPr>
            <w:r>
              <w:rPr>
                <w:noProof/>
                <w:color w:val="000000"/>
                <w:sz w:val="16"/>
              </w:rPr>
              <w:t>Брой експерти</w:t>
            </w:r>
          </w:p>
        </w:tc>
        <w:tc>
          <w:tcPr>
            <w:tcW w:w="124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0,00115</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220-240</w:t>
            </w:r>
          </w:p>
        </w:tc>
        <w:tc>
          <w:tcPr>
            <w:tcW w:w="960" w:type="dxa"/>
            <w:tcBorders>
              <w:top w:val="single" w:sz="8" w:space="0" w:color="auto"/>
              <w:left w:val="nil"/>
              <w:bottom w:val="single" w:sz="8" w:space="0" w:color="auto"/>
              <w:right w:val="nil"/>
            </w:tcBorders>
            <w:shd w:val="clear" w:color="auto" w:fill="auto"/>
            <w:vAlign w:val="center"/>
            <w:hideMark/>
          </w:tcPr>
          <w:p>
            <w:pPr>
              <w:spacing w:before="0" w:after="0"/>
              <w:jc w:val="center"/>
              <w:rPr>
                <w:b/>
                <w:bCs/>
                <w:noProof/>
                <w:color w:val="000000"/>
                <w:sz w:val="18"/>
                <w:szCs w:val="18"/>
              </w:rPr>
            </w:pPr>
            <w:r>
              <w:rPr>
                <w:b/>
                <w:noProof/>
                <w:color w:val="000000"/>
                <w:sz w:val="18"/>
              </w:rPr>
              <w:t>0,251</w:t>
            </w: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220-240</w:t>
            </w:r>
          </w:p>
        </w:tc>
        <w:tc>
          <w:tcPr>
            <w:tcW w:w="960" w:type="dxa"/>
            <w:tcBorders>
              <w:top w:val="single" w:sz="8" w:space="0" w:color="auto"/>
              <w:left w:val="nil"/>
              <w:bottom w:val="single" w:sz="8" w:space="0" w:color="auto"/>
              <w:right w:val="nil"/>
            </w:tcBorders>
            <w:shd w:val="clear" w:color="auto" w:fill="auto"/>
            <w:vAlign w:val="center"/>
            <w:hideMark/>
          </w:tcPr>
          <w:p>
            <w:pPr>
              <w:spacing w:before="0" w:after="0"/>
              <w:jc w:val="center"/>
              <w:rPr>
                <w:b/>
                <w:bCs/>
                <w:noProof/>
                <w:color w:val="000000"/>
                <w:sz w:val="18"/>
                <w:szCs w:val="18"/>
              </w:rPr>
            </w:pPr>
            <w:r>
              <w:rPr>
                <w:b/>
                <w:noProof/>
                <w:color w:val="000000"/>
                <w:sz w:val="18"/>
              </w:rPr>
              <w:t>0,251</w:t>
            </w:r>
          </w:p>
        </w:tc>
        <w:tc>
          <w:tcPr>
            <w:tcW w:w="960"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b/>
                <w:bCs/>
                <w:noProof/>
                <w:color w:val="000000"/>
                <w:sz w:val="18"/>
                <w:szCs w:val="18"/>
              </w:rPr>
            </w:pPr>
            <w:r>
              <w:rPr>
                <w:b/>
                <w:noProof/>
                <w:color w:val="000000"/>
                <w:sz w:val="18"/>
              </w:rPr>
              <w:t>0,502</w:t>
            </w:r>
          </w:p>
        </w:tc>
      </w:tr>
      <w:tr>
        <w:trPr>
          <w:gridAfter w:val="1"/>
          <w:wAfter w:w="1060" w:type="dxa"/>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 Резултат З</w:t>
            </w:r>
          </w:p>
        </w:tc>
        <w:tc>
          <w:tcPr>
            <w:tcW w:w="198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6"/>
                <w:szCs w:val="16"/>
              </w:rPr>
            </w:pPr>
            <w:r>
              <w:rPr>
                <w:noProof/>
                <w:color w:val="000000"/>
                <w:sz w:val="16"/>
              </w:rPr>
              <w:t>Брой на получилите подкрепа проекти</w:t>
            </w:r>
          </w:p>
        </w:tc>
        <w:tc>
          <w:tcPr>
            <w:tcW w:w="124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0,900</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8</w:t>
            </w:r>
          </w:p>
        </w:tc>
        <w:tc>
          <w:tcPr>
            <w:tcW w:w="960" w:type="dxa"/>
            <w:tcBorders>
              <w:top w:val="nil"/>
              <w:left w:val="nil"/>
              <w:bottom w:val="single" w:sz="8" w:space="0" w:color="auto"/>
              <w:right w:val="nil"/>
            </w:tcBorders>
            <w:shd w:val="clear" w:color="auto" w:fill="auto"/>
            <w:vAlign w:val="center"/>
            <w:hideMark/>
          </w:tcPr>
          <w:p>
            <w:pPr>
              <w:spacing w:before="0" w:after="0"/>
              <w:jc w:val="center"/>
              <w:rPr>
                <w:b/>
                <w:bCs/>
                <w:noProof/>
                <w:color w:val="000000"/>
                <w:sz w:val="18"/>
                <w:szCs w:val="18"/>
              </w:rPr>
            </w:pPr>
            <w:r>
              <w:rPr>
                <w:b/>
                <w:noProof/>
                <w:color w:val="000000"/>
                <w:sz w:val="18"/>
              </w:rPr>
              <w:t>7,200</w:t>
            </w:r>
          </w:p>
        </w:tc>
        <w:tc>
          <w:tcPr>
            <w:tcW w:w="96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8</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b/>
                <w:bCs/>
                <w:noProof/>
                <w:color w:val="000000"/>
                <w:sz w:val="18"/>
                <w:szCs w:val="18"/>
              </w:rPr>
            </w:pPr>
            <w:r>
              <w:rPr>
                <w:b/>
                <w:noProof/>
                <w:color w:val="000000"/>
                <w:sz w:val="18"/>
              </w:rPr>
              <w:t>7,200</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b/>
                <w:bCs/>
                <w:noProof/>
                <w:color w:val="000000"/>
                <w:sz w:val="18"/>
                <w:szCs w:val="18"/>
              </w:rPr>
            </w:pPr>
            <w:r>
              <w:rPr>
                <w:b/>
                <w:noProof/>
                <w:color w:val="000000"/>
                <w:sz w:val="18"/>
              </w:rPr>
              <w:t>14,400</w:t>
            </w:r>
          </w:p>
        </w:tc>
      </w:tr>
      <w:tr>
        <w:trPr>
          <w:gridAfter w:val="1"/>
          <w:wAfter w:w="1060" w:type="dxa"/>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 Резултат И</w:t>
            </w:r>
          </w:p>
        </w:tc>
        <w:tc>
          <w:tcPr>
            <w:tcW w:w="198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6"/>
                <w:szCs w:val="16"/>
              </w:rPr>
            </w:pPr>
            <w:r>
              <w:rPr>
                <w:noProof/>
                <w:color w:val="000000"/>
                <w:sz w:val="16"/>
              </w:rPr>
              <w:t>Брой на получилите подкрепа проекти</w:t>
            </w:r>
          </w:p>
        </w:tc>
        <w:tc>
          <w:tcPr>
            <w:tcW w:w="124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0,150</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18</w:t>
            </w:r>
          </w:p>
        </w:tc>
        <w:tc>
          <w:tcPr>
            <w:tcW w:w="960" w:type="dxa"/>
            <w:tcBorders>
              <w:top w:val="nil"/>
              <w:left w:val="nil"/>
              <w:bottom w:val="single" w:sz="8" w:space="0" w:color="auto"/>
              <w:right w:val="nil"/>
            </w:tcBorders>
            <w:shd w:val="clear" w:color="auto" w:fill="auto"/>
            <w:vAlign w:val="center"/>
            <w:hideMark/>
          </w:tcPr>
          <w:p>
            <w:pPr>
              <w:spacing w:before="0" w:after="0"/>
              <w:jc w:val="center"/>
              <w:rPr>
                <w:b/>
                <w:bCs/>
                <w:noProof/>
                <w:color w:val="000000"/>
                <w:sz w:val="18"/>
                <w:szCs w:val="18"/>
              </w:rPr>
            </w:pPr>
            <w:r>
              <w:rPr>
                <w:b/>
                <w:noProof/>
                <w:color w:val="000000"/>
                <w:sz w:val="18"/>
              </w:rPr>
              <w:t>2,700</w:t>
            </w:r>
          </w:p>
        </w:tc>
        <w:tc>
          <w:tcPr>
            <w:tcW w:w="96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18</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b/>
                <w:bCs/>
                <w:noProof/>
                <w:color w:val="000000"/>
                <w:sz w:val="18"/>
                <w:szCs w:val="18"/>
              </w:rPr>
            </w:pPr>
            <w:r>
              <w:rPr>
                <w:b/>
                <w:noProof/>
                <w:color w:val="000000"/>
                <w:sz w:val="18"/>
              </w:rPr>
              <w:t>2,700</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b/>
                <w:bCs/>
                <w:noProof/>
                <w:color w:val="000000"/>
                <w:sz w:val="18"/>
                <w:szCs w:val="18"/>
              </w:rPr>
            </w:pPr>
            <w:r>
              <w:rPr>
                <w:b/>
                <w:noProof/>
                <w:color w:val="000000"/>
                <w:sz w:val="18"/>
              </w:rPr>
              <w:t>5,400</w:t>
            </w:r>
          </w:p>
        </w:tc>
      </w:tr>
      <w:tr>
        <w:trPr>
          <w:gridAfter w:val="1"/>
          <w:wAfter w:w="1060" w:type="dxa"/>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 Резултат Й</w:t>
            </w:r>
          </w:p>
        </w:tc>
        <w:tc>
          <w:tcPr>
            <w:tcW w:w="198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6"/>
                <w:szCs w:val="16"/>
              </w:rPr>
            </w:pPr>
            <w:r>
              <w:rPr>
                <w:noProof/>
                <w:color w:val="000000"/>
                <w:sz w:val="16"/>
              </w:rPr>
              <w:t>Брой специални експертни услуги</w:t>
            </w:r>
          </w:p>
        </w:tc>
        <w:tc>
          <w:tcPr>
            <w:tcW w:w="124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0,015</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90-95</w:t>
            </w:r>
          </w:p>
        </w:tc>
        <w:tc>
          <w:tcPr>
            <w:tcW w:w="960" w:type="dxa"/>
            <w:tcBorders>
              <w:top w:val="nil"/>
              <w:left w:val="nil"/>
              <w:bottom w:val="single" w:sz="8" w:space="0" w:color="auto"/>
              <w:right w:val="nil"/>
            </w:tcBorders>
            <w:shd w:val="clear" w:color="auto" w:fill="auto"/>
            <w:vAlign w:val="center"/>
            <w:hideMark/>
          </w:tcPr>
          <w:p>
            <w:pPr>
              <w:spacing w:before="0" w:after="0"/>
              <w:jc w:val="center"/>
              <w:rPr>
                <w:b/>
                <w:bCs/>
                <w:noProof/>
                <w:color w:val="000000"/>
                <w:sz w:val="18"/>
                <w:szCs w:val="18"/>
              </w:rPr>
            </w:pPr>
            <w:r>
              <w:rPr>
                <w:b/>
                <w:noProof/>
                <w:color w:val="000000"/>
                <w:sz w:val="18"/>
              </w:rPr>
              <w:t>1,380</w:t>
            </w:r>
          </w:p>
        </w:tc>
        <w:tc>
          <w:tcPr>
            <w:tcW w:w="96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90-95</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b/>
                <w:bCs/>
                <w:noProof/>
                <w:color w:val="000000"/>
                <w:sz w:val="18"/>
                <w:szCs w:val="18"/>
              </w:rPr>
            </w:pPr>
            <w:r>
              <w:rPr>
                <w:b/>
                <w:noProof/>
                <w:color w:val="000000"/>
                <w:sz w:val="18"/>
              </w:rPr>
              <w:t>1,380</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b/>
                <w:bCs/>
                <w:noProof/>
                <w:color w:val="000000"/>
                <w:sz w:val="18"/>
                <w:szCs w:val="18"/>
              </w:rPr>
            </w:pPr>
            <w:r>
              <w:rPr>
                <w:b/>
                <w:noProof/>
                <w:color w:val="000000"/>
                <w:sz w:val="18"/>
              </w:rPr>
              <w:t>2,760</w:t>
            </w:r>
          </w:p>
        </w:tc>
      </w:tr>
      <w:tr>
        <w:trPr>
          <w:gridAfter w:val="1"/>
          <w:wAfter w:w="1060" w:type="dxa"/>
          <w:trHeight w:val="480"/>
        </w:trPr>
        <w:tc>
          <w:tcPr>
            <w:tcW w:w="29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before="0" w:after="0"/>
              <w:jc w:val="center"/>
              <w:rPr>
                <w:noProof/>
                <w:color w:val="000000"/>
                <w:sz w:val="18"/>
                <w:szCs w:val="18"/>
              </w:rPr>
            </w:pPr>
            <w:r>
              <w:rPr>
                <w:noProof/>
                <w:color w:val="000000"/>
                <w:sz w:val="18"/>
              </w:rPr>
              <w:t>Междинен сбор за конкретна цел № 3</w:t>
            </w:r>
          </w:p>
        </w:tc>
        <w:tc>
          <w:tcPr>
            <w:tcW w:w="124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 </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 </w:t>
            </w:r>
          </w:p>
        </w:tc>
        <w:tc>
          <w:tcPr>
            <w:tcW w:w="960" w:type="dxa"/>
            <w:tcBorders>
              <w:top w:val="nil"/>
              <w:left w:val="nil"/>
              <w:bottom w:val="single" w:sz="8" w:space="0" w:color="auto"/>
              <w:right w:val="nil"/>
            </w:tcBorders>
            <w:shd w:val="clear" w:color="auto" w:fill="auto"/>
            <w:vAlign w:val="center"/>
            <w:hideMark/>
          </w:tcPr>
          <w:p>
            <w:pPr>
              <w:spacing w:before="0" w:after="0"/>
              <w:jc w:val="center"/>
              <w:rPr>
                <w:b/>
                <w:bCs/>
                <w:noProof/>
                <w:color w:val="FF0000"/>
                <w:sz w:val="18"/>
                <w:szCs w:val="18"/>
              </w:rPr>
            </w:pPr>
            <w:r>
              <w:rPr>
                <w:b/>
                <w:noProof/>
                <w:color w:val="FF0000"/>
                <w:sz w:val="18"/>
              </w:rPr>
              <w:t>11,531</w:t>
            </w:r>
          </w:p>
        </w:tc>
        <w:tc>
          <w:tcPr>
            <w:tcW w:w="96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 </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b/>
                <w:bCs/>
                <w:noProof/>
                <w:color w:val="FF0000"/>
                <w:sz w:val="18"/>
                <w:szCs w:val="18"/>
              </w:rPr>
            </w:pPr>
            <w:r>
              <w:rPr>
                <w:b/>
                <w:noProof/>
                <w:color w:val="FF0000"/>
                <w:sz w:val="18"/>
              </w:rPr>
              <w:t>11,531</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b/>
                <w:bCs/>
                <w:noProof/>
                <w:color w:val="000000"/>
                <w:sz w:val="18"/>
                <w:szCs w:val="18"/>
              </w:rPr>
            </w:pPr>
            <w:r>
              <w:rPr>
                <w:b/>
                <w:noProof/>
                <w:color w:val="000000"/>
                <w:sz w:val="18"/>
              </w:rPr>
              <w:t>23,062</w:t>
            </w:r>
          </w:p>
        </w:tc>
      </w:tr>
      <w:tr>
        <w:trPr>
          <w:trHeight w:val="330"/>
        </w:trPr>
        <w:tc>
          <w:tcPr>
            <w:tcW w:w="61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before="0" w:after="0"/>
              <w:jc w:val="left"/>
              <w:rPr>
                <w:b/>
                <w:bCs/>
                <w:noProof/>
                <w:color w:val="000000"/>
                <w:sz w:val="18"/>
                <w:szCs w:val="18"/>
              </w:rPr>
            </w:pPr>
            <w:r>
              <w:rPr>
                <w:b/>
                <w:noProof/>
                <w:color w:val="000000"/>
                <w:sz w:val="18"/>
              </w:rPr>
              <w:t>КОНКРЕТНА ЦЕЛ № 4:</w:t>
            </w:r>
          </w:p>
        </w:tc>
        <w:tc>
          <w:tcPr>
            <w:tcW w:w="2880" w:type="dxa"/>
            <w:gridSpan w:val="3"/>
            <w:vMerge w:val="restart"/>
            <w:tcBorders>
              <w:top w:val="single" w:sz="8" w:space="0" w:color="auto"/>
              <w:left w:val="single" w:sz="8" w:space="0" w:color="000000"/>
              <w:bottom w:val="single" w:sz="8" w:space="0" w:color="000000"/>
              <w:right w:val="nil"/>
            </w:tcBorders>
            <w:shd w:val="clear" w:color="auto" w:fill="auto"/>
            <w:vAlign w:val="center"/>
            <w:hideMark/>
          </w:tcPr>
          <w:p>
            <w:pPr>
              <w:spacing w:before="0" w:after="0"/>
              <w:jc w:val="left"/>
              <w:rPr>
                <w:rFonts w:ascii="Calibri" w:hAnsi="Calibri" w:cs="Calibri"/>
                <w:noProof/>
                <w:color w:val="000000"/>
                <w:sz w:val="22"/>
              </w:rPr>
            </w:pPr>
            <w:r>
              <w:rPr>
                <w:rFonts w:ascii="Calibri" w:hAnsi="Calibri"/>
                <w:noProof/>
                <w:color w:val="000000"/>
                <w:sz w:val="22"/>
              </w:rPr>
              <w:t> </w:t>
            </w:r>
          </w:p>
        </w:tc>
        <w:tc>
          <w:tcPr>
            <w:tcW w:w="1060" w:type="dxa"/>
            <w:tcBorders>
              <w:top w:val="nil"/>
              <w:left w:val="nil"/>
              <w:bottom w:val="nil"/>
              <w:right w:val="nil"/>
            </w:tcBorders>
            <w:shd w:val="clear" w:color="auto" w:fill="auto"/>
            <w:vAlign w:val="center"/>
            <w:hideMark/>
          </w:tcPr>
          <w:p>
            <w:pPr>
              <w:spacing w:before="0" w:after="0"/>
              <w:rPr>
                <w:noProof/>
                <w:color w:val="000000"/>
                <w:szCs w:val="24"/>
              </w:rPr>
            </w:pPr>
          </w:p>
        </w:tc>
      </w:tr>
      <w:tr>
        <w:trPr>
          <w:gridAfter w:val="1"/>
          <w:wAfter w:w="1060" w:type="dxa"/>
          <w:trHeight w:val="480"/>
        </w:trPr>
        <w:tc>
          <w:tcPr>
            <w:tcW w:w="61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before="0" w:after="0"/>
              <w:jc w:val="left"/>
              <w:rPr>
                <w:b/>
                <w:bCs/>
                <w:noProof/>
                <w:color w:val="000000"/>
                <w:sz w:val="18"/>
                <w:szCs w:val="18"/>
              </w:rPr>
            </w:pPr>
            <w:r>
              <w:rPr>
                <w:b/>
                <w:noProof/>
                <w:color w:val="000000"/>
                <w:sz w:val="18"/>
              </w:rPr>
              <w:t>Подпомагане на националните органи с цел увеличаване на ефективността и ефикасността на управлението на човешките ресурси, когато това е уместно, чрез определяне на ясни отговорности и повишаване на професионалните знания и умения</w:t>
            </w:r>
          </w:p>
        </w:tc>
        <w:tc>
          <w:tcPr>
            <w:tcW w:w="2880" w:type="dxa"/>
            <w:gridSpan w:val="3"/>
            <w:vMerge/>
            <w:tcBorders>
              <w:top w:val="single" w:sz="8" w:space="0" w:color="auto"/>
              <w:left w:val="single" w:sz="8" w:space="0" w:color="000000"/>
              <w:bottom w:val="single" w:sz="8" w:space="0" w:color="000000"/>
              <w:right w:val="nil"/>
            </w:tcBorders>
            <w:vAlign w:val="center"/>
            <w:hideMark/>
          </w:tcPr>
          <w:p>
            <w:pPr>
              <w:spacing w:before="0" w:after="0"/>
              <w:jc w:val="left"/>
              <w:rPr>
                <w:rFonts w:ascii="Calibri" w:hAnsi="Calibri" w:cs="Calibri"/>
                <w:noProof/>
                <w:color w:val="000000"/>
                <w:sz w:val="22"/>
              </w:rPr>
            </w:pPr>
          </w:p>
        </w:tc>
      </w:tr>
      <w:tr>
        <w:trPr>
          <w:gridAfter w:val="1"/>
          <w:wAfter w:w="1060" w:type="dxa"/>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 Резултат К</w:t>
            </w:r>
          </w:p>
        </w:tc>
        <w:tc>
          <w:tcPr>
            <w:tcW w:w="198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6"/>
                <w:szCs w:val="16"/>
              </w:rPr>
            </w:pPr>
            <w:r>
              <w:rPr>
                <w:noProof/>
                <w:color w:val="000000"/>
                <w:sz w:val="16"/>
              </w:rPr>
              <w:t>Брой обучения/семинари</w:t>
            </w:r>
          </w:p>
        </w:tc>
        <w:tc>
          <w:tcPr>
            <w:tcW w:w="124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0,08</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40-50</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b/>
                <w:bCs/>
                <w:noProof/>
                <w:color w:val="000000"/>
                <w:sz w:val="18"/>
                <w:szCs w:val="18"/>
              </w:rPr>
            </w:pPr>
            <w:r>
              <w:rPr>
                <w:b/>
                <w:noProof/>
                <w:color w:val="000000"/>
                <w:sz w:val="18"/>
              </w:rPr>
              <w:t>3,200</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40-50</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b/>
                <w:bCs/>
                <w:noProof/>
                <w:color w:val="000000"/>
                <w:sz w:val="18"/>
                <w:szCs w:val="18"/>
              </w:rPr>
            </w:pPr>
            <w:r>
              <w:rPr>
                <w:b/>
                <w:noProof/>
                <w:color w:val="000000"/>
                <w:sz w:val="18"/>
              </w:rPr>
              <w:t>3,200</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b/>
                <w:bCs/>
                <w:noProof/>
                <w:color w:val="000000"/>
                <w:sz w:val="18"/>
                <w:szCs w:val="18"/>
              </w:rPr>
            </w:pPr>
            <w:r>
              <w:rPr>
                <w:b/>
                <w:noProof/>
                <w:color w:val="000000"/>
                <w:sz w:val="18"/>
              </w:rPr>
              <w:t>6,400</w:t>
            </w:r>
          </w:p>
        </w:tc>
      </w:tr>
      <w:tr>
        <w:trPr>
          <w:gridAfter w:val="1"/>
          <w:wAfter w:w="1060" w:type="dxa"/>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 Резултат Л</w:t>
            </w:r>
          </w:p>
        </w:tc>
        <w:tc>
          <w:tcPr>
            <w:tcW w:w="198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6"/>
                <w:szCs w:val="16"/>
              </w:rPr>
            </w:pPr>
            <w:r>
              <w:rPr>
                <w:noProof/>
                <w:color w:val="000000"/>
                <w:sz w:val="16"/>
              </w:rPr>
              <w:t>Брой експерти</w:t>
            </w:r>
          </w:p>
        </w:tc>
        <w:tc>
          <w:tcPr>
            <w:tcW w:w="124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0,00115</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100-150</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b/>
                <w:bCs/>
                <w:noProof/>
                <w:color w:val="000000"/>
                <w:sz w:val="18"/>
                <w:szCs w:val="18"/>
              </w:rPr>
            </w:pPr>
            <w:r>
              <w:rPr>
                <w:b/>
                <w:noProof/>
                <w:color w:val="000000"/>
                <w:sz w:val="18"/>
              </w:rPr>
              <w:t>0,161</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100-150</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b/>
                <w:bCs/>
                <w:noProof/>
                <w:color w:val="000000"/>
                <w:sz w:val="18"/>
                <w:szCs w:val="18"/>
              </w:rPr>
            </w:pPr>
            <w:r>
              <w:rPr>
                <w:b/>
                <w:noProof/>
                <w:color w:val="000000"/>
                <w:sz w:val="18"/>
              </w:rPr>
              <w:t>0,161</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b/>
                <w:bCs/>
                <w:noProof/>
                <w:color w:val="000000"/>
                <w:sz w:val="18"/>
                <w:szCs w:val="18"/>
              </w:rPr>
            </w:pPr>
            <w:r>
              <w:rPr>
                <w:b/>
                <w:noProof/>
                <w:color w:val="000000"/>
                <w:sz w:val="18"/>
              </w:rPr>
              <w:t>0,322</w:t>
            </w:r>
          </w:p>
        </w:tc>
      </w:tr>
      <w:tr>
        <w:trPr>
          <w:gridAfter w:val="1"/>
          <w:wAfter w:w="1060" w:type="dxa"/>
          <w:trHeight w:val="495"/>
        </w:trPr>
        <w:tc>
          <w:tcPr>
            <w:tcW w:w="96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 Резултат М</w:t>
            </w:r>
          </w:p>
        </w:tc>
        <w:tc>
          <w:tcPr>
            <w:tcW w:w="198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6"/>
                <w:szCs w:val="16"/>
              </w:rPr>
            </w:pPr>
            <w:r>
              <w:rPr>
                <w:noProof/>
                <w:color w:val="000000"/>
                <w:sz w:val="16"/>
              </w:rPr>
              <w:t>Брой на получилите подкрепа проекти</w:t>
            </w:r>
          </w:p>
        </w:tc>
        <w:tc>
          <w:tcPr>
            <w:tcW w:w="124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0,900</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sz w:val="18"/>
                <w:szCs w:val="18"/>
              </w:rPr>
            </w:pPr>
            <w:r>
              <w:rPr>
                <w:noProof/>
                <w:sz w:val="18"/>
              </w:rPr>
              <w:t>10-12</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b/>
                <w:bCs/>
                <w:noProof/>
                <w:sz w:val="18"/>
                <w:szCs w:val="18"/>
              </w:rPr>
            </w:pPr>
            <w:r>
              <w:rPr>
                <w:b/>
                <w:noProof/>
                <w:sz w:val="18"/>
              </w:rPr>
              <w:t>9,900</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sz w:val="18"/>
                <w:szCs w:val="18"/>
              </w:rPr>
            </w:pPr>
            <w:r>
              <w:rPr>
                <w:noProof/>
                <w:sz w:val="18"/>
              </w:rPr>
              <w:t>10-12</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b/>
                <w:bCs/>
                <w:noProof/>
                <w:color w:val="000000"/>
                <w:sz w:val="18"/>
                <w:szCs w:val="18"/>
              </w:rPr>
            </w:pPr>
            <w:r>
              <w:rPr>
                <w:b/>
                <w:noProof/>
                <w:color w:val="000000"/>
                <w:sz w:val="18"/>
              </w:rPr>
              <w:t>9,900</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b/>
                <w:bCs/>
                <w:noProof/>
                <w:color w:val="000000"/>
                <w:sz w:val="18"/>
                <w:szCs w:val="18"/>
              </w:rPr>
            </w:pPr>
            <w:r>
              <w:rPr>
                <w:b/>
                <w:noProof/>
                <w:color w:val="000000"/>
                <w:sz w:val="18"/>
              </w:rPr>
              <w:t>19,800</w:t>
            </w:r>
          </w:p>
        </w:tc>
      </w:tr>
      <w:tr>
        <w:trPr>
          <w:gridAfter w:val="1"/>
          <w:wAfter w:w="1060" w:type="dxa"/>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 Резултат Н</w:t>
            </w:r>
          </w:p>
        </w:tc>
        <w:tc>
          <w:tcPr>
            <w:tcW w:w="198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6"/>
                <w:szCs w:val="16"/>
              </w:rPr>
            </w:pPr>
            <w:r>
              <w:rPr>
                <w:noProof/>
                <w:color w:val="000000"/>
                <w:sz w:val="16"/>
              </w:rPr>
              <w:t>Брой на получилите подкрепа проекти</w:t>
            </w:r>
          </w:p>
        </w:tc>
        <w:tc>
          <w:tcPr>
            <w:tcW w:w="124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0,150</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18</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b/>
                <w:bCs/>
                <w:noProof/>
                <w:color w:val="000000"/>
                <w:sz w:val="18"/>
                <w:szCs w:val="18"/>
              </w:rPr>
            </w:pPr>
            <w:r>
              <w:rPr>
                <w:b/>
                <w:noProof/>
                <w:color w:val="000000"/>
                <w:sz w:val="18"/>
              </w:rPr>
              <w:t>2,700</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18</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b/>
                <w:bCs/>
                <w:noProof/>
                <w:color w:val="000000"/>
                <w:sz w:val="18"/>
                <w:szCs w:val="18"/>
              </w:rPr>
            </w:pPr>
            <w:r>
              <w:rPr>
                <w:b/>
                <w:noProof/>
                <w:color w:val="000000"/>
                <w:sz w:val="18"/>
              </w:rPr>
              <w:t>2,700</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b/>
                <w:bCs/>
                <w:noProof/>
                <w:color w:val="000000"/>
                <w:sz w:val="18"/>
                <w:szCs w:val="18"/>
              </w:rPr>
            </w:pPr>
            <w:r>
              <w:rPr>
                <w:b/>
                <w:noProof/>
                <w:color w:val="000000"/>
                <w:sz w:val="18"/>
              </w:rPr>
              <w:t>5,400</w:t>
            </w:r>
          </w:p>
        </w:tc>
      </w:tr>
      <w:tr>
        <w:trPr>
          <w:gridAfter w:val="1"/>
          <w:wAfter w:w="1060" w:type="dxa"/>
          <w:trHeight w:val="480"/>
        </w:trPr>
        <w:tc>
          <w:tcPr>
            <w:tcW w:w="29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before="0" w:after="0"/>
              <w:jc w:val="center"/>
              <w:rPr>
                <w:noProof/>
                <w:color w:val="000000"/>
                <w:sz w:val="18"/>
                <w:szCs w:val="18"/>
              </w:rPr>
            </w:pPr>
            <w:r>
              <w:rPr>
                <w:noProof/>
                <w:color w:val="000000"/>
                <w:sz w:val="18"/>
              </w:rPr>
              <w:t>Междинен сбор за конкретна цел № 4</w:t>
            </w:r>
          </w:p>
        </w:tc>
        <w:tc>
          <w:tcPr>
            <w:tcW w:w="124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 </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 </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b/>
                <w:bCs/>
                <w:noProof/>
                <w:color w:val="FF0000"/>
                <w:sz w:val="18"/>
                <w:szCs w:val="18"/>
              </w:rPr>
            </w:pPr>
            <w:r>
              <w:rPr>
                <w:b/>
                <w:noProof/>
                <w:color w:val="FF0000"/>
                <w:sz w:val="18"/>
              </w:rPr>
              <w:t>15,961</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noProof/>
                <w:color w:val="000000"/>
                <w:sz w:val="18"/>
                <w:szCs w:val="18"/>
              </w:rPr>
            </w:pPr>
            <w:r>
              <w:rPr>
                <w:noProof/>
                <w:color w:val="000000"/>
                <w:sz w:val="18"/>
              </w:rPr>
              <w:t> </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b/>
                <w:bCs/>
                <w:noProof/>
                <w:color w:val="FF0000"/>
                <w:sz w:val="18"/>
                <w:szCs w:val="18"/>
              </w:rPr>
            </w:pPr>
            <w:r>
              <w:rPr>
                <w:b/>
                <w:noProof/>
                <w:color w:val="FF0000"/>
                <w:sz w:val="18"/>
              </w:rPr>
              <w:t>15,961</w:t>
            </w:r>
          </w:p>
        </w:tc>
        <w:tc>
          <w:tcPr>
            <w:tcW w:w="960" w:type="dxa"/>
            <w:tcBorders>
              <w:top w:val="nil"/>
              <w:left w:val="nil"/>
              <w:bottom w:val="single" w:sz="8" w:space="0" w:color="auto"/>
              <w:right w:val="single" w:sz="8" w:space="0" w:color="auto"/>
            </w:tcBorders>
            <w:shd w:val="clear" w:color="auto" w:fill="auto"/>
            <w:vAlign w:val="center"/>
            <w:hideMark/>
          </w:tcPr>
          <w:p>
            <w:pPr>
              <w:spacing w:before="0" w:after="0"/>
              <w:jc w:val="center"/>
              <w:rPr>
                <w:b/>
                <w:bCs/>
                <w:noProof/>
                <w:color w:val="000000"/>
                <w:sz w:val="18"/>
                <w:szCs w:val="18"/>
              </w:rPr>
            </w:pPr>
            <w:r>
              <w:rPr>
                <w:b/>
                <w:noProof/>
                <w:color w:val="000000"/>
                <w:sz w:val="18"/>
              </w:rPr>
              <w:t>31,922</w:t>
            </w:r>
          </w:p>
        </w:tc>
      </w:tr>
    </w:tbl>
    <w:p>
      <w:pPr>
        <w:jc w:val="left"/>
        <w:rPr>
          <w:noProof/>
          <w:sz w:val="20"/>
        </w:rPr>
      </w:pPr>
    </w:p>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Очаквано отражение върху бюджетните кредити за административни разходи</w:t>
      </w:r>
    </w:p>
    <w:p>
      <w:pPr>
        <w:pStyle w:val="ManualHeading4"/>
        <w:rPr>
          <w:noProof/>
        </w:rPr>
      </w:pPr>
      <w:r>
        <w:t>3.2.3.1.</w:t>
      </w:r>
      <w:r>
        <w:tab/>
      </w:r>
      <w:r>
        <w:rPr>
          <w:noProof/>
        </w:rPr>
        <w:t xml:space="preserve">Обобщение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sym w:font="Wingdings" w:char="F0FC"/>
      </w:r>
      <w:r>
        <w:rPr>
          <w:noProof/>
        </w:rPr>
        <w:tab/>
        <w:t>Предложението/инициативата налага използване на бюджетни кредити за административни разходи, както е пояснено по-долу:</w:t>
      </w:r>
    </w:p>
    <w:p>
      <w:pPr>
        <w:rPr>
          <w:noProof/>
          <w:sz w:val="20"/>
        </w:rPr>
      </w:pPr>
      <w:r>
        <w:rPr>
          <w:noProof/>
          <w:sz w:val="20"/>
        </w:rPr>
        <w:t>В млн. евро (до третия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ind w:left="-92"/>
              <w:jc w:val="center"/>
              <w:rPr>
                <w:noProof/>
                <w:sz w:val="16"/>
                <w:szCs w:val="16"/>
              </w:rPr>
            </w:pPr>
            <w:r>
              <w:rPr>
                <w:noProof/>
                <w:sz w:val="16"/>
              </w:rPr>
              <w:t>Година</w:t>
            </w:r>
            <w:r>
              <w:rPr>
                <w:b/>
                <w:noProof/>
                <w:sz w:val="16"/>
              </w:rPr>
              <w:t>2019</w:t>
            </w:r>
            <w:r>
              <w:rPr>
                <w:rStyle w:val="FootnoteReference"/>
                <w:b/>
                <w:noProof/>
                <w:sz w:val="16"/>
              </w:rPr>
              <w:footnoteReference w:id="13"/>
            </w:r>
          </w:p>
        </w:tc>
        <w:tc>
          <w:tcPr>
            <w:tcW w:w="1080" w:type="dxa"/>
            <w:vAlign w:val="center"/>
          </w:tcPr>
          <w:p>
            <w:pPr>
              <w:spacing w:before="60" w:after="60" w:line="200" w:lineRule="exact"/>
              <w:jc w:val="center"/>
              <w:rPr>
                <w:noProof/>
                <w:sz w:val="16"/>
                <w:szCs w:val="16"/>
              </w:rPr>
            </w:pPr>
            <w:r>
              <w:rPr>
                <w:noProof/>
                <w:sz w:val="16"/>
              </w:rPr>
              <w:t>Година</w:t>
            </w:r>
            <w:r>
              <w:rPr>
                <w:b/>
                <w:noProof/>
                <w:sz w:val="16"/>
              </w:rPr>
              <w:t>2020</w:t>
            </w:r>
          </w:p>
        </w:tc>
        <w:tc>
          <w:tcPr>
            <w:tcW w:w="1080" w:type="dxa"/>
            <w:vAlign w:val="center"/>
          </w:tcPr>
          <w:p>
            <w:pPr>
              <w:spacing w:before="60" w:after="60" w:line="200" w:lineRule="exact"/>
              <w:jc w:val="center"/>
              <w:rPr>
                <w:noProof/>
                <w:sz w:val="16"/>
                <w:szCs w:val="16"/>
              </w:rPr>
            </w:pPr>
            <w:r>
              <w:rPr>
                <w:noProof/>
                <w:sz w:val="16"/>
              </w:rPr>
              <w:t>Година</w:t>
            </w:r>
            <w:r>
              <w:rPr>
                <w:b/>
                <w:noProof/>
                <w:sz w:val="16"/>
              </w:rPr>
              <w:t>N+2</w:t>
            </w:r>
          </w:p>
        </w:tc>
        <w:tc>
          <w:tcPr>
            <w:tcW w:w="1080" w:type="dxa"/>
            <w:vAlign w:val="center"/>
          </w:tcPr>
          <w:p>
            <w:pPr>
              <w:spacing w:before="60" w:after="60" w:line="200" w:lineRule="exact"/>
              <w:jc w:val="center"/>
              <w:rPr>
                <w:noProof/>
                <w:sz w:val="16"/>
                <w:szCs w:val="16"/>
              </w:rPr>
            </w:pPr>
            <w:r>
              <w:rPr>
                <w:noProof/>
                <w:sz w:val="16"/>
              </w:rPr>
              <w:t>Година</w:t>
            </w:r>
            <w:r>
              <w:rPr>
                <w:b/>
                <w:noProof/>
                <w:sz w:val="16"/>
              </w:rPr>
              <w:t>N+3</w:t>
            </w:r>
          </w:p>
        </w:tc>
        <w:tc>
          <w:tcPr>
            <w:tcW w:w="3240" w:type="dxa"/>
            <w:vAlign w:val="center"/>
          </w:tcPr>
          <w:p>
            <w:pPr>
              <w:spacing w:line="200" w:lineRule="exact"/>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5от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r>
              <w:rPr>
                <w:noProof/>
                <w:sz w:val="20"/>
              </w:rPr>
              <w:t>3,594</w:t>
            </w:r>
          </w:p>
        </w:tc>
        <w:tc>
          <w:tcPr>
            <w:tcW w:w="1080" w:type="dxa"/>
            <w:vAlign w:val="center"/>
          </w:tcPr>
          <w:p>
            <w:pPr>
              <w:spacing w:before="60" w:after="60" w:line="200" w:lineRule="exact"/>
              <w:jc w:val="right"/>
              <w:rPr>
                <w:noProof/>
                <w:sz w:val="16"/>
                <w:szCs w:val="16"/>
              </w:rPr>
            </w:pPr>
            <w:r>
              <w:rPr>
                <w:noProof/>
                <w:sz w:val="20"/>
              </w:rPr>
              <w:t>3,594</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7,188</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r>
              <w:rPr>
                <w:rFonts w:ascii="Arial Narrow" w:hAnsi="Arial Narrow"/>
                <w:noProof/>
                <w:sz w:val="20"/>
              </w:rPr>
              <w:t>0,300</w:t>
            </w:r>
          </w:p>
        </w:tc>
        <w:tc>
          <w:tcPr>
            <w:tcW w:w="1080" w:type="dxa"/>
            <w:vAlign w:val="center"/>
          </w:tcPr>
          <w:p>
            <w:pPr>
              <w:spacing w:before="60" w:after="60" w:line="200" w:lineRule="exact"/>
              <w:jc w:val="right"/>
              <w:rPr>
                <w:noProof/>
                <w:sz w:val="16"/>
                <w:szCs w:val="16"/>
              </w:rPr>
            </w:pPr>
            <w:r>
              <w:rPr>
                <w:rFonts w:ascii="Arial Narrow" w:hAnsi="Arial Narrow"/>
                <w:noProof/>
                <w:sz w:val="20"/>
              </w:rPr>
              <w:t>0,300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0,600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Междинен сбор за ФУНКЦИЯ 5от многогодишната финансова рамка </w:t>
            </w:r>
          </w:p>
        </w:tc>
        <w:tc>
          <w:tcPr>
            <w:tcW w:w="1080" w:type="dxa"/>
            <w:vAlign w:val="center"/>
          </w:tcPr>
          <w:p>
            <w:pPr>
              <w:spacing w:before="60" w:after="60" w:line="200" w:lineRule="exact"/>
              <w:jc w:val="right"/>
              <w:rPr>
                <w:noProof/>
                <w:sz w:val="16"/>
                <w:szCs w:val="16"/>
              </w:rPr>
            </w:pPr>
            <w:r>
              <w:rPr>
                <w:noProof/>
                <w:sz w:val="20"/>
              </w:rPr>
              <w:t>3,894</w:t>
            </w:r>
          </w:p>
        </w:tc>
        <w:tc>
          <w:tcPr>
            <w:tcW w:w="1080" w:type="dxa"/>
            <w:vAlign w:val="center"/>
          </w:tcPr>
          <w:p>
            <w:pPr>
              <w:spacing w:before="60" w:after="60" w:line="200" w:lineRule="exact"/>
              <w:jc w:val="right"/>
              <w:rPr>
                <w:noProof/>
                <w:sz w:val="16"/>
                <w:szCs w:val="16"/>
              </w:rPr>
            </w:pPr>
            <w:r>
              <w:rPr>
                <w:noProof/>
                <w:sz w:val="20"/>
              </w:rPr>
              <w:t>3,894</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7,788</w:t>
            </w:r>
          </w:p>
        </w:tc>
      </w:tr>
    </w:tbl>
    <w:p>
      <w:pPr>
        <w:spacing w:before="0" w:after="0"/>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5</w:t>
            </w:r>
            <w:r>
              <w:rPr>
                <w:rStyle w:val="FootnoteReference"/>
                <w:b/>
                <w:noProof/>
                <w:sz w:val="16"/>
              </w:rPr>
              <w:footnoteReference w:id="14"/>
            </w:r>
            <w:r>
              <w:rPr>
                <w:b/>
                <w:noProof/>
                <w:sz w:val="16"/>
              </w:rPr>
              <w:t xml:space="preserve">от многогодишната финансова рамка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Други разходис административен характер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Междинен сборизвън ФУНКЦИЯ 5от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before="0" w:after="0"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3,894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3,894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rPr>
              <w:t>7,788</w:t>
            </w:r>
          </w:p>
        </w:tc>
      </w:tr>
    </w:tbl>
    <w:p>
      <w:pPr>
        <w:rPr>
          <w:noProof/>
          <w:sz w:val="18"/>
        </w:rPr>
        <w:sectPr>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r>
        <w:rPr>
          <w:noProof/>
          <w:sz w:val="18"/>
        </w:rPr>
        <w:t>Нуждите от бюджетни кредити за човешки ресурси и за другите разходи с административен характер ще бъдат покрити с бюджетните кредити на ГД, които вече са отпуснати за управлението на действието и/или които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на средства и като се имат предвид</w:t>
      </w:r>
      <w:r>
        <w:rPr>
          <w:noProof/>
          <w:sz w:val="18"/>
          <w:lang w:val="it-IT"/>
        </w:rPr>
        <w:t> </w:t>
      </w:r>
      <w:r>
        <w:rPr>
          <w:noProof/>
          <w:sz w:val="18"/>
        </w:rPr>
        <w:t>бюджетните</w:t>
      </w:r>
      <w:r>
        <w:rPr>
          <w:noProof/>
          <w:sz w:val="18"/>
          <w:lang w:val="it-IT"/>
        </w:rPr>
        <w:t> </w:t>
      </w:r>
      <w:r>
        <w:rPr>
          <w:noProof/>
          <w:sz w:val="18"/>
        </w:rPr>
        <w:t xml:space="preserve">ограничения. </w:t>
      </w:r>
    </w:p>
    <w:p>
      <w:pPr>
        <w:pStyle w:val="ManualHeading4"/>
        <w:rPr>
          <w:bCs/>
          <w:noProof/>
          <w:szCs w:val="24"/>
        </w:rPr>
      </w:pPr>
      <w:r>
        <w:t>3.2.3.2.</w:t>
      </w:r>
      <w:r>
        <w:tab/>
      </w:r>
      <w:r>
        <w:rPr>
          <w:noProof/>
        </w:rPr>
        <w:t>Очаквани нужди от човешки ресурси</w:t>
      </w:r>
    </w:p>
    <w:p>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rPr>
          <w:noProof/>
        </w:rPr>
      </w:pPr>
      <w:r>
        <w:rPr>
          <w:noProof/>
        </w:rPr>
        <w:sym w:font="Wingdings" w:char="F0FC"/>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Разчетните данни се посочват в еквиваленти на пълно работно време</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52"/>
        <w:gridCol w:w="1918"/>
        <w:gridCol w:w="709"/>
        <w:gridCol w:w="707"/>
        <w:gridCol w:w="3407"/>
        <w:gridCol w:w="711"/>
        <w:gridCol w:w="422"/>
        <w:gridCol w:w="237"/>
        <w:gridCol w:w="237"/>
      </w:tblGrid>
      <w:tr>
        <w:trPr>
          <w:trHeight w:val="289"/>
          <w:jc w:val="center"/>
        </w:trPr>
        <w:tc>
          <w:tcPr>
            <w:tcW w:w="1879" w:type="pct"/>
            <w:gridSpan w:val="2"/>
            <w:shd w:val="clear" w:color="auto" w:fill="auto"/>
          </w:tcPr>
          <w:p>
            <w:pPr>
              <w:pStyle w:val="Text1"/>
              <w:spacing w:before="40" w:after="40"/>
              <w:ind w:left="0"/>
              <w:jc w:val="center"/>
              <w:rPr>
                <w:i/>
                <w:noProof/>
                <w:sz w:val="16"/>
                <w:szCs w:val="16"/>
              </w:rPr>
            </w:pPr>
          </w:p>
        </w:tc>
        <w:tc>
          <w:tcPr>
            <w:tcW w:w="344" w:type="pct"/>
            <w:shd w:val="clear" w:color="auto" w:fill="auto"/>
            <w:vAlign w:val="center"/>
          </w:tcPr>
          <w:p>
            <w:pPr>
              <w:spacing w:before="20" w:after="20"/>
              <w:ind w:left="-15"/>
              <w:jc w:val="center"/>
              <w:rPr>
                <w:noProof/>
                <w:sz w:val="16"/>
                <w:szCs w:val="16"/>
              </w:rPr>
            </w:pPr>
            <w:r>
              <w:rPr>
                <w:noProof/>
                <w:sz w:val="16"/>
              </w:rPr>
              <w:t>Година</w:t>
            </w:r>
            <w:r>
              <w:rPr>
                <w:noProof/>
                <w:sz w:val="16"/>
                <w:lang w:val="it-IT"/>
              </w:rPr>
              <w:t xml:space="preserve"> </w:t>
            </w:r>
            <w:r>
              <w:rPr>
                <w:b/>
                <w:noProof/>
                <w:sz w:val="16"/>
              </w:rPr>
              <w:t>2019</w:t>
            </w:r>
          </w:p>
        </w:tc>
        <w:tc>
          <w:tcPr>
            <w:tcW w:w="343" w:type="pct"/>
            <w:shd w:val="clear" w:color="auto" w:fill="auto"/>
            <w:vAlign w:val="center"/>
          </w:tcPr>
          <w:p>
            <w:pPr>
              <w:spacing w:before="20" w:after="20"/>
              <w:ind w:left="-97"/>
              <w:jc w:val="center"/>
              <w:rPr>
                <w:noProof/>
                <w:sz w:val="16"/>
                <w:szCs w:val="16"/>
              </w:rPr>
            </w:pPr>
            <w:r>
              <w:rPr>
                <w:noProof/>
                <w:sz w:val="16"/>
              </w:rPr>
              <w:t>Година</w:t>
            </w:r>
            <w:r>
              <w:rPr>
                <w:noProof/>
                <w:sz w:val="16"/>
                <w:lang w:val="it-IT"/>
              </w:rPr>
              <w:t xml:space="preserve"> </w:t>
            </w:r>
            <w:r>
              <w:rPr>
                <w:b/>
                <w:noProof/>
                <w:sz w:val="16"/>
              </w:rPr>
              <w:t>2020</w:t>
            </w:r>
          </w:p>
        </w:tc>
        <w:tc>
          <w:tcPr>
            <w:tcW w:w="1652" w:type="pct"/>
            <w:shd w:val="clear" w:color="auto" w:fill="auto"/>
            <w:vAlign w:val="center"/>
          </w:tcPr>
          <w:p>
            <w:pPr>
              <w:spacing w:before="20" w:after="20"/>
              <w:jc w:val="center"/>
              <w:rPr>
                <w:noProof/>
                <w:sz w:val="16"/>
                <w:szCs w:val="16"/>
              </w:rPr>
            </w:pPr>
            <w:r>
              <w:rPr>
                <w:noProof/>
                <w:sz w:val="16"/>
              </w:rPr>
              <w:t>Година</w:t>
            </w:r>
            <w:r>
              <w:rPr>
                <w:b/>
                <w:noProof/>
                <w:sz w:val="16"/>
              </w:rPr>
              <w:t xml:space="preserve"> N+2</w:t>
            </w:r>
          </w:p>
        </w:tc>
        <w:tc>
          <w:tcPr>
            <w:tcW w:w="345" w:type="pct"/>
            <w:shd w:val="clear" w:color="auto" w:fill="auto"/>
            <w:vAlign w:val="center"/>
          </w:tcPr>
          <w:p>
            <w:pPr>
              <w:spacing w:before="20" w:after="20"/>
              <w:ind w:left="-107"/>
              <w:jc w:val="center"/>
              <w:rPr>
                <w:noProof/>
                <w:sz w:val="16"/>
                <w:szCs w:val="16"/>
              </w:rPr>
            </w:pPr>
            <w:r>
              <w:rPr>
                <w:noProof/>
                <w:sz w:val="16"/>
              </w:rPr>
              <w:t>Година</w:t>
            </w:r>
            <w:r>
              <w:rPr>
                <w:b/>
                <w:noProof/>
                <w:sz w:val="16"/>
              </w:rPr>
              <w:t xml:space="preserve"> N+3</w:t>
            </w:r>
          </w:p>
        </w:tc>
        <w:tc>
          <w:tcPr>
            <w:tcW w:w="435" w:type="pct"/>
            <w:gridSpan w:val="3"/>
            <w:shd w:val="clear" w:color="auto" w:fill="auto"/>
            <w:vAlign w:val="center"/>
          </w:tcPr>
          <w:p>
            <w:pPr>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r>
      <w:tr>
        <w:trPr>
          <w:trHeight w:val="289"/>
          <w:jc w:val="center"/>
        </w:trPr>
        <w:tc>
          <w:tcPr>
            <w:tcW w:w="4217" w:type="pct"/>
            <w:gridSpan w:val="5"/>
            <w:shd w:val="clear" w:color="auto" w:fill="auto"/>
          </w:tcPr>
          <w:p>
            <w:pPr>
              <w:spacing w:before="20" w:after="20"/>
              <w:rPr>
                <w:noProof/>
                <w:sz w:val="16"/>
                <w:szCs w:val="16"/>
              </w:rPr>
            </w:pPr>
            <w:r>
              <w:rPr>
                <w:b/>
                <w:noProof/>
                <w:sz w:val="16"/>
              </w:rPr>
              <w:sym w:font="Wingdings" w:char="F09F"/>
            </w:r>
            <w:r>
              <w:rPr>
                <w:b/>
                <w:noProof/>
                <w:sz w:val="16"/>
              </w:rPr>
              <w:t>Длъжности в щатното разписание (длъжностни лица и временно наети лица)</w:t>
            </w:r>
          </w:p>
        </w:tc>
        <w:tc>
          <w:tcPr>
            <w:tcW w:w="345" w:type="pct"/>
            <w:shd w:val="clear" w:color="auto" w:fill="auto"/>
            <w:vAlign w:val="center"/>
          </w:tcPr>
          <w:p>
            <w:pPr>
              <w:spacing w:before="20" w:after="20"/>
              <w:jc w:val="center"/>
              <w:rPr>
                <w:noProof/>
                <w:sz w:val="16"/>
                <w:szCs w:val="16"/>
              </w:rPr>
            </w:pPr>
          </w:p>
        </w:tc>
        <w:tc>
          <w:tcPr>
            <w:tcW w:w="435" w:type="pct"/>
            <w:gridSpan w:val="3"/>
            <w:shd w:val="clear" w:color="auto" w:fill="auto"/>
            <w:vAlign w:val="center"/>
          </w:tcPr>
          <w:p>
            <w:pPr>
              <w:jc w:val="center"/>
              <w:rPr>
                <w:noProof/>
                <w:sz w:val="16"/>
                <w:szCs w:val="16"/>
              </w:rPr>
            </w:pPr>
          </w:p>
        </w:tc>
      </w:tr>
      <w:tr>
        <w:trPr>
          <w:trHeight w:val="289"/>
          <w:jc w:val="center"/>
        </w:trPr>
        <w:tc>
          <w:tcPr>
            <w:tcW w:w="1879"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344" w:type="pct"/>
            <w:shd w:val="clear" w:color="auto" w:fill="auto"/>
            <w:vAlign w:val="center"/>
          </w:tcPr>
          <w:p>
            <w:pPr>
              <w:spacing w:beforeLines="20" w:before="48" w:afterLines="20" w:after="48"/>
              <w:jc w:val="center"/>
              <w:rPr>
                <w:noProof/>
                <w:sz w:val="16"/>
                <w:szCs w:val="16"/>
              </w:rPr>
            </w:pPr>
            <w:r>
              <w:rPr>
                <w:noProof/>
                <w:sz w:val="16"/>
              </w:rPr>
              <w:t>23</w:t>
            </w:r>
          </w:p>
        </w:tc>
        <w:tc>
          <w:tcPr>
            <w:tcW w:w="343" w:type="pct"/>
            <w:shd w:val="clear" w:color="auto" w:fill="auto"/>
            <w:vAlign w:val="center"/>
          </w:tcPr>
          <w:p>
            <w:pPr>
              <w:spacing w:beforeLines="20" w:before="48" w:afterLines="20" w:after="48"/>
              <w:jc w:val="center"/>
              <w:rPr>
                <w:noProof/>
                <w:sz w:val="16"/>
                <w:szCs w:val="16"/>
              </w:rPr>
            </w:pPr>
            <w:r>
              <w:rPr>
                <w:noProof/>
                <w:sz w:val="16"/>
              </w:rPr>
              <w:t>23</w:t>
            </w:r>
          </w:p>
        </w:tc>
        <w:tc>
          <w:tcPr>
            <w:tcW w:w="1652"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20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trHeight w:val="289"/>
          <w:jc w:val="center"/>
        </w:trPr>
        <w:tc>
          <w:tcPr>
            <w:tcW w:w="1879"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(Делегации)</w:t>
            </w:r>
          </w:p>
        </w:tc>
        <w:tc>
          <w:tcPr>
            <w:tcW w:w="344" w:type="pct"/>
            <w:shd w:val="clear" w:color="auto" w:fill="auto"/>
            <w:vAlign w:val="center"/>
          </w:tcPr>
          <w:p>
            <w:pPr>
              <w:spacing w:beforeLines="20" w:before="48" w:afterLines="20" w:after="48"/>
              <w:jc w:val="center"/>
              <w:rPr>
                <w:noProof/>
                <w:sz w:val="16"/>
                <w:szCs w:val="16"/>
              </w:rPr>
            </w:pPr>
          </w:p>
        </w:tc>
        <w:tc>
          <w:tcPr>
            <w:tcW w:w="343" w:type="pct"/>
            <w:shd w:val="clear" w:color="auto" w:fill="auto"/>
            <w:vAlign w:val="center"/>
          </w:tcPr>
          <w:p>
            <w:pPr>
              <w:spacing w:beforeLines="20" w:before="48" w:afterLines="20" w:after="48"/>
              <w:jc w:val="center"/>
              <w:rPr>
                <w:noProof/>
                <w:sz w:val="16"/>
                <w:szCs w:val="16"/>
              </w:rPr>
            </w:pPr>
          </w:p>
        </w:tc>
        <w:tc>
          <w:tcPr>
            <w:tcW w:w="1652"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20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trHeight w:val="289"/>
          <w:jc w:val="center"/>
        </w:trPr>
        <w:tc>
          <w:tcPr>
            <w:tcW w:w="1879"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(Непреки научни изследвания)</w:t>
            </w:r>
          </w:p>
        </w:tc>
        <w:tc>
          <w:tcPr>
            <w:tcW w:w="344" w:type="pct"/>
            <w:shd w:val="clear" w:color="auto" w:fill="auto"/>
            <w:vAlign w:val="center"/>
          </w:tcPr>
          <w:p>
            <w:pPr>
              <w:spacing w:beforeLines="20" w:before="48" w:afterLines="20" w:after="48"/>
              <w:jc w:val="center"/>
              <w:rPr>
                <w:noProof/>
                <w:sz w:val="16"/>
                <w:szCs w:val="16"/>
              </w:rPr>
            </w:pPr>
          </w:p>
        </w:tc>
        <w:tc>
          <w:tcPr>
            <w:tcW w:w="343" w:type="pct"/>
            <w:shd w:val="clear" w:color="auto" w:fill="auto"/>
            <w:vAlign w:val="center"/>
          </w:tcPr>
          <w:p>
            <w:pPr>
              <w:spacing w:beforeLines="20" w:before="48" w:afterLines="20" w:after="48"/>
              <w:jc w:val="center"/>
              <w:rPr>
                <w:noProof/>
                <w:sz w:val="16"/>
                <w:szCs w:val="16"/>
              </w:rPr>
            </w:pPr>
          </w:p>
        </w:tc>
        <w:tc>
          <w:tcPr>
            <w:tcW w:w="1652"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20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trHeight w:val="289"/>
          <w:jc w:val="center"/>
        </w:trPr>
        <w:tc>
          <w:tcPr>
            <w:tcW w:w="1879"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(Преки научни изследвания)</w:t>
            </w:r>
          </w:p>
        </w:tc>
        <w:tc>
          <w:tcPr>
            <w:tcW w:w="344" w:type="pct"/>
            <w:shd w:val="clear" w:color="auto" w:fill="auto"/>
            <w:vAlign w:val="center"/>
          </w:tcPr>
          <w:p>
            <w:pPr>
              <w:spacing w:beforeLines="20" w:before="48" w:afterLines="20" w:after="48"/>
              <w:jc w:val="center"/>
              <w:rPr>
                <w:noProof/>
                <w:sz w:val="16"/>
                <w:szCs w:val="16"/>
              </w:rPr>
            </w:pPr>
          </w:p>
        </w:tc>
        <w:tc>
          <w:tcPr>
            <w:tcW w:w="343" w:type="pct"/>
            <w:shd w:val="clear" w:color="auto" w:fill="auto"/>
            <w:vAlign w:val="center"/>
          </w:tcPr>
          <w:p>
            <w:pPr>
              <w:spacing w:beforeLines="20" w:before="48" w:afterLines="20" w:after="48"/>
              <w:jc w:val="center"/>
              <w:rPr>
                <w:noProof/>
                <w:sz w:val="16"/>
                <w:szCs w:val="16"/>
              </w:rPr>
            </w:pPr>
          </w:p>
        </w:tc>
        <w:tc>
          <w:tcPr>
            <w:tcW w:w="1652"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20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780" w:type="pct"/>
          <w:trHeight w:val="248"/>
          <w:jc w:val="center"/>
        </w:trPr>
        <w:tc>
          <w:tcPr>
            <w:tcW w:w="4220" w:type="pct"/>
            <w:gridSpan w:val="5"/>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Външен персонал (в еквивалент на пълно работно време: ЕПРВ)</w:t>
            </w:r>
            <w:r>
              <w:rPr>
                <w:rStyle w:val="FootnoteReference"/>
                <w:b/>
                <w:noProof/>
                <w:sz w:val="16"/>
              </w:rPr>
              <w:footnoteReference w:id="15"/>
            </w:r>
          </w:p>
          <w:p>
            <w:pPr>
              <w:pStyle w:val="Text1"/>
              <w:spacing w:before="0" w:after="0"/>
              <w:ind w:left="0"/>
              <w:jc w:val="left"/>
              <w:rPr>
                <w:noProof/>
                <w:sz w:val="16"/>
                <w:szCs w:val="16"/>
              </w:rPr>
            </w:pPr>
          </w:p>
        </w:tc>
      </w:tr>
      <w:tr>
        <w:trPr>
          <w:trHeight w:val="289"/>
          <w:jc w:val="center"/>
        </w:trPr>
        <w:tc>
          <w:tcPr>
            <w:tcW w:w="1879"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344" w:type="pct"/>
            <w:shd w:val="clear" w:color="auto" w:fill="auto"/>
            <w:vAlign w:val="center"/>
          </w:tcPr>
          <w:p>
            <w:pPr>
              <w:spacing w:beforeLines="20" w:before="48" w:afterLines="20" w:after="48"/>
              <w:jc w:val="center"/>
              <w:rPr>
                <w:noProof/>
                <w:sz w:val="16"/>
                <w:szCs w:val="16"/>
              </w:rPr>
            </w:pPr>
            <w:r>
              <w:rPr>
                <w:noProof/>
                <w:sz w:val="16"/>
              </w:rPr>
              <w:t>6</w:t>
            </w:r>
          </w:p>
        </w:tc>
        <w:tc>
          <w:tcPr>
            <w:tcW w:w="343" w:type="pct"/>
            <w:shd w:val="clear" w:color="auto" w:fill="auto"/>
            <w:vAlign w:val="center"/>
          </w:tcPr>
          <w:p>
            <w:pPr>
              <w:spacing w:beforeLines="20" w:before="48" w:afterLines="20" w:after="48"/>
              <w:jc w:val="center"/>
              <w:rPr>
                <w:noProof/>
                <w:sz w:val="16"/>
                <w:szCs w:val="16"/>
              </w:rPr>
            </w:pPr>
            <w:r>
              <w:rPr>
                <w:noProof/>
                <w:sz w:val="16"/>
              </w:rPr>
              <w:t>6</w:t>
            </w:r>
          </w:p>
        </w:tc>
        <w:tc>
          <w:tcPr>
            <w:tcW w:w="1652"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20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trHeight w:val="289"/>
          <w:jc w:val="center"/>
        </w:trPr>
        <w:tc>
          <w:tcPr>
            <w:tcW w:w="1879"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344" w:type="pct"/>
            <w:shd w:val="clear" w:color="auto" w:fill="auto"/>
            <w:vAlign w:val="center"/>
          </w:tcPr>
          <w:p>
            <w:pPr>
              <w:spacing w:beforeLines="20" w:before="48" w:afterLines="20" w:after="48"/>
              <w:jc w:val="center"/>
              <w:rPr>
                <w:noProof/>
                <w:sz w:val="16"/>
                <w:szCs w:val="16"/>
              </w:rPr>
            </w:pPr>
          </w:p>
        </w:tc>
        <w:tc>
          <w:tcPr>
            <w:tcW w:w="343" w:type="pct"/>
            <w:shd w:val="clear" w:color="auto" w:fill="auto"/>
            <w:vAlign w:val="center"/>
          </w:tcPr>
          <w:p>
            <w:pPr>
              <w:spacing w:beforeLines="20" w:before="48" w:afterLines="20" w:after="48"/>
              <w:jc w:val="center"/>
              <w:rPr>
                <w:noProof/>
                <w:sz w:val="16"/>
                <w:szCs w:val="16"/>
              </w:rPr>
            </w:pPr>
          </w:p>
        </w:tc>
        <w:tc>
          <w:tcPr>
            <w:tcW w:w="1652"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20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16"/>
            </w:r>
          </w:p>
          <w:p>
            <w:pPr>
              <w:pStyle w:val="Text1"/>
              <w:spacing w:beforeLines="20" w:before="48" w:afterLines="20" w:after="48"/>
              <w:ind w:left="136"/>
              <w:jc w:val="left"/>
              <w:rPr>
                <w:b/>
                <w:noProof/>
                <w:sz w:val="16"/>
                <w:szCs w:val="16"/>
              </w:rPr>
            </w:pPr>
          </w:p>
        </w:tc>
        <w:tc>
          <w:tcPr>
            <w:tcW w:w="931"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p>
            <w:pPr>
              <w:pStyle w:val="Text1"/>
              <w:spacing w:beforeLines="20" w:before="48" w:afterLines="20" w:after="48"/>
              <w:ind w:left="136"/>
              <w:jc w:val="left"/>
              <w:rPr>
                <w:b/>
                <w:noProof/>
                <w:sz w:val="16"/>
                <w:szCs w:val="16"/>
              </w:rPr>
            </w:pPr>
          </w:p>
        </w:tc>
        <w:tc>
          <w:tcPr>
            <w:tcW w:w="344" w:type="pct"/>
            <w:shd w:val="clear" w:color="auto" w:fill="auto"/>
            <w:vAlign w:val="center"/>
          </w:tcPr>
          <w:p>
            <w:pPr>
              <w:pStyle w:val="Text1"/>
              <w:spacing w:beforeLines="20" w:before="48" w:afterLines="20" w:after="48"/>
              <w:ind w:left="0"/>
              <w:rPr>
                <w:noProof/>
                <w:sz w:val="16"/>
                <w:szCs w:val="16"/>
              </w:rPr>
            </w:pPr>
          </w:p>
        </w:tc>
        <w:tc>
          <w:tcPr>
            <w:tcW w:w="343" w:type="pct"/>
            <w:shd w:val="clear" w:color="auto" w:fill="auto"/>
            <w:vAlign w:val="center"/>
          </w:tcPr>
          <w:p>
            <w:pPr>
              <w:spacing w:beforeLines="20" w:before="48" w:afterLines="20" w:after="48"/>
              <w:jc w:val="center"/>
              <w:rPr>
                <w:noProof/>
                <w:sz w:val="16"/>
                <w:szCs w:val="16"/>
              </w:rPr>
            </w:pPr>
          </w:p>
        </w:tc>
        <w:tc>
          <w:tcPr>
            <w:tcW w:w="1652"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20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31"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344" w:type="pct"/>
            <w:shd w:val="clear" w:color="auto" w:fill="auto"/>
            <w:vAlign w:val="center"/>
          </w:tcPr>
          <w:p>
            <w:pPr>
              <w:pStyle w:val="Text1"/>
              <w:spacing w:beforeLines="20" w:before="48" w:afterLines="20" w:after="48"/>
              <w:ind w:left="0"/>
              <w:rPr>
                <w:noProof/>
                <w:sz w:val="16"/>
                <w:szCs w:val="16"/>
              </w:rPr>
            </w:pPr>
          </w:p>
        </w:tc>
        <w:tc>
          <w:tcPr>
            <w:tcW w:w="343" w:type="pct"/>
            <w:shd w:val="clear" w:color="auto" w:fill="auto"/>
            <w:vAlign w:val="center"/>
          </w:tcPr>
          <w:p>
            <w:pPr>
              <w:spacing w:beforeLines="20" w:before="48" w:afterLines="20" w:after="48"/>
              <w:jc w:val="center"/>
              <w:rPr>
                <w:noProof/>
                <w:sz w:val="16"/>
                <w:szCs w:val="16"/>
              </w:rPr>
            </w:pPr>
          </w:p>
        </w:tc>
        <w:tc>
          <w:tcPr>
            <w:tcW w:w="1652"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20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trHeight w:val="289"/>
          <w:jc w:val="center"/>
        </w:trPr>
        <w:tc>
          <w:tcPr>
            <w:tcW w:w="1879"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rPr>
              <w:t xml:space="preserve"> </w:t>
            </w:r>
            <w:r>
              <w:rPr>
                <w:noProof/>
                <w:sz w:val="16"/>
              </w:rPr>
              <w:t>01 05 02 (ДНП, КНЕ, ПНА — непреки научни изследвания)</w:t>
            </w:r>
          </w:p>
        </w:tc>
        <w:tc>
          <w:tcPr>
            <w:tcW w:w="344" w:type="pct"/>
            <w:shd w:val="clear" w:color="auto" w:fill="auto"/>
            <w:vAlign w:val="center"/>
          </w:tcPr>
          <w:p>
            <w:pPr>
              <w:spacing w:beforeLines="20" w:before="48" w:afterLines="20" w:after="48"/>
              <w:jc w:val="center"/>
              <w:rPr>
                <w:noProof/>
                <w:sz w:val="16"/>
                <w:szCs w:val="16"/>
              </w:rPr>
            </w:pPr>
          </w:p>
        </w:tc>
        <w:tc>
          <w:tcPr>
            <w:tcW w:w="343" w:type="pct"/>
            <w:shd w:val="clear" w:color="auto" w:fill="auto"/>
            <w:vAlign w:val="center"/>
          </w:tcPr>
          <w:p>
            <w:pPr>
              <w:spacing w:beforeLines="20" w:before="48" w:afterLines="20" w:after="48"/>
              <w:jc w:val="center"/>
              <w:rPr>
                <w:noProof/>
                <w:sz w:val="16"/>
                <w:szCs w:val="16"/>
              </w:rPr>
            </w:pPr>
          </w:p>
        </w:tc>
        <w:tc>
          <w:tcPr>
            <w:tcW w:w="1652"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20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trHeight w:val="289"/>
          <w:jc w:val="center"/>
        </w:trPr>
        <w:tc>
          <w:tcPr>
            <w:tcW w:w="1879"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(ДНП, ПНА, КНЕ — Преки научни изследвания)</w:t>
            </w:r>
          </w:p>
        </w:tc>
        <w:tc>
          <w:tcPr>
            <w:tcW w:w="344" w:type="pct"/>
            <w:shd w:val="clear" w:color="auto" w:fill="auto"/>
            <w:vAlign w:val="center"/>
          </w:tcPr>
          <w:p>
            <w:pPr>
              <w:spacing w:beforeLines="20" w:before="48" w:afterLines="20" w:after="48"/>
              <w:jc w:val="center"/>
              <w:rPr>
                <w:noProof/>
                <w:sz w:val="16"/>
                <w:szCs w:val="16"/>
              </w:rPr>
            </w:pPr>
          </w:p>
        </w:tc>
        <w:tc>
          <w:tcPr>
            <w:tcW w:w="343" w:type="pct"/>
            <w:shd w:val="clear" w:color="auto" w:fill="auto"/>
            <w:vAlign w:val="center"/>
          </w:tcPr>
          <w:p>
            <w:pPr>
              <w:spacing w:beforeLines="20" w:before="48" w:afterLines="20" w:after="48"/>
              <w:jc w:val="center"/>
              <w:rPr>
                <w:noProof/>
                <w:sz w:val="16"/>
                <w:szCs w:val="16"/>
              </w:rPr>
            </w:pPr>
          </w:p>
        </w:tc>
        <w:tc>
          <w:tcPr>
            <w:tcW w:w="1652"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20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trHeight w:val="289"/>
          <w:jc w:val="center"/>
        </w:trPr>
        <w:tc>
          <w:tcPr>
            <w:tcW w:w="1879"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34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4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652"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4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20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jc w:val="center"/>
        </w:trPr>
        <w:tc>
          <w:tcPr>
            <w:tcW w:w="1879"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34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29</w:t>
            </w:r>
          </w:p>
        </w:tc>
        <w:tc>
          <w:tcPr>
            <w:tcW w:w="34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29</w:t>
            </w:r>
          </w:p>
        </w:tc>
        <w:tc>
          <w:tcPr>
            <w:tcW w:w="1652"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34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20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rPr>
        <w:t>XX</w:t>
      </w:r>
      <w:r>
        <w:rPr>
          <w:noProof/>
        </w:rPr>
        <w:t xml:space="preserve"> </w:t>
      </w:r>
      <w:r>
        <w:rPr>
          <w:noProof/>
          <w:sz w:val="18"/>
        </w:rPr>
        <w:t>е съответната област на политиката или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действието и/или който е преразпределен в рамките на ГД, при необходимост заедно с всички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временно наети служители</w:t>
            </w:r>
          </w:p>
        </w:tc>
        <w:tc>
          <w:tcPr>
            <w:tcW w:w="7200" w:type="dxa"/>
          </w:tcPr>
          <w:p>
            <w:pPr>
              <w:rPr>
                <w:noProof/>
                <w:sz w:val="20"/>
              </w:rPr>
            </w:pPr>
            <w:r>
              <w:rPr>
                <w:noProof/>
                <w:sz w:val="20"/>
              </w:rPr>
              <w:t>Задачата, която следва да се изпълни, включва всички задачи, необходими за а) обработването на искането на държавите членки и последващото управление на проекти и б) финансовото и договорното управление на програмата, а именно:</w:t>
            </w:r>
          </w:p>
          <w:p>
            <w:pPr>
              <w:numPr>
                <w:ilvl w:val="0"/>
                <w:numId w:val="17"/>
              </w:numPr>
              <w:rPr>
                <w:noProof/>
                <w:sz w:val="20"/>
              </w:rPr>
            </w:pPr>
            <w:r>
              <w:rPr>
                <w:noProof/>
                <w:sz w:val="20"/>
              </w:rPr>
              <w:t>Предоставяне на данни за бюджетната процедура и плана за управление.</w:t>
            </w:r>
          </w:p>
          <w:p>
            <w:pPr>
              <w:numPr>
                <w:ilvl w:val="0"/>
                <w:numId w:val="17"/>
              </w:numPr>
              <w:rPr>
                <w:noProof/>
                <w:sz w:val="20"/>
              </w:rPr>
            </w:pPr>
            <w:r>
              <w:rPr>
                <w:noProof/>
                <w:sz w:val="20"/>
              </w:rPr>
              <w:t xml:space="preserve">Изготвяне на годишни работни програми/решения за финансиране, определяне на годишни приоритети </w:t>
            </w:r>
          </w:p>
          <w:p>
            <w:pPr>
              <w:numPr>
                <w:ilvl w:val="0"/>
                <w:numId w:val="17"/>
              </w:numPr>
              <w:rPr>
                <w:noProof/>
                <w:sz w:val="20"/>
              </w:rPr>
            </w:pPr>
            <w:r>
              <w:rPr>
                <w:noProof/>
                <w:sz w:val="20"/>
              </w:rPr>
              <w:t>Управление на покани за участие в търгове и покани за представяне на предложения, както и на последващите процедури за подбор в координация с оперативните звена.</w:t>
            </w:r>
          </w:p>
          <w:p>
            <w:pPr>
              <w:numPr>
                <w:ilvl w:val="0"/>
                <w:numId w:val="17"/>
              </w:numPr>
              <w:rPr>
                <w:noProof/>
                <w:sz w:val="20"/>
              </w:rPr>
            </w:pPr>
            <w:r>
              <w:rPr>
                <w:noProof/>
                <w:sz w:val="20"/>
              </w:rPr>
              <w:t>Осъществяване на контакти със заинтересованите лица относно договорни и финансови въпроси.</w:t>
            </w:r>
          </w:p>
          <w:p>
            <w:pPr>
              <w:numPr>
                <w:ilvl w:val="0"/>
                <w:numId w:val="17"/>
              </w:numPr>
              <w:rPr>
                <w:noProof/>
                <w:sz w:val="20"/>
              </w:rPr>
            </w:pPr>
            <w:r>
              <w:rPr>
                <w:noProof/>
                <w:sz w:val="20"/>
              </w:rPr>
              <w:t>Подготовка и организация на заседанията на групата на високо равнище със съответните генерални дирекции, държавите членки и други заинтересовани страни.</w:t>
            </w:r>
          </w:p>
          <w:p>
            <w:pPr>
              <w:numPr>
                <w:ilvl w:val="0"/>
                <w:numId w:val="17"/>
              </w:numPr>
              <w:rPr>
                <w:noProof/>
                <w:sz w:val="20"/>
              </w:rPr>
            </w:pPr>
            <w:r>
              <w:rPr>
                <w:noProof/>
                <w:sz w:val="20"/>
              </w:rPr>
              <w:t>Управление на проекти: разработване, изпълнение и проследяване на проекти и управление на договорните и финансовите въпроси: задължения, плащания, нареждания за събиране и т.н.</w:t>
            </w:r>
          </w:p>
          <w:p>
            <w:pPr>
              <w:numPr>
                <w:ilvl w:val="0"/>
                <w:numId w:val="17"/>
              </w:numPr>
              <w:rPr>
                <w:noProof/>
                <w:sz w:val="20"/>
              </w:rPr>
            </w:pPr>
            <w:r>
              <w:rPr>
                <w:noProof/>
                <w:sz w:val="20"/>
              </w:rPr>
              <w:t>Упражняване на контрол, както е описано по-горе (предварителна проверка, служба за възлагане на обществени поръчки, последващ/вътрешен контрол)</w:t>
            </w:r>
          </w:p>
          <w:p>
            <w:pPr>
              <w:numPr>
                <w:ilvl w:val="0"/>
                <w:numId w:val="17"/>
              </w:numPr>
              <w:rPr>
                <w:noProof/>
                <w:sz w:val="20"/>
              </w:rPr>
            </w:pPr>
            <w:r>
              <w:rPr>
                <w:noProof/>
                <w:sz w:val="20"/>
              </w:rPr>
              <w:t xml:space="preserve"> Управление на ИТ инструменти</w:t>
            </w:r>
          </w:p>
          <w:p>
            <w:pPr>
              <w:numPr>
                <w:ilvl w:val="0"/>
                <w:numId w:val="17"/>
              </w:numPr>
              <w:rPr>
                <w:noProof/>
                <w:sz w:val="20"/>
              </w:rPr>
            </w:pPr>
            <w:r>
              <w:rPr>
                <w:noProof/>
                <w:sz w:val="20"/>
              </w:rPr>
              <w:t>Принос и проследяване на годишната процедура по декларацията за достоверност.</w:t>
            </w:r>
          </w:p>
          <w:p>
            <w:pPr>
              <w:rPr>
                <w:noProof/>
                <w:sz w:val="20"/>
              </w:rPr>
            </w:pPr>
            <w:r>
              <w:rPr>
                <w:noProof/>
                <w:sz w:val="20"/>
              </w:rPr>
              <w:t>Мониторинг и докладване за постигането на целите, включително в бюджетната процедура, плана за управление, междинния преглед, ГОД и докладите на вторично оправомощените разпоредители</w:t>
            </w: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r>
              <w:rPr>
                <w:noProof/>
                <w:sz w:val="20"/>
              </w:rPr>
              <w:t>Подкрепа за финансовите и административните задачи.</w:t>
            </w:r>
          </w:p>
        </w:tc>
      </w:tr>
    </w:tbl>
    <w:p>
      <w:pPr>
        <w:pStyle w:val="ManualHeading3"/>
        <w:rPr>
          <w:bCs/>
          <w:noProof/>
          <w:szCs w:val="24"/>
        </w:rPr>
      </w:pPr>
      <w:r>
        <w:t>3.2.4.</w:t>
      </w:r>
      <w:r>
        <w:tab/>
      </w:r>
      <w:r>
        <w:rPr>
          <w:noProof/>
        </w:rPr>
        <w:t xml:space="preserve">Съвместимост с настоящата многогодишна финансова рамка </w:t>
      </w:r>
    </w:p>
    <w:p>
      <w:pPr>
        <w:pStyle w:val="ListDash1"/>
        <w:rPr>
          <w:noProof/>
        </w:rPr>
      </w:pPr>
      <w:r>
        <w:rPr>
          <w:noProof/>
        </w:rPr>
        <w:sym w:font="Wingdings" w:char="F0A8"/>
      </w:r>
      <w:r>
        <w:rPr>
          <w:noProof/>
        </w:rPr>
        <w:tab/>
        <w:t>Предложението/инициативата е съвместимо(а) с настоящата многогодишна финансова рамка.</w:t>
      </w:r>
    </w:p>
    <w:p>
      <w:pPr>
        <w:pStyle w:val="ListDash1"/>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pacing w:val="-6"/>
          <w:sz w:val="20"/>
        </w:rPr>
      </w:pPr>
      <w:r>
        <w:rPr>
          <w:noProof/>
          <w:spacing w:val="-6"/>
          <w:sz w:val="20"/>
        </w:rPr>
        <w:t>Обяснете какво препрограмиране е необходимо, като посочите съответните бюджетни редове и суми.</w:t>
      </w:r>
    </w:p>
    <w:p>
      <w:pPr>
        <w:pStyle w:val="ListDash1"/>
        <w:rPr>
          <w:noProof/>
        </w:rPr>
      </w:pPr>
      <w:r>
        <w:rPr>
          <w:noProof/>
        </w:rPr>
        <w:sym w:font="Wingdings" w:char="F0FC"/>
      </w:r>
      <w:r>
        <w:rPr>
          <w:noProof/>
        </w:rPr>
        <w:tab/>
        <w:t>Предложението/инициативата налага да се използва Инструментът за гъвкавост или да се преразгледа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pPr>
        <w:pStyle w:val="Text1"/>
        <w:pBdr>
          <w:top w:val="single" w:sz="4" w:space="1" w:color="auto"/>
          <w:left w:val="single" w:sz="4" w:space="4" w:color="auto"/>
          <w:bottom w:val="single" w:sz="4" w:space="1" w:color="auto"/>
          <w:right w:val="single" w:sz="4" w:space="4" w:color="auto"/>
        </w:pBdr>
        <w:rPr>
          <w:noProof/>
          <w:spacing w:val="-2"/>
        </w:rPr>
      </w:pPr>
      <w:r>
        <w:rPr>
          <w:noProof/>
          <w:spacing w:val="-2"/>
        </w:rPr>
        <w:t>Предложението изисква използването на инструмента за гъвкавост съгласно действащата МФР (член 11 от Регламент № 1311/2013 на Съвета), което дава възможност за допълване на финансирането в общия бюджет на Съюза с 40 млн. eвро през 2019 г. и 40 млн. eвро през 2020 г., над тавана на подфункция 1б.</w:t>
      </w:r>
    </w:p>
    <w:p>
      <w:pPr>
        <w:pStyle w:val="ManualHeading3"/>
        <w:rPr>
          <w:bCs/>
          <w:noProof/>
          <w:szCs w:val="24"/>
        </w:rPr>
      </w:pPr>
      <w:r>
        <w:t>3.2.5.</w:t>
      </w:r>
      <w:r>
        <w:tab/>
      </w:r>
      <w:r>
        <w:rPr>
          <w:noProof/>
        </w:rPr>
        <w:t xml:space="preserve">Участие на трети страни във финансирането </w:t>
      </w:r>
    </w:p>
    <w:p>
      <w:pPr>
        <w:pStyle w:val="ListDash1"/>
        <w:rPr>
          <w:noProof/>
          <w:spacing w:val="-6"/>
        </w:rPr>
      </w:pPr>
      <w:r>
        <w:rPr>
          <w:noProof/>
          <w:spacing w:val="-6"/>
        </w:rPr>
        <w:sym w:font="Wingdings" w:char="F0FC"/>
      </w:r>
      <w:r>
        <w:rPr>
          <w:noProof/>
          <w:spacing w:val="-6"/>
        </w:rPr>
        <w:tab/>
        <w:t xml:space="preserve">Предложението/инициативата не предвижда съфинансиране от трети страни. </w:t>
      </w:r>
    </w:p>
    <w:p>
      <w:pPr>
        <w:pStyle w:val="ListDash1"/>
        <w:rPr>
          <w:noProof/>
          <w:spacing w:val="-6"/>
        </w:rPr>
      </w:pPr>
      <w:r>
        <w:rPr>
          <w:noProof/>
          <w:spacing w:val="-6"/>
        </w:rPr>
        <w:t>Предложението/инициативата предвижда съфинансиране съгласно следните прогнози:</w:t>
      </w:r>
    </w:p>
    <w:p>
      <w:pPr>
        <w:jc w:val="right"/>
        <w:rPr>
          <w:noProof/>
          <w:sz w:val="20"/>
        </w:rPr>
      </w:pPr>
      <w:r>
        <w:rPr>
          <w:noProof/>
          <w:sz w:val="20"/>
        </w:rPr>
        <w:t>Бюджетни кредити в млн. евро (до третия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b/>
                <w:noProof/>
                <w:sz w:val="20"/>
              </w:rPr>
              <w:t>N</w:t>
            </w:r>
          </w:p>
        </w:tc>
        <w:tc>
          <w:tcPr>
            <w:tcW w:w="964" w:type="dxa"/>
            <w:vAlign w:val="center"/>
          </w:tcPr>
          <w:p>
            <w:pPr>
              <w:jc w:val="center"/>
              <w:rPr>
                <w:noProof/>
                <w:sz w:val="20"/>
              </w:rPr>
            </w:pPr>
            <w:r>
              <w:rPr>
                <w:noProof/>
                <w:sz w:val="20"/>
              </w:rPr>
              <w:t>Година</w:t>
            </w:r>
            <w:r>
              <w:rPr>
                <w:b/>
                <w:noProof/>
                <w:sz w:val="20"/>
              </w:rPr>
              <w:t>N+1</w:t>
            </w:r>
          </w:p>
        </w:tc>
        <w:tc>
          <w:tcPr>
            <w:tcW w:w="964" w:type="dxa"/>
            <w:vAlign w:val="center"/>
          </w:tcPr>
          <w:p>
            <w:pPr>
              <w:jc w:val="center"/>
              <w:rPr>
                <w:noProof/>
                <w:sz w:val="20"/>
              </w:rPr>
            </w:pPr>
            <w:r>
              <w:rPr>
                <w:noProof/>
                <w:sz w:val="20"/>
              </w:rPr>
              <w:t>Година</w:t>
            </w:r>
            <w:r>
              <w:rPr>
                <w:b/>
                <w:noProof/>
                <w:sz w:val="20"/>
              </w:rPr>
              <w:t>N+2</w:t>
            </w:r>
          </w:p>
        </w:tc>
        <w:tc>
          <w:tcPr>
            <w:tcW w:w="964" w:type="dxa"/>
            <w:vAlign w:val="center"/>
          </w:tcPr>
          <w:p>
            <w:pPr>
              <w:jc w:val="center"/>
              <w:rPr>
                <w:noProof/>
                <w:sz w:val="20"/>
              </w:rPr>
            </w:pPr>
            <w:r>
              <w:rPr>
                <w:noProof/>
                <w:sz w:val="20"/>
              </w:rPr>
              <w:t>Година</w:t>
            </w:r>
            <w:r>
              <w:rPr>
                <w:b/>
                <w:noProof/>
                <w:sz w:val="20"/>
              </w:rPr>
              <w:t>N+3</w:t>
            </w:r>
          </w:p>
        </w:tc>
        <w:tc>
          <w:tcPr>
            <w:tcW w:w="2892" w:type="dxa"/>
            <w:gridSpan w:val="3"/>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rPr>
            </w:pPr>
            <w:r>
              <w:rPr>
                <w:noProof/>
                <w:sz w:val="20"/>
              </w:rPr>
              <w:t>Да</w:t>
            </w:r>
            <w:r>
              <w:rPr>
                <w:noProof/>
                <w:sz w:val="20"/>
                <w:lang w:val="it-IT"/>
              </w:rPr>
              <w:t> </w:t>
            </w:r>
            <w:r>
              <w:rPr>
                <w:noProof/>
                <w:sz w:val="20"/>
              </w:rPr>
              <w:t>се</w:t>
            </w:r>
            <w:r>
              <w:rPr>
                <w:noProof/>
                <w:sz w:val="20"/>
                <w:lang w:val="it-IT"/>
              </w:rPr>
              <w:t> </w:t>
            </w:r>
            <w:r>
              <w:rPr>
                <w:noProof/>
                <w:sz w:val="20"/>
              </w:rPr>
              <w:t>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t>3.3.</w:t>
      </w:r>
      <w:r>
        <w:tab/>
      </w:r>
      <w:r>
        <w:rPr>
          <w:noProof/>
        </w:rPr>
        <w:t xml:space="preserve">Очаквано отражение върху приходите </w:t>
      </w:r>
    </w:p>
    <w:p>
      <w:pPr>
        <w:pStyle w:val="ListDash1"/>
        <w:rPr>
          <w:noProof/>
        </w:rPr>
      </w:pPr>
      <w:r>
        <w:rPr>
          <w:noProof/>
        </w:rPr>
        <w:sym w:font="Wingdings" w:char="F0FC"/>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NumberLevel3"/>
        <w:tabs>
          <w:tab w:val="clear" w:pos="2126"/>
        </w:tabs>
        <w:rPr>
          <w:noProof/>
        </w:rPr>
      </w:pPr>
      <w:r>
        <w:rPr>
          <w:noProof/>
        </w:rPr>
        <w:sym w:font="Wingdings" w:char="F0A8"/>
      </w:r>
      <w:r>
        <w:rPr>
          <w:noProof/>
        </w:rPr>
        <w:t xml:space="preserve">върху собствените ресурси </w:t>
      </w:r>
    </w:p>
    <w:p>
      <w:pPr>
        <w:pStyle w:val="ListNumberLevel3"/>
        <w:tabs>
          <w:tab w:val="clear" w:pos="2126"/>
        </w:tabs>
        <w:rPr>
          <w:noProof/>
        </w:rPr>
      </w:pPr>
      <w:r>
        <w:rPr>
          <w:noProof/>
        </w:rPr>
        <w:sym w:font="Wingdings" w:char="F0A8"/>
      </w:r>
      <w:r>
        <w:rPr>
          <w:noProof/>
        </w:rPr>
        <w:t xml:space="preserve">върху другите приходи </w:t>
      </w:r>
    </w:p>
    <w:p>
      <w:pPr>
        <w:jc w:val="right"/>
        <w:rPr>
          <w:i/>
          <w:noProof/>
          <w:sz w:val="20"/>
        </w:rPr>
      </w:pPr>
      <w:r>
        <w:rPr>
          <w:noProof/>
        </w:rPr>
        <w:t>в млн. евро (до третия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pacing w:val="-2"/>
                <w:sz w:val="18"/>
              </w:rPr>
            </w:pPr>
            <w:r>
              <w:rPr>
                <w:noProof/>
                <w:spacing w:val="-2"/>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17"/>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Година</w:t>
            </w:r>
            <w:r>
              <w:rPr>
                <w:noProof/>
                <w:sz w:val="18"/>
                <w:lang w:val="it-IT"/>
              </w:rPr>
              <w:t xml:space="preserve"> </w:t>
            </w:r>
            <w:r>
              <w:rPr>
                <w:b/>
                <w:noProof/>
                <w:sz w:val="18"/>
              </w:rPr>
              <w:t>N</w:t>
            </w:r>
          </w:p>
        </w:tc>
        <w:tc>
          <w:tcPr>
            <w:tcW w:w="900" w:type="dxa"/>
            <w:vAlign w:val="center"/>
          </w:tcPr>
          <w:p>
            <w:pPr>
              <w:jc w:val="center"/>
              <w:rPr>
                <w:noProof/>
                <w:sz w:val="18"/>
              </w:rPr>
            </w:pPr>
            <w:r>
              <w:rPr>
                <w:noProof/>
                <w:sz w:val="18"/>
              </w:rPr>
              <w:t>Година</w:t>
            </w:r>
            <w:r>
              <w:rPr>
                <w:noProof/>
                <w:sz w:val="18"/>
                <w:lang w:val="it-IT"/>
              </w:rPr>
              <w:t xml:space="preserve"> </w:t>
            </w:r>
            <w:r>
              <w:rPr>
                <w:b/>
                <w:noProof/>
                <w:sz w:val="18"/>
              </w:rPr>
              <w:t>N+1</w:t>
            </w:r>
          </w:p>
        </w:tc>
        <w:tc>
          <w:tcPr>
            <w:tcW w:w="900" w:type="dxa"/>
            <w:vAlign w:val="center"/>
          </w:tcPr>
          <w:p>
            <w:pPr>
              <w:jc w:val="center"/>
              <w:rPr>
                <w:noProof/>
                <w:sz w:val="18"/>
              </w:rPr>
            </w:pPr>
            <w:r>
              <w:rPr>
                <w:noProof/>
                <w:sz w:val="18"/>
              </w:rPr>
              <w:t>Година</w:t>
            </w:r>
            <w:r>
              <w:rPr>
                <w:noProof/>
                <w:sz w:val="18"/>
                <w:lang w:val="it-IT"/>
              </w:rPr>
              <w:t xml:space="preserve"> </w:t>
            </w:r>
            <w:r>
              <w:rPr>
                <w:b/>
                <w:noProof/>
                <w:sz w:val="18"/>
              </w:rPr>
              <w:t>N+2</w:t>
            </w:r>
          </w:p>
        </w:tc>
        <w:tc>
          <w:tcPr>
            <w:tcW w:w="1080" w:type="dxa"/>
            <w:vAlign w:val="center"/>
          </w:tcPr>
          <w:p>
            <w:pPr>
              <w:jc w:val="center"/>
              <w:rPr>
                <w:noProof/>
                <w:sz w:val="18"/>
              </w:rPr>
            </w:pPr>
            <w:r>
              <w:rPr>
                <w:noProof/>
                <w:sz w:val="18"/>
              </w:rPr>
              <w:t>Година</w:t>
            </w:r>
            <w:r>
              <w:rPr>
                <w:noProof/>
                <w:sz w:val="18"/>
                <w:lang w:val="it-IT"/>
              </w:rPr>
              <w:t xml:space="preserve"> </w:t>
            </w:r>
            <w:r>
              <w:rPr>
                <w:b/>
                <w:noProof/>
                <w:sz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другите „целеви“ приходи да се посочат съответните разходни бюджетни редове.</w:t>
      </w:r>
    </w:p>
    <w:p>
      <w:pPr>
        <w:pStyle w:val="Text1"/>
        <w:rPr>
          <w:noProof/>
          <w:sz w:val="20"/>
        </w:rPr>
      </w:pPr>
      <w:r>
        <w:rPr>
          <w:noProof/>
          <w:sz w:val="20"/>
        </w:rPr>
        <w:t>Да се посочи методът за изчисляване на отражението върху приходите.</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p/>
  </w:endnote>
  <w:endnote w:type="continuationSeparator" w:id="0">
    <w:p>
      <w:pPr>
        <w:spacing w:before="0" w:after="0"/>
      </w:pPr>
      <w:r>
        <w:continuationSeparator/>
      </w:r>
    </w:p>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p/>
  </w:footnote>
  <w:footnote w:type="continuationSeparator" w:id="0">
    <w:p>
      <w:pPr>
        <w:spacing w:before="0" w:after="0"/>
      </w:pPr>
      <w:r>
        <w:continuationSeparator/>
      </w:r>
    </w:p>
    <w:p/>
  </w:footnote>
  <w:footnote w:type="continuationNotice" w:id="1">
    <w:p>
      <w:pPr>
        <w:spacing w:before="0" w:after="0"/>
      </w:pPr>
    </w:p>
  </w:footnote>
  <w:footnote w:id="2">
    <w:p>
      <w:pPr>
        <w:pStyle w:val="FootnoteText"/>
      </w:pPr>
      <w:r>
        <w:rPr>
          <w:rStyle w:val="FootnoteReference"/>
        </w:rPr>
        <w:footnoteRef/>
      </w:r>
      <w:r>
        <w:tab/>
        <w:t>Регламент (ЕС) 2017/825 на Европейския парламент и на Съвета от 17 май 2017 г. за създаването на Програмата за подкрепа на структурните реформи за периода 2017—2020 г. и за изменение на регламенти (ЕС) № 1303/2013 и (ЕС) № 1305/2013 (ОВ L 129, 19.5.2017 г., стр. 1).</w:t>
      </w:r>
    </w:p>
  </w:footnote>
  <w:footnote w:id="3">
    <w:p>
      <w:pPr>
        <w:pStyle w:val="FootnoteText"/>
      </w:pPr>
      <w:r>
        <w:rPr>
          <w:rStyle w:val="FootnoteReference"/>
        </w:rPr>
        <w:footnoteRef/>
      </w:r>
      <w:r>
        <w:tab/>
        <w:t>Реч за състоянието на Съюза на председателя на Европейската комисия Жан-Клод Юнкер за 2017 г., 13 септември 2017 г.</w:t>
      </w:r>
    </w:p>
  </w:footnote>
  <w:footnote w:id="4">
    <w:p>
      <w:pPr>
        <w:pStyle w:val="FootnoteText"/>
      </w:pPr>
      <w:r>
        <w:rPr>
          <w:rStyle w:val="FootnoteReference"/>
        </w:rPr>
        <w:footnoteRef/>
      </w:r>
      <w:r>
        <w:tab/>
        <w:t xml:space="preserve">Вж. член 11 от Регламент (ЕС, Евратом) № 1311/2013 на Съвета. </w:t>
      </w:r>
    </w:p>
  </w:footnote>
  <w:footnote w:id="5">
    <w:p>
      <w:pPr>
        <w:pStyle w:val="FootnoteText"/>
        <w:rPr>
          <w:lang w:val="pt-PT"/>
        </w:rPr>
      </w:pPr>
      <w:r>
        <w:rPr>
          <w:rStyle w:val="FootnoteReference"/>
        </w:rPr>
        <w:footnoteRef/>
      </w:r>
      <w:r>
        <w:rPr>
          <w:lang w:val="pt-PT"/>
        </w:rPr>
        <w:tab/>
        <w:t xml:space="preserve">COM (2017) 291, 31 </w:t>
      </w:r>
      <w:r>
        <w:t>май</w:t>
      </w:r>
      <w:r>
        <w:rPr>
          <w:lang w:val="pt-PT"/>
        </w:rPr>
        <w:t xml:space="preserve"> 2017 </w:t>
      </w:r>
      <w:r>
        <w:t>г</w:t>
      </w:r>
      <w:r>
        <w:rPr>
          <w:lang w:val="pt-PT"/>
        </w:rPr>
        <w:t>.</w:t>
      </w:r>
    </w:p>
  </w:footnote>
  <w:footnote w:id="6">
    <w:p>
      <w:pPr>
        <w:pStyle w:val="FootnoteText"/>
        <w:rPr>
          <w:lang w:val="pt-PT"/>
        </w:rPr>
      </w:pPr>
      <w:r>
        <w:rPr>
          <w:rStyle w:val="FootnoteReference"/>
        </w:rPr>
        <w:footnoteRef/>
      </w:r>
      <w:r>
        <w:rPr>
          <w:lang w:val="pt-PT"/>
        </w:rPr>
        <w:tab/>
      </w:r>
      <w:r>
        <w:t>ОВ</w:t>
      </w:r>
      <w:r>
        <w:rPr>
          <w:lang w:val="pt-PT"/>
        </w:rPr>
        <w:t xml:space="preserve"> C […], […] </w:t>
      </w:r>
      <w:r>
        <w:t>г</w:t>
      </w:r>
      <w:r>
        <w:rPr>
          <w:lang w:val="pt-PT"/>
        </w:rPr>
        <w:t xml:space="preserve">., </w:t>
      </w:r>
      <w:r>
        <w:t>стр</w:t>
      </w:r>
      <w:r>
        <w:rPr>
          <w:lang w:val="pt-PT"/>
        </w:rPr>
        <w:t>. […].</w:t>
      </w:r>
    </w:p>
  </w:footnote>
  <w:footnote w:id="7">
    <w:p>
      <w:pPr>
        <w:pStyle w:val="FootnoteText"/>
        <w:rPr>
          <w:lang w:val="pt-PT"/>
        </w:rPr>
      </w:pPr>
      <w:r>
        <w:rPr>
          <w:rStyle w:val="FootnoteReference"/>
        </w:rPr>
        <w:footnoteRef/>
      </w:r>
      <w:r>
        <w:rPr>
          <w:lang w:val="pt-PT"/>
        </w:rPr>
        <w:tab/>
      </w:r>
      <w:r>
        <w:t>ОВ</w:t>
      </w:r>
      <w:r>
        <w:rPr>
          <w:lang w:val="pt-PT"/>
        </w:rPr>
        <w:t xml:space="preserve"> C […], […] </w:t>
      </w:r>
      <w:r>
        <w:t>г</w:t>
      </w:r>
      <w:r>
        <w:rPr>
          <w:lang w:val="pt-PT"/>
        </w:rPr>
        <w:t xml:space="preserve">., </w:t>
      </w:r>
      <w:r>
        <w:t>стр</w:t>
      </w:r>
      <w:r>
        <w:rPr>
          <w:lang w:val="pt-PT"/>
        </w:rPr>
        <w:t>. […].</w:t>
      </w:r>
    </w:p>
  </w:footnote>
  <w:footnote w:id="8">
    <w:p>
      <w:pPr>
        <w:pStyle w:val="FootnoteText"/>
        <w:rPr>
          <w:szCs w:val="24"/>
          <w:lang w:val="pt-PT"/>
        </w:rPr>
      </w:pPr>
      <w:r>
        <w:rPr>
          <w:rStyle w:val="FootnoteReference"/>
        </w:rPr>
        <w:footnoteRef/>
      </w:r>
      <w:r>
        <w:rPr>
          <w:lang w:val="pt-PT"/>
        </w:rPr>
        <w:tab/>
      </w:r>
      <w:r>
        <w:t>Съгласно</w:t>
      </w:r>
      <w:r>
        <w:rPr>
          <w:lang w:val="pt-PT"/>
        </w:rPr>
        <w:t xml:space="preserve"> </w:t>
      </w:r>
      <w:r>
        <w:t>член</w:t>
      </w:r>
      <w:r>
        <w:rPr>
          <w:lang w:val="pt-PT"/>
        </w:rPr>
        <w:t xml:space="preserve"> 54, </w:t>
      </w:r>
      <w:r>
        <w:t>параграф</w:t>
      </w:r>
      <w:r>
        <w:rPr>
          <w:lang w:val="pt-PT"/>
        </w:rPr>
        <w:t xml:space="preserve"> 2, </w:t>
      </w:r>
      <w:r>
        <w:t>буква</w:t>
      </w:r>
      <w:r>
        <w:rPr>
          <w:lang w:val="pt-PT"/>
        </w:rPr>
        <w:t> </w:t>
      </w:r>
      <w:r>
        <w:t>а</w:t>
      </w:r>
      <w:r>
        <w:rPr>
          <w:lang w:val="pt-PT"/>
        </w:rPr>
        <w:t xml:space="preserve">) </w:t>
      </w:r>
      <w:r>
        <w:t>или</w:t>
      </w:r>
      <w:r>
        <w:rPr>
          <w:lang w:val="pt-PT"/>
        </w:rPr>
        <w:t xml:space="preserve"> </w:t>
      </w:r>
      <w:r>
        <w:t>б</w:t>
      </w:r>
      <w:r>
        <w:rPr>
          <w:lang w:val="pt-PT"/>
        </w:rPr>
        <w:t xml:space="preserve">) </w:t>
      </w:r>
      <w:r>
        <w:t>от</w:t>
      </w:r>
      <w:r>
        <w:rPr>
          <w:lang w:val="pt-PT"/>
        </w:rPr>
        <w:t xml:space="preserve"> </w:t>
      </w:r>
      <w:r>
        <w:t>Финансовия</w:t>
      </w:r>
      <w:r>
        <w:rPr>
          <w:lang w:val="pt-PT"/>
        </w:rPr>
        <w:t xml:space="preserve"> </w:t>
      </w:r>
      <w:r>
        <w:t>регламент</w:t>
      </w:r>
      <w:r>
        <w:rPr>
          <w:lang w:val="pt-PT"/>
        </w:rPr>
        <w:t>.</w:t>
      </w:r>
    </w:p>
  </w:footnote>
  <w:footnote w:id="9">
    <w:p>
      <w:pPr>
        <w:pStyle w:val="FootnoteText"/>
        <w:jc w:val="left"/>
        <w:rPr>
          <w:szCs w:val="24"/>
          <w:lang w:val="pt-PT"/>
        </w:rPr>
      </w:pPr>
      <w:r>
        <w:rPr>
          <w:rStyle w:val="FootnoteReference"/>
        </w:rPr>
        <w:footnoteRef/>
      </w:r>
      <w:r>
        <w:rPr>
          <w:lang w:val="pt-PT"/>
        </w:rPr>
        <w:tab/>
      </w:r>
      <w:r>
        <w:t>Подробности</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методите</w:t>
      </w:r>
      <w:r>
        <w:rPr>
          <w:lang w:val="pt-PT"/>
        </w:rPr>
        <w:t xml:space="preserve"> </w:t>
      </w:r>
      <w:r>
        <w:t>на</w:t>
      </w:r>
      <w:r>
        <w:rPr>
          <w:lang w:val="pt-PT"/>
        </w:rPr>
        <w:t xml:space="preserve"> </w:t>
      </w:r>
      <w:r>
        <w:t>управление</w:t>
      </w:r>
      <w:r>
        <w:rPr>
          <w:lang w:val="pt-PT"/>
        </w:rPr>
        <w:t xml:space="preserve"> </w:t>
      </w:r>
      <w:r>
        <w:t>и</w:t>
      </w:r>
      <w:r>
        <w:rPr>
          <w:lang w:val="pt-PT"/>
        </w:rPr>
        <w:t xml:space="preserve"> </w:t>
      </w:r>
      <w:r>
        <w:t>позоваванията</w:t>
      </w:r>
      <w:r>
        <w:rPr>
          <w:lang w:val="pt-PT"/>
        </w:rPr>
        <w:t xml:space="preserve"> </w:t>
      </w:r>
      <w:r>
        <w:t>на</w:t>
      </w:r>
      <w:r>
        <w:rPr>
          <w:lang w:val="pt-PT"/>
        </w:rPr>
        <w:t xml:space="preserve"> </w:t>
      </w:r>
      <w:r>
        <w:t>Финансовия</w:t>
      </w:r>
      <w:r>
        <w:rPr>
          <w:lang w:val="pt-PT"/>
        </w:rPr>
        <w:t xml:space="preserve"> </w:t>
      </w:r>
      <w:r>
        <w:t>регламент</w:t>
      </w:r>
      <w:r>
        <w:rPr>
          <w:lang w:val="pt-PT"/>
        </w:rPr>
        <w:t xml:space="preserve"> </w:t>
      </w:r>
      <w:r>
        <w:t>могат</w:t>
      </w:r>
      <w:r>
        <w:rPr>
          <w:lang w:val="pt-PT"/>
        </w:rPr>
        <w:t xml:space="preserve"> </w:t>
      </w:r>
      <w:r>
        <w:t>да</w:t>
      </w:r>
      <w:r>
        <w:rPr>
          <w:lang w:val="pt-PT"/>
        </w:rPr>
        <w:t xml:space="preserve"> </w:t>
      </w:r>
      <w:r>
        <w:t>бъдат</w:t>
      </w:r>
      <w:r>
        <w:rPr>
          <w:lang w:val="pt-PT"/>
        </w:rPr>
        <w:t xml:space="preserve"> </w:t>
      </w:r>
      <w:r>
        <w:t>намерени</w:t>
      </w:r>
      <w:r>
        <w:rPr>
          <w:lang w:val="pt-PT"/>
        </w:rPr>
        <w:t xml:space="preserve"> </w:t>
      </w:r>
      <w:r>
        <w:t>на</w:t>
      </w:r>
      <w:r>
        <w:rPr>
          <w:lang w:val="pt-PT"/>
        </w:rPr>
        <w:t xml:space="preserve"> </w:t>
      </w:r>
      <w:r>
        <w:t>уебсайта</w:t>
      </w:r>
      <w:r>
        <w:rPr>
          <w:lang w:val="pt-PT"/>
        </w:rPr>
        <w:t xml:space="preserve"> BudgWeb: </w:t>
      </w:r>
      <w:hyperlink r:id="rId1">
        <w:r>
          <w:rPr>
            <w:rStyle w:val="Hyperlink"/>
            <w:lang w:val="pt-PT"/>
          </w:rPr>
          <w:t>https://myintracomm.ec.europa.eu/budgweb/EN/man/budgmanag/Pages/budgmanag.aspx</w:t>
        </w:r>
      </w:hyperlink>
      <w:r>
        <w:rPr>
          <w:lang w:val="pt-PT"/>
        </w:rPr>
        <w:t xml:space="preserve"> </w:t>
      </w:r>
    </w:p>
  </w:footnote>
  <w:footnote w:id="10">
    <w:p>
      <w:pPr>
        <w:pStyle w:val="FootnoteText"/>
        <w:rPr>
          <w:szCs w:val="24"/>
          <w:lang w:val="pt-PT"/>
        </w:rPr>
      </w:pPr>
      <w:r>
        <w:rPr>
          <w:rStyle w:val="FootnoteReference"/>
        </w:rPr>
        <w:footnoteRef/>
      </w:r>
      <w:r>
        <w:rPr>
          <w:lang w:val="pt-PT"/>
        </w:rPr>
        <w:tab/>
      </w:r>
      <w:r>
        <w:t>Многогод</w:t>
      </w:r>
      <w:r>
        <w:rPr>
          <w:lang w:val="pt-PT"/>
        </w:rPr>
        <w:t xml:space="preserve">. = </w:t>
      </w:r>
      <w:r>
        <w:t>Многогодишни</w:t>
      </w:r>
      <w:r>
        <w:rPr>
          <w:lang w:val="pt-PT"/>
        </w:rPr>
        <w:t xml:space="preserve"> </w:t>
      </w:r>
      <w:r>
        <w:t>бюджетни</w:t>
      </w:r>
      <w:r>
        <w:rPr>
          <w:lang w:val="pt-PT"/>
        </w:rPr>
        <w:t xml:space="preserve"> </w:t>
      </w:r>
      <w:r>
        <w:t>кредити</w:t>
      </w:r>
      <w:r>
        <w:rPr>
          <w:lang w:val="pt-PT"/>
        </w:rPr>
        <w:t xml:space="preserve"> / </w:t>
      </w:r>
      <w:r>
        <w:t>Едногод</w:t>
      </w:r>
      <w:r>
        <w:rPr>
          <w:lang w:val="pt-PT"/>
        </w:rPr>
        <w:t xml:space="preserve">. = </w:t>
      </w:r>
      <w:r>
        <w:t>Едногодишни</w:t>
      </w:r>
      <w:r>
        <w:rPr>
          <w:lang w:val="pt-PT"/>
        </w:rPr>
        <w:t xml:space="preserve"> </w:t>
      </w:r>
      <w:r>
        <w:t>бюджетни</w:t>
      </w:r>
      <w:r>
        <w:rPr>
          <w:lang w:val="pt-PT"/>
        </w:rPr>
        <w:t xml:space="preserve"> </w:t>
      </w:r>
      <w:r>
        <w:t>кредити</w:t>
      </w:r>
      <w:r>
        <w:rPr>
          <w:lang w:val="pt-PT"/>
        </w:rPr>
        <w:t>.</w:t>
      </w:r>
    </w:p>
  </w:footnote>
  <w:footnote w:id="11">
    <w:p>
      <w:pPr>
        <w:pStyle w:val="FootnoteText"/>
        <w:rPr>
          <w:szCs w:val="24"/>
          <w:lang w:val="pt-PT"/>
        </w:rPr>
      </w:pPr>
      <w:r>
        <w:rPr>
          <w:rStyle w:val="FootnoteReference"/>
        </w:rPr>
        <w:footnoteRef/>
      </w:r>
      <w:r>
        <w:rPr>
          <w:lang w:val="pt-PT"/>
        </w:rPr>
        <w:tab/>
      </w:r>
      <w:r>
        <w:t>ЕАСТ</w:t>
      </w:r>
      <w:r>
        <w:rPr>
          <w:lang w:val="pt-PT"/>
        </w:rPr>
        <w:t xml:space="preserve">: </w:t>
      </w:r>
      <w:r>
        <w:t>Европейска</w:t>
      </w:r>
      <w:r>
        <w:rPr>
          <w:lang w:val="pt-PT"/>
        </w:rPr>
        <w:t xml:space="preserve"> </w:t>
      </w:r>
      <w:r>
        <w:t>асоциация</w:t>
      </w:r>
      <w:r>
        <w:rPr>
          <w:lang w:val="pt-PT"/>
        </w:rPr>
        <w:t xml:space="preserve"> </w:t>
      </w:r>
      <w:r>
        <w:t>за</w:t>
      </w:r>
      <w:r>
        <w:rPr>
          <w:lang w:val="pt-PT"/>
        </w:rPr>
        <w:t xml:space="preserve"> </w:t>
      </w:r>
      <w:r>
        <w:t>свободна</w:t>
      </w:r>
      <w:r>
        <w:rPr>
          <w:lang w:val="pt-PT"/>
        </w:rPr>
        <w:t xml:space="preserve"> </w:t>
      </w:r>
      <w:r>
        <w:t>търговия</w:t>
      </w:r>
      <w:r>
        <w:rPr>
          <w:lang w:val="pt-PT"/>
        </w:rPr>
        <w:t xml:space="preserve">. </w:t>
      </w:r>
    </w:p>
  </w:footnote>
  <w:footnote w:id="12">
    <w:p>
      <w:pPr>
        <w:pStyle w:val="FootnoteText"/>
        <w:rPr>
          <w:szCs w:val="24"/>
          <w:lang w:val="pt-PT"/>
        </w:rPr>
      </w:pPr>
      <w:r>
        <w:rPr>
          <w:rStyle w:val="FootnoteReference"/>
        </w:rPr>
        <w:footnoteRef/>
      </w:r>
      <w:r>
        <w:rPr>
          <w:lang w:val="pt-PT"/>
        </w:rPr>
        <w:tab/>
      </w:r>
      <w:r>
        <w:t>Държави</w:t>
      </w:r>
      <w:r>
        <w:rPr>
          <w:lang w:val="pt-PT"/>
        </w:rPr>
        <w:t xml:space="preserve"> </w:t>
      </w:r>
      <w:r>
        <w:t>кандидатки</w:t>
      </w:r>
      <w:r>
        <w:rPr>
          <w:lang w:val="pt-PT"/>
        </w:rPr>
        <w:t xml:space="preserve"> </w:t>
      </w:r>
      <w:r>
        <w:t>и</w:t>
      </w:r>
      <w:r>
        <w:rPr>
          <w:lang w:val="pt-PT"/>
        </w:rPr>
        <w:t xml:space="preserve">, </w:t>
      </w:r>
      <w:r>
        <w:t>ако</w:t>
      </w:r>
      <w:r>
        <w:rPr>
          <w:lang w:val="pt-PT"/>
        </w:rPr>
        <w:t xml:space="preserve"> </w:t>
      </w:r>
      <w:r>
        <w:t>е</w:t>
      </w:r>
      <w:r>
        <w:rPr>
          <w:lang w:val="pt-PT"/>
        </w:rPr>
        <w:t xml:space="preserve"> </w:t>
      </w:r>
      <w:r>
        <w:t>приложимо</w:t>
      </w:r>
      <w:r>
        <w:rPr>
          <w:lang w:val="pt-PT"/>
        </w:rPr>
        <w:t xml:space="preserve">, </w:t>
      </w:r>
      <w:r>
        <w:t>потенциални</w:t>
      </w:r>
      <w:r>
        <w:rPr>
          <w:lang w:val="pt-PT"/>
        </w:rPr>
        <w:t xml:space="preserve"> </w:t>
      </w:r>
      <w:r>
        <w:t>кандидатки</w:t>
      </w:r>
      <w:r>
        <w:rPr>
          <w:lang w:val="pt-PT"/>
        </w:rPr>
        <w:t xml:space="preserve"> </w:t>
      </w:r>
      <w:r>
        <w:t>от</w:t>
      </w:r>
      <w:r>
        <w:rPr>
          <w:lang w:val="pt-PT"/>
        </w:rPr>
        <w:t xml:space="preserve"> </w:t>
      </w:r>
      <w:r>
        <w:t>Западните</w:t>
      </w:r>
      <w:r>
        <w:rPr>
          <w:lang w:val="pt-PT"/>
        </w:rPr>
        <w:t xml:space="preserve"> </w:t>
      </w:r>
      <w:r>
        <w:t>Балкани</w:t>
      </w:r>
      <w:r>
        <w:rPr>
          <w:lang w:val="pt-PT"/>
        </w:rPr>
        <w:t>.</w:t>
      </w:r>
    </w:p>
  </w:footnote>
  <w:footnote w:id="13">
    <w:p>
      <w:pPr>
        <w:pStyle w:val="FootnoteText"/>
        <w:ind w:left="0" w:firstLine="0"/>
        <w:rPr>
          <w:szCs w:val="24"/>
          <w:lang w:val="pt-PT"/>
        </w:rPr>
      </w:pPr>
      <w:r>
        <w:rPr>
          <w:rStyle w:val="FootnoteReference"/>
        </w:rPr>
        <w:footnoteRef/>
      </w:r>
      <w:r>
        <w:rPr>
          <w:lang w:val="pt-PT"/>
        </w:rPr>
        <w:tab/>
      </w:r>
      <w:r>
        <w:t>Година</w:t>
      </w:r>
      <w:r>
        <w:rPr>
          <w:lang w:val="pt-PT"/>
        </w:rPr>
        <w:t xml:space="preserve"> N </w:t>
      </w:r>
      <w:r>
        <w:t>е</w:t>
      </w:r>
      <w:r>
        <w:rPr>
          <w:lang w:val="pt-PT"/>
        </w:rPr>
        <w:t xml:space="preserve"> </w:t>
      </w:r>
      <w:r>
        <w:t>годината</w:t>
      </w:r>
      <w:r>
        <w:rPr>
          <w:lang w:val="pt-PT"/>
        </w:rPr>
        <w:t xml:space="preserve">, </w:t>
      </w:r>
      <w:r>
        <w:t>през</w:t>
      </w:r>
      <w:r>
        <w:rPr>
          <w:lang w:val="pt-PT"/>
        </w:rPr>
        <w:t xml:space="preserve"> </w:t>
      </w:r>
      <w:r>
        <w:t>която</w:t>
      </w:r>
      <w:r>
        <w:rPr>
          <w:lang w:val="pt-PT"/>
        </w:rPr>
        <w:t xml:space="preserve"> </w:t>
      </w:r>
      <w:r>
        <w:t>започва</w:t>
      </w:r>
      <w:r>
        <w:rPr>
          <w:lang w:val="pt-PT"/>
        </w:rPr>
        <w:t xml:space="preserve"> </w:t>
      </w:r>
      <w:r>
        <w:t>да</w:t>
      </w:r>
      <w:r>
        <w:rPr>
          <w:lang w:val="pt-PT"/>
        </w:rPr>
        <w:t xml:space="preserve"> </w:t>
      </w:r>
      <w:r>
        <w:t>се</w:t>
      </w:r>
      <w:r>
        <w:rPr>
          <w:lang w:val="pt-PT"/>
        </w:rPr>
        <w:t xml:space="preserve"> </w:t>
      </w:r>
      <w:r>
        <w:t>осъществява</w:t>
      </w:r>
      <w:r>
        <w:rPr>
          <w:lang w:val="pt-PT"/>
        </w:rPr>
        <w:t xml:space="preserve"> </w:t>
      </w:r>
      <w:r>
        <w:t>предложението</w:t>
      </w:r>
      <w:r>
        <w:rPr>
          <w:lang w:val="pt-PT"/>
        </w:rPr>
        <w:t>/</w:t>
      </w:r>
      <w:r>
        <w:t>инициативата</w:t>
      </w:r>
      <w:r>
        <w:rPr>
          <w:lang w:val="pt-PT"/>
        </w:rPr>
        <w:t>.</w:t>
      </w:r>
    </w:p>
  </w:footnote>
  <w:footnote w:id="14">
    <w:p>
      <w:pPr>
        <w:pStyle w:val="FootnoteText"/>
        <w:rPr>
          <w:spacing w:val="-6"/>
          <w:szCs w:val="24"/>
          <w:lang w:val="pt-PT"/>
        </w:rPr>
      </w:pPr>
      <w:r>
        <w:rPr>
          <w:rStyle w:val="FootnoteReference"/>
        </w:rPr>
        <w:footnoteRef/>
      </w:r>
      <w:r>
        <w:rPr>
          <w:spacing w:val="-6"/>
          <w:lang w:val="pt-PT"/>
        </w:rPr>
        <w:tab/>
      </w:r>
      <w:r>
        <w:rPr>
          <w:spacing w:val="-6"/>
        </w:rPr>
        <w:t>Техническа</w:t>
      </w:r>
      <w:r>
        <w:rPr>
          <w:spacing w:val="-6"/>
          <w:lang w:val="pt-PT"/>
        </w:rPr>
        <w:t xml:space="preserve"> </w:t>
      </w:r>
      <w:r>
        <w:rPr>
          <w:spacing w:val="-6"/>
        </w:rPr>
        <w:t>и</w:t>
      </w:r>
      <w:r>
        <w:rPr>
          <w:spacing w:val="-6"/>
          <w:lang w:val="pt-PT"/>
        </w:rPr>
        <w:t>/</w:t>
      </w:r>
      <w:r>
        <w:rPr>
          <w:spacing w:val="-6"/>
        </w:rPr>
        <w:t>или</w:t>
      </w:r>
      <w:r>
        <w:rPr>
          <w:spacing w:val="-6"/>
          <w:lang w:val="pt-PT"/>
        </w:rPr>
        <w:t xml:space="preserve"> </w:t>
      </w:r>
      <w:r>
        <w:rPr>
          <w:spacing w:val="-6"/>
        </w:rPr>
        <w:t>административна</w:t>
      </w:r>
      <w:r>
        <w:rPr>
          <w:spacing w:val="-6"/>
          <w:lang w:val="pt-PT"/>
        </w:rPr>
        <w:t xml:space="preserve"> </w:t>
      </w:r>
      <w:r>
        <w:rPr>
          <w:spacing w:val="-6"/>
        </w:rPr>
        <w:t>помощ</w:t>
      </w:r>
      <w:r>
        <w:rPr>
          <w:spacing w:val="-6"/>
          <w:lang w:val="pt-PT"/>
        </w:rPr>
        <w:t xml:space="preserve"> </w:t>
      </w:r>
      <w:r>
        <w:rPr>
          <w:spacing w:val="-6"/>
        </w:rPr>
        <w:t>и</w:t>
      </w:r>
      <w:r>
        <w:rPr>
          <w:spacing w:val="-6"/>
          <w:lang w:val="pt-PT"/>
        </w:rPr>
        <w:t xml:space="preserve"> </w:t>
      </w:r>
      <w:r>
        <w:rPr>
          <w:spacing w:val="-6"/>
        </w:rPr>
        <w:t>разходи</w:t>
      </w:r>
      <w:r>
        <w:rPr>
          <w:spacing w:val="-6"/>
          <w:lang w:val="pt-PT"/>
        </w:rPr>
        <w:t xml:space="preserve"> </w:t>
      </w:r>
      <w:r>
        <w:rPr>
          <w:spacing w:val="-6"/>
        </w:rPr>
        <w:t>в</w:t>
      </w:r>
      <w:r>
        <w:rPr>
          <w:spacing w:val="-6"/>
          <w:lang w:val="pt-PT"/>
        </w:rPr>
        <w:t xml:space="preserve"> </w:t>
      </w:r>
      <w:r>
        <w:rPr>
          <w:spacing w:val="-6"/>
        </w:rPr>
        <w:t>подкрепа</w:t>
      </w:r>
      <w:r>
        <w:rPr>
          <w:spacing w:val="-6"/>
          <w:lang w:val="pt-PT"/>
        </w:rPr>
        <w:t xml:space="preserve"> </w:t>
      </w:r>
      <w:r>
        <w:rPr>
          <w:spacing w:val="-6"/>
        </w:rPr>
        <w:t>на</w:t>
      </w:r>
      <w:r>
        <w:rPr>
          <w:spacing w:val="-6"/>
          <w:lang w:val="pt-PT"/>
        </w:rPr>
        <w:t xml:space="preserve"> </w:t>
      </w:r>
      <w:r>
        <w:rPr>
          <w:spacing w:val="-6"/>
        </w:rPr>
        <w:t>изпълнението</w:t>
      </w:r>
      <w:r>
        <w:rPr>
          <w:spacing w:val="-6"/>
          <w:lang w:val="pt-PT"/>
        </w:rPr>
        <w:t xml:space="preserve"> </w:t>
      </w:r>
      <w:r>
        <w:rPr>
          <w:spacing w:val="-6"/>
        </w:rPr>
        <w:t>на</w:t>
      </w:r>
      <w:r>
        <w:rPr>
          <w:spacing w:val="-6"/>
          <w:lang w:val="pt-PT"/>
        </w:rPr>
        <w:t xml:space="preserve"> </w:t>
      </w:r>
      <w:r>
        <w:rPr>
          <w:spacing w:val="-6"/>
        </w:rPr>
        <w:t>програми</w:t>
      </w:r>
      <w:r>
        <w:rPr>
          <w:spacing w:val="-6"/>
          <w:lang w:val="pt-PT"/>
        </w:rPr>
        <w:t xml:space="preserve"> </w:t>
      </w:r>
      <w:r>
        <w:rPr>
          <w:spacing w:val="-6"/>
        </w:rPr>
        <w:t>и</w:t>
      </w:r>
      <w:r>
        <w:rPr>
          <w:spacing w:val="-6"/>
          <w:lang w:val="pt-PT"/>
        </w:rPr>
        <w:t>/</w:t>
      </w:r>
      <w:r>
        <w:rPr>
          <w:spacing w:val="-6"/>
        </w:rPr>
        <w:t>или</w:t>
      </w:r>
      <w:r>
        <w:rPr>
          <w:spacing w:val="-6"/>
          <w:lang w:val="pt-PT"/>
        </w:rPr>
        <w:t xml:space="preserve"> </w:t>
      </w:r>
      <w:r>
        <w:rPr>
          <w:spacing w:val="-6"/>
        </w:rPr>
        <w:t>действия</w:t>
      </w:r>
      <w:r>
        <w:rPr>
          <w:spacing w:val="-6"/>
          <w:lang w:val="pt-PT"/>
        </w:rPr>
        <w:t xml:space="preserve"> </w:t>
      </w:r>
      <w:r>
        <w:rPr>
          <w:spacing w:val="-6"/>
        </w:rPr>
        <w:t>на</w:t>
      </w:r>
      <w:r>
        <w:rPr>
          <w:spacing w:val="-6"/>
          <w:lang w:val="pt-PT"/>
        </w:rPr>
        <w:t xml:space="preserve"> </w:t>
      </w:r>
      <w:r>
        <w:rPr>
          <w:spacing w:val="-6"/>
        </w:rPr>
        <w:t>ЕС</w:t>
      </w:r>
      <w:r>
        <w:rPr>
          <w:spacing w:val="-6"/>
          <w:lang w:val="pt-PT"/>
        </w:rPr>
        <w:t xml:space="preserve"> (</w:t>
      </w:r>
      <w:r>
        <w:rPr>
          <w:spacing w:val="-6"/>
        </w:rPr>
        <w:t>предишни</w:t>
      </w:r>
      <w:r>
        <w:rPr>
          <w:spacing w:val="-6"/>
          <w:lang w:val="pt-PT"/>
        </w:rPr>
        <w:t xml:space="preserve"> </w:t>
      </w:r>
      <w:r>
        <w:rPr>
          <w:spacing w:val="-6"/>
        </w:rPr>
        <w:t>редове</w:t>
      </w:r>
      <w:r>
        <w:rPr>
          <w:spacing w:val="-6"/>
          <w:lang w:val="pt-PT"/>
        </w:rPr>
        <w:t xml:space="preserve"> BA), </w:t>
      </w:r>
      <w:r>
        <w:rPr>
          <w:spacing w:val="-6"/>
        </w:rPr>
        <w:t>непреки</w:t>
      </w:r>
      <w:r>
        <w:rPr>
          <w:spacing w:val="-6"/>
          <w:lang w:val="pt-PT"/>
        </w:rPr>
        <w:t xml:space="preserve"> </w:t>
      </w:r>
      <w:r>
        <w:rPr>
          <w:spacing w:val="-6"/>
        </w:rPr>
        <w:t>научни</w:t>
      </w:r>
      <w:r>
        <w:rPr>
          <w:spacing w:val="-6"/>
          <w:lang w:val="pt-PT"/>
        </w:rPr>
        <w:t xml:space="preserve"> </w:t>
      </w:r>
      <w:r>
        <w:rPr>
          <w:spacing w:val="-6"/>
        </w:rPr>
        <w:t>изследвания</w:t>
      </w:r>
      <w:r>
        <w:rPr>
          <w:spacing w:val="-6"/>
          <w:lang w:val="pt-PT"/>
        </w:rPr>
        <w:t xml:space="preserve">, </w:t>
      </w:r>
      <w:r>
        <w:rPr>
          <w:spacing w:val="-6"/>
        </w:rPr>
        <w:t>преки</w:t>
      </w:r>
      <w:r>
        <w:rPr>
          <w:spacing w:val="-6"/>
          <w:lang w:val="pt-PT"/>
        </w:rPr>
        <w:t xml:space="preserve"> </w:t>
      </w:r>
      <w:r>
        <w:rPr>
          <w:spacing w:val="-6"/>
        </w:rPr>
        <w:t>научни</w:t>
      </w:r>
      <w:r>
        <w:rPr>
          <w:spacing w:val="-6"/>
          <w:lang w:val="pt-PT"/>
        </w:rPr>
        <w:t xml:space="preserve"> </w:t>
      </w:r>
      <w:r>
        <w:rPr>
          <w:spacing w:val="-6"/>
        </w:rPr>
        <w:t>изследвания</w:t>
      </w:r>
      <w:r>
        <w:rPr>
          <w:spacing w:val="-6"/>
          <w:lang w:val="pt-PT"/>
        </w:rPr>
        <w:t>.</w:t>
      </w:r>
    </w:p>
  </w:footnote>
  <w:footnote w:id="15">
    <w:p>
      <w:pPr>
        <w:pStyle w:val="FootnoteText"/>
        <w:rPr>
          <w:spacing w:val="-6"/>
          <w:szCs w:val="24"/>
          <w:lang w:val="pt-PT"/>
        </w:rPr>
      </w:pPr>
      <w:r>
        <w:rPr>
          <w:rStyle w:val="FootnoteReference"/>
        </w:rPr>
        <w:footnoteRef/>
      </w:r>
      <w:r>
        <w:rPr>
          <w:lang w:val="pt-PT"/>
        </w:rPr>
        <w:tab/>
      </w:r>
      <w:r>
        <w:rPr>
          <w:spacing w:val="-6"/>
        </w:rPr>
        <w:t>ДНП</w:t>
      </w:r>
      <w:r>
        <w:rPr>
          <w:spacing w:val="-6"/>
          <w:lang w:val="pt-PT"/>
        </w:rPr>
        <w:t xml:space="preserve"> = </w:t>
      </w:r>
      <w:r>
        <w:rPr>
          <w:spacing w:val="-6"/>
        </w:rPr>
        <w:t>договорно</w:t>
      </w:r>
      <w:r>
        <w:rPr>
          <w:spacing w:val="-6"/>
          <w:lang w:val="pt-PT"/>
        </w:rPr>
        <w:t xml:space="preserve"> </w:t>
      </w:r>
      <w:r>
        <w:rPr>
          <w:spacing w:val="-6"/>
        </w:rPr>
        <w:t>нает</w:t>
      </w:r>
      <w:r>
        <w:rPr>
          <w:spacing w:val="-6"/>
          <w:lang w:val="pt-PT"/>
        </w:rPr>
        <w:t xml:space="preserve"> </w:t>
      </w:r>
      <w:r>
        <w:rPr>
          <w:spacing w:val="-6"/>
        </w:rPr>
        <w:t>персонал</w:t>
      </w:r>
      <w:r>
        <w:rPr>
          <w:spacing w:val="-6"/>
          <w:lang w:val="pt-PT"/>
        </w:rPr>
        <w:t xml:space="preserve">; </w:t>
      </w:r>
      <w:r>
        <w:rPr>
          <w:spacing w:val="-6"/>
        </w:rPr>
        <w:t>МП</w:t>
      </w:r>
      <w:r>
        <w:rPr>
          <w:spacing w:val="-6"/>
          <w:lang w:val="pt-PT"/>
        </w:rPr>
        <w:t xml:space="preserve"> = </w:t>
      </w:r>
      <w:r>
        <w:rPr>
          <w:spacing w:val="-6"/>
        </w:rPr>
        <w:t>местен</w:t>
      </w:r>
      <w:r>
        <w:rPr>
          <w:spacing w:val="-6"/>
          <w:lang w:val="pt-PT"/>
        </w:rPr>
        <w:t xml:space="preserve"> </w:t>
      </w:r>
      <w:r>
        <w:rPr>
          <w:spacing w:val="-6"/>
        </w:rPr>
        <w:t>персонал</w:t>
      </w:r>
      <w:r>
        <w:rPr>
          <w:spacing w:val="-6"/>
          <w:lang w:val="pt-PT"/>
        </w:rPr>
        <w:t xml:space="preserve">; </w:t>
      </w:r>
      <w:r>
        <w:rPr>
          <w:spacing w:val="-6"/>
        </w:rPr>
        <w:t>КНЕ</w:t>
      </w:r>
      <w:r>
        <w:rPr>
          <w:spacing w:val="-6"/>
          <w:lang w:val="pt-PT"/>
        </w:rPr>
        <w:t xml:space="preserve"> = </w:t>
      </w:r>
      <w:r>
        <w:rPr>
          <w:spacing w:val="-6"/>
        </w:rPr>
        <w:t>командирован</w:t>
      </w:r>
      <w:r>
        <w:rPr>
          <w:spacing w:val="-6"/>
          <w:lang w:val="pt-PT"/>
        </w:rPr>
        <w:t xml:space="preserve"> </w:t>
      </w:r>
      <w:r>
        <w:rPr>
          <w:spacing w:val="-6"/>
        </w:rPr>
        <w:t>национален</w:t>
      </w:r>
      <w:r>
        <w:rPr>
          <w:spacing w:val="-6"/>
          <w:lang w:val="pt-PT"/>
        </w:rPr>
        <w:t xml:space="preserve"> </w:t>
      </w:r>
      <w:r>
        <w:rPr>
          <w:spacing w:val="-6"/>
        </w:rPr>
        <w:t>експерт</w:t>
      </w:r>
      <w:r>
        <w:rPr>
          <w:spacing w:val="-6"/>
          <w:lang w:val="pt-PT"/>
        </w:rPr>
        <w:t xml:space="preserve">; </w:t>
      </w:r>
      <w:r>
        <w:rPr>
          <w:spacing w:val="-6"/>
        </w:rPr>
        <w:t>ПНА</w:t>
      </w:r>
      <w:r>
        <w:rPr>
          <w:spacing w:val="-6"/>
          <w:lang w:val="pt-PT"/>
        </w:rPr>
        <w:t xml:space="preserve"> = </w:t>
      </w:r>
      <w:r>
        <w:rPr>
          <w:spacing w:val="-6"/>
        </w:rPr>
        <w:t>персонал</w:t>
      </w:r>
      <w:r>
        <w:rPr>
          <w:spacing w:val="-6"/>
          <w:lang w:val="pt-PT"/>
        </w:rPr>
        <w:t xml:space="preserve">, </w:t>
      </w:r>
      <w:r>
        <w:rPr>
          <w:spacing w:val="-6"/>
        </w:rPr>
        <w:t>нает</w:t>
      </w:r>
      <w:r>
        <w:rPr>
          <w:spacing w:val="-6"/>
          <w:lang w:val="pt-PT"/>
        </w:rPr>
        <w:t xml:space="preserve"> </w:t>
      </w:r>
      <w:r>
        <w:rPr>
          <w:spacing w:val="-6"/>
        </w:rPr>
        <w:t>чрез</w:t>
      </w:r>
      <w:r>
        <w:rPr>
          <w:spacing w:val="-6"/>
          <w:lang w:val="pt-PT"/>
        </w:rPr>
        <w:t xml:space="preserve"> </w:t>
      </w:r>
      <w:r>
        <w:rPr>
          <w:spacing w:val="-6"/>
        </w:rPr>
        <w:t>агенции</w:t>
      </w:r>
      <w:r>
        <w:rPr>
          <w:spacing w:val="-6"/>
          <w:lang w:val="pt-PT"/>
        </w:rPr>
        <w:t xml:space="preserve"> </w:t>
      </w:r>
      <w:r>
        <w:rPr>
          <w:spacing w:val="-6"/>
        </w:rPr>
        <w:t>за</w:t>
      </w:r>
      <w:r>
        <w:rPr>
          <w:spacing w:val="-6"/>
          <w:lang w:val="pt-PT"/>
        </w:rPr>
        <w:t xml:space="preserve"> </w:t>
      </w:r>
      <w:r>
        <w:rPr>
          <w:spacing w:val="-6"/>
        </w:rPr>
        <w:t>временна</w:t>
      </w:r>
      <w:r>
        <w:rPr>
          <w:spacing w:val="-6"/>
          <w:lang w:val="pt-PT"/>
        </w:rPr>
        <w:t xml:space="preserve"> </w:t>
      </w:r>
      <w:r>
        <w:rPr>
          <w:spacing w:val="-6"/>
        </w:rPr>
        <w:t>заетост</w:t>
      </w:r>
      <w:r>
        <w:rPr>
          <w:spacing w:val="-6"/>
          <w:lang w:val="pt-PT"/>
        </w:rPr>
        <w:t xml:space="preserve">; </w:t>
      </w:r>
      <w:r>
        <w:rPr>
          <w:spacing w:val="-6"/>
        </w:rPr>
        <w:t>МЕД</w:t>
      </w:r>
      <w:r>
        <w:rPr>
          <w:spacing w:val="-6"/>
          <w:lang w:val="pt-PT"/>
        </w:rPr>
        <w:t xml:space="preserve"> = </w:t>
      </w:r>
      <w:r>
        <w:rPr>
          <w:spacing w:val="-6"/>
        </w:rPr>
        <w:t>младши</w:t>
      </w:r>
      <w:r>
        <w:rPr>
          <w:spacing w:val="-6"/>
          <w:lang w:val="pt-PT"/>
        </w:rPr>
        <w:t xml:space="preserve"> </w:t>
      </w:r>
      <w:r>
        <w:rPr>
          <w:spacing w:val="-6"/>
        </w:rPr>
        <w:t>експерт</w:t>
      </w:r>
      <w:r>
        <w:rPr>
          <w:spacing w:val="-6"/>
          <w:lang w:val="pt-PT"/>
        </w:rPr>
        <w:t xml:space="preserve"> </w:t>
      </w:r>
      <w:r>
        <w:rPr>
          <w:spacing w:val="-6"/>
        </w:rPr>
        <w:t>в</w:t>
      </w:r>
      <w:r>
        <w:rPr>
          <w:spacing w:val="-6"/>
          <w:lang w:val="pt-PT"/>
        </w:rPr>
        <w:t xml:space="preserve"> </w:t>
      </w:r>
      <w:r>
        <w:rPr>
          <w:spacing w:val="-6"/>
        </w:rPr>
        <w:t>делегация</w:t>
      </w:r>
      <w:r>
        <w:rPr>
          <w:spacing w:val="-6"/>
          <w:lang w:val="pt-PT"/>
        </w:rPr>
        <w:t xml:space="preserve">. </w:t>
      </w:r>
    </w:p>
  </w:footnote>
  <w:footnote w:id="16">
    <w:p>
      <w:pPr>
        <w:pStyle w:val="FootnoteText"/>
        <w:rPr>
          <w:szCs w:val="24"/>
          <w:lang w:val="pt-PT"/>
        </w:rPr>
      </w:pPr>
      <w:r>
        <w:rPr>
          <w:rStyle w:val="FootnoteReference"/>
        </w:rPr>
        <w:footnoteRef/>
      </w:r>
      <w:r>
        <w:rPr>
          <w:lang w:val="pt-PT"/>
        </w:rPr>
        <w:tab/>
      </w:r>
      <w:r>
        <w:t>Подтаван</w:t>
      </w:r>
      <w:r>
        <w:rPr>
          <w:lang w:val="pt-PT"/>
        </w:rPr>
        <w:t xml:space="preserve"> </w:t>
      </w:r>
      <w:r>
        <w:t>за</w:t>
      </w:r>
      <w:r>
        <w:rPr>
          <w:lang w:val="pt-PT"/>
        </w:rPr>
        <w:t xml:space="preserve"> </w:t>
      </w:r>
      <w:r>
        <w:t>външния</w:t>
      </w:r>
      <w:r>
        <w:rPr>
          <w:lang w:val="pt-PT"/>
        </w:rPr>
        <w:t xml:space="preserve"> </w:t>
      </w:r>
      <w:r>
        <w:t>персонал</w:t>
      </w:r>
      <w:r>
        <w:rPr>
          <w:lang w:val="pt-PT"/>
        </w:rPr>
        <w:t xml:space="preserve">, </w:t>
      </w:r>
      <w:r>
        <w:t>покрит</w:t>
      </w:r>
      <w:r>
        <w:rPr>
          <w:lang w:val="pt-PT"/>
        </w:rPr>
        <w:t xml:space="preserve"> </w:t>
      </w:r>
      <w:r>
        <w:t>с</w:t>
      </w:r>
      <w:r>
        <w:rPr>
          <w:lang w:val="pt-PT"/>
        </w:rPr>
        <w:t xml:space="preserve"> </w:t>
      </w:r>
      <w:r>
        <w:t>бюджетните</w:t>
      </w:r>
      <w:r>
        <w:rPr>
          <w:lang w:val="pt-PT"/>
        </w:rPr>
        <w:t xml:space="preserve"> </w:t>
      </w:r>
      <w:r>
        <w:t>кредити</w:t>
      </w:r>
      <w:r>
        <w:rPr>
          <w:lang w:val="pt-PT"/>
        </w:rPr>
        <w:t xml:space="preserve"> </w:t>
      </w:r>
      <w:r>
        <w:t>за</w:t>
      </w:r>
      <w:r>
        <w:rPr>
          <w:lang w:val="pt-PT"/>
        </w:rPr>
        <w:t xml:space="preserve"> </w:t>
      </w:r>
      <w:r>
        <w:t>оперативни</w:t>
      </w:r>
      <w:r>
        <w:rPr>
          <w:lang w:val="pt-PT"/>
        </w:rPr>
        <w:t xml:space="preserve"> </w:t>
      </w:r>
      <w:r>
        <w:t>разходи</w:t>
      </w:r>
      <w:r>
        <w:rPr>
          <w:lang w:val="pt-PT"/>
        </w:rPr>
        <w:t xml:space="preserve"> (</w:t>
      </w:r>
      <w:r>
        <w:t>предишни</w:t>
      </w:r>
      <w:r>
        <w:rPr>
          <w:lang w:val="pt-PT"/>
        </w:rPr>
        <w:t xml:space="preserve"> </w:t>
      </w:r>
      <w:r>
        <w:t>редове</w:t>
      </w:r>
      <w:r>
        <w:rPr>
          <w:lang w:val="pt-PT"/>
        </w:rPr>
        <w:t xml:space="preserve"> BA).</w:t>
      </w:r>
    </w:p>
  </w:footnote>
  <w:footnote w:id="17">
    <w:p>
      <w:pPr>
        <w:pStyle w:val="FootnoteText"/>
        <w:rPr>
          <w:spacing w:val="-2"/>
          <w:szCs w:val="24"/>
          <w:lang w:val="pt-PT"/>
        </w:rPr>
      </w:pPr>
      <w:r>
        <w:rPr>
          <w:rStyle w:val="FootnoteReference"/>
        </w:rPr>
        <w:footnoteRef/>
      </w:r>
      <w:r>
        <w:rPr>
          <w:spacing w:val="-2"/>
          <w:lang w:val="pt-PT"/>
        </w:rPr>
        <w:tab/>
      </w:r>
      <w:r>
        <w:rPr>
          <w:spacing w:val="-2"/>
        </w:rPr>
        <w:t>Що</w:t>
      </w:r>
      <w:r>
        <w:rPr>
          <w:spacing w:val="-2"/>
          <w:lang w:val="pt-PT"/>
        </w:rPr>
        <w:t xml:space="preserve"> </w:t>
      </w:r>
      <w:r>
        <w:rPr>
          <w:spacing w:val="-2"/>
        </w:rPr>
        <w:t>се</w:t>
      </w:r>
      <w:r>
        <w:rPr>
          <w:spacing w:val="-2"/>
          <w:lang w:val="pt-PT"/>
        </w:rPr>
        <w:t xml:space="preserve"> </w:t>
      </w:r>
      <w:r>
        <w:rPr>
          <w:spacing w:val="-2"/>
        </w:rPr>
        <w:t>отнася</w:t>
      </w:r>
      <w:r>
        <w:rPr>
          <w:spacing w:val="-2"/>
          <w:lang w:val="pt-PT"/>
        </w:rPr>
        <w:t xml:space="preserve"> </w:t>
      </w:r>
      <w:r>
        <w:rPr>
          <w:spacing w:val="-2"/>
        </w:rPr>
        <w:t>до</w:t>
      </w:r>
      <w:r>
        <w:rPr>
          <w:spacing w:val="-2"/>
          <w:lang w:val="pt-PT"/>
        </w:rPr>
        <w:t xml:space="preserve"> </w:t>
      </w:r>
      <w:r>
        <w:rPr>
          <w:spacing w:val="-2"/>
        </w:rPr>
        <w:t>традиционните</w:t>
      </w:r>
      <w:r>
        <w:rPr>
          <w:spacing w:val="-2"/>
          <w:lang w:val="pt-PT"/>
        </w:rPr>
        <w:t xml:space="preserve"> </w:t>
      </w:r>
      <w:r>
        <w:rPr>
          <w:spacing w:val="-2"/>
        </w:rPr>
        <w:t>собствени</w:t>
      </w:r>
      <w:r>
        <w:rPr>
          <w:spacing w:val="-2"/>
          <w:lang w:val="pt-PT"/>
        </w:rPr>
        <w:t xml:space="preserve"> </w:t>
      </w:r>
      <w:r>
        <w:rPr>
          <w:spacing w:val="-2"/>
        </w:rPr>
        <w:t>ресурси</w:t>
      </w:r>
      <w:r>
        <w:rPr>
          <w:spacing w:val="-2"/>
          <w:lang w:val="pt-PT"/>
        </w:rPr>
        <w:t xml:space="preserve"> (</w:t>
      </w:r>
      <w:r>
        <w:rPr>
          <w:spacing w:val="-2"/>
        </w:rPr>
        <w:t>мита</w:t>
      </w:r>
      <w:r>
        <w:rPr>
          <w:spacing w:val="-2"/>
          <w:lang w:val="pt-PT"/>
        </w:rPr>
        <w:t xml:space="preserve">, </w:t>
      </w:r>
      <w:r>
        <w:rPr>
          <w:spacing w:val="-2"/>
        </w:rPr>
        <w:t>налози</w:t>
      </w:r>
      <w:r>
        <w:rPr>
          <w:spacing w:val="-2"/>
          <w:lang w:val="pt-PT"/>
        </w:rPr>
        <w:t xml:space="preserve"> </w:t>
      </w:r>
      <w:r>
        <w:rPr>
          <w:spacing w:val="-2"/>
        </w:rPr>
        <w:t>върху</w:t>
      </w:r>
      <w:r>
        <w:rPr>
          <w:spacing w:val="-2"/>
          <w:lang w:val="pt-PT"/>
        </w:rPr>
        <w:t xml:space="preserve"> </w:t>
      </w:r>
      <w:r>
        <w:rPr>
          <w:spacing w:val="-2"/>
        </w:rPr>
        <w:t>захарта</w:t>
      </w:r>
      <w:r>
        <w:rPr>
          <w:spacing w:val="-2"/>
          <w:lang w:val="pt-PT"/>
        </w:rPr>
        <w:t xml:space="preserve">), </w:t>
      </w:r>
      <w:r>
        <w:rPr>
          <w:spacing w:val="-2"/>
        </w:rPr>
        <w:t>посочените</w:t>
      </w:r>
      <w:r>
        <w:rPr>
          <w:spacing w:val="-2"/>
          <w:lang w:val="pt-PT"/>
        </w:rPr>
        <w:t xml:space="preserve"> </w:t>
      </w:r>
      <w:r>
        <w:rPr>
          <w:spacing w:val="-2"/>
        </w:rPr>
        <w:t>суми</w:t>
      </w:r>
      <w:r>
        <w:rPr>
          <w:spacing w:val="-2"/>
          <w:lang w:val="pt-PT"/>
        </w:rPr>
        <w:t xml:space="preserve"> </w:t>
      </w:r>
      <w:r>
        <w:rPr>
          <w:spacing w:val="-2"/>
        </w:rPr>
        <w:t>трябва</w:t>
      </w:r>
      <w:r>
        <w:rPr>
          <w:spacing w:val="-2"/>
          <w:lang w:val="pt-PT"/>
        </w:rPr>
        <w:t xml:space="preserve"> </w:t>
      </w:r>
      <w:r>
        <w:rPr>
          <w:spacing w:val="-2"/>
        </w:rPr>
        <w:t>да</w:t>
      </w:r>
      <w:r>
        <w:rPr>
          <w:spacing w:val="-2"/>
          <w:lang w:val="pt-PT"/>
        </w:rPr>
        <w:t xml:space="preserve"> </w:t>
      </w:r>
      <w:r>
        <w:rPr>
          <w:spacing w:val="-2"/>
        </w:rPr>
        <w:t>бъдат</w:t>
      </w:r>
      <w:r>
        <w:rPr>
          <w:spacing w:val="-2"/>
          <w:lang w:val="pt-PT"/>
        </w:rPr>
        <w:t xml:space="preserve"> </w:t>
      </w:r>
      <w:r>
        <w:rPr>
          <w:spacing w:val="-2"/>
        </w:rPr>
        <w:t>нетни</w:t>
      </w:r>
      <w:r>
        <w:rPr>
          <w:spacing w:val="-2"/>
          <w:lang w:val="pt-PT"/>
        </w:rPr>
        <w:t xml:space="preserve">, </w:t>
      </w:r>
      <w:r>
        <w:rPr>
          <w:spacing w:val="-2"/>
        </w:rPr>
        <w:t>т</w:t>
      </w:r>
      <w:r>
        <w:rPr>
          <w:spacing w:val="-2"/>
          <w:lang w:val="pt-PT"/>
        </w:rPr>
        <w:t>.</w:t>
      </w:r>
      <w:r>
        <w:rPr>
          <w:spacing w:val="-2"/>
        </w:rPr>
        <w:t>е</w:t>
      </w:r>
      <w:r>
        <w:rPr>
          <w:spacing w:val="-2"/>
          <w:lang w:val="pt-PT"/>
        </w:rPr>
        <w:t xml:space="preserve">. </w:t>
      </w:r>
      <w:r>
        <w:rPr>
          <w:spacing w:val="-2"/>
        </w:rPr>
        <w:t>брутни</w:t>
      </w:r>
      <w:r>
        <w:rPr>
          <w:spacing w:val="-2"/>
          <w:lang w:val="pt-PT"/>
        </w:rPr>
        <w:t xml:space="preserve"> </w:t>
      </w:r>
      <w:r>
        <w:rPr>
          <w:spacing w:val="-2"/>
        </w:rPr>
        <w:t>суми</w:t>
      </w:r>
      <w:r>
        <w:rPr>
          <w:spacing w:val="-2"/>
          <w:lang w:val="pt-PT"/>
        </w:rPr>
        <w:t xml:space="preserve">, </w:t>
      </w:r>
      <w:r>
        <w:rPr>
          <w:spacing w:val="-2"/>
        </w:rPr>
        <w:t>от</w:t>
      </w:r>
      <w:r>
        <w:rPr>
          <w:spacing w:val="-2"/>
          <w:lang w:val="pt-PT"/>
        </w:rPr>
        <w:t xml:space="preserve"> </w:t>
      </w:r>
      <w:r>
        <w:rPr>
          <w:spacing w:val="-2"/>
        </w:rPr>
        <w:t>които</w:t>
      </w:r>
      <w:r>
        <w:rPr>
          <w:spacing w:val="-2"/>
          <w:lang w:val="pt-PT"/>
        </w:rPr>
        <w:t xml:space="preserve"> </w:t>
      </w:r>
      <w:r>
        <w:rPr>
          <w:spacing w:val="-2"/>
        </w:rPr>
        <w:t>са</w:t>
      </w:r>
      <w:r>
        <w:rPr>
          <w:spacing w:val="-2"/>
          <w:lang w:val="pt-PT"/>
        </w:rPr>
        <w:t xml:space="preserve"> </w:t>
      </w:r>
      <w:r>
        <w:rPr>
          <w:spacing w:val="-2"/>
        </w:rPr>
        <w:t>приспаднати</w:t>
      </w:r>
      <w:r>
        <w:rPr>
          <w:spacing w:val="-2"/>
          <w:lang w:val="pt-PT"/>
        </w:rPr>
        <w:t xml:space="preserve"> 25 % </w:t>
      </w:r>
      <w:r>
        <w:rPr>
          <w:spacing w:val="-2"/>
        </w:rPr>
        <w:t>за</w:t>
      </w:r>
      <w:r>
        <w:rPr>
          <w:spacing w:val="-2"/>
          <w:lang w:val="pt-PT"/>
        </w:rPr>
        <w:t xml:space="preserve"> </w:t>
      </w:r>
      <w:r>
        <w:rPr>
          <w:spacing w:val="-2"/>
        </w:rPr>
        <w:t>разходи</w:t>
      </w:r>
      <w:r>
        <w:rPr>
          <w:spacing w:val="-2"/>
          <w:lang w:val="pt-PT"/>
        </w:rPr>
        <w:t xml:space="preserve"> </w:t>
      </w:r>
      <w:r>
        <w:rPr>
          <w:spacing w:val="-2"/>
        </w:rPr>
        <w:t>по</w:t>
      </w:r>
      <w:r>
        <w:rPr>
          <w:spacing w:val="-2"/>
          <w:lang w:val="pt-PT"/>
        </w:rPr>
        <w:t xml:space="preserve"> </w:t>
      </w:r>
      <w:r>
        <w:rPr>
          <w:spacing w:val="-2"/>
        </w:rPr>
        <w:t>събирането</w:t>
      </w:r>
      <w:r>
        <w:rPr>
          <w:spacing w:val="-2"/>
          <w:lang w:val="pt-P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554A8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9A85CF4"/>
    <w:lvl w:ilvl="0">
      <w:start w:val="1"/>
      <w:numFmt w:val="decimal"/>
      <w:pStyle w:val="ListNumber3"/>
      <w:lvlText w:val="%1."/>
      <w:lvlJc w:val="left"/>
      <w:pPr>
        <w:tabs>
          <w:tab w:val="num" w:pos="926"/>
        </w:tabs>
        <w:ind w:left="926" w:hanging="360"/>
      </w:pPr>
    </w:lvl>
  </w:abstractNum>
  <w:abstractNum w:abstractNumId="2">
    <w:nsid w:val="FFFFFF7F"/>
    <w:multiLevelType w:val="singleLevel"/>
    <w:tmpl w:val="8A08EE10"/>
    <w:lvl w:ilvl="0">
      <w:start w:val="1"/>
      <w:numFmt w:val="decimal"/>
      <w:pStyle w:val="ListNumber2"/>
      <w:lvlText w:val="%1."/>
      <w:lvlJc w:val="left"/>
      <w:pPr>
        <w:tabs>
          <w:tab w:val="num" w:pos="643"/>
        </w:tabs>
        <w:ind w:left="643" w:hanging="360"/>
      </w:pPr>
    </w:lvl>
  </w:abstractNum>
  <w:abstractNum w:abstractNumId="3">
    <w:nsid w:val="FFFFFF81"/>
    <w:multiLevelType w:val="singleLevel"/>
    <w:tmpl w:val="8CC83B3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524C3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BEA7DE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508B808"/>
    <w:lvl w:ilvl="0">
      <w:start w:val="1"/>
      <w:numFmt w:val="decimal"/>
      <w:pStyle w:val="ListNumber"/>
      <w:lvlText w:val="%1."/>
      <w:lvlJc w:val="left"/>
      <w:pPr>
        <w:tabs>
          <w:tab w:val="num" w:pos="360"/>
        </w:tabs>
        <w:ind w:left="360" w:hanging="360"/>
      </w:pPr>
    </w:lvl>
  </w:abstractNum>
  <w:abstractNum w:abstractNumId="7">
    <w:nsid w:val="FFFFFF89"/>
    <w:multiLevelType w:val="singleLevel"/>
    <w:tmpl w:val="E752E8C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8">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9">
    <w:nsid w:val="510F6159"/>
    <w:multiLevelType w:val="hybridMultilevel"/>
    <w:tmpl w:val="C16A7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5CAA416B"/>
    <w:multiLevelType w:val="hybridMultilevel"/>
    <w:tmpl w:val="876E2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6F62497F"/>
    <w:multiLevelType w:val="singleLevel"/>
    <w:tmpl w:val="54E2F4D6"/>
    <w:lvl w:ilvl="0">
      <w:start w:val="1"/>
      <w:numFmt w:val="bullet"/>
      <w:pStyle w:val="ListDash6"/>
      <w:lvlText w:val="–"/>
      <w:lvlJc w:val="left"/>
      <w:pPr>
        <w:tabs>
          <w:tab w:val="num" w:pos="1723"/>
        </w:tabs>
        <w:ind w:left="1723" w:hanging="283"/>
      </w:pPr>
      <w:rPr>
        <w:rFonts w:ascii="Times New Roman" w:hAnsi="Times New Roman"/>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8"/>
    <w:lvlOverride w:ilvl="0">
      <w:startOverride w:val="1"/>
    </w:lvlOverride>
  </w:num>
  <w:num w:numId="6">
    <w:abstractNumId w:val="6"/>
  </w:num>
  <w:num w:numId="7">
    <w:abstractNumId w:val="2"/>
  </w:num>
  <w:num w:numId="8">
    <w:abstractNumId w:val="1"/>
  </w:num>
  <w:num w:numId="9">
    <w:abstractNumId w:val="0"/>
  </w:num>
  <w:num w:numId="10">
    <w:abstractNumId w:val="25"/>
  </w:num>
  <w:num w:numId="11">
    <w:abstractNumId w:val="8"/>
  </w:num>
  <w:num w:numId="12">
    <w:abstractNumId w:val="13"/>
  </w:num>
  <w:num w:numId="13">
    <w:abstractNumId w:val="18"/>
  </w:num>
  <w:num w:numId="14">
    <w:abstractNumId w:val="17"/>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9"/>
  </w:num>
  <w:num w:numId="18">
    <w:abstractNumId w:val="24"/>
  </w:num>
  <w:num w:numId="19">
    <w:abstractNumId w:val="28"/>
  </w:num>
  <w:num w:numId="20">
    <w:abstractNumId w:val="23"/>
  </w:num>
  <w:num w:numId="21">
    <w:abstractNumId w:val="14"/>
  </w:num>
  <w:num w:numId="22">
    <w:abstractNumId w:val="26"/>
  </w:num>
  <w:num w:numId="23">
    <w:abstractNumId w:val="12"/>
  </w:num>
  <w:num w:numId="24">
    <w:abstractNumId w:val="15"/>
  </w:num>
  <w:num w:numId="25">
    <w:abstractNumId w:val="10"/>
  </w:num>
  <w:num w:numId="26">
    <w:abstractNumId w:val="25"/>
  </w:num>
  <w:num w:numId="27">
    <w:abstractNumId w:val="9"/>
  </w:num>
  <w:num w:numId="28">
    <w:abstractNumId w:val="16"/>
  </w:num>
  <w:num w:numId="29">
    <w:abstractNumId w:val="21"/>
  </w:num>
  <w:num w:numId="30">
    <w:abstractNumId w:val="22"/>
  </w:num>
  <w:num w:numId="31">
    <w:abstractNumId w:val="11"/>
  </w:num>
  <w:num w:numId="32">
    <w:abstractNumId w:val="20"/>
  </w:num>
  <w:num w:numId="33">
    <w:abstractNumId w:val="28"/>
  </w:num>
  <w:num w:numId="34">
    <w:abstractNumId w:val="23"/>
  </w:num>
  <w:num w:numId="35">
    <w:abstractNumId w:val="14"/>
  </w:num>
  <w:num w:numId="36">
    <w:abstractNumId w:val="26"/>
  </w:num>
  <w:num w:numId="37">
    <w:abstractNumId w:val="12"/>
  </w:num>
  <w:num w:numId="38">
    <w:abstractNumId w:val="15"/>
  </w:num>
  <w:num w:numId="39">
    <w:abstractNumId w:val="10"/>
  </w:num>
  <w:num w:numId="40">
    <w:abstractNumId w:val="25"/>
  </w:num>
  <w:num w:numId="41">
    <w:abstractNumId w:val="9"/>
  </w:num>
  <w:num w:numId="42">
    <w:abstractNumId w:val="16"/>
  </w:num>
  <w:num w:numId="43">
    <w:abstractNumId w:val="21"/>
  </w:num>
  <w:num w:numId="44">
    <w:abstractNumId w:val="22"/>
  </w:num>
  <w:num w:numId="45">
    <w:abstractNumId w:val="11"/>
  </w:num>
  <w:num w:numId="46">
    <w:abstractNumId w:val="20"/>
  </w:num>
  <w:num w:numId="47">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07 11:32:0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1"/>
    <w:docVar w:name="DQCResult_ModifiedMarkers" w:val="0;0"/>
    <w:docVar w:name="DQCResult_ModifiedNumbering" w:val="0;0"/>
    <w:docVar w:name="DQCResult_Objects" w:val="0;0"/>
    <w:docVar w:name="DQCResult_Sections" w:val="0;0"/>
    <w:docVar w:name="DQCResult_StructureCheck" w:val="0;0"/>
    <w:docVar w:name="DQCResult_SuperfluousWhitespace" w:val="0;35"/>
    <w:docVar w:name="DQCResult_UnknownFonts" w:val="0;0"/>
    <w:docVar w:name="DQCResult_UnknownStyles" w:val="0;10"/>
    <w:docVar w:name="DQCStatus" w:val="Green"/>
    <w:docVar w:name="DQCVersion" w:val="3"/>
    <w:docVar w:name="DQCWithWarnings" w:val="0"/>
    <w:docVar w:name="LW_CORRIGENDUM" w:val="&lt;UNUSED&gt;"/>
    <w:docVar w:name="LW_COVERPAGE_EXISTS" w:val="True"/>
    <w:docVar w:name="LW_COVERPAGE_GUID" w:val="038E76C6-DB2E-40E4-A70E-016B3DC004F2"/>
    <w:docVar w:name="LW_COVERPAGE_TYPE" w:val="1"/>
    <w:docVar w:name="LW_CROSSREFERENCE" w:val="&lt;UNUSED&gt;"/>
    <w:docVar w:name="LW_DocType" w:val="COM"/>
    <w:docVar w:name="LW_EMISSION" w:val="6.12.2017"/>
    <w:docVar w:name="LW_EMISSION_ISODATE" w:val="2017-12-06"/>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34"/>
    <w:docVar w:name="LW_REF.II.NEW.CP_YEAR" w:val="2017"/>
    <w:docVar w:name="LW_REF.INST.NEW" w:val="COM"/>
    <w:docVar w:name="LW_REF.INST.NEW_ADOPTED" w:val="final"/>
    <w:docVar w:name="LW_REF.INST.NEW_TEXT" w:val="(2017) 8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2017/825 \u1089? \u1094?\u1077?\u1083? \u1091?\u1074?\u1077?\u1083?\u1080?\u1095?\u1072?\u1074?\u1072?\u1085?\u1077? \u1085?\u1072? \u1092?\u1080?\u1085?\u1072?\u1085?\u1089?\u1086?\u1074?\u1080?\u1103? \u1087?\u1072?\u1082?\u1077?\u1090? \u1085?\u1072? \u1055?\u1088?\u1086?\u1075?\u1088?\u1072?\u1084?\u1072?\u1090?\u1072? \u1079?\u1072? \u1087?\u1086?\u1076?\u1082?\u1088?\u1077?\u1087?\u1072? \u1085?\u1072? \u1089?\u1090?\u1088?\u1091?\u1082?\u1090?\u1091?\u1088?\u1085?\u1080?\u1090?\u1077? \u1088?\u1077?\u1092?\u1086?\u1088?\u1084?\u1080? \u1080? \u1072?\u1076?\u1072?\u1087?\u1090?\u1080?\u1088?\u1072?\u1085?\u1077? \u1085?\u1072? \u1086?\u1073?\u1097?\u1072?\u1090?\u1072? \u1117? \u1094?\u1077?\u1083? "/>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DocumentMap">
    <w:name w:val="Document Map"/>
    <w:basedOn w:val="Normal"/>
    <w:link w:val="DocumentMapChar"/>
    <w:uiPriority w:val="99"/>
    <w:semiHidden/>
    <w:unhideWhenUsed/>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lang w:val="en-GB"/>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styleId="Hyperlink">
    <w:name w:val="Hyperlink"/>
    <w:basedOn w:val="DefaultParagraphFont"/>
    <w:unhideWhenUsed/>
    <w:rPr>
      <w:color w:val="0000FF" w:themeColor="hyperlink"/>
      <w:u w:val="single"/>
    </w:rPr>
  </w:style>
  <w:style w:type="character" w:styleId="PlaceholderText">
    <w:name w:val="Placeholder Text"/>
    <w:basedOn w:val="DefaultParagraphFont"/>
    <w:uiPriority w:val="99"/>
    <w:semiHidden/>
    <w:rPr>
      <w:color w:val="808080"/>
    </w:rPr>
  </w:style>
  <w:style w:type="paragraph" w:customStyle="1" w:styleId="ListBullet1">
    <w:name w:val="List Bullet 1"/>
    <w:basedOn w:val="Normal"/>
    <w:pPr>
      <w:numPr>
        <w:numId w:val="11"/>
      </w:numPr>
    </w:pPr>
    <w:rPr>
      <w:lang w:eastAsia="en-GB"/>
    </w:rPr>
  </w:style>
  <w:style w:type="paragraph" w:customStyle="1" w:styleId="ListDash">
    <w:name w:val="List Dash"/>
    <w:basedOn w:val="Normal"/>
    <w:pPr>
      <w:numPr>
        <w:numId w:val="12"/>
      </w:numPr>
    </w:pPr>
    <w:rPr>
      <w:lang w:eastAsia="en-GB"/>
    </w:rPr>
  </w:style>
  <w:style w:type="paragraph" w:customStyle="1" w:styleId="ListDash1">
    <w:name w:val="List Dash 1"/>
    <w:basedOn w:val="Normal"/>
    <w:pPr>
      <w:numPr>
        <w:numId w:val="13"/>
      </w:numPr>
    </w:pPr>
    <w:rPr>
      <w:lang w:eastAsia="en-GB"/>
    </w:rPr>
  </w:style>
  <w:style w:type="paragraph" w:customStyle="1" w:styleId="ListDash2">
    <w:name w:val="List Dash 2"/>
    <w:basedOn w:val="Normal"/>
    <w:pPr>
      <w:numPr>
        <w:numId w:val="14"/>
      </w:numPr>
    </w:pPr>
    <w:rPr>
      <w:lang w:eastAsia="en-GB"/>
    </w:rPr>
  </w:style>
  <w:style w:type="paragraph" w:customStyle="1" w:styleId="ListNumberLevel2">
    <w:name w:val="List Number (Level 2)"/>
    <w:basedOn w:val="Normal"/>
    <w:pPr>
      <w:tabs>
        <w:tab w:val="num" w:pos="1417"/>
      </w:tabs>
      <w:ind w:left="1417" w:hanging="708"/>
    </w:pPr>
    <w:rPr>
      <w:lang w:eastAsia="en-GB"/>
    </w:rPr>
  </w:style>
  <w:style w:type="paragraph" w:customStyle="1" w:styleId="ListNumberLevel3">
    <w:name w:val="List Number (Level 3)"/>
    <w:basedOn w:val="Normal"/>
    <w:pPr>
      <w:tabs>
        <w:tab w:val="num" w:pos="2126"/>
      </w:tabs>
      <w:ind w:left="2126" w:hanging="709"/>
    </w:pPr>
    <w:rPr>
      <w:lang w:eastAsia="en-GB"/>
    </w:rPr>
  </w:style>
  <w:style w:type="paragraph" w:customStyle="1" w:styleId="ListNumberLevel4">
    <w:name w:val="List Number (Level 4)"/>
    <w:basedOn w:val="Normal"/>
    <w:pPr>
      <w:tabs>
        <w:tab w:val="num" w:pos="2835"/>
      </w:tabs>
      <w:ind w:left="2835" w:hanging="709"/>
    </w:pPr>
    <w:rPr>
      <w:lang w:eastAsia="en-GB"/>
    </w:rPr>
  </w:style>
  <w:style w:type="paragraph" w:customStyle="1" w:styleId="Sous-titreobjet">
    <w:name w:val="Sous-titre objet"/>
    <w:basedOn w:val="Normal"/>
    <w:pPr>
      <w:spacing w:before="0" w:after="0"/>
      <w:jc w:val="center"/>
    </w:pPr>
    <w:rPr>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paragraph" w:customStyle="1" w:styleId="ListDash6">
    <w:name w:val="List Dash 6"/>
    <w:basedOn w:val="Normal"/>
    <w:pPr>
      <w:numPr>
        <w:numId w:val="16"/>
      </w:numPr>
      <w:spacing w:before="0" w:after="240"/>
    </w:pPr>
    <w:rPr>
      <w:szCs w:val="20"/>
    </w:rPr>
  </w:style>
  <w:style w:type="paragraph" w:styleId="ListParagraph">
    <w:name w:val="List Paragraph"/>
    <w:basedOn w:val="Normal"/>
    <w:uiPriority w:val="34"/>
    <w:qFormat/>
    <w:pPr>
      <w:ind w:left="720"/>
      <w:contextualSpacing/>
    </w:pPr>
    <w:rPr>
      <w:lang w:eastAsia="en-GB"/>
    </w:rPr>
  </w:style>
  <w:style w:type="paragraph" w:styleId="NoSpacing">
    <w:name w:val="No Spacing"/>
    <w:uiPriority w:val="1"/>
    <w:qFormat/>
    <w:pPr>
      <w:spacing w:after="0" w:line="240" w:lineRule="auto"/>
      <w:jc w:val="both"/>
    </w:pPr>
    <w:rPr>
      <w:rFonts w:ascii="Times New Roman" w:hAnsi="Times New Roman" w:cs="Times New Roman"/>
      <w:sz w:val="24"/>
      <w:lang w:val="bg-BG" w:eastAsia="bg-BG" w:bidi="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DocumentMap">
    <w:name w:val="Document Map"/>
    <w:basedOn w:val="Normal"/>
    <w:link w:val="DocumentMapChar"/>
    <w:uiPriority w:val="99"/>
    <w:semiHidden/>
    <w:unhideWhenUsed/>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lang w:val="en-GB"/>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styleId="Hyperlink">
    <w:name w:val="Hyperlink"/>
    <w:basedOn w:val="DefaultParagraphFont"/>
    <w:unhideWhenUsed/>
    <w:rPr>
      <w:color w:val="0000FF" w:themeColor="hyperlink"/>
      <w:u w:val="single"/>
    </w:rPr>
  </w:style>
  <w:style w:type="character" w:styleId="PlaceholderText">
    <w:name w:val="Placeholder Text"/>
    <w:basedOn w:val="DefaultParagraphFont"/>
    <w:uiPriority w:val="99"/>
    <w:semiHidden/>
    <w:rPr>
      <w:color w:val="808080"/>
    </w:rPr>
  </w:style>
  <w:style w:type="paragraph" w:customStyle="1" w:styleId="ListBullet1">
    <w:name w:val="List Bullet 1"/>
    <w:basedOn w:val="Normal"/>
    <w:pPr>
      <w:numPr>
        <w:numId w:val="11"/>
      </w:numPr>
    </w:pPr>
    <w:rPr>
      <w:lang w:eastAsia="en-GB"/>
    </w:rPr>
  </w:style>
  <w:style w:type="paragraph" w:customStyle="1" w:styleId="ListDash">
    <w:name w:val="List Dash"/>
    <w:basedOn w:val="Normal"/>
    <w:pPr>
      <w:numPr>
        <w:numId w:val="12"/>
      </w:numPr>
    </w:pPr>
    <w:rPr>
      <w:lang w:eastAsia="en-GB"/>
    </w:rPr>
  </w:style>
  <w:style w:type="paragraph" w:customStyle="1" w:styleId="ListDash1">
    <w:name w:val="List Dash 1"/>
    <w:basedOn w:val="Normal"/>
    <w:pPr>
      <w:numPr>
        <w:numId w:val="13"/>
      </w:numPr>
    </w:pPr>
    <w:rPr>
      <w:lang w:eastAsia="en-GB"/>
    </w:rPr>
  </w:style>
  <w:style w:type="paragraph" w:customStyle="1" w:styleId="ListDash2">
    <w:name w:val="List Dash 2"/>
    <w:basedOn w:val="Normal"/>
    <w:pPr>
      <w:numPr>
        <w:numId w:val="14"/>
      </w:numPr>
    </w:pPr>
    <w:rPr>
      <w:lang w:eastAsia="en-GB"/>
    </w:rPr>
  </w:style>
  <w:style w:type="paragraph" w:customStyle="1" w:styleId="ListNumberLevel2">
    <w:name w:val="List Number (Level 2)"/>
    <w:basedOn w:val="Normal"/>
    <w:pPr>
      <w:tabs>
        <w:tab w:val="num" w:pos="1417"/>
      </w:tabs>
      <w:ind w:left="1417" w:hanging="708"/>
    </w:pPr>
    <w:rPr>
      <w:lang w:eastAsia="en-GB"/>
    </w:rPr>
  </w:style>
  <w:style w:type="paragraph" w:customStyle="1" w:styleId="ListNumberLevel3">
    <w:name w:val="List Number (Level 3)"/>
    <w:basedOn w:val="Normal"/>
    <w:pPr>
      <w:tabs>
        <w:tab w:val="num" w:pos="2126"/>
      </w:tabs>
      <w:ind w:left="2126" w:hanging="709"/>
    </w:pPr>
    <w:rPr>
      <w:lang w:eastAsia="en-GB"/>
    </w:rPr>
  </w:style>
  <w:style w:type="paragraph" w:customStyle="1" w:styleId="ListNumberLevel4">
    <w:name w:val="List Number (Level 4)"/>
    <w:basedOn w:val="Normal"/>
    <w:pPr>
      <w:tabs>
        <w:tab w:val="num" w:pos="2835"/>
      </w:tabs>
      <w:ind w:left="2835" w:hanging="709"/>
    </w:pPr>
    <w:rPr>
      <w:lang w:eastAsia="en-GB"/>
    </w:rPr>
  </w:style>
  <w:style w:type="paragraph" w:customStyle="1" w:styleId="Sous-titreobjet">
    <w:name w:val="Sous-titre objet"/>
    <w:basedOn w:val="Normal"/>
    <w:pPr>
      <w:spacing w:before="0" w:after="0"/>
      <w:jc w:val="center"/>
    </w:pPr>
    <w:rPr>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paragraph" w:customStyle="1" w:styleId="ListDash6">
    <w:name w:val="List Dash 6"/>
    <w:basedOn w:val="Normal"/>
    <w:pPr>
      <w:numPr>
        <w:numId w:val="16"/>
      </w:numPr>
      <w:spacing w:before="0" w:after="240"/>
    </w:pPr>
    <w:rPr>
      <w:szCs w:val="20"/>
    </w:rPr>
  </w:style>
  <w:style w:type="paragraph" w:styleId="ListParagraph">
    <w:name w:val="List Paragraph"/>
    <w:basedOn w:val="Normal"/>
    <w:uiPriority w:val="34"/>
    <w:qFormat/>
    <w:pPr>
      <w:ind w:left="720"/>
      <w:contextualSpacing/>
    </w:pPr>
    <w:rPr>
      <w:lang w:eastAsia="en-GB"/>
    </w:rPr>
  </w:style>
  <w:style w:type="paragraph" w:styleId="NoSpacing">
    <w:name w:val="No Spacing"/>
    <w:uiPriority w:val="1"/>
    <w:qFormat/>
    <w:pPr>
      <w:spacing w:after="0" w:line="240" w:lineRule="auto"/>
      <w:jc w:val="both"/>
    </w:pPr>
    <w:rPr>
      <w:rFonts w:ascii="Times New Roman" w:hAnsi="Times New Roman" w:cs="Times New Roman"/>
      <w:sz w:val="24"/>
      <w:lang w:val="bg-BG" w:eastAsia="bg-BG" w:bidi="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035179">
      <w:bodyDiv w:val="1"/>
      <w:marLeft w:val="0"/>
      <w:marRight w:val="0"/>
      <w:marTop w:val="0"/>
      <w:marBottom w:val="0"/>
      <w:divBdr>
        <w:top w:val="none" w:sz="0" w:space="0" w:color="auto"/>
        <w:left w:val="none" w:sz="0" w:space="0" w:color="auto"/>
        <w:bottom w:val="none" w:sz="0" w:space="0" w:color="auto"/>
        <w:right w:val="none" w:sz="0" w:space="0" w:color="auto"/>
      </w:divBdr>
    </w:div>
    <w:div w:id="979530168">
      <w:bodyDiv w:val="1"/>
      <w:marLeft w:val="0"/>
      <w:marRight w:val="0"/>
      <w:marTop w:val="0"/>
      <w:marBottom w:val="0"/>
      <w:divBdr>
        <w:top w:val="none" w:sz="0" w:space="0" w:color="auto"/>
        <w:left w:val="none" w:sz="0" w:space="0" w:color="auto"/>
        <w:bottom w:val="none" w:sz="0" w:space="0" w:color="auto"/>
        <w:right w:val="none" w:sz="0" w:space="0" w:color="auto"/>
      </w:divBdr>
    </w:div>
    <w:div w:id="1048723693">
      <w:bodyDiv w:val="1"/>
      <w:marLeft w:val="0"/>
      <w:marRight w:val="0"/>
      <w:marTop w:val="0"/>
      <w:marBottom w:val="0"/>
      <w:divBdr>
        <w:top w:val="none" w:sz="0" w:space="0" w:color="auto"/>
        <w:left w:val="none" w:sz="0" w:space="0" w:color="auto"/>
        <w:bottom w:val="none" w:sz="0" w:space="0" w:color="auto"/>
        <w:right w:val="none" w:sz="0" w:space="0" w:color="auto"/>
      </w:divBdr>
    </w:div>
    <w:div w:id="178889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8B1BA-067E-409C-8219-6D60BB6F8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26</Pages>
  <Words>6664</Words>
  <Characters>39990</Characters>
  <Application>Microsoft Office Word</Application>
  <DocSecurity>0</DocSecurity>
  <Lines>1599</Lines>
  <Paragraphs>740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2017-11-20T16:11:00Z</cp:lastPrinted>
  <dcterms:created xsi:type="dcterms:W3CDTF">2017-12-06T14:57:00Z</dcterms:created>
  <dcterms:modified xsi:type="dcterms:W3CDTF">2017-12-07T10:32:00Z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