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2D" w:rsidRDefault="00457C9F" w:rsidP="00DA3274">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594A2B6-2ED5-4AF0-AABC-A81E90FEE399" style="width:450.55pt;height:352.35pt">
            <v:imagedata r:id="rId9" o:title=""/>
          </v:shape>
        </w:pict>
      </w:r>
    </w:p>
    <w:p w:rsidR="001D642D" w:rsidRDefault="001D642D">
      <w:pPr>
        <w:rPr>
          <w:noProof/>
        </w:rPr>
        <w:sectPr w:rsidR="001D642D" w:rsidSect="00DA3274">
          <w:footerReference w:type="default" r:id="rId10"/>
          <w:pgSz w:w="11907" w:h="16839"/>
          <w:pgMar w:top="1134" w:right="1417" w:bottom="1134" w:left="1417" w:header="709" w:footer="709" w:gutter="0"/>
          <w:pgNumType w:start="0"/>
          <w:cols w:space="720"/>
          <w:docGrid w:linePitch="360"/>
        </w:sectPr>
      </w:pPr>
    </w:p>
    <w:p w:rsidR="001D642D" w:rsidRDefault="00DA3274">
      <w:pPr>
        <w:pStyle w:val="Exposdesmotifstitre"/>
        <w:rPr>
          <w:noProof/>
        </w:rPr>
      </w:pPr>
      <w:r>
        <w:rPr>
          <w:noProof/>
        </w:rPr>
        <w:lastRenderedPageBreak/>
        <w:t>EXPLANATORY MEMORANDUM</w:t>
      </w:r>
    </w:p>
    <w:p w:rsidR="001D642D" w:rsidRDefault="00DA3274">
      <w:pPr>
        <w:pStyle w:val="ManualHeading1"/>
        <w:rPr>
          <w:noProof/>
        </w:rPr>
      </w:pPr>
      <w:r>
        <w:rPr>
          <w:noProof/>
        </w:rPr>
        <w:t>1.</w:t>
      </w:r>
      <w:r>
        <w:rPr>
          <w:noProof/>
        </w:rPr>
        <w:tab/>
        <w:t>CONTEXT OF THE PROPOSAL</w:t>
      </w:r>
    </w:p>
    <w:p w:rsidR="001D642D" w:rsidRDefault="00DA3274">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1D642D" w:rsidRDefault="00DA3274">
      <w:pPr>
        <w:widowControl w:val="0"/>
        <w:shd w:val="clear" w:color="auto" w:fill="FFFFFF"/>
        <w:autoSpaceDE w:val="0"/>
        <w:autoSpaceDN w:val="0"/>
        <w:adjustRightInd w:val="0"/>
        <w:spacing w:before="230" w:after="0" w:line="269" w:lineRule="exact"/>
        <w:ind w:right="86"/>
        <w:rPr>
          <w:noProof/>
        </w:rPr>
      </w:pPr>
      <w:r>
        <w:rPr>
          <w:noProof/>
        </w:rPr>
        <w:t>The Structural Reform Support Programme for the period 2017 to 2020 has been running since 20 May 2017 with a budget of EUR 142.8 million.</w:t>
      </w:r>
      <w:r>
        <w:rPr>
          <w:rStyle w:val="FootnoteReference"/>
          <w:noProof/>
        </w:rPr>
        <w:footnoteReference w:id="2"/>
      </w:r>
      <w:r>
        <w:rPr>
          <w:noProof/>
        </w:rPr>
        <w:t xml:space="preserve"> It was established with </w:t>
      </w:r>
      <w:r>
        <w:rPr>
          <w:noProof/>
        </w:rPr>
        <w:br/>
        <w:t>the objective of strengthening the capacity of Member States to prepare and implement growth-sustaining administrative and structural reforms, including through the use of assistance for the efficient and effective use of the Union funds. Support under the Programme is provided by the Commission, upon request by a Member State, and can cover a wide range of policy areas.</w:t>
      </w:r>
    </w:p>
    <w:p w:rsidR="001D642D" w:rsidRDefault="00DA3274">
      <w:pPr>
        <w:widowControl w:val="0"/>
        <w:shd w:val="clear" w:color="auto" w:fill="FFFFFF"/>
        <w:autoSpaceDE w:val="0"/>
        <w:autoSpaceDN w:val="0"/>
        <w:adjustRightInd w:val="0"/>
        <w:spacing w:before="230" w:after="0" w:line="269" w:lineRule="exact"/>
        <w:ind w:right="86"/>
        <w:rPr>
          <w:noProof/>
        </w:rPr>
      </w:pPr>
      <w:r>
        <w:rPr>
          <w:noProof/>
        </w:rPr>
        <w:t xml:space="preserve">Since the Structural Reform Support Programme Regulation entered into force, there has been a very high take-up of the programme by Member States, with requests for support significantly exceeding the amount of funding available for its annual cycles. This is borne out by data for the 2017 cycle where, despite the late adoption of the Structural Reform Support Programme Regulation, 271 requests for support were submitted by 16 Member States for an estimated amount of over EUR 80 million in total, compared with an allocation of EUR 22.5 million for 2017. This led to a strong prioritisation effort by the Commission, resulting in several requests not being selected for funding. The situation is even more acute for the 2018 cycle, which has just been launched (the deadline for submitting requests was </w:t>
      </w:r>
      <w:r>
        <w:rPr>
          <w:noProof/>
        </w:rPr>
        <w:br/>
        <w:t xml:space="preserve">31 October 2017). 444 requests for support were submittted by 24 Member States and the total estimated cost of such requests is approximatly EUR 152 million, compared with </w:t>
      </w:r>
      <w:r>
        <w:rPr>
          <w:noProof/>
        </w:rPr>
        <w:br/>
        <w:t>the allocation for 2018 of EUR 30.5 million. This demonstrates clearly that the support needs on the ground and the interest for support from Member States goes well beyond the currently available financial resources of the Programme.</w:t>
      </w:r>
    </w:p>
    <w:p w:rsidR="001D642D" w:rsidRDefault="00DA3274">
      <w:pPr>
        <w:widowControl w:val="0"/>
        <w:shd w:val="clear" w:color="auto" w:fill="FFFFFF"/>
        <w:autoSpaceDE w:val="0"/>
        <w:autoSpaceDN w:val="0"/>
        <w:adjustRightInd w:val="0"/>
        <w:spacing w:before="230" w:after="0" w:line="269" w:lineRule="exact"/>
        <w:ind w:right="86"/>
        <w:rPr>
          <w:noProof/>
        </w:rPr>
      </w:pPr>
      <w:r>
        <w:rPr>
          <w:noProof/>
        </w:rPr>
        <w:t xml:space="preserve">The experience to date has shown that many Member States have requested support under the Programme, and that requests for support are distributed across all support policy areas covered by the Programme, such as governance and public administration, revenue administration and public financial management, growth and business environment, labour market, education, health and social services, the financial sector and access to finance. </w:t>
      </w:r>
    </w:p>
    <w:p w:rsidR="001D642D" w:rsidRDefault="00DA3274">
      <w:pPr>
        <w:widowControl w:val="0"/>
        <w:shd w:val="clear" w:color="auto" w:fill="FFFFFF"/>
        <w:autoSpaceDE w:val="0"/>
        <w:autoSpaceDN w:val="0"/>
        <w:adjustRightInd w:val="0"/>
        <w:spacing w:before="230" w:line="269" w:lineRule="exact"/>
        <w:ind w:right="86"/>
        <w:rPr>
          <w:noProof/>
        </w:rPr>
      </w:pPr>
      <w:r>
        <w:rPr>
          <w:noProof/>
        </w:rPr>
        <w:t xml:space="preserve">As indicated by President Juncker in his Address (and annexed Letter of Intent) to </w:t>
      </w:r>
      <w:r>
        <w:rPr>
          <w:noProof/>
        </w:rPr>
        <w:br/>
        <w:t>the European Parliament on 13 September 2017 on the State of the Union,</w:t>
      </w:r>
      <w:r>
        <w:rPr>
          <w:rStyle w:val="FootnoteReference"/>
          <w:noProof/>
        </w:rPr>
        <w:footnoteReference w:id="3"/>
      </w:r>
      <w:r>
        <w:rPr>
          <w:noProof/>
        </w:rPr>
        <w:t xml:space="preserve"> the euro is meant </w:t>
      </w:r>
      <w:r>
        <w:rPr>
          <w:noProof/>
        </w:rPr>
        <w:br/>
        <w:t xml:space="preserve">to be the single currency of the Union as a whole and, therefore, ultimately all but two Member States are required and entitled to join the euro area. There is thus a clear need </w:t>
      </w:r>
      <w:r>
        <w:rPr>
          <w:noProof/>
        </w:rPr>
        <w:br/>
        <w:t xml:space="preserve">to think ahead and support non-euro area Member States in preparing for their euro accession when they so desire. In order to be able to join the euro area, Member States must meet the “Maastricht” or “convergence criteria”, which indicate that they have achieved </w:t>
      </w:r>
      <w:r>
        <w:rPr>
          <w:i/>
          <w:noProof/>
        </w:rPr>
        <w:t>a high degree of sustainable convergence</w:t>
      </w:r>
      <w:r>
        <w:rPr>
          <w:noProof/>
        </w:rPr>
        <w:t xml:space="preserve">.  </w:t>
      </w:r>
    </w:p>
    <w:p w:rsidR="001D642D" w:rsidRDefault="001D642D">
      <w:pPr>
        <w:widowControl w:val="0"/>
        <w:shd w:val="clear" w:color="auto" w:fill="FFFFFF"/>
        <w:autoSpaceDE w:val="0"/>
        <w:autoSpaceDN w:val="0"/>
        <w:adjustRightInd w:val="0"/>
        <w:spacing w:before="230" w:line="269" w:lineRule="exact"/>
        <w:ind w:right="86"/>
        <w:rPr>
          <w:noProof/>
        </w:rPr>
      </w:pPr>
    </w:p>
    <w:p w:rsidR="001D642D" w:rsidRDefault="00DA3274">
      <w:pPr>
        <w:widowControl w:val="0"/>
        <w:shd w:val="clear" w:color="auto" w:fill="FFFFFF"/>
        <w:autoSpaceDE w:val="0"/>
        <w:autoSpaceDN w:val="0"/>
        <w:adjustRightInd w:val="0"/>
        <w:spacing w:before="230" w:line="269" w:lineRule="exact"/>
        <w:ind w:right="86"/>
        <w:rPr>
          <w:noProof/>
        </w:rPr>
      </w:pPr>
      <w:r>
        <w:rPr>
          <w:noProof/>
        </w:rPr>
        <w:lastRenderedPageBreak/>
        <w:t xml:space="preserve">The economic and financial crisis has demonstrated that, beyond nominal convergence, achieving real convergence and having resilient economies built on robust economic structures, which allow Member States to efficiently absorb shocks and swiftly recover from them, are crucial for ensuring successful participation in the euro area. This requires, </w:t>
      </w:r>
      <w:r>
        <w:rPr>
          <w:noProof/>
        </w:rPr>
        <w:br/>
        <w:t xml:space="preserve">in particular, that Member States have the capacity to manage their budgets in accordance with the principles of sound public financial management and are institutionally ready to participate in the Banking Union. Beyond this, properly functioning labour and product markets, which are able to absorb external shocks, a high degree of integration in terms of trade in goods and services, and a well-functioning public administration are of prime importance for successful integration into the euro area. </w:t>
      </w:r>
    </w:p>
    <w:p w:rsidR="001D642D" w:rsidRDefault="00DA3274">
      <w:pPr>
        <w:widowControl w:val="0"/>
        <w:shd w:val="clear" w:color="auto" w:fill="FFFFFF"/>
        <w:autoSpaceDE w:val="0"/>
        <w:autoSpaceDN w:val="0"/>
        <w:adjustRightInd w:val="0"/>
        <w:spacing w:before="230" w:after="0" w:line="269" w:lineRule="exact"/>
        <w:ind w:right="86"/>
        <w:rPr>
          <w:noProof/>
        </w:rPr>
      </w:pPr>
      <w:r>
        <w:rPr>
          <w:noProof/>
        </w:rPr>
        <w:t xml:space="preserve">Against the background of (i) the higher financing needs for the provision of support for the implementation of structural reforms, and (ii) the need to support Member States that intend to adopt the euro in accelerating the process of real convergence and developing more resilient economic and social structures to ensure their smooth participation in the </w:t>
      </w:r>
      <w:r w:rsidR="00FB23BD">
        <w:rPr>
          <w:noProof/>
        </w:rPr>
        <w:t xml:space="preserve">Economic </w:t>
      </w:r>
      <w:r>
        <w:rPr>
          <w:noProof/>
        </w:rPr>
        <w:t>and Monetary Union, the Commission is committed, as a first step, to reinforcing the budget of the Structural Reform Support Programme by EUR 80 million for the period 2019-2020. This should be achieved by using the Flexibility Instrument under Article 11 of the current Multiannual Financial Framework.</w:t>
      </w:r>
      <w:r>
        <w:rPr>
          <w:rStyle w:val="FootnoteReference"/>
          <w:noProof/>
        </w:rPr>
        <w:footnoteReference w:id="4"/>
      </w:r>
      <w:r>
        <w:rPr>
          <w:noProof/>
        </w:rPr>
        <w:t xml:space="preserve"> This would bring the overall financial envelope of the Structural Reform Support Programme to EUR 222.8 million. The increase would not only allow the demand for support stemming from the non-euro area Member States, which want to adopt the euro and need to implement reforms in their economies, to be satisfied, </w:t>
      </w:r>
      <w:r>
        <w:rPr>
          <w:noProof/>
        </w:rPr>
        <w:br/>
        <w:t xml:space="preserve">but would also allow for the increased number and cost of requests for support for </w:t>
      </w:r>
      <w:r>
        <w:rPr>
          <w:noProof/>
        </w:rPr>
        <w:br/>
        <w:t xml:space="preserve">the implementation of administrative and structural reforms to be catered for. </w:t>
      </w:r>
    </w:p>
    <w:p w:rsidR="001D642D" w:rsidRDefault="00DA3274">
      <w:pPr>
        <w:widowControl w:val="0"/>
        <w:shd w:val="clear" w:color="auto" w:fill="FFFFFF"/>
        <w:autoSpaceDE w:val="0"/>
        <w:autoSpaceDN w:val="0"/>
        <w:adjustRightInd w:val="0"/>
        <w:spacing w:before="230" w:after="0" w:line="269" w:lineRule="exact"/>
        <w:ind w:right="86"/>
        <w:rPr>
          <w:noProof/>
        </w:rPr>
      </w:pPr>
      <w:r>
        <w:rPr>
          <w:noProof/>
        </w:rPr>
        <w:t xml:space="preserve">This additional budget would be supplemented by inviting Member States to make use of the possibility, under Article 11 of the Structural Reform Support Programme Regulation, </w:t>
      </w:r>
      <w:r>
        <w:rPr>
          <w:noProof/>
        </w:rPr>
        <w:br/>
        <w:t xml:space="preserve">of transferring part of their resources from the technical assistance component of the European Structural and Investment Funds to the Structural Reform Support Programme, </w:t>
      </w:r>
      <w:r>
        <w:rPr>
          <w:noProof/>
        </w:rPr>
        <w:br/>
        <w:t xml:space="preserve">for the purpose of provision of support for the implementation of reforms, including reforms linked to euro adoption. Based on current estimates of possible needs for support, </w:t>
      </w:r>
      <w:r>
        <w:rPr>
          <w:noProof/>
        </w:rPr>
        <w:br/>
        <w:t xml:space="preserve">this supplement would increase the total amount of the budget available for support to </w:t>
      </w:r>
      <w:r>
        <w:rPr>
          <w:noProof/>
        </w:rPr>
        <w:br/>
        <w:t xml:space="preserve">EUR 300 million, thus doubling the support capacity by 2020. </w:t>
      </w:r>
    </w:p>
    <w:p w:rsidR="001D642D" w:rsidRDefault="00DA3274">
      <w:pPr>
        <w:widowControl w:val="0"/>
        <w:shd w:val="clear" w:color="auto" w:fill="FFFFFF"/>
        <w:autoSpaceDE w:val="0"/>
        <w:autoSpaceDN w:val="0"/>
        <w:adjustRightInd w:val="0"/>
        <w:spacing w:before="230" w:after="0" w:line="269" w:lineRule="exact"/>
        <w:ind w:right="86"/>
        <w:rPr>
          <w:noProof/>
        </w:rPr>
      </w:pPr>
      <w:r>
        <w:rPr>
          <w:noProof/>
        </w:rPr>
        <w:t xml:space="preserve">The support would offer tailor-made assistance for the implementation of all policies that help the Member States achieve a high degree of sustainable convergence. The support will be offered notably in the areas of the business environment, the financial sector, labour and product markets, the public administration and public financial management. The most important reforms needed to foster sustainable real convergence will be highlighted in the context of the European Semester. </w:t>
      </w:r>
    </w:p>
    <w:p w:rsidR="001D642D" w:rsidRDefault="00DA3274">
      <w:pPr>
        <w:widowControl w:val="0"/>
        <w:shd w:val="clear" w:color="auto" w:fill="FFFFFF"/>
        <w:autoSpaceDE w:val="0"/>
        <w:autoSpaceDN w:val="0"/>
        <w:adjustRightInd w:val="0"/>
        <w:spacing w:before="230" w:after="0" w:line="269" w:lineRule="exact"/>
        <w:ind w:right="86"/>
        <w:rPr>
          <w:noProof/>
        </w:rPr>
      </w:pPr>
      <w:r>
        <w:rPr>
          <w:noProof/>
        </w:rPr>
        <w:t xml:space="preserve">In a dedicated work stream, those Member States wishing to make progress towards joining the euro area would agree, in dialogue with the Commission, on a limited set of reform commitments that are of particular importance for successful euro area membership. </w:t>
      </w:r>
      <w:r>
        <w:rPr>
          <w:noProof/>
        </w:rPr>
        <w:br/>
        <w:t xml:space="preserve">These reform commitments would also be reflected in the National Reform Programmes of the Member States concerned. The Commission through the Structural Reform Support Service would conclude a new Cooperation and Support Plan with the Member States concerned, focussing on providing technical support for the implementation of reform </w:t>
      </w:r>
      <w:r>
        <w:rPr>
          <w:noProof/>
        </w:rPr>
        <w:lastRenderedPageBreak/>
        <w:t xml:space="preserve">commitments linked to euro adoption. This arrangement would be fully voluntary and would be offered without any co-financing from the beneficiary Member States. </w:t>
      </w:r>
    </w:p>
    <w:p w:rsidR="001D642D" w:rsidRDefault="001D642D">
      <w:pPr>
        <w:pStyle w:val="ManualHeading2"/>
        <w:rPr>
          <w:rFonts w:eastAsia="Arial Unicode MS"/>
          <w:noProof/>
          <w:color w:val="000000"/>
          <w:u w:color="000000"/>
          <w:bdr w:val="nil"/>
          <w:lang w:eastAsia="en-GB"/>
        </w:rPr>
      </w:pPr>
    </w:p>
    <w:p w:rsidR="001D642D" w:rsidRDefault="00DA3274">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1D642D" w:rsidRDefault="00DA3274">
      <w:pPr>
        <w:pStyle w:val="Default"/>
        <w:jc w:val="both"/>
        <w:rPr>
          <w:noProof/>
        </w:rPr>
      </w:pPr>
      <w:r>
        <w:rPr>
          <w:noProof/>
          <w:color w:val="auto"/>
          <w:szCs w:val="22"/>
        </w:rPr>
        <w:t xml:space="preserve">The </w:t>
      </w:r>
      <w:r>
        <w:rPr>
          <w:noProof/>
        </w:rPr>
        <w:t>Structural Reform Support Programme</w:t>
      </w:r>
      <w:r>
        <w:rPr>
          <w:noProof/>
          <w:color w:val="auto"/>
          <w:szCs w:val="22"/>
        </w:rPr>
        <w:t xml:space="preserve"> is an innovative Union programme, whereby </w:t>
      </w:r>
      <w:r>
        <w:rPr>
          <w:noProof/>
          <w:color w:val="auto"/>
          <w:szCs w:val="22"/>
        </w:rPr>
        <w:br/>
        <w:t xml:space="preserve">the Commission provides support to Member States, upon their request, for the design and implementation of administrative and structural reforms. </w:t>
      </w:r>
      <w:r>
        <w:rPr>
          <w:noProof/>
        </w:rPr>
        <w:t xml:space="preserve">The Structural Reform Support Programme focuses on the provision of tailor-made assistance and expertise on the ground to accompany the national authorities of the requesting Member States throughout the reform process or in defined stages or different phases of this process. This is based on the most pressing country needs, as mutually agreed between the Commission and the Member State concerned in a Cooperation and Support Plan. </w:t>
      </w:r>
    </w:p>
    <w:p w:rsidR="001D642D" w:rsidRDefault="001D642D">
      <w:pPr>
        <w:pStyle w:val="Default"/>
        <w:jc w:val="both"/>
        <w:rPr>
          <w:noProof/>
          <w:color w:val="auto"/>
          <w:szCs w:val="22"/>
        </w:rPr>
      </w:pPr>
    </w:p>
    <w:p w:rsidR="001D642D" w:rsidRDefault="00DA3274">
      <w:pPr>
        <w:pStyle w:val="Default"/>
        <w:jc w:val="both"/>
        <w:rPr>
          <w:noProof/>
        </w:rPr>
      </w:pPr>
      <w:r>
        <w:rPr>
          <w:noProof/>
          <w:color w:val="auto"/>
          <w:szCs w:val="22"/>
        </w:rPr>
        <w:t xml:space="preserve">The </w:t>
      </w:r>
      <w:r>
        <w:rPr>
          <w:noProof/>
        </w:rPr>
        <w:t>Structural Reform Support Programme</w:t>
      </w:r>
      <w:r>
        <w:rPr>
          <w:noProof/>
          <w:color w:val="auto"/>
          <w:szCs w:val="22"/>
        </w:rPr>
        <w:t xml:space="preserve"> is </w:t>
      </w:r>
      <w:r>
        <w:rPr>
          <w:noProof/>
        </w:rPr>
        <w:t xml:space="preserve">complementary to existing resources for capacity building and technical assistance, which are available within other Union financing programmes under the Multiannual Financial Framework, and with technical assistance and other actions financed by Union funds. This is ensured at both the programming and implementation stages. To this effect, the Commission has set up a technical support coordination mechanism involving the services concerned, so as to ensure that the support provided under the various Union programmes and funds is consistent and avoids duplication with the measures under the Structural Reform Support Programme. </w:t>
      </w:r>
    </w:p>
    <w:p w:rsidR="001D642D" w:rsidRDefault="001D642D">
      <w:pPr>
        <w:pStyle w:val="Default"/>
        <w:jc w:val="both"/>
        <w:rPr>
          <w:noProof/>
        </w:rPr>
      </w:pPr>
    </w:p>
    <w:p w:rsidR="001D642D" w:rsidRDefault="00DA3274">
      <w:pPr>
        <w:pStyle w:val="Default"/>
        <w:jc w:val="both"/>
        <w:rPr>
          <w:noProof/>
          <w:color w:val="auto"/>
          <w:szCs w:val="22"/>
        </w:rPr>
      </w:pPr>
      <w:r>
        <w:rPr>
          <w:noProof/>
          <w:color w:val="auto"/>
          <w:szCs w:val="22"/>
        </w:rPr>
        <w:t xml:space="preserve">This proposal aims to increase the financial allocation of the </w:t>
      </w:r>
      <w:r>
        <w:rPr>
          <w:noProof/>
        </w:rPr>
        <w:t>Structural Reform Support Programme</w:t>
      </w:r>
      <w:r>
        <w:rPr>
          <w:noProof/>
          <w:color w:val="auto"/>
          <w:szCs w:val="22"/>
        </w:rPr>
        <w:t xml:space="preserve"> in order to allow the Commission to cater for the needs, in particular, of non-euro area Member States, which embark on structural reforms aimed at making their economies more resilient to shocks and better preparing them for euro area membership, as well as for the needs stemming from the increased number and cost of requests for support from all Member States in relation to the implementation of structural reforms. </w:t>
      </w:r>
    </w:p>
    <w:p w:rsidR="001D642D" w:rsidRDefault="001D642D">
      <w:pPr>
        <w:pBdr>
          <w:top w:val="nil"/>
          <w:left w:val="nil"/>
          <w:bottom w:val="nil"/>
          <w:right w:val="nil"/>
          <w:between w:val="nil"/>
          <w:bar w:val="nil"/>
        </w:pBdr>
        <w:spacing w:before="0" w:after="240"/>
        <w:rPr>
          <w:rFonts w:eastAsia="Arial Unicode MS"/>
          <w:noProof/>
        </w:rPr>
      </w:pPr>
    </w:p>
    <w:p w:rsidR="001D642D" w:rsidRDefault="00DA3274">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1D642D" w:rsidRDefault="00DA3274">
      <w:pPr>
        <w:pStyle w:val="Default"/>
        <w:jc w:val="both"/>
        <w:rPr>
          <w:noProof/>
          <w:color w:val="auto"/>
          <w:szCs w:val="22"/>
        </w:rPr>
      </w:pPr>
      <w:r>
        <w:rPr>
          <w:noProof/>
          <w:color w:val="auto"/>
          <w:szCs w:val="22"/>
        </w:rPr>
        <w:t>The proposal is consistent with and contributes to major Union policy initiatives such as the European Semester and the proposals made in the Reflection Paper on the Deepening of the Economic and Monetary Union,</w:t>
      </w:r>
      <w:r>
        <w:rPr>
          <w:rStyle w:val="FootnoteReference"/>
          <w:noProof/>
          <w:color w:val="auto"/>
          <w:szCs w:val="22"/>
        </w:rPr>
        <w:footnoteReference w:id="5"/>
      </w:r>
      <w:r>
        <w:rPr>
          <w:noProof/>
          <w:color w:val="auto"/>
          <w:szCs w:val="22"/>
        </w:rPr>
        <w:t xml:space="preserve"> and is in line with the 2017 State of the Union address (and annexed Letter of Intent) made by President Juncker to the European Parliament on </w:t>
      </w:r>
      <w:r>
        <w:rPr>
          <w:noProof/>
          <w:color w:val="auto"/>
          <w:szCs w:val="22"/>
        </w:rPr>
        <w:br/>
        <w:t xml:space="preserve">13 September 2017, in which an outline of the strengthening of the future </w:t>
      </w:r>
      <w:r>
        <w:rPr>
          <w:noProof/>
        </w:rPr>
        <w:t>Economic and Monetary Union</w:t>
      </w:r>
      <w:r>
        <w:rPr>
          <w:noProof/>
          <w:color w:val="auto"/>
          <w:szCs w:val="22"/>
        </w:rPr>
        <w:t xml:space="preserve"> was presented. </w:t>
      </w:r>
    </w:p>
    <w:p w:rsidR="001D642D" w:rsidRDefault="001D642D">
      <w:pPr>
        <w:pStyle w:val="Default"/>
        <w:jc w:val="both"/>
        <w:rPr>
          <w:noProof/>
          <w:color w:val="auto"/>
          <w:szCs w:val="22"/>
        </w:rPr>
      </w:pPr>
    </w:p>
    <w:p w:rsidR="001D642D" w:rsidRDefault="00DA3274">
      <w:pPr>
        <w:pStyle w:val="Default"/>
        <w:jc w:val="both"/>
        <w:rPr>
          <w:noProof/>
          <w:color w:val="auto"/>
          <w:szCs w:val="22"/>
        </w:rPr>
      </w:pPr>
      <w:r>
        <w:rPr>
          <w:noProof/>
          <w:color w:val="auto"/>
          <w:szCs w:val="22"/>
        </w:rPr>
        <w:t xml:space="preserve">The proposal allows for more financial resources to be available for the provision of support for much needed reforms, which would make the economies of non-euro area Member States more resilient to shocks and would help these Member States to thrive once they join the euro area. In addition, the proposal allows for more resources to be available for supporting the implementation of structural reforms throughout the Union. </w:t>
      </w:r>
    </w:p>
    <w:p w:rsidR="001D642D" w:rsidRDefault="001D642D">
      <w:pPr>
        <w:pBdr>
          <w:top w:val="nil"/>
          <w:left w:val="nil"/>
          <w:bottom w:val="nil"/>
          <w:right w:val="nil"/>
          <w:between w:val="nil"/>
          <w:bar w:val="nil"/>
        </w:pBdr>
        <w:spacing w:before="0" w:after="240"/>
        <w:rPr>
          <w:rFonts w:eastAsia="Arial Unicode MS"/>
          <w:noProof/>
        </w:rPr>
      </w:pPr>
    </w:p>
    <w:p w:rsidR="001D642D" w:rsidRDefault="00DA3274">
      <w:pPr>
        <w:pStyle w:val="ManualHeading1"/>
        <w:rPr>
          <w:noProof/>
        </w:rPr>
      </w:pPr>
      <w:r>
        <w:rPr>
          <w:noProof/>
        </w:rPr>
        <w:lastRenderedPageBreak/>
        <w:t>2.</w:t>
      </w:r>
      <w:r>
        <w:rPr>
          <w:noProof/>
        </w:rPr>
        <w:tab/>
        <w:t>LEGAL BASIS, SUBSIDIARITY AND PROPORTIONALITY</w:t>
      </w:r>
    </w:p>
    <w:p w:rsidR="001D642D" w:rsidRDefault="00DA327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1D642D" w:rsidRDefault="00DA3274">
      <w:pPr>
        <w:rPr>
          <w:noProof/>
        </w:rPr>
      </w:pPr>
      <w:r>
        <w:rPr>
          <w:noProof/>
        </w:rPr>
        <w:t xml:space="preserve">The Structural Reform Support Programme is based on Articles 175(third paragraph) and 197(2) of the Treaty on the Functioning of the European Union. </w:t>
      </w:r>
    </w:p>
    <w:p w:rsidR="001D642D" w:rsidRDefault="00DA3274">
      <w:pPr>
        <w:rPr>
          <w:rFonts w:eastAsia="Arial Unicode MS"/>
          <w:noProof/>
        </w:rPr>
      </w:pPr>
      <w:r>
        <w:rPr>
          <w:noProof/>
        </w:rPr>
        <w:t>This proposal sets out a legislative amendment in order to (i) indicate the contribution of the Programme to facilitating the participation in the euro area of Member States whose currency is not the euro, (ii) increase the dedicated financial envelope of the Programme (using the Flexibility Instrument of the current Multiannual Financial Framework), and (iii) adapt the general objective of the Structural Reform Support Programme in order to stress the link with the preparation for membership of the euro area. It also caters for some technical changes as regards the use of the support expenditure of the Programme. By virtue of its increased financial resources, t</w:t>
      </w:r>
      <w:r>
        <w:rPr>
          <w:rFonts w:eastAsia="Arial Unicode MS"/>
          <w:noProof/>
        </w:rPr>
        <w:t xml:space="preserve">he </w:t>
      </w:r>
      <w:r>
        <w:rPr>
          <w:noProof/>
        </w:rPr>
        <w:t>Structural Reform Support Programme</w:t>
      </w:r>
      <w:r>
        <w:rPr>
          <w:rFonts w:eastAsia="Arial Unicode MS"/>
          <w:noProof/>
        </w:rPr>
        <w:t xml:space="preserve"> can decisively contribute to building more resilient economic structures in the Member States and to achieving sustainable convergence in the non-euro area Member States preparing to join the euro area.</w:t>
      </w:r>
    </w:p>
    <w:p w:rsidR="001D642D" w:rsidRDefault="001D642D">
      <w:pPr>
        <w:rPr>
          <w:rFonts w:eastAsia="Arial Unicode MS"/>
          <w:noProof/>
        </w:rPr>
      </w:pPr>
    </w:p>
    <w:p w:rsidR="001D642D" w:rsidRDefault="00DA327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1D642D" w:rsidRDefault="00DA3274">
      <w:pPr>
        <w:rPr>
          <w:noProof/>
        </w:rPr>
      </w:pPr>
      <w:r>
        <w:rPr>
          <w:noProof/>
        </w:rPr>
        <w:t xml:space="preserve">The funding of the Programme's activities through the proposed amendment respects the principles of European added value and of subsidiarity. Increased funding from the Union budget is needed as regards the overall support for the implementation of structural reforms, in view of the unexpectedly high take-up of the Programme by the Member States. It is also needed in view of the objective of supporting sustainable convergence in the non-euro area Member States, which is crucial for the prosperity of the Union and, in particular, for the smooth functioning of the single currency. Neither of these objectives (support for structural reforms in general and support for euro area membership) can be achieved to a sufficient degree by the Member States acting alone (‘necessity test’), while the Union's intervention can bring additional value compared to actions of Member States on their own (‘effectiveness test’).  </w:t>
      </w:r>
    </w:p>
    <w:p w:rsidR="001D642D" w:rsidRDefault="00DA3274">
      <w:pPr>
        <w:rPr>
          <w:noProof/>
        </w:rPr>
      </w:pPr>
      <w:r>
        <w:rPr>
          <w:noProof/>
        </w:rPr>
        <w:t xml:space="preserve">Indeed, the Union is in a better position than Member States to identify, mobilise and coordinate the best available expertise (be it from inside the European institutions' services, from other countries or from international organisations), and foster the exchange of good practices (as well as ensure their consistent dissemination across the Union) to assist non-euro area Member States along their path to join the single currency and to support the implementation of targeted growth-enhancing reforms in all the Member States. </w:t>
      </w:r>
    </w:p>
    <w:p w:rsidR="001D642D" w:rsidRDefault="001D642D">
      <w:pPr>
        <w:pBdr>
          <w:top w:val="nil"/>
          <w:left w:val="nil"/>
          <w:bottom w:val="nil"/>
          <w:right w:val="nil"/>
          <w:between w:val="nil"/>
          <w:bar w:val="nil"/>
        </w:pBdr>
        <w:spacing w:before="0" w:after="240"/>
        <w:rPr>
          <w:rFonts w:eastAsia="Arial Unicode MS"/>
          <w:noProof/>
        </w:rPr>
      </w:pPr>
    </w:p>
    <w:p w:rsidR="001D642D" w:rsidRDefault="00DA327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1D642D" w:rsidRDefault="00DA3274">
      <w:pPr>
        <w:pBdr>
          <w:top w:val="nil"/>
          <w:left w:val="nil"/>
          <w:bottom w:val="nil"/>
          <w:right w:val="nil"/>
          <w:between w:val="nil"/>
          <w:bar w:val="nil"/>
        </w:pBdr>
        <w:spacing w:before="0" w:after="240"/>
        <w:rPr>
          <w:rFonts w:eastAsia="Arial Unicode MS"/>
          <w:noProof/>
        </w:rPr>
      </w:pPr>
      <w:r>
        <w:rPr>
          <w:noProof/>
        </w:rPr>
        <w:t xml:space="preserve">The proposal complies with the proportionality principle in that it does not go beyond the minimum required in order to achieve the stated objective at European level and that which is necessary for that purpose. </w:t>
      </w:r>
    </w:p>
    <w:p w:rsidR="001D642D" w:rsidRDefault="001D642D">
      <w:pPr>
        <w:pBdr>
          <w:top w:val="nil"/>
          <w:left w:val="nil"/>
          <w:bottom w:val="nil"/>
          <w:right w:val="nil"/>
          <w:between w:val="nil"/>
          <w:bar w:val="nil"/>
        </w:pBdr>
        <w:spacing w:before="0" w:after="240"/>
        <w:rPr>
          <w:rFonts w:eastAsia="Arial Unicode MS"/>
          <w:noProof/>
        </w:rPr>
      </w:pPr>
    </w:p>
    <w:p w:rsidR="001D642D" w:rsidRDefault="00DA327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1D642D" w:rsidRDefault="00DA3274">
      <w:pPr>
        <w:pBdr>
          <w:top w:val="nil"/>
          <w:left w:val="nil"/>
          <w:bottom w:val="nil"/>
          <w:right w:val="nil"/>
          <w:between w:val="nil"/>
          <w:bar w:val="nil"/>
        </w:pBdr>
        <w:spacing w:before="0" w:after="240"/>
        <w:rPr>
          <w:noProof/>
        </w:rPr>
      </w:pPr>
      <w:r>
        <w:rPr>
          <w:noProof/>
        </w:rPr>
        <w:t>The proposal is an amendment to the Structural Reform Support Programme Regulation.</w:t>
      </w:r>
    </w:p>
    <w:p w:rsidR="001D642D" w:rsidRDefault="00DA3274">
      <w:pPr>
        <w:pStyle w:val="ManualHeading1"/>
        <w:rPr>
          <w:noProof/>
        </w:rPr>
      </w:pPr>
      <w:r>
        <w:rPr>
          <w:noProof/>
        </w:rPr>
        <w:lastRenderedPageBreak/>
        <w:t>3.</w:t>
      </w:r>
      <w:r>
        <w:rPr>
          <w:noProof/>
        </w:rPr>
        <w:tab/>
        <w:t>RESULTS OF EX-POST EVALUATIONS, STAKEHOLDER CONSULTATIONS AND IMPACT ASSESSMENTS</w:t>
      </w:r>
    </w:p>
    <w:p w:rsidR="001D642D" w:rsidRDefault="00DA3274">
      <w:pPr>
        <w:pBdr>
          <w:top w:val="nil"/>
          <w:left w:val="nil"/>
          <w:bottom w:val="nil"/>
          <w:right w:val="nil"/>
          <w:between w:val="nil"/>
          <w:bar w:val="nil"/>
        </w:pBdr>
        <w:spacing w:before="0" w:after="240"/>
        <w:rPr>
          <w:rFonts w:eastAsia="Arial Unicode MS"/>
          <w:noProof/>
        </w:rPr>
      </w:pPr>
      <w:r>
        <w:rPr>
          <w:noProof/>
        </w:rPr>
        <w:t xml:space="preserve">The current amendment </w:t>
      </w:r>
      <w:r>
        <w:rPr>
          <w:rFonts w:eastAsia="Arial Unicode MS"/>
          <w:noProof/>
        </w:rPr>
        <w:t xml:space="preserve">aims to respond to an urgent need to cater for the support to </w:t>
      </w:r>
      <w:r>
        <w:rPr>
          <w:noProof/>
        </w:rPr>
        <w:t>non-euro area Member States that embark on structural reforms aimed at making their economies more resilient to shocks, accelerating the process of real convergence and better preparing them for euro area membership. The amendment also aims</w:t>
      </w:r>
      <w:r>
        <w:rPr>
          <w:rFonts w:eastAsia="Arial Unicode MS"/>
          <w:noProof/>
        </w:rPr>
        <w:t xml:space="preserve"> to increase the overall financial envelope in order to satisfy the much higher than expected demand for support from Member States in relation to the implementation of structural reforms</w:t>
      </w:r>
      <w:r>
        <w:rPr>
          <w:noProof/>
        </w:rPr>
        <w:t>.</w:t>
      </w:r>
    </w:p>
    <w:p w:rsidR="001D642D" w:rsidRDefault="001D642D">
      <w:pPr>
        <w:pStyle w:val="ManualHeading2"/>
        <w:rPr>
          <w:rFonts w:eastAsia="Arial Unicode MS"/>
          <w:noProof/>
          <w:u w:color="000000"/>
          <w:bdr w:val="nil"/>
          <w:lang w:val="en-US" w:eastAsia="en-GB"/>
        </w:rPr>
      </w:pPr>
    </w:p>
    <w:p w:rsidR="001D642D" w:rsidRDefault="00DA327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1D642D" w:rsidRDefault="00DA3274">
      <w:pPr>
        <w:pBdr>
          <w:top w:val="nil"/>
          <w:left w:val="nil"/>
          <w:bottom w:val="nil"/>
          <w:right w:val="nil"/>
          <w:between w:val="nil"/>
          <w:bar w:val="nil"/>
        </w:pBdr>
        <w:spacing w:before="0" w:after="240"/>
        <w:rPr>
          <w:noProof/>
        </w:rPr>
      </w:pPr>
      <w:r>
        <w:rPr>
          <w:noProof/>
        </w:rPr>
        <w:t xml:space="preserve">The proposal is not linked to the regulatory fitness and simplification exercise and does not have any costs of compliance for small and medium-sized enterprises or any other stakeholders. The Structural Reform Support Programme will soon be implemented via an electronic platform (JIRA), which will be available for the Commission services and the Member States.  </w:t>
      </w:r>
    </w:p>
    <w:p w:rsidR="001D642D" w:rsidRDefault="001D642D">
      <w:pPr>
        <w:pBdr>
          <w:top w:val="nil"/>
          <w:left w:val="nil"/>
          <w:bottom w:val="nil"/>
          <w:right w:val="nil"/>
          <w:between w:val="nil"/>
          <w:bar w:val="nil"/>
        </w:pBdr>
        <w:spacing w:before="0" w:after="240"/>
        <w:rPr>
          <w:rFonts w:eastAsia="Arial Unicode MS"/>
          <w:noProof/>
        </w:rPr>
      </w:pPr>
    </w:p>
    <w:p w:rsidR="001D642D" w:rsidRDefault="00DA327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1D642D" w:rsidRDefault="00DA3274">
      <w:pPr>
        <w:pBdr>
          <w:top w:val="nil"/>
          <w:left w:val="nil"/>
          <w:bottom w:val="nil"/>
          <w:right w:val="nil"/>
          <w:between w:val="nil"/>
          <w:bar w:val="nil"/>
        </w:pBdr>
        <w:rPr>
          <w:rFonts w:eastAsia="Arial Unicode MS"/>
          <w:noProof/>
        </w:rPr>
      </w:pPr>
      <w:r>
        <w:rPr>
          <w:rFonts w:eastAsia="Arial Unicode MS"/>
          <w:noProof/>
        </w:rPr>
        <w:t xml:space="preserve">The proposal has a positive effect on the preservation and development of Union fundamental rights, assuming that the Member States request and receive technical support in related areas. For example, support in areas such as migration, labour markets and social insurance, healthcare, education, the environment, property, public administration and the judicial system can support Union fundamental rights such as dignity, freedom, equality, solidarity, citizens' rights and justice. </w:t>
      </w:r>
    </w:p>
    <w:p w:rsidR="001D642D" w:rsidRDefault="001D642D">
      <w:pPr>
        <w:pBdr>
          <w:top w:val="nil"/>
          <w:left w:val="nil"/>
          <w:bottom w:val="nil"/>
          <w:right w:val="nil"/>
          <w:between w:val="nil"/>
          <w:bar w:val="nil"/>
        </w:pBdr>
        <w:spacing w:before="0" w:after="240"/>
        <w:rPr>
          <w:rFonts w:eastAsia="Arial Unicode MS"/>
          <w:noProof/>
        </w:rPr>
      </w:pPr>
    </w:p>
    <w:p w:rsidR="001D642D" w:rsidRDefault="00DA3274">
      <w:pPr>
        <w:pStyle w:val="ManualHeading1"/>
        <w:rPr>
          <w:noProof/>
        </w:rPr>
      </w:pPr>
      <w:r>
        <w:rPr>
          <w:noProof/>
        </w:rPr>
        <w:t>4.</w:t>
      </w:r>
      <w:r>
        <w:rPr>
          <w:noProof/>
        </w:rPr>
        <w:tab/>
        <w:t>BUDGETARY IMPLICATIONS</w:t>
      </w:r>
    </w:p>
    <w:p w:rsidR="001D642D" w:rsidRDefault="00DA3274">
      <w:pPr>
        <w:rPr>
          <w:noProof/>
        </w:rPr>
      </w:pPr>
      <w:r>
        <w:rPr>
          <w:noProof/>
        </w:rPr>
        <w:t>It is proposed to increase the dedicated financial envelope for the Structural Reform Support Programme from EUR 142 800 000 (current prices) to EUR 222 800 000 (current prices). This increase would be in place for 2019 and 2020. The legislative financial statement provides the appropriate explanations.</w:t>
      </w:r>
    </w:p>
    <w:p w:rsidR="001D642D" w:rsidRDefault="00DA3274">
      <w:pPr>
        <w:rPr>
          <w:noProof/>
        </w:rPr>
      </w:pPr>
      <w:r>
        <w:rPr>
          <w:noProof/>
        </w:rPr>
        <w:t xml:space="preserve">This increase should be made possible by using EUR 80 000 000 from the Flexibility Instrument under the current Multiannual Financial Framework (Article 11 of Council Regulation 1311/2013), which allows for supplementing the financing available in the general budget of the Union for the financial years 2018 and 2019 beyond the ceiling of heading 1b (cohesion). </w:t>
      </w:r>
    </w:p>
    <w:p w:rsidR="001D642D" w:rsidRDefault="00DA3274">
      <w:pPr>
        <w:rPr>
          <w:noProof/>
        </w:rPr>
      </w:pPr>
      <w:r>
        <w:rPr>
          <w:noProof/>
        </w:rPr>
        <w:t xml:space="preserve">This increased budget will be supplemented by inviting Member States to make use of the possibility, under Article 11 of the Structural Reform Support Programme Regulation, </w:t>
      </w:r>
      <w:r>
        <w:rPr>
          <w:noProof/>
        </w:rPr>
        <w:br/>
        <w:t xml:space="preserve">of transferring part of their resources from the technical assistance component of the European Structural and Investment Funds to the Structural Reform Support Programme, for the purpose of the provision of support for the implementation of reforms, including reforms linked to euro adoption. Based on current estimates of possible needs for support, this supplement would increase the total amount of the budget available for support to EUR 300 million. </w:t>
      </w:r>
    </w:p>
    <w:p w:rsidR="001D642D" w:rsidRDefault="001D642D">
      <w:pPr>
        <w:pBdr>
          <w:top w:val="nil"/>
          <w:left w:val="nil"/>
          <w:bottom w:val="nil"/>
          <w:right w:val="nil"/>
          <w:between w:val="nil"/>
          <w:bar w:val="nil"/>
        </w:pBdr>
        <w:spacing w:before="0" w:after="240"/>
        <w:rPr>
          <w:rFonts w:eastAsia="Arial Unicode MS"/>
          <w:noProof/>
        </w:rPr>
      </w:pPr>
    </w:p>
    <w:p w:rsidR="001D642D" w:rsidRDefault="00DA3274">
      <w:pPr>
        <w:pStyle w:val="ManualHeading1"/>
        <w:rPr>
          <w:noProof/>
        </w:rPr>
      </w:pPr>
      <w:r>
        <w:rPr>
          <w:noProof/>
        </w:rPr>
        <w:lastRenderedPageBreak/>
        <w:t>5.</w:t>
      </w:r>
      <w:r>
        <w:rPr>
          <w:noProof/>
        </w:rPr>
        <w:tab/>
        <w:t>OTHER ELEMENTS</w:t>
      </w:r>
    </w:p>
    <w:p w:rsidR="001D642D" w:rsidRDefault="00DA327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1D642D" w:rsidRDefault="00DA3274">
      <w:pPr>
        <w:pBdr>
          <w:top w:val="nil"/>
          <w:left w:val="nil"/>
          <w:bottom w:val="nil"/>
          <w:right w:val="nil"/>
          <w:between w:val="nil"/>
          <w:bar w:val="nil"/>
        </w:pBdr>
        <w:spacing w:before="0" w:after="240"/>
        <w:rPr>
          <w:noProof/>
        </w:rPr>
      </w:pPr>
      <w:r>
        <w:rPr>
          <w:noProof/>
        </w:rPr>
        <w:t xml:space="preserve">The monitoring, evaluation and reporting requirements are adequately foreseen in the Structural Reform Support Programme Regulation. No change to this effect is foreseen. </w:t>
      </w:r>
    </w:p>
    <w:p w:rsidR="001D642D" w:rsidRDefault="001D642D">
      <w:pPr>
        <w:pBdr>
          <w:top w:val="nil"/>
          <w:left w:val="nil"/>
          <w:bottom w:val="nil"/>
          <w:right w:val="nil"/>
          <w:between w:val="nil"/>
          <w:bar w:val="nil"/>
        </w:pBdr>
        <w:spacing w:before="0" w:after="240"/>
        <w:rPr>
          <w:rFonts w:eastAsia="Arial Unicode MS"/>
          <w:noProof/>
        </w:rPr>
      </w:pPr>
    </w:p>
    <w:p w:rsidR="001D642D" w:rsidRDefault="00DA327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rsidR="001D642D" w:rsidRDefault="00DA3274">
      <w:pPr>
        <w:pBdr>
          <w:top w:val="nil"/>
          <w:left w:val="nil"/>
          <w:bottom w:val="nil"/>
          <w:right w:val="nil"/>
          <w:between w:val="nil"/>
          <w:bar w:val="nil"/>
        </w:pBdr>
        <w:spacing w:before="0" w:after="240"/>
        <w:rPr>
          <w:noProof/>
        </w:rPr>
      </w:pPr>
      <w:r>
        <w:rPr>
          <w:noProof/>
        </w:rPr>
        <w:t>N/A</w:t>
      </w:r>
    </w:p>
    <w:p w:rsidR="001D642D" w:rsidRDefault="001D642D">
      <w:pPr>
        <w:pBdr>
          <w:top w:val="nil"/>
          <w:left w:val="nil"/>
          <w:bottom w:val="nil"/>
          <w:right w:val="nil"/>
          <w:between w:val="nil"/>
          <w:bar w:val="nil"/>
        </w:pBdr>
        <w:spacing w:before="0" w:after="240"/>
        <w:rPr>
          <w:rFonts w:eastAsia="Arial Unicode MS"/>
          <w:noProof/>
        </w:rPr>
      </w:pPr>
    </w:p>
    <w:p w:rsidR="001D642D" w:rsidRDefault="00DA327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1D642D" w:rsidRDefault="00DA3274">
      <w:pPr>
        <w:autoSpaceDE w:val="0"/>
        <w:rPr>
          <w:noProof/>
        </w:rPr>
      </w:pPr>
      <w:r>
        <w:rPr>
          <w:noProof/>
        </w:rPr>
        <w:t xml:space="preserve">The proposal amends Article 4 of the Structural Reform Support Programme Regulation (general objective) in order to add support for euro area membership to the goals for which the Programe provides contributions. Notably, the Programme provides support to national authorities for reforming institutions, governance, administration, economic and societal sectors in response to economic and social challenges. With the proposed amendement, it is emphasised that </w:t>
      </w:r>
      <w:r>
        <w:rPr>
          <w:noProof/>
          <w:lang w:val="en"/>
        </w:rPr>
        <w:t xml:space="preserve">enhancing cohesion, competitiveness, productivity, sustainable growth and job creation should also contribute to preparations for </w:t>
      </w:r>
      <w:r>
        <w:rPr>
          <w:noProof/>
        </w:rPr>
        <w:t>participation in the euro area</w:t>
      </w:r>
      <w:r>
        <w:rPr>
          <w:noProof/>
          <w:lang w:val="en"/>
        </w:rPr>
        <w:t xml:space="preserve"> by those Member States whose currency is not the euro and that want to join the single currency</w:t>
      </w:r>
      <w:r>
        <w:rPr>
          <w:noProof/>
        </w:rPr>
        <w:t>.</w:t>
      </w:r>
    </w:p>
    <w:p w:rsidR="001D642D" w:rsidRDefault="00DA3274">
      <w:pPr>
        <w:autoSpaceDE w:val="0"/>
        <w:rPr>
          <w:noProof/>
        </w:rPr>
      </w:pPr>
      <w:r>
        <w:rPr>
          <w:noProof/>
        </w:rPr>
        <w:t xml:space="preserve">The proposed Article 5a emphasises the contribution of the Programme in a dedicated work stream towards supporting reforms that may help Member States in their preparation to join the euro area. </w:t>
      </w:r>
    </w:p>
    <w:p w:rsidR="001D642D" w:rsidRDefault="00DA3274">
      <w:pPr>
        <w:autoSpaceDE w:val="0"/>
        <w:rPr>
          <w:noProof/>
        </w:rPr>
      </w:pPr>
      <w:r>
        <w:rPr>
          <w:noProof/>
        </w:rPr>
        <w:t xml:space="preserve">The proposal amends paragraph 1 of Article 10 of the Structural Reform Support Programme Regulation, as regards the dedicated financial envelope of the Structural Reform Support Programme, in order to bring it to EUR 222.8 million in current prices.  </w:t>
      </w:r>
    </w:p>
    <w:p w:rsidR="001D642D" w:rsidRDefault="00DA3274">
      <w:pPr>
        <w:rPr>
          <w:noProof/>
        </w:rPr>
        <w:sectPr w:rsidR="001D642D" w:rsidSect="00DA3274">
          <w:footerReference w:type="default" r:id="rId11"/>
          <w:footerReference w:type="first" r:id="rId12"/>
          <w:pgSz w:w="11907" w:h="16839"/>
          <w:pgMar w:top="1134" w:right="1417" w:bottom="1134" w:left="1417" w:header="709" w:footer="709" w:gutter="0"/>
          <w:cols w:space="708"/>
          <w:docGrid w:linePitch="360"/>
        </w:sectPr>
      </w:pPr>
      <w:r>
        <w:rPr>
          <w:rFonts w:eastAsia="Arial Unicode MS"/>
          <w:noProof/>
        </w:rPr>
        <w:t xml:space="preserve">The proposal amends paragraph 2 of Article 10 of the </w:t>
      </w:r>
      <w:r>
        <w:rPr>
          <w:noProof/>
        </w:rPr>
        <w:t>Structural Reform Support Programme</w:t>
      </w:r>
      <w:r>
        <w:rPr>
          <w:rFonts w:eastAsia="Arial Unicode MS"/>
          <w:noProof/>
        </w:rPr>
        <w:t xml:space="preserve"> Regulation, i.e. the provision on support expenditure of the Programme, by adding the possibility of financing supporting activities, such as </w:t>
      </w:r>
      <w:r>
        <w:rPr>
          <w:noProof/>
          <w:lang w:val="en"/>
        </w:rPr>
        <w:t>quality control and monitoring of concrete support projects on the ground.</w:t>
      </w:r>
    </w:p>
    <w:p w:rsidR="001D642D" w:rsidRDefault="00DA3274" w:rsidP="00DA3274">
      <w:pPr>
        <w:pStyle w:val="Rfrenceinterinstitutionnelle"/>
        <w:rPr>
          <w:noProof/>
        </w:rPr>
      </w:pPr>
      <w:r w:rsidRPr="00DA3274">
        <w:lastRenderedPageBreak/>
        <w:t>2017/0334 (COD)</w:t>
      </w:r>
    </w:p>
    <w:p w:rsidR="001D642D" w:rsidRDefault="00DA3274" w:rsidP="00DA3274">
      <w:pPr>
        <w:pStyle w:val="Statut"/>
        <w:rPr>
          <w:noProof/>
        </w:rPr>
      </w:pPr>
      <w:r w:rsidRPr="00DA3274">
        <w:t>Proposal for a</w:t>
      </w:r>
    </w:p>
    <w:p w:rsidR="001D642D" w:rsidRDefault="00DA3274" w:rsidP="00DA3274">
      <w:pPr>
        <w:pStyle w:val="Typedudocument"/>
        <w:rPr>
          <w:noProof/>
        </w:rPr>
      </w:pPr>
      <w:r w:rsidRPr="00DA3274">
        <w:t>REGULATION OF THE EUROPEAN PARLIAMENT AND OF THE COUNCIL</w:t>
      </w:r>
    </w:p>
    <w:p w:rsidR="001D642D" w:rsidRDefault="00DA3274" w:rsidP="00DA3274">
      <w:pPr>
        <w:pStyle w:val="Titreobjet"/>
      </w:pPr>
      <w:r w:rsidRPr="00DA3274">
        <w:t xml:space="preserve">amending Regulation (EU) 2017/825 to increase the financial envelope of the Structural Reform Support Programme and adapt its general objective </w:t>
      </w:r>
    </w:p>
    <w:p w:rsidR="001D642D" w:rsidRDefault="00DA3274">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1D642D" w:rsidRDefault="00DA3274">
      <w:pPr>
        <w:rPr>
          <w:noProof/>
        </w:rPr>
      </w:pPr>
      <w:r>
        <w:rPr>
          <w:noProof/>
        </w:rPr>
        <w:t>Having regard to the Treaty on the Functioning of the European Union, and in particular the third paragraph of Article 175 and Article 197(2) thereof,</w:t>
      </w:r>
    </w:p>
    <w:p w:rsidR="001D642D" w:rsidRDefault="00DA3274">
      <w:pPr>
        <w:rPr>
          <w:noProof/>
        </w:rPr>
      </w:pPr>
      <w:r>
        <w:rPr>
          <w:noProof/>
        </w:rPr>
        <w:t>Having regard to the proposal from the European Commission,</w:t>
      </w:r>
    </w:p>
    <w:p w:rsidR="001D642D" w:rsidRDefault="00DA3274">
      <w:pPr>
        <w:rPr>
          <w:noProof/>
        </w:rPr>
      </w:pPr>
      <w:r>
        <w:rPr>
          <w:noProof/>
        </w:rPr>
        <w:t>After transmission of the draft legislative act to the national parliaments,</w:t>
      </w:r>
    </w:p>
    <w:p w:rsidR="001D642D" w:rsidRDefault="00DA3274">
      <w:pPr>
        <w:rPr>
          <w:noProof/>
        </w:rPr>
      </w:pPr>
      <w:r>
        <w:rPr>
          <w:noProof/>
        </w:rPr>
        <w:t>Having regard to the opinion of the European Economic and Social Committee</w:t>
      </w:r>
      <w:r>
        <w:rPr>
          <w:rStyle w:val="FootnoteReference"/>
          <w:noProof/>
        </w:rPr>
        <w:footnoteReference w:id="6"/>
      </w:r>
      <w:r>
        <w:rPr>
          <w:noProof/>
        </w:rPr>
        <w:t xml:space="preserve">, </w:t>
      </w:r>
    </w:p>
    <w:p w:rsidR="001D642D" w:rsidRDefault="00DA3274">
      <w:pPr>
        <w:rPr>
          <w:noProof/>
        </w:rPr>
      </w:pPr>
      <w:r>
        <w:rPr>
          <w:noProof/>
        </w:rPr>
        <w:t>Having regard to the opinion of the Committee of the Regions</w:t>
      </w:r>
      <w:r>
        <w:rPr>
          <w:rStyle w:val="FootnoteReference"/>
          <w:noProof/>
        </w:rPr>
        <w:footnoteReference w:id="7"/>
      </w:r>
      <w:r>
        <w:rPr>
          <w:noProof/>
        </w:rPr>
        <w:t xml:space="preserve">, </w:t>
      </w:r>
    </w:p>
    <w:p w:rsidR="001D642D" w:rsidRDefault="00DA3274">
      <w:pPr>
        <w:rPr>
          <w:noProof/>
        </w:rPr>
      </w:pPr>
      <w:r>
        <w:rPr>
          <w:noProof/>
        </w:rPr>
        <w:t>Acting in accordance with the ordinary legislative procedure,</w:t>
      </w:r>
    </w:p>
    <w:p w:rsidR="001D642D" w:rsidRDefault="00DA3274">
      <w:pPr>
        <w:rPr>
          <w:noProof/>
        </w:rPr>
      </w:pPr>
      <w:r>
        <w:rPr>
          <w:noProof/>
        </w:rPr>
        <w:t>Whereas:</w:t>
      </w:r>
    </w:p>
    <w:p w:rsidR="001D642D" w:rsidRDefault="001D642D">
      <w:pPr>
        <w:rPr>
          <w:noProof/>
        </w:rPr>
      </w:pPr>
    </w:p>
    <w:p w:rsidR="001D642D" w:rsidRDefault="00DA3274">
      <w:pPr>
        <w:pStyle w:val="ManualConsidrant"/>
        <w:rPr>
          <w:noProof/>
        </w:rPr>
      </w:pPr>
      <w:r>
        <w:t>(1)</w:t>
      </w:r>
      <w:r>
        <w:tab/>
      </w:r>
      <w:r>
        <w:rPr>
          <w:noProof/>
        </w:rPr>
        <w:t xml:space="preserve">The Structural Reform Support Programme (‘the Programme’) was established with the objective of strengthening the capacity of Member States to prepare and implement growth-sustaining administrative and structural reforms, including through assistance for the efficient and effective use of the Union funds. Support under the Programme is provided by the Commission, upon request by a Member State, and can cover a wide range of policy areas. Developing resilient economies built on strong economic and social structures, which allow Member States to efficiently absorb shocks and swiftly recover from them, contributes to economic and social cohesion. The implementation of institutional, administrative and growth-sustaining structural reforms is an appropriate tool for achieving such a development. </w:t>
      </w:r>
    </w:p>
    <w:p w:rsidR="001D642D" w:rsidRDefault="00DA3274">
      <w:pPr>
        <w:pStyle w:val="ManualConsidrant"/>
        <w:rPr>
          <w:noProof/>
        </w:rPr>
      </w:pPr>
      <w:r>
        <w:t>(2)</w:t>
      </w:r>
      <w:r>
        <w:tab/>
      </w:r>
      <w:r>
        <w:rPr>
          <w:noProof/>
        </w:rPr>
        <w:t>Member States have increasingly taken up support under the Programme, beyond the initial expectations. The requests for support received by the Commission during the 2017 cycle have, based on their estimated value, significantly exceeded the available annual allocation. During the 2018 cycle, the estimated value of requests received was five times the financial resources available for that year. Almost all Member States have requested support under the Programme and requests are distributed across all policy areas covered by the Programme.</w:t>
      </w:r>
    </w:p>
    <w:p w:rsidR="001D642D" w:rsidRDefault="00DA3274">
      <w:pPr>
        <w:pStyle w:val="ManualConsidrant"/>
        <w:rPr>
          <w:noProof/>
        </w:rPr>
      </w:pPr>
      <w:r>
        <w:t>(3)</w:t>
      </w:r>
      <w:r>
        <w:tab/>
      </w:r>
      <w:r>
        <w:rPr>
          <w:noProof/>
        </w:rPr>
        <w:t>Strengthening economic and social cohesion by reinforcing structural reforms is crucial for successful participation in the Economic and Monetary Union. That is particularly important for Member States whose currency is not the euro, in their preparation to join the euro area.</w:t>
      </w:r>
    </w:p>
    <w:p w:rsidR="001D642D" w:rsidRDefault="00DA3274">
      <w:pPr>
        <w:pStyle w:val="ManualConsidrant"/>
        <w:rPr>
          <w:noProof/>
        </w:rPr>
      </w:pPr>
      <w:r>
        <w:t>(4)</w:t>
      </w:r>
      <w:r>
        <w:tab/>
      </w:r>
      <w:r>
        <w:rPr>
          <w:noProof/>
        </w:rPr>
        <w:t xml:space="preserve">It is thus appropriate to stress in the general objective of the Programme – within its contribution towards responding to economic and social challenges – that </w:t>
      </w:r>
      <w:r>
        <w:rPr>
          <w:noProof/>
          <w:lang w:val="en"/>
        </w:rPr>
        <w:t>enhancing cohesion, competitiveness, productivity, sustainable growth, and job creation should also contribute to the preparations for future participation in the euro area by those Member States whose currency is not the euro</w:t>
      </w:r>
      <w:r>
        <w:rPr>
          <w:noProof/>
        </w:rPr>
        <w:t>.</w:t>
      </w:r>
    </w:p>
    <w:p w:rsidR="001D642D" w:rsidRDefault="00DA3274">
      <w:pPr>
        <w:pStyle w:val="ManualConsidrant"/>
        <w:rPr>
          <w:noProof/>
        </w:rPr>
      </w:pPr>
      <w:r>
        <w:t>(5)</w:t>
      </w:r>
      <w:r>
        <w:tab/>
      </w:r>
      <w:r>
        <w:rPr>
          <w:noProof/>
        </w:rPr>
        <w:t>It is also necessary to indicate that actions and activities of the Programme may support reforms that may help Member States that wish to adopt the euro to prepare for participation in the euro area.</w:t>
      </w:r>
    </w:p>
    <w:p w:rsidR="001D642D" w:rsidRDefault="00DA3274">
      <w:pPr>
        <w:pStyle w:val="ManualConsidrant"/>
        <w:rPr>
          <w:noProof/>
        </w:rPr>
      </w:pPr>
      <w:r>
        <w:t>(6)</w:t>
      </w:r>
      <w:r>
        <w:tab/>
      </w:r>
      <w:r>
        <w:rPr>
          <w:noProof/>
        </w:rPr>
        <w:t>In order to meet the growing demand for support from Member States, and in view of the need to support the implementation of structural reforms in Member States whose currency is not the euro, the financial allocation for the Programme should be increased to a sufficient level that allows the Union to provide support that meets the needs of the requesting Member States.</w:t>
      </w:r>
    </w:p>
    <w:p w:rsidR="001D642D" w:rsidRDefault="00DA3274">
      <w:pPr>
        <w:pStyle w:val="ManualConsidrant"/>
        <w:rPr>
          <w:noProof/>
        </w:rPr>
      </w:pPr>
      <w:r>
        <w:t>(7)</w:t>
      </w:r>
      <w:r>
        <w:tab/>
      </w:r>
      <w:r>
        <w:rPr>
          <w:noProof/>
        </w:rPr>
        <w:t>In order to provide support</w:t>
      </w:r>
      <w:r>
        <w:rPr>
          <w:noProof/>
          <w:lang w:val="mt-MT"/>
        </w:rPr>
        <w:t xml:space="preserve"> </w:t>
      </w:r>
      <w:r>
        <w:rPr>
          <w:noProof/>
        </w:rPr>
        <w:t xml:space="preserve">with the least possible delay, the Commission should be able to use part of the financial envelope also to cover the cost of activities supporting the Programme, such as expenses related to quality control and monitoring of projects on the ground. </w:t>
      </w:r>
    </w:p>
    <w:p w:rsidR="001D642D" w:rsidRDefault="00DA3274">
      <w:pPr>
        <w:pStyle w:val="ManualConsidrant"/>
        <w:rPr>
          <w:noProof/>
        </w:rPr>
      </w:pPr>
      <w:r>
        <w:t>(8)</w:t>
      </w:r>
      <w:r>
        <w:tab/>
      </w:r>
      <w:r>
        <w:rPr>
          <w:noProof/>
        </w:rPr>
        <w:t>Regulation (EU) 2017/825 should therefore be amended accordingly.</w:t>
      </w:r>
    </w:p>
    <w:p w:rsidR="001D642D" w:rsidRDefault="00DA3274">
      <w:pPr>
        <w:pStyle w:val="ManualConsidrant"/>
        <w:rPr>
          <w:noProof/>
        </w:rPr>
      </w:pPr>
      <w:r>
        <w:t>(9)</w:t>
      </w:r>
      <w:r>
        <w:tab/>
      </w:r>
      <w:r>
        <w:rPr>
          <w:noProof/>
        </w:rPr>
        <w:t>In order to allow for the prompt application of the measures provided for in this Regulation, this Regulation should enter into force on the day following its publication in the Official Journal of the European Union,</w:t>
      </w:r>
    </w:p>
    <w:p w:rsidR="001D642D" w:rsidRDefault="001D642D">
      <w:pPr>
        <w:rPr>
          <w:noProof/>
        </w:rPr>
      </w:pPr>
    </w:p>
    <w:p w:rsidR="001D642D" w:rsidRDefault="00DA3274">
      <w:pPr>
        <w:pStyle w:val="Formuledadoption"/>
        <w:rPr>
          <w:noProof/>
        </w:rPr>
      </w:pPr>
      <w:r>
        <w:rPr>
          <w:noProof/>
        </w:rPr>
        <w:t>HAVE ADOPTED THIS REGULATION:</w:t>
      </w:r>
    </w:p>
    <w:p w:rsidR="001D642D" w:rsidRDefault="00DA3274">
      <w:pPr>
        <w:pStyle w:val="Titrearticle"/>
        <w:rPr>
          <w:noProof/>
        </w:rPr>
      </w:pPr>
      <w:r>
        <w:rPr>
          <w:noProof/>
        </w:rPr>
        <w:t>Article 1</w:t>
      </w:r>
    </w:p>
    <w:p w:rsidR="001D642D" w:rsidRDefault="00DA3274">
      <w:pPr>
        <w:rPr>
          <w:noProof/>
        </w:rPr>
      </w:pPr>
      <w:r>
        <w:rPr>
          <w:noProof/>
        </w:rPr>
        <w:t xml:space="preserve">Regulation </w:t>
      </w:r>
      <w:r>
        <w:rPr>
          <w:bCs/>
          <w:noProof/>
          <w:lang w:eastAsia="en-GB"/>
        </w:rPr>
        <w:t xml:space="preserve">(EU) 2017/825 </w:t>
      </w:r>
      <w:r>
        <w:rPr>
          <w:noProof/>
        </w:rPr>
        <w:t xml:space="preserve">is amended as follows: </w:t>
      </w:r>
    </w:p>
    <w:p w:rsidR="001D642D" w:rsidRDefault="001D642D">
      <w:pPr>
        <w:rPr>
          <w:noProof/>
        </w:rPr>
      </w:pPr>
    </w:p>
    <w:p w:rsidR="001D642D" w:rsidRDefault="00DA3274">
      <w:pPr>
        <w:rPr>
          <w:noProof/>
        </w:rPr>
      </w:pPr>
      <w:r>
        <w:rPr>
          <w:noProof/>
        </w:rPr>
        <w:t>(1)</w:t>
      </w:r>
      <w:r>
        <w:rPr>
          <w:noProof/>
        </w:rPr>
        <w:tab/>
        <w:t>Article 4 is replaced by the following:</w:t>
      </w:r>
    </w:p>
    <w:p w:rsidR="001D642D" w:rsidRDefault="00DA3274">
      <w:pPr>
        <w:ind w:left="720"/>
        <w:rPr>
          <w:noProof/>
          <w:lang w:val="en"/>
        </w:rPr>
      </w:pPr>
      <w:r>
        <w:rPr>
          <w:noProof/>
          <w:lang w:val="en"/>
        </w:rPr>
        <w:t>“Article 4</w:t>
      </w:r>
    </w:p>
    <w:p w:rsidR="001D642D" w:rsidRDefault="00DA3274">
      <w:pPr>
        <w:ind w:left="720"/>
        <w:rPr>
          <w:noProof/>
          <w:lang w:val="en"/>
        </w:rPr>
      </w:pPr>
      <w:r>
        <w:rPr>
          <w:noProof/>
          <w:lang w:val="en"/>
        </w:rPr>
        <w:t>General objective</w:t>
      </w:r>
    </w:p>
    <w:p w:rsidR="001D642D" w:rsidRDefault="00DA3274">
      <w:pPr>
        <w:ind w:left="720"/>
        <w:rPr>
          <w:noProof/>
        </w:rPr>
      </w:pPr>
      <w:r>
        <w:rPr>
          <w:noProof/>
        </w:rPr>
        <w:t>The general objective of the Programme shall be to contribute to institutional, administrative and growth-sustaining structural reforms in the Member States by providing support to national authorities for measures aimed at reforming and strengthening institutions, governance, public administration, and economic and social sectors in response to economic and social challenges, with a view to enhancing cohesion, competitiveness, productivity, sustainable growth, job creation, and investment, which will also prepare for participation in the euro area, in particular in the context of economic governance processes, including through assistance for the efficient, effective and transparent use of the Union funds.”;</w:t>
      </w:r>
    </w:p>
    <w:p w:rsidR="001D642D" w:rsidRDefault="001D642D">
      <w:pPr>
        <w:rPr>
          <w:noProof/>
        </w:rPr>
      </w:pPr>
    </w:p>
    <w:p w:rsidR="001D642D" w:rsidRDefault="00DA3274">
      <w:pPr>
        <w:rPr>
          <w:noProof/>
        </w:rPr>
      </w:pPr>
      <w:r>
        <w:rPr>
          <w:noProof/>
        </w:rPr>
        <w:t>(2)</w:t>
      </w:r>
      <w:r>
        <w:rPr>
          <w:noProof/>
        </w:rPr>
        <w:tab/>
        <w:t>Article 5a is added</w:t>
      </w:r>
    </w:p>
    <w:p w:rsidR="001D642D" w:rsidRDefault="00DA3274">
      <w:pPr>
        <w:ind w:firstLine="720"/>
        <w:rPr>
          <w:noProof/>
        </w:rPr>
      </w:pPr>
      <w:r>
        <w:rPr>
          <w:noProof/>
        </w:rPr>
        <w:t>“Article 5a</w:t>
      </w:r>
    </w:p>
    <w:p w:rsidR="001D642D" w:rsidRDefault="00DA3274">
      <w:pPr>
        <w:ind w:firstLine="720"/>
        <w:rPr>
          <w:noProof/>
        </w:rPr>
      </w:pPr>
      <w:r>
        <w:rPr>
          <w:noProof/>
        </w:rPr>
        <w:t>Support for preparation for euro area membership</w:t>
      </w:r>
    </w:p>
    <w:p w:rsidR="001D642D" w:rsidRDefault="00DA3274">
      <w:pPr>
        <w:ind w:left="720"/>
        <w:rPr>
          <w:noProof/>
          <w:color w:val="1F497D"/>
        </w:rPr>
      </w:pPr>
      <w:r>
        <w:rPr>
          <w:noProof/>
        </w:rPr>
        <w:t>The Programme may finance actions and activities in support of reforms that may help Members States in their preparation to join the euro area.”.</w:t>
      </w:r>
    </w:p>
    <w:p w:rsidR="001D642D" w:rsidRDefault="001D642D">
      <w:pPr>
        <w:ind w:left="720"/>
        <w:rPr>
          <w:noProof/>
        </w:rPr>
      </w:pPr>
    </w:p>
    <w:p w:rsidR="001D642D" w:rsidRDefault="00DA3274">
      <w:pPr>
        <w:rPr>
          <w:noProof/>
        </w:rPr>
      </w:pPr>
      <w:r>
        <w:rPr>
          <w:noProof/>
        </w:rPr>
        <w:t>(3)</w:t>
      </w:r>
      <w:r>
        <w:rPr>
          <w:noProof/>
        </w:rPr>
        <w:tab/>
        <w:t>Article 10 is amended as follows:</w:t>
      </w:r>
    </w:p>
    <w:p w:rsidR="001D642D" w:rsidRDefault="00DA3274">
      <w:pPr>
        <w:ind w:firstLine="720"/>
        <w:rPr>
          <w:noProof/>
        </w:rPr>
      </w:pPr>
      <w:r>
        <w:rPr>
          <w:noProof/>
        </w:rPr>
        <w:t>(a) paragraph 1 is replaced by the following:</w:t>
      </w:r>
    </w:p>
    <w:p w:rsidR="001D642D" w:rsidRDefault="00DA3274">
      <w:pPr>
        <w:pStyle w:val="ti-art"/>
        <w:ind w:left="720"/>
        <w:jc w:val="both"/>
        <w:rPr>
          <w:noProof/>
        </w:rPr>
      </w:pPr>
      <w:r>
        <w:rPr>
          <w:noProof/>
        </w:rPr>
        <w:t>“1.   The financial envelope for the implementation of the Programme is set at EUR 222 800 000 in current prices.”;</w:t>
      </w:r>
    </w:p>
    <w:p w:rsidR="001D642D" w:rsidRDefault="00DA3274">
      <w:pPr>
        <w:ind w:firstLine="720"/>
        <w:rPr>
          <w:noProof/>
        </w:rPr>
      </w:pPr>
      <w:r>
        <w:rPr>
          <w:noProof/>
        </w:rPr>
        <w:t>(b) in paragraph 2, the following sentence is added:</w:t>
      </w:r>
    </w:p>
    <w:p w:rsidR="001D642D" w:rsidRDefault="00DA3274">
      <w:pPr>
        <w:pStyle w:val="Normal1"/>
        <w:ind w:left="720"/>
        <w:jc w:val="both"/>
        <w:rPr>
          <w:noProof/>
          <w:lang w:val="mt-MT"/>
        </w:rPr>
      </w:pPr>
      <w:r>
        <w:rPr>
          <w:noProof/>
        </w:rPr>
        <w:t>“Expenses may also cover the costs of other supporting activities such as quality control and monitoring of support projects on the ground.”</w:t>
      </w:r>
      <w:r>
        <w:rPr>
          <w:noProof/>
          <w:lang w:val="mt-MT"/>
        </w:rPr>
        <w:t>.</w:t>
      </w:r>
    </w:p>
    <w:p w:rsidR="001D642D" w:rsidRDefault="001D642D">
      <w:pPr>
        <w:rPr>
          <w:noProof/>
        </w:rPr>
      </w:pPr>
    </w:p>
    <w:p w:rsidR="001D642D" w:rsidRDefault="00DA3274">
      <w:pPr>
        <w:pStyle w:val="Titrearticle"/>
        <w:rPr>
          <w:noProof/>
        </w:rPr>
      </w:pPr>
      <w:r>
        <w:rPr>
          <w:noProof/>
        </w:rPr>
        <w:t>Article 2</w:t>
      </w:r>
    </w:p>
    <w:p w:rsidR="001D642D" w:rsidRDefault="00DA3274">
      <w:pPr>
        <w:rPr>
          <w:noProof/>
        </w:rPr>
      </w:pPr>
      <w:r>
        <w:rPr>
          <w:noProof/>
        </w:rPr>
        <w:t xml:space="preserve">This Regulation shall enter into force on the day following that of its publication in the </w:t>
      </w:r>
      <w:r>
        <w:rPr>
          <w:i/>
          <w:noProof/>
        </w:rPr>
        <w:t>Official Journal of the European Union</w:t>
      </w:r>
      <w:r>
        <w:rPr>
          <w:noProof/>
        </w:rPr>
        <w:t>.</w:t>
      </w:r>
    </w:p>
    <w:p w:rsidR="001D642D" w:rsidRDefault="001D642D">
      <w:pPr>
        <w:pStyle w:val="Applicationdirecte"/>
        <w:rPr>
          <w:noProof/>
        </w:rPr>
      </w:pPr>
    </w:p>
    <w:p w:rsidR="001D642D" w:rsidRDefault="00DA3274">
      <w:pPr>
        <w:pStyle w:val="Applicationdirecte"/>
        <w:rPr>
          <w:noProof/>
        </w:rPr>
      </w:pPr>
      <w:r>
        <w:rPr>
          <w:noProof/>
        </w:rPr>
        <w:t>This Regulation shall be binding in its entirety and directly applicable in all Member States.</w:t>
      </w:r>
    </w:p>
    <w:p w:rsidR="001D642D" w:rsidRDefault="001D642D">
      <w:pPr>
        <w:pStyle w:val="Applicationdirecte"/>
        <w:rPr>
          <w:noProof/>
        </w:rPr>
      </w:pPr>
    </w:p>
    <w:p w:rsidR="001D642D" w:rsidRDefault="00DA3274" w:rsidP="00DA3274">
      <w:pPr>
        <w:pStyle w:val="Fait"/>
        <w:rPr>
          <w:noProof/>
        </w:rPr>
      </w:pPr>
      <w:r w:rsidRPr="00DA3274">
        <w:t>Done at Brussels,</w:t>
      </w:r>
    </w:p>
    <w:p w:rsidR="001D642D" w:rsidRDefault="00DA3274">
      <w:pPr>
        <w:pStyle w:val="Institutionquisigne"/>
        <w:rPr>
          <w:noProof/>
        </w:rPr>
      </w:pPr>
      <w:r>
        <w:rPr>
          <w:noProof/>
        </w:rPr>
        <w:t>For the European Parliament</w:t>
      </w:r>
      <w:r>
        <w:rPr>
          <w:noProof/>
        </w:rPr>
        <w:tab/>
        <w:t>For the Council</w:t>
      </w:r>
    </w:p>
    <w:p w:rsidR="001D642D" w:rsidRDefault="00DA3274">
      <w:pPr>
        <w:pStyle w:val="Personnequisigne"/>
        <w:rPr>
          <w:noProof/>
        </w:rPr>
      </w:pPr>
      <w:r>
        <w:rPr>
          <w:noProof/>
        </w:rPr>
        <w:t>The President</w:t>
      </w:r>
      <w:r>
        <w:rPr>
          <w:noProof/>
        </w:rPr>
        <w:tab/>
        <w:t>The President</w:t>
      </w:r>
    </w:p>
    <w:p w:rsidR="001D642D" w:rsidRDefault="00DA3274">
      <w:pPr>
        <w:spacing w:before="0" w:after="200" w:line="276" w:lineRule="auto"/>
        <w:jc w:val="left"/>
        <w:rPr>
          <w:noProof/>
        </w:rPr>
      </w:pPr>
      <w:r>
        <w:rPr>
          <w:noProof/>
        </w:rPr>
        <w:br w:type="page"/>
      </w:r>
    </w:p>
    <w:p w:rsidR="001D642D" w:rsidRDefault="00DA3274">
      <w:pPr>
        <w:pStyle w:val="Fichefinanciretitre"/>
        <w:rPr>
          <w:noProof/>
        </w:rPr>
      </w:pPr>
      <w:r>
        <w:rPr>
          <w:noProof/>
        </w:rPr>
        <w:t>LEGISLATIVE FINANCIAL STATEMENT</w:t>
      </w:r>
    </w:p>
    <w:p w:rsidR="001D642D" w:rsidRDefault="00DA3274">
      <w:pPr>
        <w:pStyle w:val="ManualHeading1"/>
        <w:rPr>
          <w:noProof/>
        </w:rPr>
      </w:pPr>
      <w:r>
        <w:rPr>
          <w:noProof/>
        </w:rPr>
        <w:t>1.</w:t>
      </w:r>
      <w:r>
        <w:rPr>
          <w:noProof/>
        </w:rPr>
        <w:tab/>
        <w:t xml:space="preserve">FRAMEWORK OF THE PROPOSAL/INITIATIVE </w:t>
      </w:r>
    </w:p>
    <w:p w:rsidR="001D642D" w:rsidRDefault="00DA3274">
      <w:pPr>
        <w:pStyle w:val="ManualHeading2"/>
        <w:rPr>
          <w:b w:val="0"/>
          <w:noProof/>
        </w:rPr>
      </w:pPr>
      <w:r>
        <w:rPr>
          <w:noProof/>
        </w:rPr>
        <w:tab/>
      </w:r>
      <w:r>
        <w:rPr>
          <w:b w:val="0"/>
          <w:noProof/>
        </w:rPr>
        <w:t>1.1.</w:t>
      </w:r>
      <w:r>
        <w:rPr>
          <w:b w:val="0"/>
          <w:noProof/>
        </w:rPr>
        <w:tab/>
        <w:t xml:space="preserve">Title of the proposl/initiative </w:t>
      </w:r>
    </w:p>
    <w:p w:rsidR="001D642D" w:rsidRDefault="00DA3274">
      <w:pPr>
        <w:pStyle w:val="ManualHeading2"/>
        <w:rPr>
          <w:b w:val="0"/>
          <w:noProof/>
        </w:rPr>
      </w:pPr>
      <w:r>
        <w:rPr>
          <w:b w:val="0"/>
          <w:noProof/>
        </w:rPr>
        <w:tab/>
        <w:t>1.2.</w:t>
      </w:r>
      <w:r>
        <w:rPr>
          <w:b w:val="0"/>
          <w:noProof/>
        </w:rPr>
        <w:tab/>
        <w:t>Policy area(s) concerned</w:t>
      </w:r>
    </w:p>
    <w:p w:rsidR="001D642D" w:rsidRDefault="00DA3274">
      <w:pPr>
        <w:pStyle w:val="ManualHeading2"/>
        <w:rPr>
          <w:b w:val="0"/>
          <w:noProof/>
        </w:rPr>
      </w:pPr>
      <w:r>
        <w:rPr>
          <w:b w:val="0"/>
          <w:noProof/>
        </w:rPr>
        <w:tab/>
        <w:t>1.3.</w:t>
      </w:r>
      <w:r>
        <w:rPr>
          <w:b w:val="0"/>
          <w:noProof/>
        </w:rPr>
        <w:tab/>
        <w:t xml:space="preserve">Nature of the proposal/initiative </w:t>
      </w:r>
    </w:p>
    <w:p w:rsidR="001D642D" w:rsidRDefault="00DA3274">
      <w:pPr>
        <w:pStyle w:val="ManualHeading2"/>
        <w:rPr>
          <w:b w:val="0"/>
          <w:noProof/>
        </w:rPr>
      </w:pPr>
      <w:r>
        <w:rPr>
          <w:b w:val="0"/>
          <w:noProof/>
        </w:rPr>
        <w:tab/>
        <w:t>1.4.</w:t>
      </w:r>
      <w:r>
        <w:rPr>
          <w:b w:val="0"/>
          <w:noProof/>
        </w:rPr>
        <w:tab/>
        <w:t xml:space="preserve">Objective(s) </w:t>
      </w:r>
    </w:p>
    <w:p w:rsidR="001D642D" w:rsidRDefault="00DA3274">
      <w:pPr>
        <w:pStyle w:val="ManualHeading2"/>
        <w:rPr>
          <w:b w:val="0"/>
          <w:noProof/>
        </w:rPr>
      </w:pPr>
      <w:r>
        <w:rPr>
          <w:b w:val="0"/>
          <w:noProof/>
        </w:rPr>
        <w:tab/>
        <w:t>1.5.</w:t>
      </w:r>
      <w:r>
        <w:rPr>
          <w:b w:val="0"/>
          <w:noProof/>
        </w:rPr>
        <w:tab/>
        <w:t xml:space="preserve">Grounds for the proposal/initiative </w:t>
      </w:r>
    </w:p>
    <w:p w:rsidR="001D642D" w:rsidRDefault="00DA3274">
      <w:pPr>
        <w:pStyle w:val="ManualHeading2"/>
        <w:rPr>
          <w:b w:val="0"/>
          <w:noProof/>
        </w:rPr>
      </w:pPr>
      <w:r>
        <w:rPr>
          <w:b w:val="0"/>
          <w:noProof/>
        </w:rPr>
        <w:tab/>
        <w:t>1.6.</w:t>
      </w:r>
      <w:r>
        <w:rPr>
          <w:b w:val="0"/>
          <w:noProof/>
        </w:rPr>
        <w:tab/>
        <w:t xml:space="preserve">Duration and financial impact </w:t>
      </w:r>
    </w:p>
    <w:p w:rsidR="001D642D" w:rsidRDefault="00DA3274">
      <w:pPr>
        <w:pStyle w:val="ManualHeading2"/>
        <w:rPr>
          <w:b w:val="0"/>
          <w:noProof/>
        </w:rPr>
      </w:pPr>
      <w:r>
        <w:rPr>
          <w:b w:val="0"/>
          <w:noProof/>
        </w:rPr>
        <w:tab/>
        <w:t>1.7.</w:t>
      </w:r>
      <w:r>
        <w:rPr>
          <w:b w:val="0"/>
          <w:noProof/>
        </w:rPr>
        <w:tab/>
        <w:t xml:space="preserve">Management mode(s) planned </w:t>
      </w:r>
    </w:p>
    <w:p w:rsidR="001D642D" w:rsidRDefault="00DA3274">
      <w:pPr>
        <w:pStyle w:val="ManualHeading1"/>
        <w:rPr>
          <w:noProof/>
        </w:rPr>
      </w:pPr>
      <w:r>
        <w:rPr>
          <w:noProof/>
        </w:rPr>
        <w:t>2.</w:t>
      </w:r>
      <w:r>
        <w:rPr>
          <w:noProof/>
        </w:rPr>
        <w:tab/>
        <w:t xml:space="preserve">MANAGEMENT MEASURES </w:t>
      </w:r>
    </w:p>
    <w:p w:rsidR="001D642D" w:rsidRDefault="00DA3274">
      <w:pPr>
        <w:pStyle w:val="ManualHeading2"/>
        <w:rPr>
          <w:b w:val="0"/>
          <w:noProof/>
        </w:rPr>
      </w:pPr>
      <w:r>
        <w:rPr>
          <w:b w:val="0"/>
          <w:noProof/>
        </w:rPr>
        <w:tab/>
        <w:t>2.1.</w:t>
      </w:r>
      <w:r>
        <w:rPr>
          <w:b w:val="0"/>
          <w:noProof/>
        </w:rPr>
        <w:tab/>
        <w:t xml:space="preserve">Monitoring and reporting rules </w:t>
      </w:r>
    </w:p>
    <w:p w:rsidR="001D642D" w:rsidRDefault="00DA3274">
      <w:pPr>
        <w:pStyle w:val="ManualHeading2"/>
        <w:rPr>
          <w:b w:val="0"/>
          <w:noProof/>
        </w:rPr>
      </w:pPr>
      <w:r>
        <w:rPr>
          <w:b w:val="0"/>
          <w:noProof/>
        </w:rPr>
        <w:tab/>
        <w:t>2.2.</w:t>
      </w:r>
      <w:r>
        <w:rPr>
          <w:b w:val="0"/>
          <w:noProof/>
        </w:rPr>
        <w:tab/>
        <w:t xml:space="preserve">Management and control system </w:t>
      </w:r>
    </w:p>
    <w:p w:rsidR="001D642D" w:rsidRDefault="00DA3274">
      <w:pPr>
        <w:pStyle w:val="ManualHeading2"/>
        <w:rPr>
          <w:b w:val="0"/>
          <w:noProof/>
        </w:rPr>
      </w:pPr>
      <w:r>
        <w:rPr>
          <w:b w:val="0"/>
          <w:noProof/>
        </w:rPr>
        <w:tab/>
        <w:t>2.3.</w:t>
      </w:r>
      <w:r>
        <w:rPr>
          <w:b w:val="0"/>
          <w:noProof/>
        </w:rPr>
        <w:tab/>
        <w:t xml:space="preserve">Measures to prevent fraud and irregularities </w:t>
      </w:r>
    </w:p>
    <w:p w:rsidR="001D642D" w:rsidRDefault="00DA3274">
      <w:pPr>
        <w:pStyle w:val="ManualHeading1"/>
        <w:rPr>
          <w:noProof/>
        </w:rPr>
      </w:pPr>
      <w:r>
        <w:rPr>
          <w:noProof/>
        </w:rPr>
        <w:t>3.</w:t>
      </w:r>
      <w:r>
        <w:rPr>
          <w:noProof/>
        </w:rPr>
        <w:tab/>
        <w:t xml:space="preserve">ESTIMATED FINANCIAL IMPACT OF THE PROPOSAL/INITIATIVE </w:t>
      </w:r>
    </w:p>
    <w:p w:rsidR="001D642D" w:rsidRDefault="00DA3274">
      <w:pPr>
        <w:pStyle w:val="ManualHeading2"/>
        <w:rPr>
          <w:b w:val="0"/>
          <w:noProof/>
        </w:rPr>
      </w:pPr>
      <w:r>
        <w:rPr>
          <w:b w:val="0"/>
          <w:noProof/>
        </w:rPr>
        <w:tab/>
        <w:t>3.1.</w:t>
      </w:r>
      <w:r>
        <w:rPr>
          <w:b w:val="0"/>
          <w:noProof/>
        </w:rPr>
        <w:tab/>
        <w:t xml:space="preserve">Heading(s) of the multiannual financial framework and expenditure budget line(s) affected </w:t>
      </w:r>
    </w:p>
    <w:p w:rsidR="001D642D" w:rsidRDefault="00DA3274">
      <w:pPr>
        <w:pStyle w:val="ManualHeading2"/>
        <w:rPr>
          <w:noProof/>
        </w:rPr>
      </w:pPr>
      <w:r>
        <w:rPr>
          <w:b w:val="0"/>
          <w:noProof/>
        </w:rPr>
        <w:tab/>
        <w:t>3.2.</w:t>
      </w:r>
      <w:r>
        <w:rPr>
          <w:b w:val="0"/>
          <w:noProof/>
        </w:rPr>
        <w:tab/>
        <w:t>Estimated impact on expenditure</w:t>
      </w:r>
      <w:r>
        <w:rPr>
          <w:noProof/>
        </w:rPr>
        <w:t xml:space="preserve"> </w:t>
      </w:r>
    </w:p>
    <w:p w:rsidR="001D642D" w:rsidRDefault="00DA3274">
      <w:pPr>
        <w:pStyle w:val="ManualHeading3"/>
        <w:rPr>
          <w:noProof/>
        </w:rPr>
      </w:pPr>
      <w:r>
        <w:rPr>
          <w:noProof/>
        </w:rPr>
        <w:tab/>
        <w:t>3.2.1.</w:t>
      </w:r>
      <w:r>
        <w:rPr>
          <w:noProof/>
        </w:rPr>
        <w:tab/>
        <w:t xml:space="preserve">Summary of estimated impact on expenditure </w:t>
      </w:r>
    </w:p>
    <w:p w:rsidR="001D642D" w:rsidRDefault="00DA3274">
      <w:pPr>
        <w:pStyle w:val="ManualHeading3"/>
        <w:rPr>
          <w:noProof/>
        </w:rPr>
      </w:pPr>
      <w:r>
        <w:rPr>
          <w:noProof/>
        </w:rPr>
        <w:tab/>
        <w:t>3.2.2.</w:t>
      </w:r>
      <w:r>
        <w:rPr>
          <w:noProof/>
        </w:rPr>
        <w:tab/>
        <w:t xml:space="preserve">Estimated impact on operational appropriations </w:t>
      </w:r>
    </w:p>
    <w:p w:rsidR="001D642D" w:rsidRDefault="00DA3274">
      <w:pPr>
        <w:pStyle w:val="ManualHeading3"/>
        <w:rPr>
          <w:noProof/>
        </w:rPr>
      </w:pPr>
      <w:r>
        <w:rPr>
          <w:noProof/>
        </w:rPr>
        <w:tab/>
        <w:t>3.2.3.</w:t>
      </w:r>
      <w:r>
        <w:rPr>
          <w:noProof/>
        </w:rPr>
        <w:tab/>
        <w:t>Estimated impact on appropriations of an administrative nature</w:t>
      </w:r>
    </w:p>
    <w:p w:rsidR="001D642D" w:rsidRDefault="00DA3274">
      <w:pPr>
        <w:pStyle w:val="ManualHeading3"/>
        <w:rPr>
          <w:noProof/>
        </w:rPr>
      </w:pPr>
      <w:r>
        <w:rPr>
          <w:noProof/>
        </w:rPr>
        <w:tab/>
        <w:t>3.2.4.</w:t>
      </w:r>
      <w:r>
        <w:rPr>
          <w:noProof/>
        </w:rPr>
        <w:tab/>
        <w:t>Compatibility with the current multiannual financial framework</w:t>
      </w:r>
    </w:p>
    <w:p w:rsidR="001D642D" w:rsidRDefault="00DA3274">
      <w:pPr>
        <w:pStyle w:val="ManualHeading3"/>
        <w:rPr>
          <w:noProof/>
        </w:rPr>
      </w:pPr>
      <w:r>
        <w:rPr>
          <w:noProof/>
        </w:rPr>
        <w:tab/>
        <w:t>3.2.5.</w:t>
      </w:r>
      <w:r>
        <w:rPr>
          <w:noProof/>
        </w:rPr>
        <w:tab/>
        <w:t xml:space="preserve">Third-party contributions </w:t>
      </w:r>
    </w:p>
    <w:p w:rsidR="001D642D" w:rsidRDefault="00DA3274">
      <w:pPr>
        <w:pStyle w:val="ManualHeading2"/>
        <w:jc w:val="left"/>
        <w:rPr>
          <w:b w:val="0"/>
          <w:noProof/>
        </w:rPr>
        <w:sectPr w:rsidR="001D642D" w:rsidSect="00DA3274">
          <w:pgSz w:w="11907" w:h="16840" w:code="9"/>
          <w:pgMar w:top="1134" w:right="1418" w:bottom="1134" w:left="1418" w:header="709" w:footer="709" w:gutter="0"/>
          <w:cols w:space="720"/>
          <w:docGrid w:linePitch="360"/>
        </w:sectPr>
      </w:pPr>
      <w:r>
        <w:rPr>
          <w:b w:val="0"/>
          <w:noProof/>
        </w:rPr>
        <w:tab/>
        <w:t>3.3.</w:t>
      </w:r>
      <w:r>
        <w:rPr>
          <w:b w:val="0"/>
          <w:noProof/>
        </w:rPr>
        <w:tab/>
        <w:t>Estimated impact on revenue</w:t>
      </w:r>
    </w:p>
    <w:p w:rsidR="001D642D" w:rsidRDefault="00DA3274">
      <w:pPr>
        <w:jc w:val="center"/>
        <w:rPr>
          <w:b/>
          <w:noProof/>
          <w:u w:val="single"/>
        </w:rPr>
      </w:pPr>
      <w:r>
        <w:rPr>
          <w:b/>
          <w:noProof/>
          <w:u w:val="single"/>
        </w:rPr>
        <w:t>LEGISLATIVE FINANCIAL STATEMENT</w:t>
      </w:r>
    </w:p>
    <w:p w:rsidR="001D642D" w:rsidRDefault="00DA3274">
      <w:pPr>
        <w:pStyle w:val="ManualHeading1"/>
        <w:rPr>
          <w:noProof/>
        </w:rPr>
      </w:pPr>
      <w:r>
        <w:t>1.</w:t>
      </w:r>
      <w:r>
        <w:tab/>
      </w:r>
      <w:r>
        <w:rPr>
          <w:noProof/>
        </w:rPr>
        <w:t xml:space="preserve">FRAMEWORK OF THE PROPOSAL/INITIATIVE </w:t>
      </w:r>
    </w:p>
    <w:p w:rsidR="001D642D" w:rsidRDefault="00DA3274">
      <w:pPr>
        <w:pStyle w:val="ManualHeading2"/>
        <w:rPr>
          <w:noProof/>
        </w:rPr>
      </w:pPr>
      <w:r>
        <w:t>1.1.</w:t>
      </w:r>
      <w:r>
        <w:tab/>
      </w:r>
      <w:r>
        <w:rPr>
          <w:noProof/>
        </w:rPr>
        <w:t xml:space="preserve">Title of the proposal/initiative </w:t>
      </w:r>
    </w:p>
    <w:p w:rsidR="001D642D" w:rsidRDefault="00DA3274">
      <w:pPr>
        <w:pStyle w:val="Text1"/>
        <w:pBdr>
          <w:top w:val="single" w:sz="4" w:space="1" w:color="auto"/>
          <w:left w:val="single" w:sz="4" w:space="4" w:color="auto"/>
          <w:bottom w:val="single" w:sz="4" w:space="1" w:color="auto"/>
          <w:right w:val="single" w:sz="4" w:space="4" w:color="auto"/>
        </w:pBdr>
        <w:rPr>
          <w:noProof/>
        </w:rPr>
      </w:pPr>
      <w:r>
        <w:rPr>
          <w:noProof/>
        </w:rPr>
        <w:t xml:space="preserve">Proposal for a Regulation of the European Parliament and the Council amending Regulation (EU) 2017/825 to increase the financial envelope of the Structural Reform Support Programme and adapt its general objective </w:t>
      </w:r>
    </w:p>
    <w:p w:rsidR="001D642D" w:rsidRDefault="00DA3274">
      <w:pPr>
        <w:pStyle w:val="ManualHeading2"/>
        <w:rPr>
          <w:noProof/>
          <w:szCs w:val="24"/>
        </w:rPr>
      </w:pPr>
      <w:r>
        <w:t>1.2.</w:t>
      </w:r>
      <w:r>
        <w:tab/>
      </w:r>
      <w:r>
        <w:rPr>
          <w:noProof/>
        </w:rPr>
        <w:t>Policy area(s) concerned</w:t>
      </w:r>
      <w:r>
        <w:rPr>
          <w:i/>
          <w:noProof/>
        </w:rPr>
        <w:t xml:space="preserve"> </w:t>
      </w:r>
    </w:p>
    <w:p w:rsidR="001D642D" w:rsidRDefault="00DA3274">
      <w:pPr>
        <w:pStyle w:val="Text1"/>
        <w:pBdr>
          <w:top w:val="single" w:sz="4" w:space="1" w:color="auto"/>
          <w:left w:val="single" w:sz="4" w:space="4" w:color="auto"/>
          <w:bottom w:val="single" w:sz="4" w:space="1" w:color="auto"/>
          <w:right w:val="single" w:sz="4" w:space="4" w:color="auto"/>
        </w:pBdr>
        <w:jc w:val="left"/>
        <w:rPr>
          <w:noProof/>
        </w:rPr>
      </w:pPr>
      <w:r>
        <w:rPr>
          <w:noProof/>
        </w:rPr>
        <w:t xml:space="preserve">Policy area: </w:t>
      </w:r>
      <w:r>
        <w:rPr>
          <w:caps/>
          <w:noProof/>
        </w:rPr>
        <w:t>Commission’s policy coordination and legal advice</w:t>
      </w:r>
    </w:p>
    <w:p w:rsidR="001D642D" w:rsidRDefault="00DA3274">
      <w:pPr>
        <w:pStyle w:val="Text1"/>
        <w:pBdr>
          <w:top w:val="single" w:sz="4" w:space="1" w:color="auto"/>
          <w:left w:val="single" w:sz="4" w:space="4" w:color="auto"/>
          <w:bottom w:val="single" w:sz="4" w:space="1" w:color="auto"/>
          <w:right w:val="single" w:sz="4" w:space="4" w:color="auto"/>
        </w:pBdr>
        <w:jc w:val="left"/>
        <w:rPr>
          <w:noProof/>
        </w:rPr>
      </w:pPr>
      <w:r>
        <w:rPr>
          <w:noProof/>
        </w:rPr>
        <w:t>ABB activity: Structural Reform Support Programme</w:t>
      </w:r>
    </w:p>
    <w:p w:rsidR="001D642D" w:rsidRDefault="00DA3274">
      <w:pPr>
        <w:pStyle w:val="Text1"/>
        <w:pBdr>
          <w:top w:val="single" w:sz="4" w:space="1" w:color="auto"/>
          <w:left w:val="single" w:sz="4" w:space="4" w:color="auto"/>
          <w:bottom w:val="single" w:sz="4" w:space="1" w:color="auto"/>
          <w:right w:val="single" w:sz="4" w:space="4" w:color="auto"/>
        </w:pBdr>
        <w:jc w:val="left"/>
        <w:rPr>
          <w:noProof/>
        </w:rPr>
      </w:pPr>
      <w:r>
        <w:rPr>
          <w:noProof/>
        </w:rPr>
        <w:t>For a detail account of the ABB activity refer to section 3.2</w:t>
      </w:r>
    </w:p>
    <w:p w:rsidR="001D642D" w:rsidRDefault="00DA3274">
      <w:pPr>
        <w:pStyle w:val="Text1"/>
        <w:pBdr>
          <w:top w:val="single" w:sz="4" w:space="1" w:color="auto"/>
          <w:left w:val="single" w:sz="4" w:space="4" w:color="auto"/>
          <w:bottom w:val="single" w:sz="4" w:space="1" w:color="auto"/>
          <w:right w:val="single" w:sz="4" w:space="4" w:color="auto"/>
        </w:pBdr>
        <w:jc w:val="left"/>
        <w:rPr>
          <w:noProof/>
        </w:rPr>
      </w:pPr>
      <w:r>
        <w:rPr>
          <w:noProof/>
        </w:rPr>
        <w:t>Policy Area: Employment, Social Affaires and Inclusion</w:t>
      </w:r>
    </w:p>
    <w:p w:rsidR="001D642D" w:rsidRDefault="00DA3274">
      <w:pPr>
        <w:pStyle w:val="Text1"/>
        <w:pBdr>
          <w:top w:val="single" w:sz="4" w:space="1" w:color="auto"/>
          <w:left w:val="single" w:sz="4" w:space="4" w:color="auto"/>
          <w:bottom w:val="single" w:sz="4" w:space="1" w:color="auto"/>
          <w:right w:val="single" w:sz="4" w:space="4" w:color="auto"/>
        </w:pBdr>
        <w:jc w:val="left"/>
        <w:rPr>
          <w:noProof/>
        </w:rPr>
      </w:pPr>
      <w:r>
        <w:rPr>
          <w:noProof/>
        </w:rPr>
        <w:t>Policy Area: Regional and Urban Policy</w:t>
      </w:r>
    </w:p>
    <w:p w:rsidR="001D642D" w:rsidRDefault="00DA3274">
      <w:pPr>
        <w:pStyle w:val="Text1"/>
        <w:pBdr>
          <w:top w:val="single" w:sz="4" w:space="1" w:color="auto"/>
          <w:left w:val="single" w:sz="4" w:space="4" w:color="auto"/>
          <w:bottom w:val="single" w:sz="4" w:space="1" w:color="auto"/>
          <w:right w:val="single" w:sz="4" w:space="4" w:color="auto"/>
        </w:pBdr>
        <w:rPr>
          <w:noProof/>
        </w:rPr>
      </w:pPr>
      <w:r>
        <w:rPr>
          <w:noProof/>
        </w:rPr>
        <w:t>Policy Area: Agriculture and Rural Development</w:t>
      </w:r>
    </w:p>
    <w:p w:rsidR="001D642D" w:rsidRDefault="00DA3274">
      <w:pPr>
        <w:pStyle w:val="Text1"/>
        <w:pBdr>
          <w:top w:val="single" w:sz="4" w:space="1" w:color="auto"/>
          <w:left w:val="single" w:sz="4" w:space="4" w:color="auto"/>
          <w:bottom w:val="single" w:sz="4" w:space="1" w:color="auto"/>
          <w:right w:val="single" w:sz="4" w:space="4" w:color="auto"/>
        </w:pBdr>
        <w:rPr>
          <w:noProof/>
        </w:rPr>
      </w:pPr>
      <w:r>
        <w:rPr>
          <w:noProof/>
        </w:rPr>
        <w:t>Policy Area: Migration and Asylum</w:t>
      </w:r>
    </w:p>
    <w:p w:rsidR="001D642D" w:rsidRDefault="00DA3274">
      <w:pPr>
        <w:pStyle w:val="Text1"/>
        <w:pBdr>
          <w:top w:val="single" w:sz="4" w:space="1" w:color="auto"/>
          <w:left w:val="single" w:sz="4" w:space="4" w:color="auto"/>
          <w:bottom w:val="single" w:sz="4" w:space="1" w:color="auto"/>
          <w:right w:val="single" w:sz="4" w:space="4" w:color="auto"/>
        </w:pBdr>
        <w:rPr>
          <w:noProof/>
        </w:rPr>
      </w:pPr>
      <w:r>
        <w:rPr>
          <w:noProof/>
        </w:rPr>
        <w:t>Policy Area: Economic and Financial Affairs</w:t>
      </w:r>
    </w:p>
    <w:p w:rsidR="001D642D" w:rsidRDefault="00DA3274">
      <w:pPr>
        <w:pStyle w:val="ManualHeading2"/>
        <w:rPr>
          <w:bCs/>
          <w:noProof/>
          <w:szCs w:val="24"/>
        </w:rPr>
      </w:pPr>
      <w:r>
        <w:t>1.3.</w:t>
      </w:r>
      <w:r>
        <w:tab/>
      </w:r>
      <w:r>
        <w:rPr>
          <w:noProof/>
        </w:rPr>
        <w:t xml:space="preserve">Nature of the proposal/initiative </w:t>
      </w:r>
    </w:p>
    <w:p w:rsidR="001D642D" w:rsidRDefault="00DA3274">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rsidR="001D642D" w:rsidRDefault="00DA3274">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8"/>
      </w:r>
      <w:r>
        <w:rPr>
          <w:noProof/>
          <w:sz w:val="22"/>
        </w:rPr>
        <w:t xml:space="preserve"> </w:t>
      </w:r>
    </w:p>
    <w:p w:rsidR="001D642D" w:rsidRDefault="00DA3274">
      <w:pPr>
        <w:pStyle w:val="Text1"/>
        <w:rPr>
          <w:noProof/>
          <w:sz w:val="22"/>
        </w:rPr>
      </w:pPr>
      <w:r>
        <w:rPr>
          <w:noProof/>
          <w:sz w:val="22"/>
        </w:rPr>
        <w:sym w:font="Wingdings" w:char="F0FC"/>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1D642D" w:rsidRDefault="00DA3274">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1D642D" w:rsidRDefault="00DA3274">
      <w:pPr>
        <w:pStyle w:val="ManualHeading2"/>
        <w:rPr>
          <w:bCs/>
          <w:noProof/>
          <w:szCs w:val="24"/>
        </w:rPr>
      </w:pPr>
      <w:r>
        <w:t>1.4.</w:t>
      </w:r>
      <w:r>
        <w:tab/>
      </w:r>
      <w:r>
        <w:rPr>
          <w:noProof/>
        </w:rPr>
        <w:t>Objective(s)</w:t>
      </w:r>
    </w:p>
    <w:p w:rsidR="001D642D" w:rsidRDefault="00DA3274">
      <w:pPr>
        <w:pStyle w:val="ManualHeading3"/>
        <w:rPr>
          <w:noProof/>
        </w:rPr>
      </w:pPr>
      <w:r>
        <w:t>1.4.1.</w:t>
      </w:r>
      <w:r>
        <w:tab/>
      </w:r>
      <w:r>
        <w:rPr>
          <w:noProof/>
        </w:rPr>
        <w:t xml:space="preserve">The Commission's multiannual strategic objective(s) targeted by the proposal/initiative </w:t>
      </w:r>
    </w:p>
    <w:p w:rsidR="001D642D" w:rsidRDefault="00DA3274">
      <w:pPr>
        <w:pStyle w:val="Text1"/>
        <w:pBdr>
          <w:top w:val="single" w:sz="4" w:space="1" w:color="auto"/>
          <w:left w:val="single" w:sz="4" w:space="4" w:color="auto"/>
          <w:bottom w:val="single" w:sz="4" w:space="0" w:color="auto"/>
          <w:right w:val="single" w:sz="4" w:space="4" w:color="auto"/>
        </w:pBdr>
        <w:rPr>
          <w:noProof/>
        </w:rPr>
      </w:pPr>
      <w:r>
        <w:rPr>
          <w:noProof/>
        </w:rPr>
        <w:t xml:space="preserve">The programme contributes to the priority: a new boost for jobs, growth and </w:t>
      </w:r>
      <w:r w:rsidR="00FB23BD">
        <w:rPr>
          <w:noProof/>
        </w:rPr>
        <w:t>investment</w:t>
      </w:r>
      <w:r>
        <w:rPr>
          <w:noProof/>
        </w:rPr>
        <w:t xml:space="preserve">. </w:t>
      </w:r>
    </w:p>
    <w:p w:rsidR="001D642D" w:rsidRDefault="00DA3274">
      <w:pPr>
        <w:pStyle w:val="Text1"/>
        <w:pBdr>
          <w:top w:val="single" w:sz="4" w:space="1" w:color="auto"/>
          <w:left w:val="single" w:sz="4" w:space="4" w:color="auto"/>
          <w:bottom w:val="single" w:sz="4" w:space="0" w:color="auto"/>
          <w:right w:val="single" w:sz="4" w:space="4" w:color="auto"/>
        </w:pBdr>
        <w:rPr>
          <w:noProof/>
        </w:rPr>
      </w:pPr>
      <w:r>
        <w:rPr>
          <w:noProof/>
        </w:rPr>
        <w:t>The Programme general objective, as amended by this proposal, is to contribute to institutional, administrative and growth-sustaining structural reforms in the Member States by providing support to national authorities for measures aimed at reforming and strengthening institutions, governance, public administration, and economic and social sectors in response to economic and social challenges, with a view to enhancing cohesion, competitiveness, productivity, sustainable growth, job creation, and investment, which will also prepare for participation in the euro area, in particular in the context of economic governance processes, including through assistance for the efficient, effective and transparent use of the Union funds..</w:t>
      </w:r>
    </w:p>
    <w:p w:rsidR="001D642D" w:rsidRDefault="00DA3274">
      <w:pPr>
        <w:pStyle w:val="Text1"/>
        <w:pBdr>
          <w:top w:val="single" w:sz="4" w:space="1" w:color="auto"/>
          <w:left w:val="single" w:sz="4" w:space="4" w:color="auto"/>
          <w:bottom w:val="single" w:sz="4" w:space="0" w:color="auto"/>
          <w:right w:val="single" w:sz="4" w:space="4" w:color="auto"/>
        </w:pBdr>
        <w:rPr>
          <w:noProof/>
        </w:rPr>
      </w:pPr>
      <w:r>
        <w:rPr>
          <w:noProof/>
        </w:rPr>
        <w:t>In particular, with the proposed amendment the, Programme will also contribute to supporting reforms that may help Members States in their preparation to join the euro area.</w:t>
      </w:r>
    </w:p>
    <w:p w:rsidR="001D642D" w:rsidRDefault="00DA3274">
      <w:pPr>
        <w:pStyle w:val="ManualHeading3"/>
        <w:rPr>
          <w:bCs/>
          <w:noProof/>
          <w:szCs w:val="24"/>
        </w:rPr>
      </w:pPr>
      <w:r>
        <w:t>1.4.2.</w:t>
      </w:r>
      <w:r>
        <w:tab/>
      </w:r>
      <w:r>
        <w:rPr>
          <w:noProof/>
        </w:rPr>
        <w:t xml:space="preserve">Specific objective(s) and Specific objective No </w:t>
      </w:r>
      <w:r>
        <w:rPr>
          <w:noProof/>
          <w:lang w:val="en-US"/>
        </w:rPr>
        <w:t>[ ]</w:t>
      </w:r>
      <w:r>
        <w:rPr>
          <w:noProof/>
        </w:rPr>
        <w:t xml:space="preserve"> </w:t>
      </w:r>
    </w:p>
    <w:p w:rsidR="001D642D" w:rsidRDefault="00DA3274">
      <w:pPr>
        <w:pStyle w:val="Text1"/>
        <w:pBdr>
          <w:top w:val="single" w:sz="4" w:space="1" w:color="auto"/>
          <w:left w:val="single" w:sz="4" w:space="4" w:color="auto"/>
          <w:bottom w:val="single" w:sz="4" w:space="1" w:color="auto"/>
          <w:right w:val="single" w:sz="4" w:space="4" w:color="auto"/>
        </w:pBdr>
        <w:rPr>
          <w:bCs/>
          <w:noProof/>
          <w:szCs w:val="24"/>
        </w:rPr>
      </w:pPr>
      <w:r>
        <w:rPr>
          <w:noProof/>
        </w:rPr>
        <w:t>As this proposal is an amendment to Regulation (EU) 2017/825, the specific objectives of the proposal are the same of Article 5 of the Regulation.</w:t>
      </w:r>
    </w:p>
    <w:p w:rsidR="001D642D" w:rsidRDefault="001D642D">
      <w:pPr>
        <w:pStyle w:val="Text1"/>
        <w:pBdr>
          <w:top w:val="single" w:sz="4" w:space="1" w:color="auto"/>
          <w:left w:val="single" w:sz="4" w:space="4" w:color="auto"/>
          <w:bottom w:val="single" w:sz="4" w:space="1" w:color="auto"/>
          <w:right w:val="single" w:sz="4" w:space="4" w:color="auto"/>
        </w:pBdr>
        <w:rPr>
          <w:noProof/>
        </w:rPr>
      </w:pPr>
    </w:p>
    <w:p w:rsidR="001D642D" w:rsidRDefault="00DA3274">
      <w:pPr>
        <w:pStyle w:val="ManualHeading3"/>
        <w:rPr>
          <w:bCs/>
          <w:noProof/>
          <w:szCs w:val="24"/>
        </w:rPr>
      </w:pPr>
      <w:r>
        <w:t>1.4.3.</w:t>
      </w:r>
      <w:r>
        <w:tab/>
      </w:r>
      <w:r>
        <w:rPr>
          <w:noProof/>
        </w:rPr>
        <w:t>Expected result(s) and impact</w:t>
      </w:r>
    </w:p>
    <w:p w:rsidR="001D642D" w:rsidRDefault="00DA3274">
      <w:pPr>
        <w:pStyle w:val="Text1"/>
        <w:rPr>
          <w:i/>
          <w:noProof/>
          <w:sz w:val="20"/>
        </w:rPr>
      </w:pPr>
      <w:r>
        <w:rPr>
          <w:i/>
          <w:noProof/>
          <w:sz w:val="20"/>
        </w:rPr>
        <w:t>Specify the effects which the proposal/initiative should have on the beneficiaries/groups targeted.</w:t>
      </w:r>
    </w:p>
    <w:p w:rsidR="001D642D" w:rsidRDefault="00DA3274">
      <w:pPr>
        <w:pStyle w:val="Text1"/>
        <w:pBdr>
          <w:top w:val="single" w:sz="4" w:space="1" w:color="auto"/>
          <w:left w:val="single" w:sz="4" w:space="4" w:color="auto"/>
          <w:bottom w:val="single" w:sz="4" w:space="1" w:color="auto"/>
          <w:right w:val="single" w:sz="4" w:space="4" w:color="auto"/>
        </w:pBdr>
        <w:rPr>
          <w:noProof/>
        </w:rPr>
      </w:pPr>
      <w:r>
        <w:rPr>
          <w:noProof/>
        </w:rPr>
        <w:t>The expected results are those of Regulation (EU) 2017/825, as reflected on the proposal COM(2015)701final.</w:t>
      </w:r>
    </w:p>
    <w:p w:rsidR="001D642D" w:rsidRDefault="00DA3274">
      <w:pPr>
        <w:pStyle w:val="Text1"/>
        <w:pBdr>
          <w:top w:val="single" w:sz="4" w:space="1" w:color="auto"/>
          <w:left w:val="single" w:sz="4" w:space="4" w:color="auto"/>
          <w:bottom w:val="single" w:sz="4" w:space="1" w:color="auto"/>
          <w:right w:val="single" w:sz="4" w:space="4" w:color="auto"/>
        </w:pBdr>
        <w:rPr>
          <w:noProof/>
        </w:rPr>
      </w:pPr>
      <w:r>
        <w:rPr>
          <w:noProof/>
        </w:rPr>
        <w:t>The amendment proposed is also expected to reinforce the administrative capacity in the Member States to reform institutions, the administration, economic and social sectors, to foster sustainable convergence with a view to help Members States in their preparation to join the euro area.</w:t>
      </w:r>
    </w:p>
    <w:p w:rsidR="001D642D" w:rsidRDefault="00DA3274">
      <w:pPr>
        <w:pStyle w:val="Text1"/>
        <w:pBdr>
          <w:top w:val="single" w:sz="4" w:space="1" w:color="auto"/>
          <w:left w:val="single" w:sz="4" w:space="4" w:color="auto"/>
          <w:bottom w:val="single" w:sz="4" w:space="1" w:color="auto"/>
          <w:right w:val="single" w:sz="4" w:space="4" w:color="auto"/>
        </w:pBdr>
        <w:rPr>
          <w:noProof/>
        </w:rPr>
      </w:pPr>
      <w:r>
        <w:t xml:space="preserve"> </w:t>
      </w:r>
    </w:p>
    <w:p w:rsidR="001D642D" w:rsidRDefault="00DA3274">
      <w:pPr>
        <w:pStyle w:val="ManualHeading3"/>
        <w:rPr>
          <w:bCs/>
          <w:noProof/>
          <w:szCs w:val="24"/>
        </w:rPr>
      </w:pPr>
      <w:r>
        <w:t>1.4.4.</w:t>
      </w:r>
      <w:r>
        <w:tab/>
      </w:r>
      <w:r>
        <w:rPr>
          <w:noProof/>
        </w:rPr>
        <w:t xml:space="preserve">Indicators of results and impact </w:t>
      </w:r>
    </w:p>
    <w:p w:rsidR="001D642D" w:rsidRDefault="00DA3274">
      <w:pPr>
        <w:pStyle w:val="Text1"/>
        <w:rPr>
          <w:i/>
          <w:noProof/>
          <w:sz w:val="20"/>
        </w:rPr>
      </w:pPr>
      <w:r>
        <w:rPr>
          <w:i/>
          <w:noProof/>
          <w:sz w:val="20"/>
        </w:rPr>
        <w:t>Specify the indicators for monitoring implementation of the proposal/initiative.</w:t>
      </w:r>
    </w:p>
    <w:p w:rsidR="001D642D" w:rsidRDefault="00DA3274">
      <w:pPr>
        <w:pStyle w:val="Text1"/>
        <w:pBdr>
          <w:top w:val="single" w:sz="4" w:space="1" w:color="auto"/>
          <w:left w:val="single" w:sz="4" w:space="4" w:color="auto"/>
          <w:bottom w:val="single" w:sz="4" w:space="1" w:color="auto"/>
          <w:right w:val="single" w:sz="4" w:space="4" w:color="auto"/>
        </w:pBdr>
        <w:rPr>
          <w:bCs/>
          <w:noProof/>
          <w:szCs w:val="24"/>
        </w:rPr>
      </w:pPr>
      <w:r>
        <w:rPr>
          <w:noProof/>
        </w:rPr>
        <w:t>As this proposal is an amendment to Regulation (EU) 2017/825, the indicators for monitoring results and impacts will be those of the annex to that Regulation.</w:t>
      </w:r>
    </w:p>
    <w:p w:rsidR="001D642D" w:rsidRDefault="00DA3274">
      <w:pPr>
        <w:pStyle w:val="ManualHeading3"/>
        <w:rPr>
          <w:noProof/>
        </w:rPr>
      </w:pPr>
      <w:r>
        <w:t>1.4.5.</w:t>
      </w:r>
      <w:r>
        <w:tab/>
      </w:r>
      <w:r>
        <w:rPr>
          <w:noProof/>
        </w:rPr>
        <w:t xml:space="preserve">Requirement(s) to be met in the short or long term </w:t>
      </w:r>
    </w:p>
    <w:p w:rsidR="001D642D" w:rsidRDefault="00DA3274">
      <w:pPr>
        <w:pStyle w:val="Text1"/>
        <w:pBdr>
          <w:top w:val="single" w:sz="4" w:space="1" w:color="auto"/>
          <w:left w:val="single" w:sz="4" w:space="4" w:color="auto"/>
          <w:bottom w:val="single" w:sz="4" w:space="1" w:color="auto"/>
          <w:right w:val="single" w:sz="4" w:space="4" w:color="auto"/>
        </w:pBdr>
        <w:rPr>
          <w:noProof/>
        </w:rPr>
      </w:pPr>
      <w:r>
        <w:rPr>
          <w:noProof/>
        </w:rPr>
        <w:t xml:space="preserve">The requirement are those of Regulation (EU) 2017/825, as reflected on the proposal COM(2015)701final. </w:t>
      </w:r>
    </w:p>
    <w:p w:rsidR="001D642D" w:rsidRDefault="00DA3274">
      <w:pPr>
        <w:pStyle w:val="Text1"/>
        <w:pBdr>
          <w:top w:val="single" w:sz="4" w:space="1" w:color="auto"/>
          <w:left w:val="single" w:sz="4" w:space="4" w:color="auto"/>
          <w:bottom w:val="single" w:sz="4" w:space="1" w:color="auto"/>
          <w:right w:val="single" w:sz="4" w:space="4" w:color="auto"/>
        </w:pBdr>
        <w:rPr>
          <w:noProof/>
        </w:rPr>
      </w:pPr>
      <w:r>
        <w:rPr>
          <w:noProof/>
        </w:rPr>
        <w:t>The amendment proposed is also expected to foster sustainable convergence with a view to help Members States in their preparation to join the euro area.</w:t>
      </w:r>
    </w:p>
    <w:p w:rsidR="001D642D" w:rsidRDefault="00DA3274">
      <w:pPr>
        <w:pStyle w:val="Text1"/>
        <w:pBdr>
          <w:top w:val="single" w:sz="4" w:space="1" w:color="auto"/>
          <w:left w:val="single" w:sz="4" w:space="4" w:color="auto"/>
          <w:bottom w:val="single" w:sz="4" w:space="1" w:color="auto"/>
          <w:right w:val="single" w:sz="4" w:space="4" w:color="auto"/>
        </w:pBdr>
        <w:rPr>
          <w:noProof/>
        </w:rPr>
      </w:pPr>
      <w:r>
        <w:t xml:space="preserve"> </w:t>
      </w:r>
    </w:p>
    <w:p w:rsidR="001D642D" w:rsidRDefault="00DA3274">
      <w:pPr>
        <w:pStyle w:val="ManualHeading3"/>
        <w:rPr>
          <w:bCs/>
          <w:noProof/>
          <w:szCs w:val="24"/>
        </w:rPr>
      </w:pPr>
      <w:r>
        <w:t>1.4.6.</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1D642D" w:rsidRDefault="00DA3274">
      <w:pPr>
        <w:pStyle w:val="Text1"/>
        <w:pBdr>
          <w:top w:val="single" w:sz="4" w:space="1" w:color="auto"/>
          <w:left w:val="single" w:sz="4" w:space="4" w:color="auto"/>
          <w:bottom w:val="single" w:sz="4" w:space="1" w:color="auto"/>
          <w:right w:val="single" w:sz="4" w:space="4" w:color="auto"/>
        </w:pBdr>
        <w:rPr>
          <w:noProof/>
        </w:rPr>
      </w:pPr>
      <w:r>
        <w:rPr>
          <w:noProof/>
        </w:rPr>
        <w:t xml:space="preserve">As this proposal is an amendment to Regulation (EU) No 2017/825, the added value of the programme is that reflected in its Article 3. </w:t>
      </w:r>
    </w:p>
    <w:p w:rsidR="001D642D" w:rsidRDefault="00DA3274">
      <w:pPr>
        <w:pStyle w:val="Text1"/>
        <w:pBdr>
          <w:top w:val="single" w:sz="4" w:space="1" w:color="auto"/>
          <w:left w:val="single" w:sz="4" w:space="4" w:color="auto"/>
          <w:bottom w:val="single" w:sz="4" w:space="1" w:color="auto"/>
          <w:right w:val="single" w:sz="4" w:space="4" w:color="auto"/>
        </w:pBdr>
      </w:pPr>
      <w:r>
        <w:rPr>
          <w:noProof/>
        </w:rPr>
        <w:t>In addition, the Union is in a better position than Member States to identify, mobilise and coordinate the best available expertise (be it from inside the European institutions services and from other countries, or international organisations), foster the exchange of best practices (as well as ensure its consistent dissemination across the Union) in support of the implementation of targeted growth-sustaining reforms in the Member States and for helping non-euro area Member States in their preparation to join the euro area.</w:t>
      </w:r>
    </w:p>
    <w:p w:rsidR="001D642D" w:rsidRDefault="001D642D">
      <w:pPr>
        <w:pStyle w:val="Text1"/>
        <w:pBdr>
          <w:top w:val="single" w:sz="4" w:space="1" w:color="auto"/>
          <w:left w:val="single" w:sz="4" w:space="4" w:color="auto"/>
          <w:bottom w:val="single" w:sz="4" w:space="1" w:color="auto"/>
          <w:right w:val="single" w:sz="4" w:space="4" w:color="auto"/>
        </w:pBdr>
        <w:rPr>
          <w:noProof/>
        </w:rPr>
      </w:pPr>
    </w:p>
    <w:p w:rsidR="001D642D" w:rsidRDefault="00DA3274">
      <w:pPr>
        <w:pStyle w:val="ManualHeading3"/>
        <w:rPr>
          <w:bCs/>
          <w:noProof/>
          <w:szCs w:val="24"/>
        </w:rPr>
      </w:pPr>
      <w:r>
        <w:t>1.4.7.</w:t>
      </w:r>
      <w:r>
        <w:tab/>
      </w:r>
      <w:r>
        <w:rPr>
          <w:noProof/>
        </w:rPr>
        <w:t>Lessons learned from similar experiences in the past</w:t>
      </w:r>
    </w:p>
    <w:p w:rsidR="001D642D" w:rsidRDefault="00DA3274">
      <w:pPr>
        <w:pStyle w:val="Text1"/>
        <w:pBdr>
          <w:top w:val="single" w:sz="4" w:space="1" w:color="auto"/>
          <w:left w:val="single" w:sz="4" w:space="4" w:color="auto"/>
          <w:bottom w:val="single" w:sz="4" w:space="0" w:color="auto"/>
          <w:right w:val="single" w:sz="4" w:space="4" w:color="auto"/>
        </w:pBdr>
        <w:rPr>
          <w:noProof/>
        </w:rPr>
      </w:pPr>
      <w:r>
        <w:rPr>
          <w:noProof/>
        </w:rPr>
        <w:t>The experience gained through the implementation of the Preparatory Action "Capacity development and institution building to support the implementation of economic reforms" and in particular the first year of implementation of the Structural Reform Support Programme confirm the usefulness of a technical support programme open to all Member States and to a wide number of areas: Member States have confirmed their interest in benefiting from Commission expertise provision in support of their own reforms or tho</w:t>
      </w:r>
      <w:r w:rsidR="0046687D">
        <w:rPr>
          <w:noProof/>
        </w:rPr>
        <w:t>se carried</w:t>
      </w:r>
      <w:r>
        <w:rPr>
          <w:noProof/>
        </w:rPr>
        <w:t xml:space="preserve"> out in line with recommendations issued in the framework of the European Semester. </w:t>
      </w:r>
    </w:p>
    <w:p w:rsidR="001D642D" w:rsidRDefault="00DA3274">
      <w:pPr>
        <w:pStyle w:val="Text1"/>
        <w:pBdr>
          <w:top w:val="single" w:sz="4" w:space="1" w:color="auto"/>
          <w:left w:val="single" w:sz="4" w:space="4" w:color="auto"/>
          <w:bottom w:val="single" w:sz="4" w:space="0" w:color="auto"/>
          <w:right w:val="single" w:sz="4" w:space="4" w:color="auto"/>
        </w:pBdr>
        <w:rPr>
          <w:noProof/>
        </w:rPr>
      </w:pPr>
      <w:r>
        <w:rPr>
          <w:noProof/>
        </w:rPr>
        <w:t>In year 2018 almost all Member States (24) have submitted request for support, and in both 2017 and 2018 the support requested exceeded considerably the budget allocation for the programme. This demonstrates clearly that the support needs on the ground and the interest for support from Member States goes well beyond the currently available financial resources of the Programme.</w:t>
      </w:r>
    </w:p>
    <w:p w:rsidR="001D642D" w:rsidRDefault="00DA3274">
      <w:pPr>
        <w:pStyle w:val="ManualHeading3"/>
        <w:rPr>
          <w:bCs/>
          <w:noProof/>
          <w:szCs w:val="24"/>
        </w:rPr>
      </w:pPr>
      <w:r>
        <w:t>1.4.8.</w:t>
      </w:r>
      <w:r>
        <w:tab/>
      </w:r>
      <w:r>
        <w:rPr>
          <w:noProof/>
        </w:rPr>
        <w:t>Compatibility and possible synergy with other appropriate instruments</w:t>
      </w:r>
    </w:p>
    <w:p w:rsidR="001D642D" w:rsidRDefault="00DA3274">
      <w:pPr>
        <w:pStyle w:val="Text1"/>
        <w:pBdr>
          <w:top w:val="single" w:sz="4" w:space="1" w:color="auto"/>
          <w:left w:val="single" w:sz="4" w:space="4" w:color="auto"/>
          <w:bottom w:val="single" w:sz="4" w:space="1" w:color="auto"/>
          <w:right w:val="single" w:sz="4" w:space="4" w:color="auto"/>
        </w:pBdr>
        <w:rPr>
          <w:noProof/>
        </w:rPr>
      </w:pPr>
      <w:r>
        <w:rPr>
          <w:noProof/>
        </w:rPr>
        <w:t xml:space="preserve">The Programme is complementary to existing resources for capacity building and technical assistance available within other Union financing programmes under the Multi-annual Financial Framework and with technical assistance and other actions financed by Union funds. </w:t>
      </w:r>
    </w:p>
    <w:p w:rsidR="001D642D" w:rsidRDefault="00DA3274">
      <w:pPr>
        <w:pStyle w:val="ManualHeading2"/>
        <w:rPr>
          <w:bCs/>
          <w:noProof/>
          <w:szCs w:val="24"/>
        </w:rPr>
      </w:pPr>
      <w:r>
        <w:t>1.5.</w:t>
      </w:r>
      <w:r>
        <w:tab/>
      </w:r>
    </w:p>
    <w:p w:rsidR="001D642D" w:rsidRDefault="00DA3274">
      <w:pPr>
        <w:pStyle w:val="ManualHeading2"/>
        <w:rPr>
          <w:bCs/>
          <w:noProof/>
          <w:szCs w:val="24"/>
        </w:rPr>
      </w:pPr>
      <w:r>
        <w:t>1.6.</w:t>
      </w:r>
      <w:r>
        <w:tab/>
      </w:r>
      <w:r>
        <w:rPr>
          <w:noProof/>
        </w:rPr>
        <w:t xml:space="preserve">Duration and financial impact </w:t>
      </w:r>
    </w:p>
    <w:p w:rsidR="001D642D" w:rsidRDefault="00DA3274">
      <w:pPr>
        <w:pStyle w:val="Text1"/>
        <w:rPr>
          <w:noProof/>
        </w:rPr>
      </w:pPr>
      <w:r>
        <w:rPr>
          <w:noProof/>
        </w:rPr>
        <w:sym w:font="Wingdings" w:char="F0FC"/>
      </w:r>
      <w:r>
        <w:rPr>
          <w:b/>
          <w:i/>
          <w:noProof/>
        </w:rPr>
        <w:t xml:space="preserve"> </w:t>
      </w:r>
      <w:r>
        <w:rPr>
          <w:noProof/>
        </w:rPr>
        <w:t xml:space="preserve">Proposal/initiative of </w:t>
      </w:r>
      <w:r>
        <w:rPr>
          <w:b/>
          <w:noProof/>
        </w:rPr>
        <w:t xml:space="preserve">limited duration </w:t>
      </w:r>
    </w:p>
    <w:p w:rsidR="001D642D" w:rsidRDefault="00DA3274">
      <w:pPr>
        <w:pStyle w:val="ListDash2"/>
        <w:rPr>
          <w:noProof/>
        </w:rPr>
      </w:pPr>
      <w:r>
        <w:rPr>
          <w:noProof/>
        </w:rPr>
        <w:sym w:font="Wingdings" w:char="F0FC"/>
      </w:r>
      <w:r>
        <w:rPr>
          <w:noProof/>
        </w:rPr>
        <w:tab/>
        <w:t>Proposal/initiative in effect from 2019 to 2020</w:t>
      </w:r>
    </w:p>
    <w:p w:rsidR="001D642D" w:rsidRDefault="00DA3274">
      <w:pPr>
        <w:pStyle w:val="ListDash2"/>
        <w:rPr>
          <w:noProof/>
        </w:rPr>
      </w:pPr>
      <w:r>
        <w:rPr>
          <w:noProof/>
        </w:rPr>
        <w:sym w:font="Wingdings" w:char="F0FC"/>
      </w:r>
      <w:r>
        <w:rPr>
          <w:noProof/>
        </w:rPr>
        <w:tab/>
        <w:t xml:space="preserve">Financial impact from 2019 to 2020 </w:t>
      </w:r>
    </w:p>
    <w:p w:rsidR="001D642D" w:rsidRDefault="00DA3274">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rsidR="001D642D" w:rsidRDefault="00DA3274">
      <w:pPr>
        <w:pStyle w:val="ListDash1"/>
        <w:rPr>
          <w:noProof/>
        </w:rPr>
      </w:pPr>
      <w:r>
        <w:rPr>
          <w:noProof/>
        </w:rPr>
        <w:t>Implementation with a start-up period from YYYY to YYYY,</w:t>
      </w:r>
    </w:p>
    <w:p w:rsidR="001D642D" w:rsidRDefault="00DA3274">
      <w:pPr>
        <w:pStyle w:val="ListDash1"/>
        <w:rPr>
          <w:noProof/>
        </w:rPr>
      </w:pPr>
      <w:r>
        <w:rPr>
          <w:noProof/>
        </w:rPr>
        <w:t>followed by full-scale operation.</w:t>
      </w:r>
    </w:p>
    <w:p w:rsidR="001D642D" w:rsidRDefault="00DA3274">
      <w:pPr>
        <w:pStyle w:val="ManualHeading2"/>
        <w:rPr>
          <w:bCs/>
          <w:noProof/>
          <w:szCs w:val="24"/>
        </w:rPr>
      </w:pPr>
      <w:r>
        <w:t>1.7.</w:t>
      </w:r>
      <w:r>
        <w:tab/>
      </w:r>
      <w:r>
        <w:rPr>
          <w:noProof/>
        </w:rPr>
        <w:t>Management mode(s) planned</w:t>
      </w:r>
      <w:r>
        <w:rPr>
          <w:rStyle w:val="FootnoteReference"/>
          <w:noProof/>
        </w:rPr>
        <w:footnoteReference w:id="9"/>
      </w:r>
      <w:r>
        <w:rPr>
          <w:rStyle w:val="FootnoteReference"/>
          <w:noProof/>
        </w:rPr>
        <w:t xml:space="preserve"> </w:t>
      </w:r>
    </w:p>
    <w:p w:rsidR="001D642D" w:rsidRDefault="00DA3274">
      <w:pPr>
        <w:pStyle w:val="Text1"/>
        <w:rPr>
          <w:noProof/>
        </w:rPr>
      </w:pPr>
      <w:r>
        <w:rPr>
          <w:noProof/>
        </w:rPr>
        <w:sym w:font="Wingdings" w:char="F0FC"/>
      </w:r>
      <w:r>
        <w:rPr>
          <w:i/>
          <w:noProof/>
        </w:rPr>
        <w:t xml:space="preserve"> </w:t>
      </w:r>
      <w:r>
        <w:rPr>
          <w:b/>
          <w:noProof/>
        </w:rPr>
        <w:t>Direct management</w:t>
      </w:r>
      <w:r>
        <w:rPr>
          <w:noProof/>
        </w:rPr>
        <w:t xml:space="preserve"> by the Commission</w:t>
      </w:r>
    </w:p>
    <w:p w:rsidR="001D642D" w:rsidRDefault="00DA3274">
      <w:pPr>
        <w:pStyle w:val="ListDash2"/>
        <w:rPr>
          <w:rFonts w:cs="EUAlbertina"/>
          <w:noProof/>
        </w:rPr>
      </w:pPr>
      <w:r>
        <w:rPr>
          <w:noProof/>
        </w:rPr>
        <w:sym w:font="Wingdings" w:char="F0FC"/>
      </w:r>
      <w:r>
        <w:rPr>
          <w:noProof/>
        </w:rPr>
        <w:t xml:space="preserve"> by its departments, including by its staff in the Union delegations; </w:t>
      </w:r>
    </w:p>
    <w:p w:rsidR="001D642D" w:rsidRDefault="00DA3274">
      <w:pPr>
        <w:pStyle w:val="ListDash2"/>
        <w:rPr>
          <w:noProof/>
        </w:rPr>
      </w:pPr>
      <w:r>
        <w:rPr>
          <w:noProof/>
        </w:rPr>
        <w:sym w:font="Wingdings" w:char="F0A8"/>
      </w:r>
      <w:r>
        <w:rPr>
          <w:noProof/>
        </w:rPr>
        <w:tab/>
        <w:t xml:space="preserve">by the executive agencies </w:t>
      </w:r>
    </w:p>
    <w:p w:rsidR="001D642D" w:rsidRDefault="00DA3274">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1D642D" w:rsidRDefault="00DA3274">
      <w:pPr>
        <w:pStyle w:val="Text1"/>
        <w:rPr>
          <w:noProof/>
        </w:rPr>
      </w:pPr>
      <w:r>
        <w:rPr>
          <w:noProof/>
        </w:rPr>
        <w:sym w:font="Wingdings" w:char="F0FC"/>
      </w:r>
      <w:r>
        <w:rPr>
          <w:i/>
          <w:noProof/>
        </w:rPr>
        <w:t xml:space="preserve"> </w:t>
      </w:r>
      <w:r>
        <w:rPr>
          <w:b/>
          <w:noProof/>
        </w:rPr>
        <w:t>Indirect management</w:t>
      </w:r>
      <w:r>
        <w:rPr>
          <w:noProof/>
        </w:rPr>
        <w:t xml:space="preserve"> by entrusting budget implementation tasks to:</w:t>
      </w:r>
    </w:p>
    <w:p w:rsidR="001D642D" w:rsidRDefault="00DA3274">
      <w:pPr>
        <w:pStyle w:val="ListDash2"/>
        <w:rPr>
          <w:noProof/>
        </w:rPr>
      </w:pPr>
      <w:r>
        <w:rPr>
          <w:noProof/>
        </w:rPr>
        <w:sym w:font="Wingdings" w:char="F0A8"/>
      </w:r>
      <w:r>
        <w:rPr>
          <w:noProof/>
        </w:rPr>
        <w:t xml:space="preserve"> third countries or the bodies they have designated;</w:t>
      </w:r>
    </w:p>
    <w:p w:rsidR="001D642D" w:rsidRDefault="00DA3274">
      <w:pPr>
        <w:pStyle w:val="ListDash2"/>
        <w:rPr>
          <w:noProof/>
        </w:rPr>
      </w:pPr>
      <w:r>
        <w:rPr>
          <w:noProof/>
        </w:rPr>
        <w:sym w:font="Wingdings" w:char="F0FC"/>
      </w:r>
      <w:r>
        <w:rPr>
          <w:noProof/>
        </w:rPr>
        <w:t xml:space="preserve"> international organisations and their agencies (to be specified);</w:t>
      </w:r>
    </w:p>
    <w:p w:rsidR="001D642D" w:rsidRDefault="00DA3274">
      <w:pPr>
        <w:pStyle w:val="ListDash2"/>
        <w:rPr>
          <w:noProof/>
        </w:rPr>
      </w:pPr>
      <w:r>
        <w:rPr>
          <w:noProof/>
        </w:rPr>
        <w:sym w:font="Wingdings" w:char="F0FC"/>
      </w:r>
      <w:r>
        <w:rPr>
          <w:noProof/>
        </w:rPr>
        <w:t>the EIB and the European Investment Fund;</w:t>
      </w:r>
    </w:p>
    <w:p w:rsidR="001D642D" w:rsidRDefault="00DA3274">
      <w:pPr>
        <w:pStyle w:val="ListDash2"/>
        <w:rPr>
          <w:noProof/>
        </w:rPr>
      </w:pPr>
      <w:r>
        <w:rPr>
          <w:noProof/>
        </w:rPr>
        <w:sym w:font="Wingdings" w:char="F0A8"/>
      </w:r>
      <w:r>
        <w:rPr>
          <w:noProof/>
        </w:rPr>
        <w:t xml:space="preserve"> bodies referred to in Articles 208 and 209 of the Financial Regulation;</w:t>
      </w:r>
    </w:p>
    <w:p w:rsidR="001D642D" w:rsidRDefault="00DA3274">
      <w:pPr>
        <w:pStyle w:val="ListDash2"/>
        <w:rPr>
          <w:noProof/>
        </w:rPr>
      </w:pPr>
      <w:r>
        <w:rPr>
          <w:noProof/>
        </w:rPr>
        <w:sym w:font="Wingdings" w:char="F0FC"/>
      </w:r>
      <w:r>
        <w:rPr>
          <w:noProof/>
        </w:rPr>
        <w:t xml:space="preserve"> public law bodies;</w:t>
      </w:r>
    </w:p>
    <w:p w:rsidR="001D642D" w:rsidRDefault="00DA3274">
      <w:pPr>
        <w:pStyle w:val="ListDash2"/>
        <w:rPr>
          <w:noProof/>
        </w:rPr>
      </w:pPr>
      <w:r>
        <w:rPr>
          <w:noProof/>
        </w:rPr>
        <w:sym w:font="Wingdings" w:char="F0FC"/>
      </w:r>
      <w:r>
        <w:rPr>
          <w:noProof/>
        </w:rPr>
        <w:t>bodies governed by private law with a public service mission to the extent that they provide adequate financial guarantees;</w:t>
      </w:r>
    </w:p>
    <w:p w:rsidR="001D642D" w:rsidRDefault="00DA3274">
      <w:pPr>
        <w:pStyle w:val="ListDash2"/>
        <w:rPr>
          <w:noProof/>
        </w:rPr>
      </w:pPr>
      <w:r>
        <w:rPr>
          <w:noProof/>
        </w:rPr>
        <w:sym w:font="Wingdings" w:char="F0FC"/>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rsidR="001D642D" w:rsidRDefault="00DA3274">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1D642D" w:rsidRDefault="00DA3274">
      <w:pPr>
        <w:pStyle w:val="ListDash2"/>
        <w:rPr>
          <w:i/>
          <w:noProof/>
          <w:sz w:val="18"/>
          <w:u w:val="single"/>
        </w:rPr>
      </w:pPr>
      <w:r>
        <w:rPr>
          <w:i/>
          <w:noProof/>
          <w:sz w:val="18"/>
        </w:rPr>
        <w:t>If more than one management mode is indicated, please provide details in the ‘Comments’ section.</w:t>
      </w:r>
    </w:p>
    <w:p w:rsidR="001D642D" w:rsidRDefault="00DA3274">
      <w:pPr>
        <w:rPr>
          <w:noProof/>
        </w:rPr>
      </w:pPr>
      <w:r>
        <w:rPr>
          <w:noProof/>
        </w:rPr>
        <w:t xml:space="preserve">Comments </w:t>
      </w:r>
    </w:p>
    <w:p w:rsidR="001D642D" w:rsidRDefault="00DA3274">
      <w:pPr>
        <w:pBdr>
          <w:top w:val="single" w:sz="4" w:space="1" w:color="auto"/>
          <w:left w:val="single" w:sz="4" w:space="4" w:color="auto"/>
          <w:bottom w:val="single" w:sz="4" w:space="1" w:color="auto"/>
          <w:right w:val="single" w:sz="4" w:space="4" w:color="auto"/>
        </w:pBdr>
        <w:rPr>
          <w:noProof/>
        </w:rPr>
      </w:pPr>
      <w:r>
        <w:rPr>
          <w:noProof/>
        </w:rPr>
        <w:t xml:space="preserve">This is in line with the current provisions of the Regulation to be amended. </w:t>
      </w:r>
    </w:p>
    <w:p w:rsidR="001D642D" w:rsidRDefault="001D642D">
      <w:pPr>
        <w:rPr>
          <w:noProof/>
        </w:rPr>
        <w:sectPr w:rsidR="001D642D" w:rsidSect="00DA3274">
          <w:pgSz w:w="11907" w:h="16840" w:code="9"/>
          <w:pgMar w:top="1134" w:right="1418" w:bottom="1134" w:left="1418" w:header="709" w:footer="709" w:gutter="0"/>
          <w:cols w:space="708"/>
          <w:docGrid w:linePitch="360"/>
        </w:sectPr>
      </w:pPr>
    </w:p>
    <w:p w:rsidR="001D642D" w:rsidRDefault="00DA3274">
      <w:pPr>
        <w:pStyle w:val="ManualHeading1"/>
        <w:rPr>
          <w:bCs/>
          <w:noProof/>
          <w:szCs w:val="24"/>
        </w:rPr>
      </w:pPr>
      <w:r>
        <w:t>2.</w:t>
      </w:r>
      <w:r>
        <w:tab/>
      </w:r>
      <w:r>
        <w:rPr>
          <w:noProof/>
        </w:rPr>
        <w:t xml:space="preserve">MANAGEMENT MEASURES </w:t>
      </w:r>
    </w:p>
    <w:p w:rsidR="001D642D" w:rsidRDefault="00DA3274">
      <w:pPr>
        <w:pStyle w:val="ManualHeading2"/>
        <w:rPr>
          <w:noProof/>
        </w:rPr>
      </w:pPr>
      <w:r>
        <w:t>2.1.</w:t>
      </w:r>
      <w:r>
        <w:tab/>
      </w:r>
      <w:r>
        <w:rPr>
          <w:noProof/>
        </w:rPr>
        <w:t xml:space="preserve">Monitoring and reporting rules </w:t>
      </w:r>
    </w:p>
    <w:p w:rsidR="001D642D" w:rsidRDefault="00DA3274">
      <w:pPr>
        <w:pStyle w:val="Text1"/>
        <w:rPr>
          <w:i/>
          <w:noProof/>
          <w:sz w:val="20"/>
          <w:u w:val="single"/>
        </w:rPr>
      </w:pPr>
      <w:r>
        <w:rPr>
          <w:i/>
          <w:noProof/>
          <w:sz w:val="20"/>
        </w:rPr>
        <w:t>Specify frequency and conditions.</w:t>
      </w:r>
    </w:p>
    <w:p w:rsidR="001D642D" w:rsidRDefault="00DA3274">
      <w:pPr>
        <w:pStyle w:val="Text1"/>
        <w:pBdr>
          <w:top w:val="single" w:sz="4" w:space="1" w:color="auto"/>
          <w:left w:val="single" w:sz="4" w:space="4" w:color="auto"/>
          <w:bottom w:val="single" w:sz="4" w:space="1" w:color="auto"/>
          <w:right w:val="single" w:sz="4" w:space="4" w:color="auto"/>
        </w:pBdr>
        <w:rPr>
          <w:noProof/>
        </w:rPr>
      </w:pPr>
      <w:r>
        <w:rPr>
          <w:noProof/>
        </w:rPr>
        <w:t>The monitoring and reporting rules will be those of the amended Regulation (EU) 2017/825.</w:t>
      </w:r>
    </w:p>
    <w:p w:rsidR="001D642D" w:rsidRDefault="00DA3274">
      <w:pPr>
        <w:pStyle w:val="ManualHeading2"/>
        <w:rPr>
          <w:bCs/>
          <w:noProof/>
          <w:szCs w:val="24"/>
        </w:rPr>
      </w:pPr>
      <w:r>
        <w:t>2.2.</w:t>
      </w:r>
      <w:r>
        <w:tab/>
      </w:r>
      <w:r>
        <w:rPr>
          <w:noProof/>
        </w:rPr>
        <w:t xml:space="preserve">Management and control system </w:t>
      </w:r>
    </w:p>
    <w:p w:rsidR="001D642D" w:rsidRDefault="00DA3274">
      <w:pPr>
        <w:pStyle w:val="ManualHeading3"/>
        <w:rPr>
          <w:noProof/>
        </w:rPr>
      </w:pPr>
      <w:r>
        <w:t>2.2.1.</w:t>
      </w:r>
      <w:r>
        <w:tab/>
      </w:r>
      <w:r>
        <w:rPr>
          <w:noProof/>
        </w:rPr>
        <w:t xml:space="preserve">Risk(s) identified </w:t>
      </w:r>
    </w:p>
    <w:p w:rsidR="001D642D" w:rsidRDefault="00DA3274">
      <w:pPr>
        <w:pStyle w:val="Text1"/>
        <w:pBdr>
          <w:top w:val="single" w:sz="4" w:space="1" w:color="auto"/>
          <w:left w:val="single" w:sz="4" w:space="4" w:color="auto"/>
          <w:bottom w:val="single" w:sz="4" w:space="1" w:color="auto"/>
          <w:right w:val="single" w:sz="4" w:space="4" w:color="auto"/>
        </w:pBdr>
        <w:rPr>
          <w:noProof/>
        </w:rPr>
      </w:pPr>
      <w:r>
        <w:rPr>
          <w:noProof/>
        </w:rPr>
        <w:t>The risks identified are those reflected in the proposal for adoption of Regulation (EU) 2017/825, i.e. COM(2015) 701 final.</w:t>
      </w:r>
    </w:p>
    <w:p w:rsidR="001D642D" w:rsidRDefault="00DA3274">
      <w:pPr>
        <w:pStyle w:val="ManualHeading3"/>
        <w:rPr>
          <w:bCs/>
          <w:noProof/>
          <w:szCs w:val="24"/>
        </w:rPr>
      </w:pPr>
      <w:r>
        <w:t>2.2.2.</w:t>
      </w:r>
      <w:r>
        <w:tab/>
      </w:r>
      <w:r>
        <w:rPr>
          <w:noProof/>
        </w:rPr>
        <w:t>Information concerning the internal control system set up</w:t>
      </w:r>
    </w:p>
    <w:p w:rsidR="001D642D" w:rsidRDefault="00DA3274">
      <w:pPr>
        <w:pStyle w:val="Text1"/>
        <w:pBdr>
          <w:top w:val="single" w:sz="4" w:space="1" w:color="auto"/>
          <w:left w:val="single" w:sz="4" w:space="4" w:color="auto"/>
          <w:bottom w:val="single" w:sz="4" w:space="1" w:color="auto"/>
          <w:right w:val="single" w:sz="4" w:space="4" w:color="auto"/>
        </w:pBdr>
        <w:rPr>
          <w:noProof/>
        </w:rPr>
      </w:pPr>
      <w:r>
        <w:rPr>
          <w:noProof/>
        </w:rPr>
        <w:t>As above, see the financial statement accompan</w:t>
      </w:r>
      <w:r w:rsidR="00FB23BD">
        <w:rPr>
          <w:noProof/>
        </w:rPr>
        <w:t>y</w:t>
      </w:r>
      <w:r>
        <w:rPr>
          <w:noProof/>
        </w:rPr>
        <w:t>ing COM(2015)701 final.</w:t>
      </w:r>
    </w:p>
    <w:p w:rsidR="001D642D" w:rsidRDefault="001D642D">
      <w:pPr>
        <w:pStyle w:val="Text1"/>
        <w:pBdr>
          <w:top w:val="single" w:sz="4" w:space="1" w:color="auto"/>
          <w:left w:val="single" w:sz="4" w:space="4" w:color="auto"/>
          <w:bottom w:val="single" w:sz="4" w:space="1" w:color="auto"/>
          <w:right w:val="single" w:sz="4" w:space="4" w:color="auto"/>
        </w:pBdr>
        <w:rPr>
          <w:noProof/>
        </w:rPr>
      </w:pPr>
    </w:p>
    <w:p w:rsidR="001D642D" w:rsidRDefault="00DA3274">
      <w:pPr>
        <w:pStyle w:val="ManualHeading3"/>
        <w:rPr>
          <w:noProof/>
        </w:rPr>
      </w:pPr>
      <w:r>
        <w:t>2.2.3.</w:t>
      </w:r>
      <w:r>
        <w:tab/>
      </w:r>
      <w:r>
        <w:rPr>
          <w:noProof/>
        </w:rPr>
        <w:t xml:space="preserve">Estimate of the costs and benefits of the controls and assessment of the expected level of risk of error </w:t>
      </w:r>
    </w:p>
    <w:p w:rsidR="001D642D" w:rsidRDefault="00DA3274">
      <w:pPr>
        <w:pStyle w:val="Text1"/>
        <w:pBdr>
          <w:top w:val="single" w:sz="4" w:space="1" w:color="auto"/>
          <w:left w:val="single" w:sz="4" w:space="4" w:color="auto"/>
          <w:bottom w:val="single" w:sz="4" w:space="1" w:color="auto"/>
          <w:right w:val="single" w:sz="4" w:space="4" w:color="auto"/>
        </w:pBdr>
        <w:rPr>
          <w:noProof/>
        </w:rPr>
      </w:pPr>
      <w:r>
        <w:rPr>
          <w:noProof/>
        </w:rPr>
        <w:t>As above, see the financial statement accompanying COM(2015)701 final.</w:t>
      </w:r>
    </w:p>
    <w:p w:rsidR="001D642D" w:rsidRDefault="001D642D">
      <w:pPr>
        <w:pStyle w:val="Text1"/>
        <w:pBdr>
          <w:top w:val="single" w:sz="4" w:space="1" w:color="auto"/>
          <w:left w:val="single" w:sz="4" w:space="4" w:color="auto"/>
          <w:bottom w:val="single" w:sz="4" w:space="1" w:color="auto"/>
          <w:right w:val="single" w:sz="4" w:space="4" w:color="auto"/>
        </w:pBdr>
        <w:rPr>
          <w:noProof/>
        </w:rPr>
      </w:pPr>
    </w:p>
    <w:p w:rsidR="001D642D" w:rsidRDefault="00DA3274">
      <w:pPr>
        <w:pStyle w:val="ManualHeading2"/>
        <w:rPr>
          <w:bCs/>
          <w:noProof/>
          <w:szCs w:val="24"/>
        </w:rPr>
      </w:pPr>
      <w:r>
        <w:t>2.3.</w:t>
      </w:r>
      <w:r>
        <w:tab/>
      </w:r>
      <w:r>
        <w:rPr>
          <w:noProof/>
        </w:rPr>
        <w:t xml:space="preserve">Measures to prevent fraud and irregularities </w:t>
      </w:r>
    </w:p>
    <w:p w:rsidR="001D642D" w:rsidRDefault="00DA3274">
      <w:pPr>
        <w:pStyle w:val="Text1"/>
        <w:rPr>
          <w:i/>
          <w:noProof/>
          <w:sz w:val="20"/>
        </w:rPr>
      </w:pPr>
      <w:r>
        <w:rPr>
          <w:i/>
          <w:noProof/>
          <w:sz w:val="20"/>
        </w:rPr>
        <w:t>Specify existing or envisaged prevention and protection measures.</w:t>
      </w:r>
    </w:p>
    <w:p w:rsidR="001D642D" w:rsidRDefault="00DA3274">
      <w:pPr>
        <w:pStyle w:val="Text1"/>
        <w:pBdr>
          <w:top w:val="single" w:sz="4" w:space="1" w:color="auto"/>
          <w:left w:val="single" w:sz="4" w:space="4" w:color="auto"/>
          <w:bottom w:val="single" w:sz="4" w:space="1" w:color="auto"/>
          <w:right w:val="single" w:sz="4" w:space="4" w:color="auto"/>
        </w:pBdr>
        <w:rPr>
          <w:noProof/>
        </w:rPr>
      </w:pPr>
      <w:r>
        <w:rPr>
          <w:noProof/>
        </w:rPr>
        <w:t>As above, see the financial statement accompanying COM(2015)701 final.</w:t>
      </w:r>
    </w:p>
    <w:p w:rsidR="001D642D" w:rsidRDefault="001D642D">
      <w:pPr>
        <w:pStyle w:val="Text1"/>
        <w:pBdr>
          <w:top w:val="single" w:sz="4" w:space="1" w:color="auto"/>
          <w:left w:val="single" w:sz="4" w:space="4" w:color="auto"/>
          <w:bottom w:val="single" w:sz="4" w:space="1" w:color="auto"/>
          <w:right w:val="single" w:sz="4" w:space="4" w:color="auto"/>
        </w:pBdr>
        <w:rPr>
          <w:noProof/>
        </w:rPr>
      </w:pPr>
    </w:p>
    <w:p w:rsidR="001D642D" w:rsidRDefault="001D642D">
      <w:pPr>
        <w:rPr>
          <w:noProof/>
        </w:rPr>
        <w:sectPr w:rsidR="001D642D" w:rsidSect="00DA3274">
          <w:pgSz w:w="11907" w:h="16840" w:code="9"/>
          <w:pgMar w:top="1134" w:right="1418" w:bottom="1134" w:left="1418" w:header="709" w:footer="709" w:gutter="0"/>
          <w:cols w:space="708"/>
          <w:docGrid w:linePitch="360"/>
        </w:sectPr>
      </w:pPr>
    </w:p>
    <w:p w:rsidR="001D642D" w:rsidRDefault="00DA3274">
      <w:pPr>
        <w:pStyle w:val="ManualHeading1"/>
        <w:rPr>
          <w:bCs/>
          <w:noProof/>
          <w:szCs w:val="24"/>
        </w:rPr>
      </w:pPr>
      <w:r>
        <w:t>3.</w:t>
      </w:r>
      <w:r>
        <w:tab/>
      </w:r>
      <w:r>
        <w:rPr>
          <w:noProof/>
        </w:rPr>
        <w:t xml:space="preserve">ESTIMATED FINANCIAL IMPACT OF THE PROPOSAL/INITIATIVE </w:t>
      </w:r>
    </w:p>
    <w:p w:rsidR="001D642D" w:rsidRDefault="00DA3274">
      <w:pPr>
        <w:pStyle w:val="ManualHeading2"/>
        <w:rPr>
          <w:noProof/>
        </w:rPr>
      </w:pPr>
      <w:r>
        <w:t>3.1.</w:t>
      </w:r>
      <w:r>
        <w:tab/>
      </w:r>
      <w:r>
        <w:rPr>
          <w:noProof/>
        </w:rPr>
        <w:t xml:space="preserve">Heading(s) of the multiannual financial framework and expenditure budget line(s) affected </w:t>
      </w:r>
    </w:p>
    <w:p w:rsidR="001D642D" w:rsidRDefault="00DA3274">
      <w:pPr>
        <w:pStyle w:val="ListBullet1"/>
        <w:rPr>
          <w:noProof/>
        </w:rPr>
      </w:pPr>
      <w:r>
        <w:rPr>
          <w:noProof/>
        </w:rPr>
        <w:t xml:space="preserve">Existing budget lines </w:t>
      </w:r>
    </w:p>
    <w:p w:rsidR="001D642D" w:rsidRDefault="00DA3274">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D642D">
        <w:tc>
          <w:tcPr>
            <w:tcW w:w="1080" w:type="dxa"/>
            <w:vMerge w:val="restart"/>
            <w:vAlign w:val="center"/>
          </w:tcPr>
          <w:p w:rsidR="001D642D" w:rsidRDefault="00DA3274">
            <w:pPr>
              <w:spacing w:before="60" w:after="60"/>
              <w:jc w:val="center"/>
              <w:rPr>
                <w:noProof/>
              </w:rPr>
            </w:pPr>
            <w:r>
              <w:rPr>
                <w:noProof/>
                <w:sz w:val="18"/>
              </w:rPr>
              <w:t>Heading of multiannual financial framework</w:t>
            </w:r>
          </w:p>
        </w:tc>
        <w:tc>
          <w:tcPr>
            <w:tcW w:w="3960" w:type="dxa"/>
            <w:vAlign w:val="center"/>
          </w:tcPr>
          <w:p w:rsidR="001D642D" w:rsidRDefault="00DA3274">
            <w:pPr>
              <w:spacing w:before="60" w:after="60"/>
              <w:jc w:val="center"/>
              <w:rPr>
                <w:noProof/>
              </w:rPr>
            </w:pPr>
            <w:r>
              <w:rPr>
                <w:noProof/>
                <w:sz w:val="20"/>
              </w:rPr>
              <w:t>Budget line</w:t>
            </w:r>
          </w:p>
        </w:tc>
        <w:tc>
          <w:tcPr>
            <w:tcW w:w="1080" w:type="dxa"/>
            <w:vAlign w:val="center"/>
          </w:tcPr>
          <w:p w:rsidR="001D642D" w:rsidRDefault="00DA3274">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1D642D" w:rsidRDefault="00DA3274">
            <w:pPr>
              <w:spacing w:before="60" w:after="60"/>
              <w:jc w:val="center"/>
              <w:rPr>
                <w:noProof/>
              </w:rPr>
            </w:pPr>
            <w:r>
              <w:rPr>
                <w:noProof/>
                <w:sz w:val="20"/>
              </w:rPr>
              <w:t xml:space="preserve">Contribution </w:t>
            </w:r>
          </w:p>
        </w:tc>
      </w:tr>
      <w:tr w:rsidR="001D642D">
        <w:tc>
          <w:tcPr>
            <w:tcW w:w="1080" w:type="dxa"/>
            <w:vMerge/>
            <w:vAlign w:val="center"/>
          </w:tcPr>
          <w:p w:rsidR="001D642D" w:rsidRDefault="001D642D">
            <w:pPr>
              <w:jc w:val="center"/>
              <w:rPr>
                <w:noProof/>
              </w:rPr>
            </w:pPr>
          </w:p>
        </w:tc>
        <w:tc>
          <w:tcPr>
            <w:tcW w:w="3960" w:type="dxa"/>
            <w:vAlign w:val="center"/>
          </w:tcPr>
          <w:p w:rsidR="001D642D" w:rsidRDefault="00DA3274">
            <w:pPr>
              <w:rPr>
                <w:noProof/>
              </w:rPr>
            </w:pPr>
            <w:r>
              <w:rPr>
                <w:noProof/>
              </w:rPr>
              <w:t xml:space="preserve">1b </w:t>
            </w:r>
            <w:r>
              <w:rPr>
                <w:b/>
                <w:noProof/>
                <w:sz w:val="20"/>
                <w:szCs w:val="20"/>
              </w:rPr>
              <w:t>Economic, social and territorial cohesion</w:t>
            </w:r>
          </w:p>
        </w:tc>
        <w:tc>
          <w:tcPr>
            <w:tcW w:w="1080" w:type="dxa"/>
            <w:vAlign w:val="center"/>
          </w:tcPr>
          <w:p w:rsidR="001D642D" w:rsidRDefault="00DA3274">
            <w:pPr>
              <w:jc w:val="center"/>
              <w:rPr>
                <w:noProof/>
              </w:rPr>
            </w:pPr>
            <w:r>
              <w:rPr>
                <w:noProof/>
                <w:sz w:val="18"/>
              </w:rPr>
              <w:t>Diff./Non-diff.</w:t>
            </w:r>
            <w:r>
              <w:rPr>
                <w:rStyle w:val="FootnoteReference"/>
                <w:noProof/>
                <w:sz w:val="18"/>
              </w:rPr>
              <w:footnoteReference w:id="10"/>
            </w:r>
          </w:p>
        </w:tc>
        <w:tc>
          <w:tcPr>
            <w:tcW w:w="956" w:type="dxa"/>
            <w:vAlign w:val="center"/>
          </w:tcPr>
          <w:p w:rsidR="001D642D" w:rsidRDefault="00DA3274">
            <w:pPr>
              <w:jc w:val="center"/>
              <w:rPr>
                <w:noProof/>
              </w:rPr>
            </w:pPr>
            <w:r>
              <w:rPr>
                <w:noProof/>
                <w:sz w:val="18"/>
              </w:rPr>
              <w:t>from EFTA countries</w:t>
            </w:r>
            <w:r>
              <w:rPr>
                <w:rStyle w:val="FootnoteReference"/>
                <w:noProof/>
                <w:sz w:val="18"/>
              </w:rPr>
              <w:footnoteReference w:id="11"/>
            </w:r>
          </w:p>
          <w:p w:rsidR="001D642D" w:rsidRDefault="001D642D">
            <w:pPr>
              <w:spacing w:before="0" w:after="0"/>
              <w:jc w:val="center"/>
              <w:rPr>
                <w:b/>
                <w:noProof/>
                <w:sz w:val="18"/>
              </w:rPr>
            </w:pPr>
          </w:p>
        </w:tc>
        <w:tc>
          <w:tcPr>
            <w:tcW w:w="1080" w:type="dxa"/>
            <w:vAlign w:val="center"/>
          </w:tcPr>
          <w:p w:rsidR="001D642D" w:rsidRDefault="00DA3274">
            <w:pPr>
              <w:jc w:val="center"/>
              <w:rPr>
                <w:noProof/>
              </w:rPr>
            </w:pPr>
            <w:r>
              <w:rPr>
                <w:noProof/>
                <w:sz w:val="18"/>
              </w:rPr>
              <w:t>from candidate countries</w:t>
            </w:r>
            <w:r>
              <w:rPr>
                <w:rStyle w:val="FootnoteReference"/>
                <w:noProof/>
                <w:sz w:val="18"/>
              </w:rPr>
              <w:footnoteReference w:id="12"/>
            </w:r>
          </w:p>
          <w:p w:rsidR="001D642D" w:rsidRDefault="001D642D">
            <w:pPr>
              <w:spacing w:before="0" w:after="0"/>
              <w:jc w:val="center"/>
              <w:rPr>
                <w:noProof/>
                <w:sz w:val="18"/>
              </w:rPr>
            </w:pPr>
          </w:p>
        </w:tc>
        <w:tc>
          <w:tcPr>
            <w:tcW w:w="956" w:type="dxa"/>
            <w:vAlign w:val="center"/>
          </w:tcPr>
          <w:p w:rsidR="001D642D" w:rsidRDefault="00DA3274">
            <w:pPr>
              <w:jc w:val="center"/>
              <w:rPr>
                <w:noProof/>
                <w:sz w:val="18"/>
              </w:rPr>
            </w:pPr>
            <w:r>
              <w:rPr>
                <w:noProof/>
                <w:sz w:val="18"/>
              </w:rPr>
              <w:t>from third countries</w:t>
            </w:r>
          </w:p>
        </w:tc>
        <w:tc>
          <w:tcPr>
            <w:tcW w:w="1448" w:type="dxa"/>
            <w:vAlign w:val="center"/>
          </w:tcPr>
          <w:p w:rsidR="001D642D" w:rsidRDefault="00DA3274">
            <w:pPr>
              <w:jc w:val="center"/>
              <w:rPr>
                <w:noProof/>
              </w:rPr>
            </w:pPr>
            <w:r>
              <w:rPr>
                <w:noProof/>
                <w:sz w:val="16"/>
              </w:rPr>
              <w:t xml:space="preserve">within the meaning of Article 21(2)(b) of the Financial Regulation </w:t>
            </w:r>
          </w:p>
        </w:tc>
      </w:tr>
      <w:tr w:rsidR="001D642D">
        <w:tc>
          <w:tcPr>
            <w:tcW w:w="1080" w:type="dxa"/>
            <w:vAlign w:val="center"/>
          </w:tcPr>
          <w:p w:rsidR="001D642D" w:rsidRDefault="00DA3274">
            <w:pPr>
              <w:jc w:val="center"/>
              <w:rPr>
                <w:noProof/>
                <w:color w:val="0000FF"/>
              </w:rPr>
            </w:pPr>
            <w:r>
              <w:rPr>
                <w:noProof/>
                <w:color w:val="0000FF"/>
              </w:rPr>
              <w:t>1.b</w:t>
            </w:r>
          </w:p>
        </w:tc>
        <w:tc>
          <w:tcPr>
            <w:tcW w:w="3960" w:type="dxa"/>
            <w:vAlign w:val="center"/>
          </w:tcPr>
          <w:p w:rsidR="001D642D" w:rsidRDefault="00DA3274">
            <w:pPr>
              <w:jc w:val="center"/>
              <w:rPr>
                <w:noProof/>
              </w:rPr>
            </w:pPr>
            <w:r>
              <w:rPr>
                <w:noProof/>
              </w:rPr>
              <w:t>13.08.01</w:t>
            </w:r>
          </w:p>
          <w:p w:rsidR="001D642D" w:rsidRDefault="001D642D">
            <w:pPr>
              <w:rPr>
                <w:noProof/>
              </w:rPr>
            </w:pPr>
          </w:p>
        </w:tc>
        <w:tc>
          <w:tcPr>
            <w:tcW w:w="1080" w:type="dxa"/>
            <w:vAlign w:val="center"/>
          </w:tcPr>
          <w:p w:rsidR="001D642D" w:rsidRDefault="00DA3274">
            <w:pPr>
              <w:jc w:val="center"/>
              <w:rPr>
                <w:noProof/>
                <w:sz w:val="22"/>
              </w:rPr>
            </w:pPr>
            <w:r>
              <w:rPr>
                <w:noProof/>
                <w:sz w:val="22"/>
              </w:rPr>
              <w:t>Diff</w:t>
            </w:r>
          </w:p>
        </w:tc>
        <w:tc>
          <w:tcPr>
            <w:tcW w:w="956" w:type="dxa"/>
            <w:vAlign w:val="center"/>
          </w:tcPr>
          <w:p w:rsidR="001D642D" w:rsidRDefault="00DA3274">
            <w:pPr>
              <w:jc w:val="center"/>
              <w:rPr>
                <w:noProof/>
                <w:sz w:val="22"/>
              </w:rPr>
            </w:pPr>
            <w:r>
              <w:rPr>
                <w:noProof/>
                <w:sz w:val="22"/>
              </w:rPr>
              <w:t>YES</w:t>
            </w:r>
          </w:p>
        </w:tc>
        <w:tc>
          <w:tcPr>
            <w:tcW w:w="1080" w:type="dxa"/>
            <w:vAlign w:val="center"/>
          </w:tcPr>
          <w:p w:rsidR="001D642D" w:rsidRDefault="00DA3274">
            <w:pPr>
              <w:jc w:val="center"/>
              <w:rPr>
                <w:noProof/>
                <w:sz w:val="22"/>
              </w:rPr>
            </w:pPr>
            <w:r>
              <w:rPr>
                <w:noProof/>
                <w:sz w:val="22"/>
              </w:rPr>
              <w:t>NO</w:t>
            </w:r>
          </w:p>
        </w:tc>
        <w:tc>
          <w:tcPr>
            <w:tcW w:w="956" w:type="dxa"/>
            <w:vAlign w:val="center"/>
          </w:tcPr>
          <w:p w:rsidR="001D642D" w:rsidRDefault="00DA3274">
            <w:pPr>
              <w:jc w:val="center"/>
              <w:rPr>
                <w:noProof/>
                <w:sz w:val="22"/>
              </w:rPr>
            </w:pPr>
            <w:r>
              <w:rPr>
                <w:noProof/>
                <w:sz w:val="22"/>
              </w:rPr>
              <w:t xml:space="preserve">NO </w:t>
            </w:r>
          </w:p>
        </w:tc>
        <w:tc>
          <w:tcPr>
            <w:tcW w:w="1448" w:type="dxa"/>
            <w:vAlign w:val="center"/>
          </w:tcPr>
          <w:p w:rsidR="001D642D" w:rsidRDefault="00DA3274">
            <w:pPr>
              <w:jc w:val="center"/>
              <w:rPr>
                <w:noProof/>
                <w:sz w:val="22"/>
              </w:rPr>
            </w:pPr>
            <w:r>
              <w:rPr>
                <w:noProof/>
                <w:sz w:val="22"/>
              </w:rPr>
              <w:t>NO</w:t>
            </w:r>
          </w:p>
        </w:tc>
      </w:tr>
    </w:tbl>
    <w:p w:rsidR="001D642D" w:rsidRDefault="00DA3274">
      <w:pPr>
        <w:pStyle w:val="ListBullet1"/>
        <w:rPr>
          <w:noProof/>
        </w:rPr>
      </w:pPr>
      <w:r>
        <w:rPr>
          <w:noProof/>
        </w:rPr>
        <w:t xml:space="preserve">New budget lines requested </w:t>
      </w:r>
    </w:p>
    <w:p w:rsidR="001D642D" w:rsidRDefault="00DA3274">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D642D">
        <w:tc>
          <w:tcPr>
            <w:tcW w:w="1080" w:type="dxa"/>
            <w:vMerge w:val="restart"/>
            <w:vAlign w:val="center"/>
          </w:tcPr>
          <w:p w:rsidR="001D642D" w:rsidRDefault="00DA3274">
            <w:pPr>
              <w:spacing w:before="60" w:after="60"/>
              <w:jc w:val="center"/>
              <w:rPr>
                <w:noProof/>
                <w:sz w:val="18"/>
                <w:szCs w:val="18"/>
              </w:rPr>
            </w:pPr>
            <w:r>
              <w:rPr>
                <w:noProof/>
                <w:sz w:val="18"/>
              </w:rPr>
              <w:t>Heading of multiannual financial framework</w:t>
            </w:r>
          </w:p>
        </w:tc>
        <w:tc>
          <w:tcPr>
            <w:tcW w:w="3960" w:type="dxa"/>
            <w:vAlign w:val="center"/>
          </w:tcPr>
          <w:p w:rsidR="001D642D" w:rsidRDefault="00DA3274">
            <w:pPr>
              <w:spacing w:before="60" w:after="60"/>
              <w:jc w:val="center"/>
              <w:rPr>
                <w:noProof/>
              </w:rPr>
            </w:pPr>
            <w:r>
              <w:rPr>
                <w:noProof/>
                <w:sz w:val="20"/>
              </w:rPr>
              <w:t>Budget line</w:t>
            </w:r>
          </w:p>
        </w:tc>
        <w:tc>
          <w:tcPr>
            <w:tcW w:w="1080" w:type="dxa"/>
            <w:vAlign w:val="center"/>
          </w:tcPr>
          <w:p w:rsidR="001D642D" w:rsidRDefault="00DA3274">
            <w:pPr>
              <w:spacing w:before="60" w:after="60"/>
              <w:jc w:val="center"/>
              <w:rPr>
                <w:noProof/>
              </w:rPr>
            </w:pPr>
            <w:r>
              <w:rPr>
                <w:noProof/>
                <w:sz w:val="18"/>
              </w:rPr>
              <w:t>Type of</w:t>
            </w:r>
            <w:r>
              <w:rPr>
                <w:noProof/>
                <w:sz w:val="22"/>
              </w:rPr>
              <w:br/>
            </w:r>
            <w:r>
              <w:rPr>
                <w:noProof/>
                <w:sz w:val="18"/>
              </w:rPr>
              <w:t>expenditure</w:t>
            </w:r>
          </w:p>
        </w:tc>
        <w:tc>
          <w:tcPr>
            <w:tcW w:w="4440" w:type="dxa"/>
            <w:gridSpan w:val="4"/>
            <w:vAlign w:val="center"/>
          </w:tcPr>
          <w:p w:rsidR="001D642D" w:rsidRDefault="00DA3274">
            <w:pPr>
              <w:spacing w:before="60" w:after="60"/>
              <w:jc w:val="center"/>
              <w:rPr>
                <w:noProof/>
              </w:rPr>
            </w:pPr>
            <w:r>
              <w:rPr>
                <w:noProof/>
                <w:sz w:val="20"/>
              </w:rPr>
              <w:t xml:space="preserve">Contribution </w:t>
            </w:r>
          </w:p>
        </w:tc>
      </w:tr>
      <w:tr w:rsidR="001D642D">
        <w:tc>
          <w:tcPr>
            <w:tcW w:w="1080" w:type="dxa"/>
            <w:vMerge/>
            <w:vAlign w:val="center"/>
          </w:tcPr>
          <w:p w:rsidR="001D642D" w:rsidRDefault="001D642D">
            <w:pPr>
              <w:jc w:val="center"/>
              <w:rPr>
                <w:noProof/>
              </w:rPr>
            </w:pPr>
          </w:p>
        </w:tc>
        <w:tc>
          <w:tcPr>
            <w:tcW w:w="3960" w:type="dxa"/>
            <w:vAlign w:val="center"/>
          </w:tcPr>
          <w:p w:rsidR="001D642D" w:rsidRDefault="00DA3274">
            <w:pPr>
              <w:rPr>
                <w:noProof/>
              </w:rPr>
            </w:pPr>
            <w:r>
              <w:rPr>
                <w:noProof/>
                <w:sz w:val="20"/>
              </w:rPr>
              <w:t xml:space="preserve">Number </w:t>
            </w:r>
            <w:r>
              <w:rPr>
                <w:noProof/>
                <w:sz w:val="22"/>
              </w:rPr>
              <w:br/>
            </w:r>
            <w:r>
              <w:rPr>
                <w:noProof/>
                <w:sz w:val="20"/>
              </w:rPr>
              <w:t>[Heading………………………………………]</w:t>
            </w:r>
          </w:p>
        </w:tc>
        <w:tc>
          <w:tcPr>
            <w:tcW w:w="1080" w:type="dxa"/>
            <w:vAlign w:val="center"/>
          </w:tcPr>
          <w:p w:rsidR="001D642D" w:rsidRDefault="00DA3274">
            <w:pPr>
              <w:jc w:val="center"/>
              <w:rPr>
                <w:noProof/>
              </w:rPr>
            </w:pPr>
            <w:r>
              <w:rPr>
                <w:noProof/>
                <w:sz w:val="18"/>
              </w:rPr>
              <w:t>Diff./Non-diff.</w:t>
            </w:r>
          </w:p>
        </w:tc>
        <w:tc>
          <w:tcPr>
            <w:tcW w:w="956" w:type="dxa"/>
            <w:vAlign w:val="center"/>
          </w:tcPr>
          <w:p w:rsidR="001D642D" w:rsidRDefault="00DA3274">
            <w:pPr>
              <w:jc w:val="center"/>
              <w:rPr>
                <w:noProof/>
                <w:sz w:val="18"/>
              </w:rPr>
            </w:pPr>
            <w:r>
              <w:rPr>
                <w:noProof/>
                <w:sz w:val="18"/>
              </w:rPr>
              <w:t>from EFTA countries</w:t>
            </w:r>
          </w:p>
        </w:tc>
        <w:tc>
          <w:tcPr>
            <w:tcW w:w="1080" w:type="dxa"/>
            <w:vAlign w:val="center"/>
          </w:tcPr>
          <w:p w:rsidR="001D642D" w:rsidRDefault="00DA3274">
            <w:pPr>
              <w:jc w:val="center"/>
              <w:rPr>
                <w:noProof/>
                <w:sz w:val="18"/>
              </w:rPr>
            </w:pPr>
            <w:r>
              <w:rPr>
                <w:noProof/>
                <w:sz w:val="18"/>
              </w:rPr>
              <w:t>from candidate countries</w:t>
            </w:r>
          </w:p>
        </w:tc>
        <w:tc>
          <w:tcPr>
            <w:tcW w:w="956" w:type="dxa"/>
            <w:vAlign w:val="center"/>
          </w:tcPr>
          <w:p w:rsidR="001D642D" w:rsidRDefault="00DA3274">
            <w:pPr>
              <w:jc w:val="center"/>
              <w:rPr>
                <w:noProof/>
                <w:sz w:val="18"/>
              </w:rPr>
            </w:pPr>
            <w:r>
              <w:rPr>
                <w:noProof/>
                <w:sz w:val="18"/>
              </w:rPr>
              <w:t>from third countries</w:t>
            </w:r>
          </w:p>
        </w:tc>
        <w:tc>
          <w:tcPr>
            <w:tcW w:w="1448" w:type="dxa"/>
            <w:vAlign w:val="center"/>
          </w:tcPr>
          <w:p w:rsidR="001D642D" w:rsidRDefault="00DA3274">
            <w:pPr>
              <w:jc w:val="center"/>
              <w:rPr>
                <w:noProof/>
              </w:rPr>
            </w:pPr>
            <w:r>
              <w:rPr>
                <w:noProof/>
                <w:sz w:val="16"/>
              </w:rPr>
              <w:t xml:space="preserve">within the meaning of Article 21(2)(b) of the Financial Regulation </w:t>
            </w:r>
          </w:p>
        </w:tc>
      </w:tr>
      <w:tr w:rsidR="001D642D">
        <w:tc>
          <w:tcPr>
            <w:tcW w:w="1080" w:type="dxa"/>
            <w:vAlign w:val="center"/>
          </w:tcPr>
          <w:p w:rsidR="001D642D" w:rsidRDefault="001D642D">
            <w:pPr>
              <w:jc w:val="center"/>
              <w:rPr>
                <w:noProof/>
                <w:color w:val="0000FF"/>
              </w:rPr>
            </w:pPr>
          </w:p>
        </w:tc>
        <w:tc>
          <w:tcPr>
            <w:tcW w:w="3960" w:type="dxa"/>
            <w:vAlign w:val="center"/>
          </w:tcPr>
          <w:p w:rsidR="001D642D" w:rsidRDefault="00DA3274">
            <w:pPr>
              <w:spacing w:before="60"/>
              <w:rPr>
                <w:noProof/>
              </w:rPr>
            </w:pPr>
            <w:r>
              <w:rPr>
                <w:noProof/>
                <w:sz w:val="22"/>
              </w:rPr>
              <w:t>[XX.YY.YY.YY]</w:t>
            </w:r>
          </w:p>
          <w:p w:rsidR="001D642D" w:rsidRDefault="001D642D">
            <w:pPr>
              <w:spacing w:after="60"/>
              <w:rPr>
                <w:noProof/>
                <w:color w:val="0000FF"/>
              </w:rPr>
            </w:pPr>
          </w:p>
        </w:tc>
        <w:tc>
          <w:tcPr>
            <w:tcW w:w="1080" w:type="dxa"/>
            <w:vAlign w:val="center"/>
          </w:tcPr>
          <w:p w:rsidR="001D642D" w:rsidRDefault="001D642D">
            <w:pPr>
              <w:jc w:val="center"/>
              <w:rPr>
                <w:noProof/>
                <w:color w:val="0000FF"/>
              </w:rPr>
            </w:pPr>
          </w:p>
        </w:tc>
        <w:tc>
          <w:tcPr>
            <w:tcW w:w="956" w:type="dxa"/>
            <w:vAlign w:val="center"/>
          </w:tcPr>
          <w:p w:rsidR="001D642D" w:rsidRDefault="00DA3274">
            <w:pPr>
              <w:jc w:val="center"/>
              <w:rPr>
                <w:noProof/>
              </w:rPr>
            </w:pPr>
            <w:r>
              <w:rPr>
                <w:noProof/>
                <w:sz w:val="22"/>
              </w:rPr>
              <w:t>YES/NO</w:t>
            </w:r>
          </w:p>
        </w:tc>
        <w:tc>
          <w:tcPr>
            <w:tcW w:w="1080" w:type="dxa"/>
            <w:vAlign w:val="center"/>
          </w:tcPr>
          <w:p w:rsidR="001D642D" w:rsidRDefault="00DA3274">
            <w:pPr>
              <w:jc w:val="center"/>
              <w:rPr>
                <w:noProof/>
                <w:color w:val="0000FF"/>
                <w:sz w:val="18"/>
              </w:rPr>
            </w:pPr>
            <w:r>
              <w:rPr>
                <w:noProof/>
                <w:sz w:val="22"/>
              </w:rPr>
              <w:t>YES/NO</w:t>
            </w:r>
          </w:p>
        </w:tc>
        <w:tc>
          <w:tcPr>
            <w:tcW w:w="956" w:type="dxa"/>
            <w:vAlign w:val="center"/>
          </w:tcPr>
          <w:p w:rsidR="001D642D" w:rsidRDefault="00DA3274">
            <w:pPr>
              <w:jc w:val="center"/>
              <w:rPr>
                <w:noProof/>
                <w:color w:val="0000FF"/>
                <w:sz w:val="18"/>
              </w:rPr>
            </w:pPr>
            <w:r>
              <w:rPr>
                <w:noProof/>
                <w:sz w:val="22"/>
              </w:rPr>
              <w:t>YES/NO</w:t>
            </w:r>
          </w:p>
        </w:tc>
        <w:tc>
          <w:tcPr>
            <w:tcW w:w="1448" w:type="dxa"/>
            <w:vAlign w:val="center"/>
          </w:tcPr>
          <w:p w:rsidR="001D642D" w:rsidRDefault="00DA3274">
            <w:pPr>
              <w:jc w:val="center"/>
              <w:rPr>
                <w:noProof/>
              </w:rPr>
            </w:pPr>
            <w:r>
              <w:rPr>
                <w:noProof/>
                <w:sz w:val="22"/>
              </w:rPr>
              <w:t>YES/NO</w:t>
            </w:r>
          </w:p>
        </w:tc>
      </w:tr>
    </w:tbl>
    <w:p w:rsidR="001D642D" w:rsidRDefault="001D642D">
      <w:pPr>
        <w:rPr>
          <w:noProof/>
        </w:rPr>
        <w:sectPr w:rsidR="001D642D" w:rsidSect="00DA3274">
          <w:pgSz w:w="11907" w:h="16840" w:code="1"/>
          <w:pgMar w:top="1134" w:right="1418" w:bottom="1134" w:left="1418" w:header="709" w:footer="709" w:gutter="0"/>
          <w:cols w:space="708"/>
          <w:docGrid w:linePitch="360"/>
        </w:sectPr>
      </w:pPr>
    </w:p>
    <w:p w:rsidR="001D642D" w:rsidRDefault="00DA3274">
      <w:pPr>
        <w:pStyle w:val="ManualHeading2"/>
        <w:rPr>
          <w:bCs/>
          <w:noProof/>
          <w:szCs w:val="24"/>
        </w:rPr>
      </w:pPr>
      <w:r>
        <w:t>3.2.</w:t>
      </w:r>
      <w:r>
        <w:tab/>
      </w:r>
      <w:r>
        <w:rPr>
          <w:noProof/>
        </w:rPr>
        <w:t xml:space="preserve">Estimated impact on expenditure </w:t>
      </w:r>
    </w:p>
    <w:p w:rsidR="001D642D" w:rsidRDefault="00DA3274">
      <w:pPr>
        <w:pStyle w:val="ManualHeading3"/>
        <w:rPr>
          <w:noProof/>
          <w:u w:val="single"/>
        </w:rPr>
      </w:pPr>
      <w:r>
        <w:t>3.2.1.</w:t>
      </w:r>
      <w:r>
        <w:tab/>
      </w:r>
      <w:r>
        <w:rPr>
          <w:noProof/>
        </w:rPr>
        <w:t xml:space="preserve">Summary of estimated impact on expenditure </w:t>
      </w:r>
    </w:p>
    <w:p w:rsidR="001D642D" w:rsidRDefault="00DA3274">
      <w:pPr>
        <w:jc w:val="right"/>
        <w:rPr>
          <w:noProof/>
          <w:sz w:val="20"/>
        </w:rPr>
      </w:pPr>
      <w:r>
        <w:rPr>
          <w:noProof/>
          <w:sz w:val="20"/>
        </w:rPr>
        <w:t>EUR million (to three decimal places)</w:t>
      </w:r>
    </w:p>
    <w:tbl>
      <w:tblPr>
        <w:tblW w:w="13380" w:type="dxa"/>
        <w:tblInd w:w="93" w:type="dxa"/>
        <w:tblLook w:val="04A0" w:firstRow="1" w:lastRow="0" w:firstColumn="1" w:lastColumn="0" w:noHBand="0" w:noVBand="1"/>
      </w:tblPr>
      <w:tblGrid>
        <w:gridCol w:w="3336"/>
        <w:gridCol w:w="1976"/>
        <w:gridCol w:w="1238"/>
        <w:gridCol w:w="957"/>
        <w:gridCol w:w="959"/>
        <w:gridCol w:w="957"/>
        <w:gridCol w:w="966"/>
        <w:gridCol w:w="966"/>
        <w:gridCol w:w="1059"/>
        <w:gridCol w:w="966"/>
      </w:tblGrid>
      <w:tr w:rsidR="001D642D">
        <w:trPr>
          <w:trHeight w:val="315"/>
        </w:trPr>
        <w:tc>
          <w:tcPr>
            <w:tcW w:w="7507" w:type="dxa"/>
            <w:gridSpan w:val="4"/>
            <w:tcBorders>
              <w:top w:val="single" w:sz="8" w:space="0" w:color="auto"/>
              <w:left w:val="single" w:sz="8" w:space="0" w:color="auto"/>
              <w:bottom w:val="nil"/>
              <w:right w:val="single" w:sz="8" w:space="0" w:color="000000"/>
            </w:tcBorders>
            <w:shd w:val="thinDiagStripe" w:color="C0C0C0" w:fill="F1F1F1"/>
            <w:vAlign w:val="center"/>
            <w:hideMark/>
          </w:tcPr>
          <w:p w:rsidR="001D642D" w:rsidRDefault="00DA3274">
            <w:pPr>
              <w:spacing w:before="0" w:after="0"/>
              <w:jc w:val="center"/>
              <w:rPr>
                <w:b/>
                <w:bCs/>
                <w:noProof/>
                <w:color w:val="000000"/>
                <w:szCs w:val="24"/>
              </w:rPr>
            </w:pPr>
            <w:r>
              <w:rPr>
                <w:b/>
                <w:bCs/>
                <w:noProof/>
                <w:color w:val="000000"/>
                <w:szCs w:val="24"/>
              </w:rPr>
              <w:t xml:space="preserve">Heading of multiannual financial </w:t>
            </w:r>
          </w:p>
        </w:tc>
        <w:tc>
          <w:tcPr>
            <w:tcW w:w="9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center"/>
              <w:rPr>
                <w:noProof/>
                <w:color w:val="000000"/>
                <w:sz w:val="22"/>
              </w:rPr>
            </w:pPr>
            <w:r>
              <w:rPr>
                <w:noProof/>
                <w:color w:val="000000"/>
                <w:sz w:val="22"/>
              </w:rPr>
              <w:t>1b</w:t>
            </w:r>
          </w:p>
        </w:tc>
        <w:tc>
          <w:tcPr>
            <w:tcW w:w="4914"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D642D" w:rsidRDefault="00DA3274">
            <w:pPr>
              <w:spacing w:before="0" w:after="0"/>
              <w:jc w:val="center"/>
              <w:rPr>
                <w:b/>
                <w:bCs/>
                <w:noProof/>
                <w:color w:val="000000"/>
                <w:sz w:val="20"/>
                <w:szCs w:val="20"/>
              </w:rPr>
            </w:pPr>
            <w:r>
              <w:rPr>
                <w:b/>
                <w:bCs/>
                <w:noProof/>
                <w:color w:val="000000"/>
                <w:sz w:val="20"/>
                <w:szCs w:val="20"/>
              </w:rPr>
              <w:t>Economic, social and territorial cohesion/ Sustainable Growth: Natural Resources</w:t>
            </w:r>
          </w:p>
        </w:tc>
      </w:tr>
      <w:tr w:rsidR="001D642D">
        <w:trPr>
          <w:trHeight w:val="330"/>
        </w:trPr>
        <w:tc>
          <w:tcPr>
            <w:tcW w:w="7507" w:type="dxa"/>
            <w:gridSpan w:val="4"/>
            <w:tcBorders>
              <w:top w:val="nil"/>
              <w:left w:val="single" w:sz="8" w:space="0" w:color="auto"/>
              <w:bottom w:val="single" w:sz="8" w:space="0" w:color="auto"/>
              <w:right w:val="single" w:sz="8" w:space="0" w:color="000000"/>
            </w:tcBorders>
            <w:shd w:val="thinDiagStripe" w:color="C0C0C0" w:fill="F1F1F1"/>
            <w:vAlign w:val="center"/>
            <w:hideMark/>
          </w:tcPr>
          <w:p w:rsidR="001D642D" w:rsidRDefault="00DA3274">
            <w:pPr>
              <w:spacing w:before="0" w:after="0"/>
              <w:jc w:val="center"/>
              <w:rPr>
                <w:b/>
                <w:bCs/>
                <w:noProof/>
                <w:color w:val="000000"/>
                <w:szCs w:val="24"/>
              </w:rPr>
            </w:pPr>
            <w:r>
              <w:rPr>
                <w:b/>
                <w:bCs/>
                <w:noProof/>
                <w:color w:val="000000"/>
                <w:szCs w:val="24"/>
              </w:rPr>
              <w:t xml:space="preserve">framework </w:t>
            </w:r>
          </w:p>
        </w:tc>
        <w:tc>
          <w:tcPr>
            <w:tcW w:w="959" w:type="dxa"/>
            <w:vMerge/>
            <w:tcBorders>
              <w:top w:val="single" w:sz="8" w:space="0" w:color="auto"/>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22"/>
              </w:rPr>
            </w:pPr>
          </w:p>
        </w:tc>
        <w:tc>
          <w:tcPr>
            <w:tcW w:w="4914" w:type="dxa"/>
            <w:gridSpan w:val="5"/>
            <w:vMerge/>
            <w:tcBorders>
              <w:top w:val="single" w:sz="8" w:space="0" w:color="auto"/>
              <w:left w:val="single" w:sz="8" w:space="0" w:color="auto"/>
              <w:bottom w:val="single" w:sz="8" w:space="0" w:color="000000"/>
              <w:right w:val="single" w:sz="8" w:space="0" w:color="000000"/>
            </w:tcBorders>
            <w:vAlign w:val="center"/>
            <w:hideMark/>
          </w:tcPr>
          <w:p w:rsidR="001D642D" w:rsidRDefault="001D642D">
            <w:pPr>
              <w:spacing w:before="0" w:after="0"/>
              <w:jc w:val="left"/>
              <w:rPr>
                <w:b/>
                <w:bCs/>
                <w:noProof/>
                <w:color w:val="000000"/>
                <w:sz w:val="20"/>
                <w:szCs w:val="20"/>
              </w:rPr>
            </w:pPr>
          </w:p>
        </w:tc>
      </w:tr>
      <w:tr w:rsidR="001D642D">
        <w:trPr>
          <w:trHeight w:val="300"/>
        </w:trPr>
        <w:tc>
          <w:tcPr>
            <w:tcW w:w="5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D642D" w:rsidRDefault="00DA3274">
            <w:pPr>
              <w:spacing w:before="0" w:after="0"/>
              <w:jc w:val="center"/>
              <w:rPr>
                <w:noProof/>
                <w:color w:val="000000"/>
                <w:sz w:val="22"/>
              </w:rPr>
            </w:pPr>
            <w:r>
              <w:rPr>
                <w:noProof/>
                <w:color w:val="000000"/>
                <w:sz w:val="22"/>
              </w:rPr>
              <w:t xml:space="preserve">DG:SG / </w:t>
            </w:r>
            <w:r>
              <w:rPr>
                <w:noProof/>
                <w:color w:val="000000"/>
                <w:szCs w:val="24"/>
              </w:rPr>
              <w:t>SRSS</w:t>
            </w:r>
          </w:p>
        </w:tc>
        <w:tc>
          <w:tcPr>
            <w:tcW w:w="1238"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rPr>
                <w:noProof/>
                <w:color w:val="000000"/>
                <w:sz w:val="20"/>
                <w:szCs w:val="20"/>
              </w:rPr>
            </w:pPr>
            <w:r>
              <w:rPr>
                <w:noProof/>
                <w:color w:val="000000"/>
                <w:sz w:val="20"/>
              </w:rPr>
              <w:t> </w:t>
            </w:r>
          </w:p>
        </w:tc>
        <w:tc>
          <w:tcPr>
            <w:tcW w:w="287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D642D" w:rsidRDefault="00DA3274">
            <w:pPr>
              <w:spacing w:before="0" w:after="0"/>
              <w:jc w:val="center"/>
              <w:rPr>
                <w:noProof/>
                <w:color w:val="000000"/>
                <w:sz w:val="20"/>
                <w:szCs w:val="20"/>
              </w:rPr>
            </w:pPr>
            <w:r>
              <w:rPr>
                <w:noProof/>
                <w:color w:val="000000"/>
                <w:sz w:val="20"/>
              </w:rPr>
              <w:t> </w:t>
            </w:r>
          </w:p>
        </w:tc>
        <w:tc>
          <w:tcPr>
            <w:tcW w:w="966" w:type="dxa"/>
            <w:tcBorders>
              <w:top w:val="nil"/>
              <w:left w:val="nil"/>
              <w:bottom w:val="nil"/>
              <w:right w:val="single" w:sz="8" w:space="0" w:color="auto"/>
            </w:tcBorders>
            <w:shd w:val="clear" w:color="auto" w:fill="auto"/>
            <w:vAlign w:val="center"/>
            <w:hideMark/>
          </w:tcPr>
          <w:p w:rsidR="001D642D" w:rsidRDefault="00DA3274">
            <w:pPr>
              <w:spacing w:before="0" w:after="0"/>
              <w:jc w:val="center"/>
              <w:rPr>
                <w:noProof/>
                <w:color w:val="000000"/>
                <w:sz w:val="20"/>
                <w:szCs w:val="20"/>
              </w:rPr>
            </w:pPr>
            <w:r>
              <w:rPr>
                <w:noProof/>
                <w:color w:val="000000"/>
                <w:sz w:val="20"/>
              </w:rPr>
              <w:t>Year</w:t>
            </w:r>
          </w:p>
        </w:tc>
        <w:tc>
          <w:tcPr>
            <w:tcW w:w="966" w:type="dxa"/>
            <w:tcBorders>
              <w:top w:val="nil"/>
              <w:left w:val="nil"/>
              <w:bottom w:val="nil"/>
              <w:right w:val="single" w:sz="8" w:space="0" w:color="auto"/>
            </w:tcBorders>
            <w:shd w:val="clear" w:color="auto" w:fill="auto"/>
            <w:vAlign w:val="center"/>
            <w:hideMark/>
          </w:tcPr>
          <w:p w:rsidR="001D642D" w:rsidRDefault="00DA3274">
            <w:pPr>
              <w:spacing w:before="0" w:after="0"/>
              <w:jc w:val="center"/>
              <w:rPr>
                <w:noProof/>
                <w:color w:val="000000"/>
                <w:sz w:val="20"/>
                <w:szCs w:val="20"/>
              </w:rPr>
            </w:pPr>
            <w:r>
              <w:rPr>
                <w:noProof/>
                <w:color w:val="000000"/>
                <w:sz w:val="20"/>
              </w:rPr>
              <w:t>Year</w:t>
            </w:r>
          </w:p>
        </w:tc>
        <w:tc>
          <w:tcPr>
            <w:tcW w:w="1059" w:type="dxa"/>
            <w:tcBorders>
              <w:top w:val="nil"/>
              <w:left w:val="nil"/>
              <w:bottom w:val="nil"/>
              <w:right w:val="single" w:sz="8" w:space="0" w:color="auto"/>
            </w:tcBorders>
            <w:shd w:val="clear" w:color="auto" w:fill="auto"/>
            <w:vAlign w:val="center"/>
            <w:hideMark/>
          </w:tcPr>
          <w:p w:rsidR="001D642D" w:rsidRDefault="00DA3274">
            <w:pPr>
              <w:spacing w:before="0" w:after="0"/>
              <w:jc w:val="center"/>
              <w:rPr>
                <w:noProof/>
                <w:color w:val="000000"/>
                <w:sz w:val="20"/>
                <w:szCs w:val="20"/>
              </w:rPr>
            </w:pPr>
            <w:r>
              <w:rPr>
                <w:noProof/>
                <w:color w:val="000000"/>
                <w:sz w:val="20"/>
              </w:rPr>
              <w:t>Years</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center"/>
              <w:rPr>
                <w:b/>
                <w:bCs/>
                <w:noProof/>
                <w:color w:val="000000"/>
                <w:sz w:val="20"/>
                <w:szCs w:val="20"/>
              </w:rPr>
            </w:pPr>
            <w:r>
              <w:rPr>
                <w:b/>
                <w:bCs/>
                <w:noProof/>
                <w:color w:val="000000"/>
                <w:sz w:val="20"/>
              </w:rPr>
              <w:t>TOTAL</w:t>
            </w:r>
          </w:p>
        </w:tc>
      </w:tr>
      <w:tr w:rsidR="001D642D">
        <w:trPr>
          <w:trHeight w:val="525"/>
        </w:trPr>
        <w:tc>
          <w:tcPr>
            <w:tcW w:w="5312" w:type="dxa"/>
            <w:gridSpan w:val="2"/>
            <w:vMerge/>
            <w:tcBorders>
              <w:top w:val="single" w:sz="8" w:space="0" w:color="auto"/>
              <w:left w:val="single" w:sz="8" w:space="0" w:color="auto"/>
              <w:bottom w:val="single" w:sz="8" w:space="0" w:color="000000"/>
              <w:right w:val="single" w:sz="8" w:space="0" w:color="000000"/>
            </w:tcBorders>
            <w:vAlign w:val="center"/>
            <w:hideMark/>
          </w:tcPr>
          <w:p w:rsidR="001D642D" w:rsidRDefault="001D642D">
            <w:pPr>
              <w:spacing w:before="0" w:after="0"/>
              <w:jc w:val="left"/>
              <w:rPr>
                <w:noProof/>
                <w:color w:val="000000"/>
                <w:sz w:val="22"/>
              </w:rPr>
            </w:pPr>
          </w:p>
        </w:tc>
        <w:tc>
          <w:tcPr>
            <w:tcW w:w="1238"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20"/>
                <w:szCs w:val="20"/>
              </w:rPr>
            </w:pPr>
          </w:p>
        </w:tc>
        <w:tc>
          <w:tcPr>
            <w:tcW w:w="2873" w:type="dxa"/>
            <w:gridSpan w:val="3"/>
            <w:vMerge/>
            <w:tcBorders>
              <w:top w:val="single" w:sz="8" w:space="0" w:color="auto"/>
              <w:left w:val="single" w:sz="8" w:space="0" w:color="auto"/>
              <w:bottom w:val="single" w:sz="8" w:space="0" w:color="000000"/>
              <w:right w:val="single" w:sz="8" w:space="0" w:color="000000"/>
            </w:tcBorders>
            <w:vAlign w:val="center"/>
            <w:hideMark/>
          </w:tcPr>
          <w:p w:rsidR="001D642D" w:rsidRDefault="001D642D">
            <w:pPr>
              <w:spacing w:before="0" w:after="0"/>
              <w:jc w:val="left"/>
              <w:rPr>
                <w:noProof/>
                <w:color w:val="000000"/>
                <w:sz w:val="20"/>
                <w:szCs w:val="20"/>
              </w:rPr>
            </w:pPr>
          </w:p>
        </w:tc>
        <w:tc>
          <w:tcPr>
            <w:tcW w:w="966"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20"/>
                <w:szCs w:val="20"/>
              </w:rPr>
            </w:pPr>
            <w:r>
              <w:rPr>
                <w:b/>
                <w:bCs/>
                <w:noProof/>
                <w:color w:val="000000"/>
                <w:sz w:val="20"/>
              </w:rPr>
              <w:t>2019</w:t>
            </w:r>
          </w:p>
        </w:tc>
        <w:tc>
          <w:tcPr>
            <w:tcW w:w="966"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20"/>
                <w:szCs w:val="20"/>
              </w:rPr>
            </w:pPr>
            <w:r>
              <w:rPr>
                <w:b/>
                <w:bCs/>
                <w:noProof/>
                <w:color w:val="000000"/>
                <w:sz w:val="20"/>
              </w:rPr>
              <w:t>2020</w:t>
            </w:r>
          </w:p>
        </w:tc>
        <w:tc>
          <w:tcPr>
            <w:tcW w:w="1059"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20"/>
                <w:szCs w:val="20"/>
              </w:rPr>
            </w:pPr>
            <w:r>
              <w:rPr>
                <w:b/>
                <w:bCs/>
                <w:noProof/>
                <w:color w:val="000000"/>
                <w:sz w:val="20"/>
              </w:rPr>
              <w:t>2021 &amp; 2022</w:t>
            </w:r>
          </w:p>
        </w:tc>
        <w:tc>
          <w:tcPr>
            <w:tcW w:w="966"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r>
      <w:tr w:rsidR="001D642D">
        <w:trPr>
          <w:trHeight w:val="315"/>
        </w:trPr>
        <w:tc>
          <w:tcPr>
            <w:tcW w:w="942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1D642D" w:rsidRDefault="00DA3274">
            <w:pPr>
              <w:spacing w:before="0" w:after="0"/>
              <w:rPr>
                <w:b/>
                <w:bCs/>
                <w:noProof/>
                <w:color w:val="000000"/>
                <w:sz w:val="18"/>
                <w:szCs w:val="18"/>
              </w:rPr>
            </w:pPr>
            <w:r>
              <w:rPr>
                <w:b/>
                <w:bCs/>
                <w:noProof/>
                <w:color w:val="000000"/>
                <w:sz w:val="18"/>
                <w:szCs w:val="18"/>
              </w:rPr>
              <w:t>Operational appropriations</w:t>
            </w:r>
          </w:p>
        </w:tc>
        <w:tc>
          <w:tcPr>
            <w:tcW w:w="966"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rPr>
                <w:noProof/>
                <w:color w:val="000000"/>
                <w:sz w:val="20"/>
                <w:szCs w:val="20"/>
              </w:rPr>
            </w:pPr>
            <w:r>
              <w:rPr>
                <w:noProof/>
                <w:color w:val="000000"/>
                <w:sz w:val="20"/>
              </w:rPr>
              <w:t> </w:t>
            </w:r>
          </w:p>
        </w:tc>
        <w:tc>
          <w:tcPr>
            <w:tcW w:w="966"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rPr>
                <w:noProof/>
                <w:color w:val="000000"/>
                <w:sz w:val="20"/>
                <w:szCs w:val="20"/>
              </w:rPr>
            </w:pPr>
            <w:r>
              <w:rPr>
                <w:noProof/>
                <w:color w:val="000000"/>
                <w:sz w:val="20"/>
              </w:rPr>
              <w:t> </w:t>
            </w:r>
          </w:p>
        </w:tc>
        <w:tc>
          <w:tcPr>
            <w:tcW w:w="1059"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rPr>
                <w:noProof/>
                <w:color w:val="000000"/>
                <w:sz w:val="20"/>
                <w:szCs w:val="20"/>
              </w:rPr>
            </w:pPr>
            <w:r>
              <w:rPr>
                <w:noProof/>
                <w:color w:val="000000"/>
                <w:sz w:val="20"/>
              </w:rPr>
              <w:t> </w:t>
            </w:r>
          </w:p>
        </w:tc>
        <w:tc>
          <w:tcPr>
            <w:tcW w:w="966"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rPr>
                <w:b/>
                <w:bCs/>
                <w:noProof/>
                <w:color w:val="000000"/>
                <w:sz w:val="20"/>
                <w:szCs w:val="20"/>
              </w:rPr>
            </w:pPr>
            <w:r>
              <w:rPr>
                <w:b/>
                <w:bCs/>
                <w:noProof/>
                <w:color w:val="000000"/>
                <w:sz w:val="20"/>
              </w:rPr>
              <w:t> </w:t>
            </w:r>
          </w:p>
        </w:tc>
      </w:tr>
      <w:tr w:rsidR="001D642D">
        <w:trPr>
          <w:trHeight w:val="300"/>
        </w:trPr>
        <w:tc>
          <w:tcPr>
            <w:tcW w:w="3336"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rPr>
                <w:b/>
                <w:bCs/>
                <w:noProof/>
                <w:color w:val="000000"/>
                <w:szCs w:val="24"/>
              </w:rPr>
            </w:pPr>
            <w:r>
              <w:rPr>
                <w:b/>
                <w:bCs/>
                <w:noProof/>
                <w:color w:val="000000"/>
                <w:szCs w:val="24"/>
              </w:rPr>
              <w:t>13.08.01</w:t>
            </w:r>
          </w:p>
        </w:tc>
        <w:tc>
          <w:tcPr>
            <w:tcW w:w="32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D642D" w:rsidRDefault="00DA3274">
            <w:pPr>
              <w:spacing w:before="0" w:after="0"/>
              <w:rPr>
                <w:noProof/>
                <w:color w:val="000000"/>
                <w:sz w:val="18"/>
                <w:szCs w:val="18"/>
              </w:rPr>
            </w:pPr>
            <w:r>
              <w:rPr>
                <w:noProof/>
                <w:color w:val="000000"/>
                <w:sz w:val="18"/>
              </w:rPr>
              <w:t>Commitments</w:t>
            </w:r>
          </w:p>
        </w:tc>
        <w:tc>
          <w:tcPr>
            <w:tcW w:w="287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D642D" w:rsidRDefault="00DA3274">
            <w:pPr>
              <w:spacing w:before="0" w:after="0"/>
              <w:jc w:val="center"/>
              <w:rPr>
                <w:noProof/>
                <w:color w:val="000000"/>
                <w:sz w:val="14"/>
                <w:szCs w:val="14"/>
              </w:rPr>
            </w:pPr>
            <w:r>
              <w:rPr>
                <w:noProof/>
                <w:color w:val="000000"/>
                <w:sz w:val="14"/>
              </w:rPr>
              <w:t>(1)</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0"/>
                <w:szCs w:val="20"/>
              </w:rPr>
            </w:pPr>
            <w:r>
              <w:rPr>
                <w:b/>
                <w:bCs/>
                <w:noProof/>
                <w:color w:val="000000"/>
                <w:sz w:val="20"/>
              </w:rPr>
              <w:t>40,000</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0"/>
                <w:szCs w:val="20"/>
              </w:rPr>
            </w:pPr>
            <w:r>
              <w:rPr>
                <w:b/>
                <w:bCs/>
                <w:noProof/>
                <w:color w:val="000000"/>
                <w:sz w:val="20"/>
              </w:rPr>
              <w:t>40,000</w:t>
            </w:r>
          </w:p>
        </w:tc>
        <w:tc>
          <w:tcPr>
            <w:tcW w:w="1059"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1D642D">
            <w:pPr>
              <w:spacing w:before="0" w:after="0"/>
              <w:jc w:val="right"/>
              <w:rPr>
                <w:b/>
                <w:bCs/>
                <w:noProof/>
                <w:color w:val="000000"/>
                <w:sz w:val="20"/>
                <w:szCs w:val="20"/>
              </w:rPr>
            </w:pP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0"/>
                <w:szCs w:val="20"/>
              </w:rPr>
            </w:pPr>
            <w:r>
              <w:rPr>
                <w:b/>
                <w:bCs/>
                <w:noProof/>
                <w:color w:val="000000"/>
                <w:sz w:val="20"/>
                <w:szCs w:val="20"/>
              </w:rPr>
              <w:t>80,000</w:t>
            </w:r>
          </w:p>
        </w:tc>
      </w:tr>
      <w:tr w:rsidR="001D642D">
        <w:trPr>
          <w:trHeight w:val="315"/>
        </w:trPr>
        <w:tc>
          <w:tcPr>
            <w:tcW w:w="3336"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Cs w:val="24"/>
              </w:rPr>
            </w:pPr>
          </w:p>
        </w:tc>
        <w:tc>
          <w:tcPr>
            <w:tcW w:w="3214" w:type="dxa"/>
            <w:gridSpan w:val="2"/>
            <w:vMerge/>
            <w:tcBorders>
              <w:top w:val="single" w:sz="8" w:space="0" w:color="auto"/>
              <w:left w:val="single" w:sz="8" w:space="0" w:color="auto"/>
              <w:bottom w:val="single" w:sz="8" w:space="0" w:color="000000"/>
              <w:right w:val="single" w:sz="8" w:space="0" w:color="000000"/>
            </w:tcBorders>
            <w:vAlign w:val="center"/>
            <w:hideMark/>
          </w:tcPr>
          <w:p w:rsidR="001D642D" w:rsidRDefault="001D642D">
            <w:pPr>
              <w:spacing w:before="0" w:after="0"/>
              <w:jc w:val="left"/>
              <w:rPr>
                <w:noProof/>
                <w:color w:val="000000"/>
                <w:sz w:val="18"/>
                <w:szCs w:val="18"/>
              </w:rPr>
            </w:pPr>
          </w:p>
        </w:tc>
        <w:tc>
          <w:tcPr>
            <w:tcW w:w="2873" w:type="dxa"/>
            <w:gridSpan w:val="3"/>
            <w:vMerge/>
            <w:tcBorders>
              <w:top w:val="single" w:sz="8" w:space="0" w:color="auto"/>
              <w:left w:val="single" w:sz="8" w:space="0" w:color="auto"/>
              <w:bottom w:val="single" w:sz="8" w:space="0" w:color="000000"/>
              <w:right w:val="single" w:sz="8" w:space="0" w:color="000000"/>
            </w:tcBorders>
            <w:vAlign w:val="center"/>
            <w:hideMark/>
          </w:tcPr>
          <w:p w:rsidR="001D642D" w:rsidRDefault="001D642D">
            <w:pPr>
              <w:spacing w:before="0" w:after="0"/>
              <w:jc w:val="left"/>
              <w:rPr>
                <w:noProof/>
                <w:color w:val="000000"/>
                <w:sz w:val="14"/>
                <w:szCs w:val="14"/>
              </w:rPr>
            </w:pPr>
          </w:p>
        </w:tc>
        <w:tc>
          <w:tcPr>
            <w:tcW w:w="966"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c>
          <w:tcPr>
            <w:tcW w:w="966"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c>
          <w:tcPr>
            <w:tcW w:w="966"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r>
      <w:tr w:rsidR="001D642D">
        <w:trPr>
          <w:trHeight w:val="315"/>
        </w:trPr>
        <w:tc>
          <w:tcPr>
            <w:tcW w:w="3336"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Cs w:val="24"/>
              </w:rPr>
            </w:pPr>
          </w:p>
        </w:tc>
        <w:tc>
          <w:tcPr>
            <w:tcW w:w="3214" w:type="dxa"/>
            <w:gridSpan w:val="2"/>
            <w:tcBorders>
              <w:top w:val="single" w:sz="8" w:space="0" w:color="auto"/>
              <w:left w:val="nil"/>
              <w:bottom w:val="single" w:sz="8" w:space="0" w:color="auto"/>
              <w:right w:val="single" w:sz="8" w:space="0" w:color="000000"/>
            </w:tcBorders>
            <w:shd w:val="clear" w:color="auto" w:fill="auto"/>
            <w:vAlign w:val="center"/>
            <w:hideMark/>
          </w:tcPr>
          <w:p w:rsidR="001D642D" w:rsidRDefault="00DA3274">
            <w:pPr>
              <w:spacing w:before="0" w:after="0"/>
              <w:rPr>
                <w:noProof/>
                <w:color w:val="000000"/>
                <w:sz w:val="18"/>
                <w:szCs w:val="18"/>
              </w:rPr>
            </w:pPr>
            <w:r>
              <w:rPr>
                <w:noProof/>
                <w:color w:val="000000"/>
                <w:sz w:val="18"/>
              </w:rPr>
              <w:t>Payments</w:t>
            </w:r>
          </w:p>
        </w:tc>
        <w:tc>
          <w:tcPr>
            <w:tcW w:w="2873" w:type="dxa"/>
            <w:gridSpan w:val="3"/>
            <w:tcBorders>
              <w:top w:val="single" w:sz="8" w:space="0" w:color="auto"/>
              <w:left w:val="nil"/>
              <w:bottom w:val="single" w:sz="8" w:space="0" w:color="auto"/>
              <w:right w:val="single" w:sz="8" w:space="0" w:color="000000"/>
            </w:tcBorders>
            <w:shd w:val="clear" w:color="auto" w:fill="auto"/>
            <w:vAlign w:val="center"/>
            <w:hideMark/>
          </w:tcPr>
          <w:p w:rsidR="001D642D" w:rsidRDefault="00DA3274">
            <w:pPr>
              <w:spacing w:before="0" w:after="0"/>
              <w:jc w:val="center"/>
              <w:rPr>
                <w:noProof/>
                <w:color w:val="000000"/>
                <w:sz w:val="14"/>
                <w:szCs w:val="14"/>
              </w:rPr>
            </w:pPr>
            <w:r>
              <w:rPr>
                <w:noProof/>
                <w:color w:val="000000"/>
                <w:sz w:val="14"/>
              </w:rPr>
              <w:t>(2)</w:t>
            </w:r>
          </w:p>
        </w:tc>
        <w:tc>
          <w:tcPr>
            <w:tcW w:w="966"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right"/>
              <w:rPr>
                <w:b/>
                <w:bCs/>
                <w:noProof/>
                <w:color w:val="000000"/>
                <w:sz w:val="20"/>
                <w:szCs w:val="20"/>
              </w:rPr>
            </w:pPr>
            <w:r>
              <w:rPr>
                <w:b/>
                <w:bCs/>
                <w:noProof/>
                <w:color w:val="000000"/>
                <w:sz w:val="20"/>
              </w:rPr>
              <w:t>17,200</w:t>
            </w:r>
          </w:p>
        </w:tc>
        <w:tc>
          <w:tcPr>
            <w:tcW w:w="966"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right"/>
              <w:rPr>
                <w:b/>
                <w:bCs/>
                <w:noProof/>
                <w:color w:val="000000"/>
                <w:sz w:val="20"/>
                <w:szCs w:val="20"/>
              </w:rPr>
            </w:pPr>
            <w:r>
              <w:rPr>
                <w:b/>
                <w:bCs/>
                <w:noProof/>
                <w:color w:val="000000"/>
                <w:sz w:val="20"/>
              </w:rPr>
              <w:t>28,600</w:t>
            </w:r>
          </w:p>
        </w:tc>
        <w:tc>
          <w:tcPr>
            <w:tcW w:w="1059"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right"/>
              <w:rPr>
                <w:b/>
                <w:bCs/>
                <w:noProof/>
                <w:color w:val="000000"/>
                <w:sz w:val="20"/>
                <w:szCs w:val="20"/>
              </w:rPr>
            </w:pPr>
            <w:r>
              <w:rPr>
                <w:b/>
                <w:bCs/>
                <w:noProof/>
                <w:color w:val="000000"/>
                <w:sz w:val="20"/>
              </w:rPr>
              <w:t>34,200</w:t>
            </w:r>
          </w:p>
        </w:tc>
        <w:tc>
          <w:tcPr>
            <w:tcW w:w="966"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right"/>
              <w:rPr>
                <w:b/>
                <w:bCs/>
                <w:noProof/>
                <w:color w:val="000000"/>
                <w:sz w:val="20"/>
                <w:szCs w:val="20"/>
              </w:rPr>
            </w:pPr>
            <w:r>
              <w:rPr>
                <w:b/>
                <w:bCs/>
                <w:noProof/>
                <w:color w:val="000000"/>
                <w:sz w:val="20"/>
                <w:szCs w:val="20"/>
              </w:rPr>
              <w:t>80,000</w:t>
            </w:r>
          </w:p>
        </w:tc>
      </w:tr>
      <w:tr w:rsidR="001D642D">
        <w:trPr>
          <w:trHeight w:val="315"/>
        </w:trPr>
        <w:tc>
          <w:tcPr>
            <w:tcW w:w="3336"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Cs w:val="24"/>
              </w:rPr>
            </w:pPr>
          </w:p>
        </w:tc>
        <w:tc>
          <w:tcPr>
            <w:tcW w:w="3214" w:type="dxa"/>
            <w:gridSpan w:val="2"/>
            <w:tcBorders>
              <w:top w:val="single" w:sz="8" w:space="0" w:color="auto"/>
              <w:left w:val="single" w:sz="8" w:space="0" w:color="auto"/>
              <w:bottom w:val="single" w:sz="8" w:space="0" w:color="000000"/>
              <w:right w:val="single" w:sz="8" w:space="0" w:color="000000"/>
            </w:tcBorders>
            <w:vAlign w:val="center"/>
            <w:hideMark/>
          </w:tcPr>
          <w:p w:rsidR="001D642D" w:rsidRDefault="001D642D">
            <w:pPr>
              <w:spacing w:before="0" w:after="0"/>
              <w:jc w:val="left"/>
              <w:rPr>
                <w:noProof/>
                <w:color w:val="000000"/>
                <w:sz w:val="18"/>
                <w:szCs w:val="18"/>
              </w:rPr>
            </w:pPr>
          </w:p>
        </w:tc>
        <w:tc>
          <w:tcPr>
            <w:tcW w:w="2873" w:type="dxa"/>
            <w:gridSpan w:val="3"/>
            <w:tcBorders>
              <w:top w:val="single" w:sz="8" w:space="0" w:color="auto"/>
              <w:left w:val="single" w:sz="8" w:space="0" w:color="auto"/>
              <w:bottom w:val="single" w:sz="8" w:space="0" w:color="000000"/>
              <w:right w:val="single" w:sz="8" w:space="0" w:color="000000"/>
            </w:tcBorders>
            <w:vAlign w:val="center"/>
            <w:hideMark/>
          </w:tcPr>
          <w:p w:rsidR="001D642D" w:rsidRDefault="001D642D">
            <w:pPr>
              <w:spacing w:before="0" w:after="0"/>
              <w:jc w:val="left"/>
              <w:rPr>
                <w:noProof/>
                <w:color w:val="000000"/>
                <w:sz w:val="14"/>
                <w:szCs w:val="14"/>
              </w:rPr>
            </w:pPr>
          </w:p>
        </w:tc>
        <w:tc>
          <w:tcPr>
            <w:tcW w:w="966" w:type="dxa"/>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c>
          <w:tcPr>
            <w:tcW w:w="966" w:type="dxa"/>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c>
          <w:tcPr>
            <w:tcW w:w="1059" w:type="dxa"/>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c>
          <w:tcPr>
            <w:tcW w:w="966" w:type="dxa"/>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r>
      <w:tr w:rsidR="001D642D">
        <w:trPr>
          <w:trHeight w:val="300"/>
        </w:trPr>
        <w:tc>
          <w:tcPr>
            <w:tcW w:w="3336" w:type="dxa"/>
            <w:tcBorders>
              <w:top w:val="nil"/>
              <w:left w:val="single" w:sz="8" w:space="0" w:color="auto"/>
              <w:bottom w:val="nil"/>
              <w:right w:val="single" w:sz="8" w:space="0" w:color="auto"/>
            </w:tcBorders>
            <w:shd w:val="clear" w:color="auto" w:fill="auto"/>
            <w:vAlign w:val="center"/>
            <w:hideMark/>
          </w:tcPr>
          <w:p w:rsidR="001D642D" w:rsidRDefault="00DA3274">
            <w:pPr>
              <w:spacing w:before="0" w:after="0"/>
              <w:jc w:val="center"/>
              <w:rPr>
                <w:b/>
                <w:bCs/>
                <w:noProof/>
                <w:color w:val="000000"/>
                <w:sz w:val="22"/>
              </w:rPr>
            </w:pPr>
            <w:r>
              <w:rPr>
                <w:b/>
                <w:bCs/>
                <w:noProof/>
                <w:color w:val="000000"/>
                <w:sz w:val="22"/>
              </w:rPr>
              <w:t>TOTAL appropriations</w:t>
            </w:r>
          </w:p>
        </w:tc>
        <w:tc>
          <w:tcPr>
            <w:tcW w:w="32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D642D" w:rsidRDefault="00DA3274">
            <w:pPr>
              <w:spacing w:before="0" w:after="0"/>
              <w:rPr>
                <w:noProof/>
                <w:color w:val="000000"/>
                <w:sz w:val="18"/>
                <w:szCs w:val="18"/>
              </w:rPr>
            </w:pPr>
            <w:r>
              <w:rPr>
                <w:noProof/>
                <w:color w:val="000000"/>
                <w:sz w:val="18"/>
              </w:rPr>
              <w:t>Commitments</w:t>
            </w:r>
          </w:p>
        </w:tc>
        <w:tc>
          <w:tcPr>
            <w:tcW w:w="287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D642D" w:rsidRDefault="00DA3274">
            <w:pPr>
              <w:spacing w:before="0" w:after="0"/>
              <w:jc w:val="center"/>
              <w:rPr>
                <w:noProof/>
                <w:color w:val="000000"/>
                <w:sz w:val="14"/>
                <w:szCs w:val="14"/>
              </w:rPr>
            </w:pPr>
            <w:r>
              <w:rPr>
                <w:noProof/>
                <w:color w:val="000000"/>
                <w:sz w:val="14"/>
              </w:rPr>
              <w:t>=1+1a +3</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2"/>
              </w:rPr>
            </w:pPr>
            <w:r>
              <w:rPr>
                <w:b/>
                <w:bCs/>
                <w:noProof/>
                <w:color w:val="000000"/>
                <w:sz w:val="22"/>
              </w:rPr>
              <w:t>40,000</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2"/>
              </w:rPr>
            </w:pPr>
            <w:r>
              <w:rPr>
                <w:b/>
                <w:bCs/>
                <w:noProof/>
                <w:color w:val="000000"/>
                <w:sz w:val="22"/>
              </w:rPr>
              <w:t>40,000</w:t>
            </w:r>
          </w:p>
        </w:tc>
        <w:tc>
          <w:tcPr>
            <w:tcW w:w="1059"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1D642D">
            <w:pPr>
              <w:spacing w:before="0" w:after="0"/>
              <w:jc w:val="right"/>
              <w:rPr>
                <w:b/>
                <w:bCs/>
                <w:noProof/>
                <w:color w:val="000000"/>
                <w:szCs w:val="24"/>
              </w:rPr>
            </w:pP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2"/>
              </w:rPr>
            </w:pPr>
            <w:r>
              <w:rPr>
                <w:b/>
                <w:bCs/>
                <w:noProof/>
                <w:color w:val="000000"/>
                <w:sz w:val="22"/>
              </w:rPr>
              <w:t>80,000</w:t>
            </w:r>
          </w:p>
        </w:tc>
      </w:tr>
      <w:tr w:rsidR="001D642D">
        <w:trPr>
          <w:trHeight w:val="315"/>
        </w:trPr>
        <w:tc>
          <w:tcPr>
            <w:tcW w:w="3336" w:type="dxa"/>
            <w:tcBorders>
              <w:top w:val="nil"/>
              <w:left w:val="single" w:sz="8" w:space="0" w:color="auto"/>
              <w:bottom w:val="nil"/>
              <w:right w:val="single" w:sz="8" w:space="0" w:color="auto"/>
            </w:tcBorders>
            <w:shd w:val="clear" w:color="auto" w:fill="auto"/>
            <w:vAlign w:val="center"/>
            <w:hideMark/>
          </w:tcPr>
          <w:p w:rsidR="001D642D" w:rsidRDefault="00DA3274">
            <w:pPr>
              <w:spacing w:before="0" w:after="0"/>
              <w:jc w:val="center"/>
              <w:rPr>
                <w:b/>
                <w:bCs/>
                <w:noProof/>
                <w:color w:val="000000"/>
                <w:sz w:val="22"/>
              </w:rPr>
            </w:pPr>
            <w:r>
              <w:rPr>
                <w:b/>
                <w:bCs/>
                <w:noProof/>
                <w:color w:val="000000"/>
                <w:sz w:val="22"/>
              </w:rPr>
              <w:t>for 13</w:t>
            </w:r>
          </w:p>
        </w:tc>
        <w:tc>
          <w:tcPr>
            <w:tcW w:w="3214" w:type="dxa"/>
            <w:gridSpan w:val="2"/>
            <w:vMerge/>
            <w:tcBorders>
              <w:top w:val="nil"/>
              <w:left w:val="single" w:sz="8" w:space="0" w:color="auto"/>
              <w:bottom w:val="nil"/>
              <w:right w:val="single" w:sz="8" w:space="0" w:color="auto"/>
            </w:tcBorders>
            <w:vAlign w:val="center"/>
            <w:hideMark/>
          </w:tcPr>
          <w:p w:rsidR="001D642D" w:rsidRDefault="001D642D">
            <w:pPr>
              <w:spacing w:before="0" w:after="0"/>
              <w:jc w:val="left"/>
              <w:rPr>
                <w:noProof/>
                <w:color w:val="000000"/>
                <w:sz w:val="18"/>
                <w:szCs w:val="18"/>
              </w:rPr>
            </w:pPr>
          </w:p>
        </w:tc>
        <w:tc>
          <w:tcPr>
            <w:tcW w:w="2873" w:type="dxa"/>
            <w:gridSpan w:val="3"/>
            <w:vMerge/>
            <w:tcBorders>
              <w:top w:val="nil"/>
              <w:left w:val="single" w:sz="8" w:space="0" w:color="auto"/>
              <w:bottom w:val="nil"/>
              <w:right w:val="single" w:sz="8" w:space="0" w:color="auto"/>
            </w:tcBorders>
            <w:vAlign w:val="center"/>
            <w:hideMark/>
          </w:tcPr>
          <w:p w:rsidR="001D642D" w:rsidRDefault="001D642D">
            <w:pPr>
              <w:spacing w:before="0" w:after="0"/>
              <w:jc w:val="left"/>
              <w:rPr>
                <w:noProof/>
                <w:color w:val="000000"/>
                <w:sz w:val="14"/>
                <w:szCs w:val="14"/>
              </w:rPr>
            </w:pPr>
          </w:p>
        </w:tc>
        <w:tc>
          <w:tcPr>
            <w:tcW w:w="966"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2"/>
              </w:rPr>
            </w:pPr>
          </w:p>
        </w:tc>
        <w:tc>
          <w:tcPr>
            <w:tcW w:w="966"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2"/>
              </w:rPr>
            </w:pPr>
          </w:p>
        </w:tc>
        <w:tc>
          <w:tcPr>
            <w:tcW w:w="1059"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Cs w:val="24"/>
              </w:rPr>
            </w:pPr>
          </w:p>
        </w:tc>
        <w:tc>
          <w:tcPr>
            <w:tcW w:w="966"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2"/>
              </w:rPr>
            </w:pPr>
          </w:p>
        </w:tc>
      </w:tr>
      <w:tr w:rsidR="001D642D">
        <w:trPr>
          <w:trHeight w:val="300"/>
        </w:trPr>
        <w:tc>
          <w:tcPr>
            <w:tcW w:w="3336" w:type="dxa"/>
            <w:tcBorders>
              <w:top w:val="nil"/>
              <w:left w:val="single" w:sz="8" w:space="0" w:color="auto"/>
              <w:bottom w:val="nil"/>
              <w:right w:val="single" w:sz="8" w:space="0" w:color="auto"/>
            </w:tcBorders>
            <w:shd w:val="clear" w:color="auto" w:fill="auto"/>
            <w:vAlign w:val="center"/>
            <w:hideMark/>
          </w:tcPr>
          <w:p w:rsidR="001D642D" w:rsidRDefault="00DA3274">
            <w:pPr>
              <w:spacing w:before="0" w:after="0"/>
              <w:jc w:val="left"/>
              <w:rPr>
                <w:rFonts w:ascii="Calibri" w:hAnsi="Calibri" w:cs="Calibri"/>
                <w:noProof/>
                <w:color w:val="000000"/>
                <w:sz w:val="22"/>
              </w:rPr>
            </w:pPr>
            <w:r>
              <w:rPr>
                <w:rFonts w:ascii="Calibri" w:hAnsi="Calibri" w:cs="Calibri"/>
                <w:noProof/>
                <w:color w:val="000000"/>
                <w:sz w:val="22"/>
              </w:rPr>
              <w:t> </w:t>
            </w:r>
          </w:p>
        </w:tc>
        <w:tc>
          <w:tcPr>
            <w:tcW w:w="32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D642D" w:rsidRDefault="00DA3274">
            <w:pPr>
              <w:spacing w:before="0" w:after="0"/>
              <w:rPr>
                <w:noProof/>
                <w:color w:val="000000"/>
                <w:sz w:val="18"/>
                <w:szCs w:val="18"/>
              </w:rPr>
            </w:pPr>
            <w:r>
              <w:rPr>
                <w:noProof/>
                <w:color w:val="000000"/>
                <w:sz w:val="18"/>
              </w:rPr>
              <w:t>Payments</w:t>
            </w:r>
          </w:p>
        </w:tc>
        <w:tc>
          <w:tcPr>
            <w:tcW w:w="2873" w:type="dxa"/>
            <w:gridSpan w:val="3"/>
            <w:tcBorders>
              <w:top w:val="single" w:sz="8" w:space="0" w:color="auto"/>
              <w:left w:val="nil"/>
              <w:bottom w:val="nil"/>
              <w:right w:val="single" w:sz="8" w:space="0" w:color="000000"/>
            </w:tcBorders>
            <w:shd w:val="clear" w:color="auto" w:fill="auto"/>
            <w:vAlign w:val="center"/>
            <w:hideMark/>
          </w:tcPr>
          <w:p w:rsidR="001D642D" w:rsidRDefault="00DA3274">
            <w:pPr>
              <w:spacing w:before="0" w:after="0"/>
              <w:jc w:val="center"/>
              <w:rPr>
                <w:noProof/>
                <w:color w:val="000000"/>
                <w:sz w:val="14"/>
                <w:szCs w:val="14"/>
              </w:rPr>
            </w:pPr>
            <w:r>
              <w:rPr>
                <w:noProof/>
                <w:color w:val="000000"/>
                <w:sz w:val="14"/>
              </w:rPr>
              <w:t>=2+2a</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2"/>
              </w:rPr>
            </w:pPr>
            <w:r>
              <w:rPr>
                <w:b/>
                <w:bCs/>
                <w:noProof/>
                <w:color w:val="000000"/>
                <w:sz w:val="22"/>
              </w:rPr>
              <w:t>17,200</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2"/>
              </w:rPr>
            </w:pPr>
            <w:r>
              <w:rPr>
                <w:b/>
                <w:bCs/>
                <w:noProof/>
                <w:color w:val="000000"/>
                <w:sz w:val="22"/>
              </w:rPr>
              <w:t>28,600</w:t>
            </w:r>
          </w:p>
        </w:tc>
        <w:tc>
          <w:tcPr>
            <w:tcW w:w="1059"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2"/>
              </w:rPr>
            </w:pPr>
            <w:r>
              <w:rPr>
                <w:b/>
                <w:bCs/>
                <w:noProof/>
                <w:color w:val="000000"/>
                <w:sz w:val="22"/>
              </w:rPr>
              <w:t>34,200</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2"/>
              </w:rPr>
            </w:pPr>
            <w:r>
              <w:rPr>
                <w:b/>
                <w:bCs/>
                <w:noProof/>
                <w:color w:val="000000"/>
                <w:sz w:val="22"/>
              </w:rPr>
              <w:t>80,000</w:t>
            </w:r>
          </w:p>
        </w:tc>
      </w:tr>
      <w:tr w:rsidR="001D642D">
        <w:trPr>
          <w:trHeight w:val="315"/>
        </w:trPr>
        <w:tc>
          <w:tcPr>
            <w:tcW w:w="3336"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left"/>
              <w:rPr>
                <w:rFonts w:ascii="Calibri" w:hAnsi="Calibri" w:cs="Calibri"/>
                <w:noProof/>
                <w:color w:val="000000"/>
                <w:sz w:val="22"/>
              </w:rPr>
            </w:pPr>
            <w:r>
              <w:rPr>
                <w:rFonts w:ascii="Calibri" w:hAnsi="Calibri" w:cs="Calibri"/>
                <w:noProof/>
                <w:color w:val="000000"/>
                <w:sz w:val="22"/>
              </w:rPr>
              <w:t> </w:t>
            </w:r>
          </w:p>
        </w:tc>
        <w:tc>
          <w:tcPr>
            <w:tcW w:w="3214" w:type="dxa"/>
            <w:gridSpan w:val="2"/>
            <w:vMerge/>
            <w:tcBorders>
              <w:top w:val="nil"/>
              <w:left w:val="single" w:sz="8" w:space="0" w:color="auto"/>
              <w:bottom w:val="single" w:sz="8" w:space="0" w:color="auto"/>
              <w:right w:val="single" w:sz="8" w:space="0" w:color="auto"/>
            </w:tcBorders>
            <w:vAlign w:val="center"/>
            <w:hideMark/>
          </w:tcPr>
          <w:p w:rsidR="001D642D" w:rsidRDefault="001D642D">
            <w:pPr>
              <w:spacing w:before="0" w:after="0"/>
              <w:jc w:val="left"/>
              <w:rPr>
                <w:noProof/>
                <w:color w:val="000000"/>
                <w:sz w:val="18"/>
                <w:szCs w:val="18"/>
              </w:rPr>
            </w:pPr>
          </w:p>
        </w:tc>
        <w:tc>
          <w:tcPr>
            <w:tcW w:w="2873" w:type="dxa"/>
            <w:gridSpan w:val="3"/>
            <w:tcBorders>
              <w:top w:val="nil"/>
              <w:left w:val="nil"/>
              <w:bottom w:val="single" w:sz="8" w:space="0" w:color="auto"/>
              <w:right w:val="single" w:sz="8" w:space="0" w:color="000000"/>
            </w:tcBorders>
            <w:shd w:val="clear" w:color="auto" w:fill="auto"/>
            <w:vAlign w:val="center"/>
            <w:hideMark/>
          </w:tcPr>
          <w:p w:rsidR="001D642D" w:rsidRDefault="00DA3274">
            <w:pPr>
              <w:spacing w:before="0" w:after="0"/>
              <w:jc w:val="center"/>
              <w:rPr>
                <w:noProof/>
                <w:color w:val="000000"/>
                <w:sz w:val="14"/>
                <w:szCs w:val="14"/>
              </w:rPr>
            </w:pPr>
            <w:r>
              <w:rPr>
                <w:noProof/>
                <w:color w:val="000000"/>
                <w:sz w:val="14"/>
              </w:rPr>
              <w:t>3</w:t>
            </w:r>
          </w:p>
        </w:tc>
        <w:tc>
          <w:tcPr>
            <w:tcW w:w="966"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2"/>
              </w:rPr>
            </w:pPr>
          </w:p>
        </w:tc>
        <w:tc>
          <w:tcPr>
            <w:tcW w:w="966"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2"/>
              </w:rPr>
            </w:pPr>
          </w:p>
        </w:tc>
        <w:tc>
          <w:tcPr>
            <w:tcW w:w="1059"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2"/>
              </w:rPr>
            </w:pPr>
          </w:p>
        </w:tc>
        <w:tc>
          <w:tcPr>
            <w:tcW w:w="966"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2"/>
              </w:rPr>
            </w:pPr>
          </w:p>
        </w:tc>
      </w:tr>
    </w:tbl>
    <w:p w:rsidR="001D642D" w:rsidRDefault="001D642D">
      <w:pPr>
        <w:jc w:val="left"/>
        <w:rPr>
          <w:noProof/>
          <w:sz w:val="20"/>
        </w:rPr>
      </w:pPr>
    </w:p>
    <w:p w:rsidR="001D642D" w:rsidRDefault="001D642D">
      <w:pPr>
        <w:jc w:val="left"/>
        <w:rPr>
          <w:noProof/>
          <w:sz w:val="20"/>
        </w:rPr>
      </w:pPr>
    </w:p>
    <w:tbl>
      <w:tblPr>
        <w:tblW w:w="13482" w:type="dxa"/>
        <w:tblInd w:w="93" w:type="dxa"/>
        <w:tblLayout w:type="fixed"/>
        <w:tblLook w:val="04A0" w:firstRow="1" w:lastRow="0" w:firstColumn="1" w:lastColumn="0" w:noHBand="0" w:noVBand="1"/>
      </w:tblPr>
      <w:tblGrid>
        <w:gridCol w:w="5118"/>
        <w:gridCol w:w="1843"/>
        <w:gridCol w:w="2410"/>
        <w:gridCol w:w="992"/>
        <w:gridCol w:w="992"/>
        <w:gridCol w:w="1134"/>
        <w:gridCol w:w="993"/>
      </w:tblGrid>
      <w:tr w:rsidR="001D642D">
        <w:trPr>
          <w:trHeight w:val="662"/>
        </w:trPr>
        <w:tc>
          <w:tcPr>
            <w:tcW w:w="5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42D" w:rsidRDefault="00DA3274">
            <w:pPr>
              <w:pStyle w:val="ListParagraph"/>
              <w:numPr>
                <w:ilvl w:val="0"/>
                <w:numId w:val="18"/>
              </w:numPr>
              <w:spacing w:before="0" w:after="0"/>
              <w:rPr>
                <w:noProof/>
                <w:color w:val="000000"/>
                <w:sz w:val="21"/>
                <w:szCs w:val="21"/>
              </w:rPr>
            </w:pPr>
            <w:r>
              <w:rPr>
                <w:b/>
                <w:bCs/>
                <w:noProof/>
                <w:color w:val="000000"/>
                <w:sz w:val="22"/>
              </w:rPr>
              <w:t>TOTAL operational appropriations</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rPr>
                <w:noProof/>
                <w:color w:val="000000"/>
                <w:sz w:val="18"/>
                <w:szCs w:val="18"/>
              </w:rPr>
            </w:pPr>
            <w:r>
              <w:rPr>
                <w:noProof/>
                <w:color w:val="000000"/>
                <w:sz w:val="18"/>
              </w:rPr>
              <w:t>Commitments</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center"/>
              <w:rPr>
                <w:noProof/>
                <w:color w:val="000000"/>
                <w:sz w:val="14"/>
                <w:szCs w:val="14"/>
              </w:rPr>
            </w:pPr>
            <w:r>
              <w:rPr>
                <w:noProof/>
                <w:color w:val="000000"/>
                <w:sz w:val="14"/>
              </w:rPr>
              <w:t>(4)</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0"/>
                <w:szCs w:val="20"/>
              </w:rPr>
            </w:pPr>
            <w:r>
              <w:rPr>
                <w:b/>
                <w:bCs/>
                <w:noProof/>
                <w:color w:val="000000"/>
                <w:sz w:val="20"/>
              </w:rPr>
              <w:t>40,000</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0"/>
                <w:szCs w:val="20"/>
              </w:rPr>
            </w:pPr>
            <w:r>
              <w:rPr>
                <w:b/>
                <w:bCs/>
                <w:noProof/>
                <w:color w:val="000000"/>
                <w:sz w:val="20"/>
              </w:rPr>
              <w:t>40,000</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42D" w:rsidRDefault="001D642D">
            <w:pPr>
              <w:spacing w:before="0" w:after="0"/>
              <w:jc w:val="right"/>
              <w:rPr>
                <w:b/>
                <w:bCs/>
                <w:noProof/>
                <w:color w:val="000000"/>
                <w:sz w:val="20"/>
                <w:szCs w:val="20"/>
              </w:rPr>
            </w:pP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0"/>
                <w:szCs w:val="20"/>
              </w:rPr>
            </w:pPr>
            <w:r>
              <w:rPr>
                <w:b/>
                <w:bCs/>
                <w:noProof/>
                <w:color w:val="000000"/>
                <w:sz w:val="20"/>
                <w:szCs w:val="20"/>
              </w:rPr>
              <w:t>80,000</w:t>
            </w:r>
          </w:p>
        </w:tc>
      </w:tr>
      <w:tr w:rsidR="001D642D">
        <w:trPr>
          <w:trHeight w:val="302"/>
        </w:trPr>
        <w:tc>
          <w:tcPr>
            <w:tcW w:w="5118" w:type="dxa"/>
            <w:vMerge/>
            <w:tcBorders>
              <w:top w:val="single" w:sz="8" w:space="0" w:color="auto"/>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21"/>
                <w:szCs w:val="21"/>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18"/>
                <w:szCs w:val="18"/>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14"/>
                <w:szCs w:val="14"/>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r>
      <w:tr w:rsidR="001D642D">
        <w:trPr>
          <w:trHeight w:val="288"/>
        </w:trPr>
        <w:tc>
          <w:tcPr>
            <w:tcW w:w="5118" w:type="dxa"/>
            <w:vMerge/>
            <w:tcBorders>
              <w:top w:val="single" w:sz="8" w:space="0" w:color="auto"/>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21"/>
                <w:szCs w:val="21"/>
              </w:rPr>
            </w:pP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rPr>
                <w:noProof/>
                <w:color w:val="000000"/>
                <w:sz w:val="18"/>
                <w:szCs w:val="18"/>
              </w:rPr>
            </w:pPr>
            <w:r>
              <w:rPr>
                <w:noProof/>
                <w:color w:val="000000"/>
                <w:sz w:val="18"/>
              </w:rPr>
              <w:t>Payments</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center"/>
              <w:rPr>
                <w:noProof/>
                <w:color w:val="000000"/>
                <w:sz w:val="14"/>
                <w:szCs w:val="14"/>
              </w:rPr>
            </w:pPr>
            <w:r>
              <w:rPr>
                <w:noProof/>
                <w:color w:val="000000"/>
                <w:sz w:val="14"/>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0"/>
                <w:szCs w:val="20"/>
              </w:rPr>
            </w:pPr>
            <w:r>
              <w:rPr>
                <w:b/>
                <w:bCs/>
                <w:noProof/>
                <w:color w:val="000000"/>
                <w:sz w:val="20"/>
              </w:rPr>
              <w:t>17,200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0"/>
                <w:szCs w:val="20"/>
              </w:rPr>
            </w:pPr>
            <w:r>
              <w:rPr>
                <w:b/>
                <w:bCs/>
                <w:noProof/>
                <w:color w:val="000000"/>
                <w:sz w:val="20"/>
              </w:rPr>
              <w:t>28,600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0"/>
                <w:szCs w:val="20"/>
              </w:rPr>
            </w:pPr>
            <w:r>
              <w:rPr>
                <w:b/>
                <w:bCs/>
                <w:noProof/>
                <w:color w:val="000000"/>
                <w:sz w:val="20"/>
              </w:rPr>
              <w:t>34,200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0"/>
                <w:szCs w:val="20"/>
              </w:rPr>
            </w:pPr>
            <w:r>
              <w:rPr>
                <w:b/>
                <w:bCs/>
                <w:noProof/>
                <w:color w:val="000000"/>
                <w:sz w:val="20"/>
                <w:szCs w:val="20"/>
              </w:rPr>
              <w:t>80,000</w:t>
            </w:r>
          </w:p>
        </w:tc>
      </w:tr>
      <w:tr w:rsidR="001D642D">
        <w:trPr>
          <w:trHeight w:val="302"/>
        </w:trPr>
        <w:tc>
          <w:tcPr>
            <w:tcW w:w="5118" w:type="dxa"/>
            <w:vMerge/>
            <w:tcBorders>
              <w:top w:val="single" w:sz="8" w:space="0" w:color="auto"/>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21"/>
                <w:szCs w:val="21"/>
              </w:rPr>
            </w:pPr>
          </w:p>
        </w:tc>
        <w:tc>
          <w:tcPr>
            <w:tcW w:w="1843"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14"/>
                <w:szCs w:val="14"/>
              </w:rPr>
            </w:pPr>
          </w:p>
        </w:tc>
        <w:tc>
          <w:tcPr>
            <w:tcW w:w="992"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0"/>
                <w:szCs w:val="20"/>
              </w:rPr>
            </w:pPr>
          </w:p>
        </w:tc>
      </w:tr>
      <w:tr w:rsidR="001D642D">
        <w:trPr>
          <w:trHeight w:val="734"/>
        </w:trPr>
        <w:tc>
          <w:tcPr>
            <w:tcW w:w="69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D642D" w:rsidRDefault="00DA3274">
            <w:pPr>
              <w:pStyle w:val="ListParagraph"/>
              <w:numPr>
                <w:ilvl w:val="0"/>
                <w:numId w:val="18"/>
              </w:numPr>
              <w:spacing w:before="0" w:after="0"/>
              <w:rPr>
                <w:noProof/>
                <w:color w:val="000000"/>
                <w:sz w:val="21"/>
                <w:szCs w:val="21"/>
              </w:rPr>
            </w:pPr>
            <w:r>
              <w:rPr>
                <w:b/>
                <w:bCs/>
                <w:noProof/>
                <w:color w:val="000000"/>
                <w:sz w:val="22"/>
              </w:rPr>
              <w:t>TOTAL operational appropriations of an administrative nature financed from the envelope for specific programmes</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center"/>
              <w:rPr>
                <w:noProof/>
                <w:color w:val="000000"/>
                <w:sz w:val="14"/>
                <w:szCs w:val="14"/>
              </w:rPr>
            </w:pPr>
            <w:r>
              <w:rPr>
                <w:noProof/>
                <w:color w:val="000000"/>
                <w:sz w:val="14"/>
              </w:rPr>
              <w:t>(6)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1D642D" w:rsidRDefault="001D642D">
            <w:pPr>
              <w:spacing w:before="0" w:after="0"/>
              <w:jc w:val="right"/>
              <w:rPr>
                <w:b/>
                <w:bCs/>
                <w:noProof/>
                <w:color w:val="000000"/>
                <w:sz w:val="20"/>
                <w:szCs w:val="20"/>
              </w:rPr>
            </w:pP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1D642D" w:rsidRDefault="001D642D">
            <w:pPr>
              <w:spacing w:before="0" w:after="0"/>
              <w:jc w:val="right"/>
              <w:rPr>
                <w:b/>
                <w:bCs/>
                <w:noProof/>
                <w:color w:val="000000"/>
                <w:sz w:val="20"/>
                <w:szCs w:val="20"/>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1D642D" w:rsidRDefault="001D642D">
            <w:pPr>
              <w:spacing w:before="0" w:after="0"/>
              <w:jc w:val="right"/>
              <w:rPr>
                <w:b/>
                <w:bCs/>
                <w:noProof/>
                <w:color w:val="000000"/>
                <w:sz w:val="20"/>
                <w:szCs w:val="20"/>
              </w:rPr>
            </w:pP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1D642D" w:rsidRDefault="001D642D">
            <w:pPr>
              <w:spacing w:before="0" w:after="0"/>
              <w:jc w:val="right"/>
              <w:rPr>
                <w:b/>
                <w:bCs/>
                <w:noProof/>
                <w:color w:val="000000"/>
                <w:sz w:val="20"/>
                <w:szCs w:val="20"/>
              </w:rPr>
            </w:pPr>
          </w:p>
        </w:tc>
      </w:tr>
      <w:tr w:rsidR="001D642D">
        <w:trPr>
          <w:trHeight w:val="302"/>
        </w:trPr>
        <w:tc>
          <w:tcPr>
            <w:tcW w:w="6961" w:type="dxa"/>
            <w:gridSpan w:val="2"/>
            <w:vMerge/>
            <w:tcBorders>
              <w:top w:val="single" w:sz="8" w:space="0" w:color="auto"/>
              <w:left w:val="single" w:sz="8" w:space="0" w:color="auto"/>
              <w:bottom w:val="single" w:sz="8" w:space="0" w:color="000000"/>
              <w:right w:val="single" w:sz="8" w:space="0" w:color="000000"/>
            </w:tcBorders>
            <w:vAlign w:val="center"/>
            <w:hideMark/>
          </w:tcPr>
          <w:p w:rsidR="001D642D" w:rsidRDefault="001D642D">
            <w:pPr>
              <w:spacing w:before="0" w:after="0"/>
              <w:jc w:val="left"/>
              <w:rPr>
                <w:noProof/>
                <w:color w:val="000000"/>
                <w:sz w:val="21"/>
                <w:szCs w:val="21"/>
              </w:rPr>
            </w:pPr>
          </w:p>
        </w:tc>
        <w:tc>
          <w:tcPr>
            <w:tcW w:w="2410"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14"/>
                <w:szCs w:val="14"/>
              </w:rPr>
            </w:pPr>
          </w:p>
        </w:tc>
        <w:tc>
          <w:tcPr>
            <w:tcW w:w="992" w:type="dxa"/>
            <w:vMerge/>
            <w:tcBorders>
              <w:top w:val="nil"/>
              <w:left w:val="single" w:sz="8" w:space="0" w:color="auto"/>
              <w:bottom w:val="single" w:sz="8" w:space="0" w:color="000000"/>
              <w:right w:val="single" w:sz="8" w:space="0" w:color="auto"/>
            </w:tcBorders>
            <w:vAlign w:val="center"/>
          </w:tcPr>
          <w:p w:rsidR="001D642D" w:rsidRDefault="001D642D">
            <w:pPr>
              <w:spacing w:before="0" w:after="0"/>
              <w:jc w:val="left"/>
              <w:rPr>
                <w:b/>
                <w:bCs/>
                <w:noProof/>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tcPr>
          <w:p w:rsidR="001D642D" w:rsidRDefault="001D642D">
            <w:pPr>
              <w:spacing w:before="0" w:after="0"/>
              <w:jc w:val="left"/>
              <w:rPr>
                <w:b/>
                <w:bCs/>
                <w:noProof/>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1D642D" w:rsidRDefault="001D642D">
            <w:pPr>
              <w:spacing w:before="0" w:after="0"/>
              <w:jc w:val="left"/>
              <w:rPr>
                <w:b/>
                <w:bCs/>
                <w:noProof/>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tcPr>
          <w:p w:rsidR="001D642D" w:rsidRDefault="001D642D">
            <w:pPr>
              <w:spacing w:before="0" w:after="0"/>
              <w:jc w:val="left"/>
              <w:rPr>
                <w:b/>
                <w:bCs/>
                <w:noProof/>
                <w:color w:val="000000"/>
                <w:sz w:val="20"/>
                <w:szCs w:val="20"/>
              </w:rPr>
            </w:pPr>
          </w:p>
        </w:tc>
      </w:tr>
      <w:tr w:rsidR="001D642D">
        <w:trPr>
          <w:trHeight w:val="288"/>
        </w:trPr>
        <w:tc>
          <w:tcPr>
            <w:tcW w:w="5118" w:type="dxa"/>
            <w:tcBorders>
              <w:top w:val="nil"/>
              <w:left w:val="single" w:sz="8" w:space="0" w:color="auto"/>
              <w:bottom w:val="nil"/>
              <w:right w:val="single" w:sz="8" w:space="0" w:color="auto"/>
            </w:tcBorders>
            <w:shd w:val="thinDiagStripe" w:color="C0C0C0" w:fill="F1F1F1"/>
            <w:vAlign w:val="center"/>
            <w:hideMark/>
          </w:tcPr>
          <w:p w:rsidR="001D642D" w:rsidRDefault="00DA3274">
            <w:pPr>
              <w:spacing w:before="0" w:after="0"/>
              <w:jc w:val="center"/>
              <w:rPr>
                <w:b/>
                <w:bCs/>
                <w:noProof/>
                <w:color w:val="000000"/>
                <w:sz w:val="22"/>
              </w:rPr>
            </w:pPr>
            <w:r>
              <w:rPr>
                <w:b/>
                <w:bCs/>
                <w:noProof/>
                <w:color w:val="000000"/>
                <w:sz w:val="22"/>
              </w:rPr>
              <w:t xml:space="preserve">TOTAL appropriations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rPr>
                <w:noProof/>
                <w:color w:val="000000"/>
                <w:sz w:val="18"/>
                <w:szCs w:val="18"/>
              </w:rPr>
            </w:pPr>
            <w:r>
              <w:rPr>
                <w:noProof/>
                <w:color w:val="000000"/>
                <w:sz w:val="18"/>
              </w:rPr>
              <w:t>Commitments</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noProof/>
                <w:color w:val="000000"/>
                <w:sz w:val="14"/>
                <w:szCs w:val="14"/>
              </w:rPr>
            </w:pPr>
            <w:r>
              <w:rPr>
                <w:noProof/>
                <w:color w:val="000000"/>
                <w:sz w:val="14"/>
              </w:rPr>
              <w:t>(4+6)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2"/>
              </w:rPr>
            </w:pPr>
            <w:r>
              <w:rPr>
                <w:b/>
                <w:bCs/>
                <w:noProof/>
                <w:color w:val="000000"/>
                <w:sz w:val="22"/>
              </w:rPr>
              <w:t>40,000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2"/>
              </w:rPr>
            </w:pPr>
            <w:r>
              <w:rPr>
                <w:b/>
                <w:bCs/>
                <w:noProof/>
                <w:color w:val="000000"/>
                <w:sz w:val="22"/>
              </w:rPr>
              <w:t>40,000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1D642D">
            <w:pPr>
              <w:spacing w:before="0" w:after="0"/>
              <w:jc w:val="right"/>
              <w:rPr>
                <w:b/>
                <w:bCs/>
                <w:noProof/>
                <w:color w:val="000000"/>
                <w:szCs w:val="24"/>
              </w:rPr>
            </w:pP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2"/>
              </w:rPr>
            </w:pPr>
            <w:r>
              <w:rPr>
                <w:b/>
                <w:bCs/>
                <w:noProof/>
                <w:color w:val="000000"/>
                <w:sz w:val="22"/>
              </w:rPr>
              <w:t>80,000</w:t>
            </w:r>
          </w:p>
        </w:tc>
      </w:tr>
      <w:tr w:rsidR="001D642D">
        <w:trPr>
          <w:trHeight w:val="302"/>
        </w:trPr>
        <w:tc>
          <w:tcPr>
            <w:tcW w:w="5118" w:type="dxa"/>
            <w:tcBorders>
              <w:top w:val="nil"/>
              <w:left w:val="single" w:sz="8" w:space="0" w:color="auto"/>
              <w:bottom w:val="nil"/>
              <w:right w:val="single" w:sz="8" w:space="0" w:color="auto"/>
            </w:tcBorders>
            <w:shd w:val="thinDiagStripe" w:color="C0C0C0" w:fill="F1F1F1"/>
            <w:vAlign w:val="center"/>
            <w:hideMark/>
          </w:tcPr>
          <w:p w:rsidR="001D642D" w:rsidRDefault="00DA3274">
            <w:pPr>
              <w:spacing w:before="0" w:after="0"/>
              <w:jc w:val="center"/>
              <w:rPr>
                <w:b/>
                <w:bCs/>
                <w:noProof/>
                <w:color w:val="000000"/>
                <w:sz w:val="22"/>
              </w:rPr>
            </w:pPr>
            <w:r>
              <w:rPr>
                <w:b/>
                <w:bCs/>
                <w:noProof/>
                <w:color w:val="000000"/>
                <w:sz w:val="22"/>
              </w:rPr>
              <w:t>under HEADING 1b</w:t>
            </w:r>
          </w:p>
        </w:tc>
        <w:tc>
          <w:tcPr>
            <w:tcW w:w="1843"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14"/>
                <w:szCs w:val="14"/>
              </w:rPr>
            </w:pPr>
          </w:p>
        </w:tc>
        <w:tc>
          <w:tcPr>
            <w:tcW w:w="992"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2"/>
              </w:rPr>
            </w:pPr>
          </w:p>
        </w:tc>
        <w:tc>
          <w:tcPr>
            <w:tcW w:w="992"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2"/>
              </w:rPr>
            </w:pPr>
          </w:p>
        </w:tc>
        <w:tc>
          <w:tcPr>
            <w:tcW w:w="1134"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Cs w:val="24"/>
              </w:rPr>
            </w:pPr>
          </w:p>
        </w:tc>
        <w:tc>
          <w:tcPr>
            <w:tcW w:w="993"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2"/>
              </w:rPr>
            </w:pPr>
          </w:p>
        </w:tc>
      </w:tr>
      <w:tr w:rsidR="001D642D">
        <w:trPr>
          <w:trHeight w:val="576"/>
        </w:trPr>
        <w:tc>
          <w:tcPr>
            <w:tcW w:w="5118" w:type="dxa"/>
            <w:tcBorders>
              <w:top w:val="nil"/>
              <w:left w:val="single" w:sz="8" w:space="0" w:color="auto"/>
              <w:bottom w:val="nil"/>
              <w:right w:val="single" w:sz="8" w:space="0" w:color="auto"/>
            </w:tcBorders>
            <w:shd w:val="thinDiagStripe" w:color="C0C0C0" w:fill="F1F1F1"/>
            <w:vAlign w:val="center"/>
            <w:hideMark/>
          </w:tcPr>
          <w:p w:rsidR="001D642D" w:rsidRDefault="001D642D">
            <w:pPr>
              <w:spacing w:before="0" w:after="0"/>
              <w:jc w:val="center"/>
              <w:rPr>
                <w:noProof/>
                <w:color w:val="000000"/>
                <w:sz w:val="22"/>
              </w:rPr>
            </w:pP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rPr>
                <w:noProof/>
                <w:color w:val="000000"/>
                <w:sz w:val="18"/>
                <w:szCs w:val="18"/>
              </w:rPr>
            </w:pPr>
            <w:r>
              <w:rPr>
                <w:noProof/>
                <w:color w:val="000000"/>
                <w:sz w:val="18"/>
              </w:rPr>
              <w:t>Payments</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noProof/>
                <w:color w:val="000000"/>
                <w:sz w:val="14"/>
                <w:szCs w:val="14"/>
              </w:rPr>
            </w:pPr>
            <w:r>
              <w:rPr>
                <w:noProof/>
                <w:color w:val="000000"/>
                <w:sz w:val="14"/>
              </w:rPr>
              <w:t>(5+6)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2"/>
              </w:rPr>
            </w:pPr>
            <w:r>
              <w:rPr>
                <w:b/>
                <w:bCs/>
                <w:noProof/>
                <w:color w:val="000000"/>
                <w:sz w:val="22"/>
              </w:rPr>
              <w:t>17,200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2"/>
              </w:rPr>
            </w:pPr>
            <w:r>
              <w:rPr>
                <w:b/>
                <w:bCs/>
                <w:noProof/>
                <w:color w:val="000000"/>
                <w:sz w:val="22"/>
              </w:rPr>
              <w:t>28,600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2"/>
              </w:rPr>
            </w:pPr>
            <w:r>
              <w:rPr>
                <w:b/>
                <w:bCs/>
                <w:noProof/>
                <w:color w:val="000000"/>
                <w:sz w:val="22"/>
              </w:rPr>
              <w:t>34,200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right"/>
              <w:rPr>
                <w:b/>
                <w:bCs/>
                <w:noProof/>
                <w:color w:val="000000"/>
                <w:sz w:val="22"/>
              </w:rPr>
            </w:pPr>
            <w:r>
              <w:rPr>
                <w:b/>
                <w:bCs/>
                <w:noProof/>
                <w:color w:val="000000"/>
                <w:sz w:val="22"/>
              </w:rPr>
              <w:t>80,000</w:t>
            </w:r>
          </w:p>
        </w:tc>
      </w:tr>
      <w:tr w:rsidR="001D642D">
        <w:trPr>
          <w:trHeight w:val="302"/>
        </w:trPr>
        <w:tc>
          <w:tcPr>
            <w:tcW w:w="5118" w:type="dxa"/>
            <w:tcBorders>
              <w:top w:val="nil"/>
              <w:left w:val="single" w:sz="8" w:space="0" w:color="auto"/>
              <w:bottom w:val="single" w:sz="8" w:space="0" w:color="auto"/>
              <w:right w:val="single" w:sz="8" w:space="0" w:color="auto"/>
            </w:tcBorders>
            <w:shd w:val="thinDiagStripe" w:color="C0C0C0" w:fill="F1F1F1"/>
            <w:vAlign w:val="center"/>
            <w:hideMark/>
          </w:tcPr>
          <w:p w:rsidR="001D642D" w:rsidRDefault="00DA3274">
            <w:pPr>
              <w:spacing w:before="0" w:after="0"/>
              <w:jc w:val="left"/>
              <w:rPr>
                <w:rFonts w:ascii="Calibri" w:hAnsi="Calibri" w:cs="Calibri"/>
                <w:noProof/>
                <w:color w:val="000000"/>
                <w:sz w:val="22"/>
              </w:rPr>
            </w:pPr>
            <w:r>
              <w:rPr>
                <w:rFonts w:ascii="Calibri" w:hAnsi="Calibri" w:cs="Calibri"/>
                <w:noProof/>
                <w:color w:val="000000"/>
                <w:sz w:val="22"/>
              </w:rPr>
              <w:t> </w:t>
            </w:r>
          </w:p>
        </w:tc>
        <w:tc>
          <w:tcPr>
            <w:tcW w:w="1843"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14"/>
                <w:szCs w:val="14"/>
              </w:rPr>
            </w:pPr>
          </w:p>
        </w:tc>
        <w:tc>
          <w:tcPr>
            <w:tcW w:w="992"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2"/>
              </w:rPr>
            </w:pPr>
          </w:p>
        </w:tc>
        <w:tc>
          <w:tcPr>
            <w:tcW w:w="992"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2"/>
              </w:rPr>
            </w:pPr>
          </w:p>
        </w:tc>
        <w:tc>
          <w:tcPr>
            <w:tcW w:w="1134"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2"/>
              </w:rPr>
            </w:pPr>
          </w:p>
        </w:tc>
        <w:tc>
          <w:tcPr>
            <w:tcW w:w="993" w:type="dxa"/>
            <w:vMerge/>
            <w:tcBorders>
              <w:top w:val="nil"/>
              <w:left w:val="single" w:sz="8" w:space="0" w:color="auto"/>
              <w:bottom w:val="single" w:sz="8" w:space="0" w:color="000000"/>
              <w:right w:val="single" w:sz="8" w:space="0" w:color="auto"/>
            </w:tcBorders>
            <w:vAlign w:val="center"/>
            <w:hideMark/>
          </w:tcPr>
          <w:p w:rsidR="001D642D" w:rsidRDefault="001D642D">
            <w:pPr>
              <w:spacing w:before="0" w:after="0"/>
              <w:jc w:val="left"/>
              <w:rPr>
                <w:b/>
                <w:bCs/>
                <w:noProof/>
                <w:color w:val="000000"/>
                <w:sz w:val="22"/>
              </w:rPr>
            </w:pPr>
          </w:p>
        </w:tc>
      </w:tr>
    </w:tbl>
    <w:p w:rsidR="001D642D" w:rsidRDefault="001D642D">
      <w:pPr>
        <w:jc w:val="left"/>
        <w:rPr>
          <w:noProof/>
          <w:sz w:val="20"/>
        </w:rPr>
      </w:pPr>
    </w:p>
    <w:p w:rsidR="001D642D" w:rsidRDefault="001D642D">
      <w:pPr>
        <w:jc w:val="left"/>
        <w:rPr>
          <w:noProof/>
          <w:sz w:val="20"/>
        </w:rPr>
      </w:pPr>
    </w:p>
    <w:tbl>
      <w:tblPr>
        <w:tblW w:w="13827"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5463"/>
        <w:gridCol w:w="1843"/>
        <w:gridCol w:w="2410"/>
        <w:gridCol w:w="992"/>
        <w:gridCol w:w="992"/>
        <w:gridCol w:w="1134"/>
        <w:gridCol w:w="993"/>
      </w:tblGrid>
      <w:tr w:rsidR="001D642D">
        <w:tc>
          <w:tcPr>
            <w:tcW w:w="5463" w:type="dxa"/>
            <w:vMerge w:val="restart"/>
            <w:tcBorders>
              <w:top w:val="single" w:sz="4" w:space="0" w:color="FF0000"/>
              <w:left w:val="single" w:sz="4" w:space="0" w:color="auto"/>
              <w:bottom w:val="single" w:sz="4" w:space="0" w:color="FF0000"/>
            </w:tcBorders>
            <w:shd w:val="thinDiagStripe" w:color="C0C0C0" w:fill="auto"/>
            <w:vAlign w:val="center"/>
          </w:tcPr>
          <w:p w:rsidR="001D642D" w:rsidRDefault="00DA3274">
            <w:pPr>
              <w:jc w:val="center"/>
              <w:rPr>
                <w:b/>
                <w:noProof/>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843" w:type="dxa"/>
            <w:vAlign w:val="center"/>
          </w:tcPr>
          <w:p w:rsidR="001D642D" w:rsidRDefault="00DA3274">
            <w:pPr>
              <w:rPr>
                <w:noProof/>
                <w:sz w:val="18"/>
              </w:rPr>
            </w:pPr>
            <w:r>
              <w:rPr>
                <w:noProof/>
                <w:sz w:val="18"/>
              </w:rPr>
              <w:t>Commitments</w:t>
            </w:r>
          </w:p>
        </w:tc>
        <w:tc>
          <w:tcPr>
            <w:tcW w:w="2410" w:type="dxa"/>
            <w:vAlign w:val="center"/>
          </w:tcPr>
          <w:p w:rsidR="001D642D" w:rsidRDefault="00DA3274">
            <w:pPr>
              <w:jc w:val="center"/>
              <w:rPr>
                <w:noProof/>
                <w:sz w:val="14"/>
              </w:rPr>
            </w:pPr>
            <w:r>
              <w:rPr>
                <w:noProof/>
                <w:sz w:val="14"/>
              </w:rPr>
              <w:t>=4+ 6</w:t>
            </w:r>
          </w:p>
        </w:tc>
        <w:tc>
          <w:tcPr>
            <w:tcW w:w="992" w:type="dxa"/>
            <w:vAlign w:val="center"/>
          </w:tcPr>
          <w:p w:rsidR="001D642D" w:rsidRDefault="00DA3274">
            <w:pPr>
              <w:spacing w:before="20" w:after="20"/>
              <w:jc w:val="right"/>
              <w:rPr>
                <w:noProof/>
                <w:sz w:val="20"/>
              </w:rPr>
            </w:pPr>
            <w:r>
              <w:rPr>
                <w:noProof/>
                <w:sz w:val="20"/>
              </w:rPr>
              <w:t>40,000</w:t>
            </w:r>
          </w:p>
        </w:tc>
        <w:tc>
          <w:tcPr>
            <w:tcW w:w="992" w:type="dxa"/>
            <w:vAlign w:val="center"/>
          </w:tcPr>
          <w:p w:rsidR="001D642D" w:rsidRDefault="00DA3274">
            <w:pPr>
              <w:spacing w:before="20" w:after="20"/>
              <w:jc w:val="right"/>
              <w:rPr>
                <w:noProof/>
                <w:sz w:val="20"/>
              </w:rPr>
            </w:pPr>
            <w:r>
              <w:rPr>
                <w:noProof/>
                <w:sz w:val="20"/>
              </w:rPr>
              <w:t>40,000</w:t>
            </w:r>
          </w:p>
        </w:tc>
        <w:tc>
          <w:tcPr>
            <w:tcW w:w="1134" w:type="dxa"/>
            <w:vAlign w:val="center"/>
          </w:tcPr>
          <w:p w:rsidR="001D642D" w:rsidRDefault="001D642D">
            <w:pPr>
              <w:spacing w:before="20" w:after="20"/>
              <w:jc w:val="right"/>
              <w:rPr>
                <w:b/>
                <w:noProof/>
                <w:sz w:val="20"/>
              </w:rPr>
            </w:pPr>
          </w:p>
        </w:tc>
        <w:tc>
          <w:tcPr>
            <w:tcW w:w="993" w:type="dxa"/>
            <w:tcBorders>
              <w:right w:val="single" w:sz="4" w:space="0" w:color="auto"/>
            </w:tcBorders>
            <w:vAlign w:val="center"/>
          </w:tcPr>
          <w:p w:rsidR="001D642D" w:rsidRDefault="00DA3274">
            <w:pPr>
              <w:spacing w:before="20" w:after="20"/>
              <w:jc w:val="right"/>
              <w:rPr>
                <w:b/>
                <w:noProof/>
                <w:sz w:val="20"/>
              </w:rPr>
            </w:pPr>
            <w:r>
              <w:rPr>
                <w:b/>
                <w:noProof/>
                <w:sz w:val="20"/>
              </w:rPr>
              <w:t>80,000</w:t>
            </w:r>
          </w:p>
        </w:tc>
      </w:tr>
      <w:tr w:rsidR="001D642D">
        <w:tc>
          <w:tcPr>
            <w:tcW w:w="5463" w:type="dxa"/>
            <w:vMerge/>
            <w:tcBorders>
              <w:top w:val="single" w:sz="4" w:space="0" w:color="FF0000"/>
              <w:left w:val="single" w:sz="4" w:space="0" w:color="auto"/>
              <w:bottom w:val="single" w:sz="4" w:space="0" w:color="FF0000"/>
            </w:tcBorders>
            <w:shd w:val="thinDiagStripe" w:color="C0C0C0" w:fill="auto"/>
          </w:tcPr>
          <w:p w:rsidR="001D642D" w:rsidRDefault="001D642D">
            <w:pPr>
              <w:rPr>
                <w:noProof/>
                <w:sz w:val="20"/>
              </w:rPr>
            </w:pPr>
          </w:p>
        </w:tc>
        <w:tc>
          <w:tcPr>
            <w:tcW w:w="1843" w:type="dxa"/>
            <w:tcBorders>
              <w:bottom w:val="single" w:sz="4" w:space="0" w:color="FF0000"/>
            </w:tcBorders>
            <w:vAlign w:val="center"/>
          </w:tcPr>
          <w:p w:rsidR="001D642D" w:rsidRDefault="00DA3274">
            <w:pPr>
              <w:rPr>
                <w:noProof/>
                <w:sz w:val="18"/>
              </w:rPr>
            </w:pPr>
            <w:r>
              <w:rPr>
                <w:noProof/>
                <w:sz w:val="18"/>
              </w:rPr>
              <w:t>Payments</w:t>
            </w:r>
          </w:p>
        </w:tc>
        <w:tc>
          <w:tcPr>
            <w:tcW w:w="2410" w:type="dxa"/>
            <w:tcBorders>
              <w:bottom w:val="single" w:sz="4" w:space="0" w:color="FF0000"/>
            </w:tcBorders>
            <w:vAlign w:val="center"/>
          </w:tcPr>
          <w:p w:rsidR="001D642D" w:rsidRDefault="00DA3274">
            <w:pPr>
              <w:jc w:val="center"/>
              <w:rPr>
                <w:noProof/>
                <w:sz w:val="14"/>
              </w:rPr>
            </w:pPr>
            <w:r>
              <w:rPr>
                <w:noProof/>
                <w:sz w:val="14"/>
              </w:rPr>
              <w:t>=5+ 6</w:t>
            </w:r>
          </w:p>
        </w:tc>
        <w:tc>
          <w:tcPr>
            <w:tcW w:w="992" w:type="dxa"/>
            <w:tcBorders>
              <w:bottom w:val="single" w:sz="4" w:space="0" w:color="FF0000"/>
            </w:tcBorders>
            <w:vAlign w:val="center"/>
          </w:tcPr>
          <w:p w:rsidR="001D642D" w:rsidRDefault="00DA3274">
            <w:pPr>
              <w:spacing w:before="20" w:after="20"/>
              <w:jc w:val="right"/>
              <w:rPr>
                <w:noProof/>
                <w:sz w:val="20"/>
              </w:rPr>
            </w:pPr>
            <w:r>
              <w:rPr>
                <w:noProof/>
                <w:sz w:val="20"/>
              </w:rPr>
              <w:t>17,200</w:t>
            </w:r>
          </w:p>
        </w:tc>
        <w:tc>
          <w:tcPr>
            <w:tcW w:w="992" w:type="dxa"/>
            <w:tcBorders>
              <w:bottom w:val="single" w:sz="4" w:space="0" w:color="FF0000"/>
            </w:tcBorders>
            <w:vAlign w:val="center"/>
          </w:tcPr>
          <w:p w:rsidR="001D642D" w:rsidRDefault="00DA3274">
            <w:pPr>
              <w:spacing w:before="20" w:after="20"/>
              <w:jc w:val="right"/>
              <w:rPr>
                <w:noProof/>
                <w:sz w:val="20"/>
              </w:rPr>
            </w:pPr>
            <w:r>
              <w:rPr>
                <w:noProof/>
                <w:sz w:val="20"/>
              </w:rPr>
              <w:t>28,600</w:t>
            </w:r>
          </w:p>
        </w:tc>
        <w:tc>
          <w:tcPr>
            <w:tcW w:w="1134" w:type="dxa"/>
            <w:tcBorders>
              <w:bottom w:val="single" w:sz="4" w:space="0" w:color="FF0000"/>
            </w:tcBorders>
            <w:vAlign w:val="center"/>
          </w:tcPr>
          <w:p w:rsidR="001D642D" w:rsidRDefault="00DA3274">
            <w:pPr>
              <w:spacing w:before="20" w:after="20"/>
              <w:jc w:val="right"/>
              <w:rPr>
                <w:b/>
                <w:noProof/>
                <w:sz w:val="20"/>
              </w:rPr>
            </w:pPr>
            <w:r>
              <w:rPr>
                <w:b/>
                <w:noProof/>
                <w:sz w:val="20"/>
              </w:rPr>
              <w:t>34,200</w:t>
            </w:r>
          </w:p>
        </w:tc>
        <w:tc>
          <w:tcPr>
            <w:tcW w:w="993" w:type="dxa"/>
            <w:tcBorders>
              <w:bottom w:val="single" w:sz="4" w:space="0" w:color="FF0000"/>
              <w:right w:val="single" w:sz="4" w:space="0" w:color="auto"/>
            </w:tcBorders>
            <w:vAlign w:val="center"/>
          </w:tcPr>
          <w:p w:rsidR="001D642D" w:rsidRDefault="00DA3274">
            <w:pPr>
              <w:spacing w:before="20" w:after="20"/>
              <w:jc w:val="right"/>
              <w:rPr>
                <w:b/>
                <w:noProof/>
                <w:sz w:val="20"/>
              </w:rPr>
            </w:pPr>
            <w:r>
              <w:rPr>
                <w:b/>
                <w:noProof/>
                <w:sz w:val="20"/>
              </w:rPr>
              <w:t>80,000</w:t>
            </w:r>
          </w:p>
        </w:tc>
      </w:tr>
    </w:tbl>
    <w:p w:rsidR="001D642D" w:rsidRDefault="001D642D">
      <w:pPr>
        <w:rPr>
          <w:noProof/>
        </w:rPr>
      </w:pPr>
    </w:p>
    <w:p w:rsidR="001D642D" w:rsidRDefault="00DA3274">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D642D">
        <w:trPr>
          <w:jc w:val="center"/>
        </w:trPr>
        <w:tc>
          <w:tcPr>
            <w:tcW w:w="4744" w:type="dxa"/>
            <w:shd w:val="thinDiagStripe" w:color="C0C0C0" w:fill="auto"/>
            <w:vAlign w:val="center"/>
          </w:tcPr>
          <w:p w:rsidR="001D642D" w:rsidRDefault="00DA3274">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1D642D" w:rsidRDefault="00DA3274">
            <w:pPr>
              <w:spacing w:before="60" w:after="60"/>
              <w:jc w:val="center"/>
              <w:rPr>
                <w:noProof/>
              </w:rPr>
            </w:pPr>
            <w:r>
              <w:rPr>
                <w:b/>
                <w:noProof/>
                <w:sz w:val="22"/>
              </w:rPr>
              <w:t>5</w:t>
            </w:r>
          </w:p>
        </w:tc>
        <w:tc>
          <w:tcPr>
            <w:tcW w:w="7817" w:type="dxa"/>
            <w:vAlign w:val="center"/>
          </w:tcPr>
          <w:p w:rsidR="001D642D" w:rsidRDefault="00DA3274">
            <w:pPr>
              <w:spacing w:before="60" w:after="60"/>
              <w:rPr>
                <w:noProof/>
              </w:rPr>
            </w:pPr>
            <w:r>
              <w:rPr>
                <w:noProof/>
                <w:sz w:val="22"/>
              </w:rPr>
              <w:t>‘Administrative expenditure’</w:t>
            </w:r>
          </w:p>
        </w:tc>
      </w:tr>
    </w:tbl>
    <w:p w:rsidR="001D642D" w:rsidRDefault="00DA3274">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1D642D">
        <w:tc>
          <w:tcPr>
            <w:tcW w:w="3960" w:type="dxa"/>
            <w:tcBorders>
              <w:top w:val="nil"/>
              <w:left w:val="nil"/>
              <w:right w:val="nil"/>
            </w:tcBorders>
            <w:vAlign w:val="center"/>
          </w:tcPr>
          <w:p w:rsidR="001D642D" w:rsidRDefault="001D642D">
            <w:pPr>
              <w:jc w:val="center"/>
              <w:rPr>
                <w:noProof/>
              </w:rPr>
            </w:pPr>
          </w:p>
        </w:tc>
        <w:tc>
          <w:tcPr>
            <w:tcW w:w="1560" w:type="dxa"/>
            <w:tcBorders>
              <w:top w:val="nil"/>
              <w:left w:val="nil"/>
              <w:right w:val="nil"/>
            </w:tcBorders>
          </w:tcPr>
          <w:p w:rsidR="001D642D" w:rsidRDefault="001D642D">
            <w:pPr>
              <w:rPr>
                <w:noProof/>
                <w:sz w:val="20"/>
              </w:rPr>
            </w:pPr>
          </w:p>
        </w:tc>
        <w:tc>
          <w:tcPr>
            <w:tcW w:w="534" w:type="dxa"/>
            <w:tcBorders>
              <w:top w:val="nil"/>
              <w:left w:val="nil"/>
            </w:tcBorders>
          </w:tcPr>
          <w:p w:rsidR="001D642D" w:rsidRDefault="001D642D">
            <w:pPr>
              <w:jc w:val="center"/>
              <w:rPr>
                <w:noProof/>
                <w:sz w:val="20"/>
              </w:rPr>
            </w:pPr>
          </w:p>
        </w:tc>
        <w:tc>
          <w:tcPr>
            <w:tcW w:w="868" w:type="dxa"/>
            <w:vAlign w:val="center"/>
          </w:tcPr>
          <w:p w:rsidR="001D642D" w:rsidRDefault="00DA3274">
            <w:pPr>
              <w:jc w:val="center"/>
              <w:rPr>
                <w:noProof/>
                <w:sz w:val="20"/>
              </w:rPr>
            </w:pPr>
            <w:r>
              <w:rPr>
                <w:noProof/>
                <w:sz w:val="20"/>
              </w:rPr>
              <w:t>Year</w:t>
            </w:r>
            <w:r>
              <w:rPr>
                <w:noProof/>
                <w:sz w:val="22"/>
              </w:rPr>
              <w:br/>
            </w:r>
            <w:r>
              <w:rPr>
                <w:b/>
                <w:noProof/>
                <w:sz w:val="20"/>
              </w:rPr>
              <w:t>2019</w:t>
            </w:r>
          </w:p>
        </w:tc>
        <w:tc>
          <w:tcPr>
            <w:tcW w:w="868" w:type="dxa"/>
            <w:vAlign w:val="center"/>
          </w:tcPr>
          <w:p w:rsidR="001D642D" w:rsidRDefault="00DA3274">
            <w:pPr>
              <w:jc w:val="center"/>
              <w:rPr>
                <w:noProof/>
                <w:sz w:val="20"/>
              </w:rPr>
            </w:pPr>
            <w:r>
              <w:rPr>
                <w:noProof/>
                <w:sz w:val="20"/>
              </w:rPr>
              <w:t>Year</w:t>
            </w:r>
            <w:r>
              <w:rPr>
                <w:noProof/>
                <w:sz w:val="22"/>
              </w:rPr>
              <w:br/>
            </w:r>
            <w:r>
              <w:rPr>
                <w:b/>
                <w:noProof/>
                <w:sz w:val="20"/>
              </w:rPr>
              <w:t>2020</w:t>
            </w:r>
          </w:p>
        </w:tc>
        <w:tc>
          <w:tcPr>
            <w:tcW w:w="868" w:type="dxa"/>
            <w:vAlign w:val="center"/>
          </w:tcPr>
          <w:p w:rsidR="001D642D" w:rsidRDefault="001D642D">
            <w:pPr>
              <w:jc w:val="center"/>
              <w:rPr>
                <w:noProof/>
                <w:sz w:val="20"/>
              </w:rPr>
            </w:pPr>
          </w:p>
        </w:tc>
        <w:tc>
          <w:tcPr>
            <w:tcW w:w="868" w:type="dxa"/>
            <w:vAlign w:val="center"/>
          </w:tcPr>
          <w:p w:rsidR="001D642D" w:rsidRDefault="001D642D">
            <w:pPr>
              <w:jc w:val="center"/>
              <w:rPr>
                <w:noProof/>
                <w:sz w:val="20"/>
              </w:rPr>
            </w:pPr>
          </w:p>
        </w:tc>
        <w:tc>
          <w:tcPr>
            <w:tcW w:w="2604" w:type="dxa"/>
            <w:gridSpan w:val="3"/>
            <w:vAlign w:val="center"/>
          </w:tcPr>
          <w:p w:rsidR="001D642D" w:rsidRDefault="00DA3274">
            <w:pPr>
              <w:jc w:val="center"/>
              <w:rPr>
                <w:b/>
                <w:noProof/>
                <w:sz w:val="18"/>
              </w:rPr>
            </w:pPr>
            <w:r>
              <w:rPr>
                <w:noProof/>
                <w:sz w:val="18"/>
              </w:rPr>
              <w:t xml:space="preserve">Enter as many years as necessary to show the duration of the impact (see point 1.6) </w:t>
            </w:r>
          </w:p>
        </w:tc>
        <w:tc>
          <w:tcPr>
            <w:tcW w:w="1777" w:type="dxa"/>
            <w:vAlign w:val="center"/>
          </w:tcPr>
          <w:p w:rsidR="001D642D" w:rsidRDefault="00DA3274">
            <w:pPr>
              <w:jc w:val="center"/>
              <w:rPr>
                <w:b/>
                <w:noProof/>
                <w:sz w:val="20"/>
              </w:rPr>
            </w:pPr>
            <w:r>
              <w:rPr>
                <w:b/>
                <w:noProof/>
                <w:sz w:val="20"/>
              </w:rPr>
              <w:t>TOTAL</w:t>
            </w:r>
          </w:p>
        </w:tc>
      </w:tr>
      <w:tr w:rsidR="001D642D">
        <w:trPr>
          <w:gridAfter w:val="10"/>
          <w:wAfter w:w="9947" w:type="dxa"/>
        </w:trPr>
        <w:tc>
          <w:tcPr>
            <w:tcW w:w="3960" w:type="dxa"/>
            <w:vAlign w:val="center"/>
          </w:tcPr>
          <w:p w:rsidR="001D642D" w:rsidRDefault="00DA3274">
            <w:pPr>
              <w:spacing w:before="60" w:after="60"/>
              <w:jc w:val="center"/>
              <w:rPr>
                <w:noProof/>
              </w:rPr>
            </w:pPr>
            <w:r>
              <w:rPr>
                <w:noProof/>
                <w:sz w:val="22"/>
              </w:rPr>
              <w:t>DG: SG/SRSS</w:t>
            </w:r>
          </w:p>
        </w:tc>
      </w:tr>
      <w:tr w:rsidR="001D642D">
        <w:trPr>
          <w:trHeight w:val="313"/>
        </w:trPr>
        <w:tc>
          <w:tcPr>
            <w:tcW w:w="6054" w:type="dxa"/>
            <w:gridSpan w:val="3"/>
            <w:vAlign w:val="center"/>
          </w:tcPr>
          <w:p w:rsidR="001D642D" w:rsidRDefault="00DA3274">
            <w:pPr>
              <w:spacing w:before="20" w:after="20"/>
              <w:rPr>
                <w:noProof/>
              </w:rPr>
            </w:pPr>
            <w:r>
              <w:rPr>
                <w:noProof/>
                <w:sz w:val="22"/>
              </w:rPr>
              <w:sym w:font="Wingdings" w:char="F09F"/>
            </w:r>
            <w:r>
              <w:rPr>
                <w:noProof/>
                <w:sz w:val="22"/>
              </w:rPr>
              <w:t xml:space="preserve"> Human resources </w:t>
            </w:r>
          </w:p>
        </w:tc>
        <w:tc>
          <w:tcPr>
            <w:tcW w:w="868" w:type="dxa"/>
            <w:vAlign w:val="center"/>
          </w:tcPr>
          <w:p w:rsidR="001D642D" w:rsidRDefault="00DA3274">
            <w:pPr>
              <w:spacing w:before="20" w:after="20"/>
              <w:jc w:val="right"/>
              <w:rPr>
                <w:noProof/>
                <w:sz w:val="20"/>
              </w:rPr>
            </w:pPr>
            <w:r>
              <w:rPr>
                <w:noProof/>
                <w:sz w:val="20"/>
              </w:rPr>
              <w:t>3,594</w:t>
            </w:r>
          </w:p>
        </w:tc>
        <w:tc>
          <w:tcPr>
            <w:tcW w:w="868" w:type="dxa"/>
            <w:vAlign w:val="center"/>
          </w:tcPr>
          <w:p w:rsidR="001D642D" w:rsidRDefault="00DA3274">
            <w:pPr>
              <w:spacing w:before="20" w:after="20"/>
              <w:jc w:val="right"/>
              <w:rPr>
                <w:noProof/>
                <w:sz w:val="20"/>
              </w:rPr>
            </w:pPr>
            <w:r>
              <w:rPr>
                <w:noProof/>
                <w:sz w:val="20"/>
              </w:rPr>
              <w:t>3,594</w:t>
            </w:r>
          </w:p>
        </w:tc>
        <w:tc>
          <w:tcPr>
            <w:tcW w:w="868" w:type="dxa"/>
            <w:vAlign w:val="center"/>
          </w:tcPr>
          <w:p w:rsidR="001D642D" w:rsidRDefault="001D642D">
            <w:pPr>
              <w:spacing w:before="20" w:after="20"/>
              <w:jc w:val="right"/>
              <w:rPr>
                <w:noProof/>
                <w:sz w:val="20"/>
              </w:rPr>
            </w:pPr>
          </w:p>
        </w:tc>
        <w:tc>
          <w:tcPr>
            <w:tcW w:w="868" w:type="dxa"/>
            <w:vAlign w:val="center"/>
          </w:tcPr>
          <w:p w:rsidR="001D642D" w:rsidRDefault="001D642D">
            <w:pPr>
              <w:spacing w:before="20" w:after="20"/>
              <w:jc w:val="right"/>
              <w:rPr>
                <w:noProof/>
                <w:sz w:val="20"/>
              </w:rPr>
            </w:pPr>
          </w:p>
        </w:tc>
        <w:tc>
          <w:tcPr>
            <w:tcW w:w="868" w:type="dxa"/>
            <w:vAlign w:val="center"/>
          </w:tcPr>
          <w:p w:rsidR="001D642D" w:rsidRDefault="001D642D">
            <w:pPr>
              <w:spacing w:before="20" w:after="20"/>
              <w:jc w:val="right"/>
              <w:rPr>
                <w:noProof/>
                <w:sz w:val="20"/>
              </w:rPr>
            </w:pPr>
          </w:p>
        </w:tc>
        <w:tc>
          <w:tcPr>
            <w:tcW w:w="868" w:type="dxa"/>
            <w:vAlign w:val="center"/>
          </w:tcPr>
          <w:p w:rsidR="001D642D" w:rsidRDefault="001D642D">
            <w:pPr>
              <w:spacing w:before="20" w:after="20"/>
              <w:jc w:val="right"/>
              <w:rPr>
                <w:noProof/>
                <w:sz w:val="20"/>
              </w:rPr>
            </w:pPr>
          </w:p>
        </w:tc>
        <w:tc>
          <w:tcPr>
            <w:tcW w:w="868" w:type="dxa"/>
            <w:vAlign w:val="center"/>
          </w:tcPr>
          <w:p w:rsidR="001D642D" w:rsidRDefault="001D642D">
            <w:pPr>
              <w:spacing w:before="20" w:after="20"/>
              <w:jc w:val="right"/>
              <w:rPr>
                <w:b/>
                <w:noProof/>
                <w:sz w:val="20"/>
              </w:rPr>
            </w:pPr>
          </w:p>
        </w:tc>
        <w:tc>
          <w:tcPr>
            <w:tcW w:w="1777" w:type="dxa"/>
            <w:vAlign w:val="center"/>
          </w:tcPr>
          <w:p w:rsidR="001D642D" w:rsidRDefault="00DA3274">
            <w:pPr>
              <w:spacing w:before="20" w:after="20"/>
              <w:jc w:val="right"/>
              <w:rPr>
                <w:b/>
                <w:noProof/>
                <w:sz w:val="20"/>
              </w:rPr>
            </w:pPr>
            <w:r>
              <w:rPr>
                <w:b/>
                <w:noProof/>
                <w:sz w:val="20"/>
              </w:rPr>
              <w:t>7,188</w:t>
            </w:r>
          </w:p>
        </w:tc>
      </w:tr>
      <w:tr w:rsidR="001D642D">
        <w:trPr>
          <w:trHeight w:val="351"/>
        </w:trPr>
        <w:tc>
          <w:tcPr>
            <w:tcW w:w="6054" w:type="dxa"/>
            <w:gridSpan w:val="3"/>
            <w:vAlign w:val="center"/>
          </w:tcPr>
          <w:p w:rsidR="001D642D" w:rsidRDefault="00DA3274">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1D642D" w:rsidRDefault="00DA3274">
            <w:pPr>
              <w:spacing w:before="20" w:after="20"/>
              <w:jc w:val="right"/>
              <w:rPr>
                <w:b/>
                <w:noProof/>
                <w:sz w:val="20"/>
              </w:rPr>
            </w:pPr>
            <w:r>
              <w:rPr>
                <w:rFonts w:ascii="Arial Narrow" w:hAnsi="Arial Narrow"/>
                <w:noProof/>
                <w:sz w:val="20"/>
                <w:szCs w:val="20"/>
              </w:rPr>
              <w:t>0,300</w:t>
            </w:r>
          </w:p>
        </w:tc>
        <w:tc>
          <w:tcPr>
            <w:tcW w:w="868" w:type="dxa"/>
            <w:vAlign w:val="center"/>
          </w:tcPr>
          <w:p w:rsidR="001D642D" w:rsidRDefault="00DA3274">
            <w:pPr>
              <w:spacing w:before="20" w:after="20"/>
              <w:jc w:val="right"/>
              <w:rPr>
                <w:b/>
                <w:noProof/>
                <w:sz w:val="20"/>
              </w:rPr>
            </w:pPr>
            <w:r>
              <w:rPr>
                <w:rFonts w:ascii="Arial Narrow" w:hAnsi="Arial Narrow"/>
                <w:noProof/>
                <w:sz w:val="20"/>
                <w:szCs w:val="20"/>
              </w:rPr>
              <w:t>0,300</w:t>
            </w:r>
          </w:p>
        </w:tc>
        <w:tc>
          <w:tcPr>
            <w:tcW w:w="868" w:type="dxa"/>
            <w:vAlign w:val="center"/>
          </w:tcPr>
          <w:p w:rsidR="001D642D" w:rsidRDefault="001D642D">
            <w:pPr>
              <w:spacing w:before="20" w:after="20"/>
              <w:jc w:val="right"/>
              <w:rPr>
                <w:b/>
                <w:noProof/>
                <w:sz w:val="20"/>
              </w:rPr>
            </w:pPr>
          </w:p>
        </w:tc>
        <w:tc>
          <w:tcPr>
            <w:tcW w:w="868" w:type="dxa"/>
            <w:vAlign w:val="center"/>
          </w:tcPr>
          <w:p w:rsidR="001D642D" w:rsidRDefault="001D642D">
            <w:pPr>
              <w:spacing w:before="20" w:after="20"/>
              <w:jc w:val="right"/>
              <w:rPr>
                <w:b/>
                <w:noProof/>
                <w:sz w:val="20"/>
              </w:rPr>
            </w:pPr>
          </w:p>
        </w:tc>
        <w:tc>
          <w:tcPr>
            <w:tcW w:w="868" w:type="dxa"/>
            <w:vAlign w:val="center"/>
          </w:tcPr>
          <w:p w:rsidR="001D642D" w:rsidRDefault="001D642D">
            <w:pPr>
              <w:spacing w:before="20" w:after="20"/>
              <w:jc w:val="right"/>
              <w:rPr>
                <w:b/>
                <w:noProof/>
                <w:sz w:val="20"/>
              </w:rPr>
            </w:pPr>
          </w:p>
        </w:tc>
        <w:tc>
          <w:tcPr>
            <w:tcW w:w="868" w:type="dxa"/>
            <w:vAlign w:val="center"/>
          </w:tcPr>
          <w:p w:rsidR="001D642D" w:rsidRDefault="001D642D">
            <w:pPr>
              <w:spacing w:before="20" w:after="20"/>
              <w:jc w:val="right"/>
              <w:rPr>
                <w:b/>
                <w:noProof/>
                <w:sz w:val="20"/>
              </w:rPr>
            </w:pPr>
          </w:p>
        </w:tc>
        <w:tc>
          <w:tcPr>
            <w:tcW w:w="868" w:type="dxa"/>
            <w:vAlign w:val="center"/>
          </w:tcPr>
          <w:p w:rsidR="001D642D" w:rsidRDefault="001D642D">
            <w:pPr>
              <w:spacing w:before="20" w:after="20"/>
              <w:jc w:val="right"/>
              <w:rPr>
                <w:b/>
                <w:noProof/>
                <w:sz w:val="20"/>
              </w:rPr>
            </w:pPr>
          </w:p>
        </w:tc>
        <w:tc>
          <w:tcPr>
            <w:tcW w:w="1777" w:type="dxa"/>
            <w:vAlign w:val="center"/>
          </w:tcPr>
          <w:p w:rsidR="001D642D" w:rsidRDefault="00DA3274">
            <w:pPr>
              <w:spacing w:before="20" w:after="20"/>
              <w:jc w:val="right"/>
              <w:rPr>
                <w:b/>
                <w:noProof/>
                <w:sz w:val="20"/>
              </w:rPr>
            </w:pPr>
            <w:r>
              <w:rPr>
                <w:b/>
                <w:noProof/>
                <w:sz w:val="20"/>
              </w:rPr>
              <w:t>0,600</w:t>
            </w:r>
          </w:p>
        </w:tc>
      </w:tr>
      <w:tr w:rsidR="001D642D">
        <w:tc>
          <w:tcPr>
            <w:tcW w:w="3960" w:type="dxa"/>
            <w:vAlign w:val="center"/>
          </w:tcPr>
          <w:p w:rsidR="001D642D" w:rsidRDefault="00DA3274">
            <w:pPr>
              <w:jc w:val="center"/>
              <w:rPr>
                <w:b/>
                <w:noProof/>
              </w:rPr>
            </w:pPr>
            <w:r>
              <w:rPr>
                <w:b/>
                <w:noProof/>
                <w:sz w:val="22"/>
              </w:rPr>
              <w:t xml:space="preserve">TOTAL DG </w:t>
            </w:r>
            <w:r>
              <w:rPr>
                <w:noProof/>
                <w:sz w:val="22"/>
              </w:rPr>
              <w:t>SG/SRSS</w:t>
            </w:r>
          </w:p>
        </w:tc>
        <w:tc>
          <w:tcPr>
            <w:tcW w:w="2094" w:type="dxa"/>
            <w:gridSpan w:val="2"/>
            <w:vAlign w:val="center"/>
          </w:tcPr>
          <w:p w:rsidR="001D642D" w:rsidRDefault="00DA3274">
            <w:pPr>
              <w:rPr>
                <w:noProof/>
                <w:sz w:val="14"/>
              </w:rPr>
            </w:pPr>
            <w:r>
              <w:rPr>
                <w:noProof/>
                <w:sz w:val="18"/>
              </w:rPr>
              <w:t xml:space="preserve">Appropriations </w:t>
            </w:r>
          </w:p>
        </w:tc>
        <w:tc>
          <w:tcPr>
            <w:tcW w:w="868" w:type="dxa"/>
            <w:vAlign w:val="center"/>
          </w:tcPr>
          <w:p w:rsidR="001D642D" w:rsidRDefault="00DA3274">
            <w:pPr>
              <w:spacing w:before="60" w:after="60"/>
              <w:jc w:val="right"/>
              <w:rPr>
                <w:noProof/>
                <w:sz w:val="20"/>
              </w:rPr>
            </w:pPr>
            <w:r>
              <w:rPr>
                <w:noProof/>
                <w:sz w:val="20"/>
              </w:rPr>
              <w:t>3,894</w:t>
            </w:r>
          </w:p>
        </w:tc>
        <w:tc>
          <w:tcPr>
            <w:tcW w:w="868" w:type="dxa"/>
            <w:vAlign w:val="center"/>
          </w:tcPr>
          <w:p w:rsidR="001D642D" w:rsidRDefault="00DA3274">
            <w:pPr>
              <w:spacing w:before="20" w:after="20"/>
              <w:jc w:val="right"/>
              <w:rPr>
                <w:noProof/>
                <w:sz w:val="20"/>
              </w:rPr>
            </w:pPr>
            <w:r>
              <w:rPr>
                <w:noProof/>
                <w:sz w:val="20"/>
              </w:rPr>
              <w:t>3,894</w:t>
            </w:r>
          </w:p>
        </w:tc>
        <w:tc>
          <w:tcPr>
            <w:tcW w:w="868" w:type="dxa"/>
            <w:vAlign w:val="center"/>
          </w:tcPr>
          <w:p w:rsidR="001D642D" w:rsidRDefault="001D642D">
            <w:pPr>
              <w:spacing w:before="20" w:after="20"/>
              <w:jc w:val="right"/>
              <w:rPr>
                <w:noProof/>
                <w:sz w:val="20"/>
              </w:rPr>
            </w:pPr>
          </w:p>
        </w:tc>
        <w:tc>
          <w:tcPr>
            <w:tcW w:w="868" w:type="dxa"/>
            <w:vAlign w:val="center"/>
          </w:tcPr>
          <w:p w:rsidR="001D642D" w:rsidRDefault="001D642D">
            <w:pPr>
              <w:spacing w:before="20" w:after="20"/>
              <w:jc w:val="right"/>
              <w:rPr>
                <w:noProof/>
                <w:sz w:val="20"/>
              </w:rPr>
            </w:pPr>
          </w:p>
        </w:tc>
        <w:tc>
          <w:tcPr>
            <w:tcW w:w="868" w:type="dxa"/>
            <w:vAlign w:val="center"/>
          </w:tcPr>
          <w:p w:rsidR="001D642D" w:rsidRDefault="001D642D">
            <w:pPr>
              <w:spacing w:before="20" w:after="20"/>
              <w:jc w:val="right"/>
              <w:rPr>
                <w:noProof/>
                <w:sz w:val="20"/>
              </w:rPr>
            </w:pPr>
          </w:p>
        </w:tc>
        <w:tc>
          <w:tcPr>
            <w:tcW w:w="868" w:type="dxa"/>
            <w:vAlign w:val="center"/>
          </w:tcPr>
          <w:p w:rsidR="001D642D" w:rsidRDefault="001D642D">
            <w:pPr>
              <w:spacing w:before="20" w:after="20"/>
              <w:jc w:val="right"/>
              <w:rPr>
                <w:noProof/>
                <w:sz w:val="20"/>
              </w:rPr>
            </w:pPr>
          </w:p>
        </w:tc>
        <w:tc>
          <w:tcPr>
            <w:tcW w:w="868" w:type="dxa"/>
            <w:vAlign w:val="center"/>
          </w:tcPr>
          <w:p w:rsidR="001D642D" w:rsidRDefault="001D642D">
            <w:pPr>
              <w:spacing w:before="20" w:after="20"/>
              <w:jc w:val="right"/>
              <w:rPr>
                <w:b/>
                <w:noProof/>
                <w:sz w:val="20"/>
              </w:rPr>
            </w:pPr>
          </w:p>
        </w:tc>
        <w:tc>
          <w:tcPr>
            <w:tcW w:w="1777" w:type="dxa"/>
            <w:vAlign w:val="center"/>
          </w:tcPr>
          <w:p w:rsidR="001D642D" w:rsidRDefault="00DA3274">
            <w:pPr>
              <w:spacing w:before="20" w:after="20"/>
              <w:jc w:val="right"/>
              <w:rPr>
                <w:b/>
                <w:noProof/>
                <w:sz w:val="20"/>
              </w:rPr>
            </w:pPr>
            <w:r>
              <w:rPr>
                <w:b/>
                <w:noProof/>
                <w:sz w:val="20"/>
              </w:rPr>
              <w:t>7,788</w:t>
            </w:r>
          </w:p>
        </w:tc>
      </w:tr>
    </w:tbl>
    <w:p w:rsidR="001D642D" w:rsidRDefault="001D642D">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1D642D">
        <w:tc>
          <w:tcPr>
            <w:tcW w:w="3960" w:type="dxa"/>
            <w:shd w:val="thinDiagStripe" w:color="C0C0C0" w:fill="auto"/>
            <w:vAlign w:val="center"/>
          </w:tcPr>
          <w:p w:rsidR="001D642D" w:rsidRDefault="00DA3274">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1D642D" w:rsidRDefault="00DA3274">
            <w:pPr>
              <w:spacing w:before="40" w:after="40"/>
              <w:rPr>
                <w:noProof/>
              </w:rPr>
            </w:pPr>
            <w:r>
              <w:rPr>
                <w:noProof/>
                <w:sz w:val="18"/>
              </w:rPr>
              <w:t>(Total commitments = Total payments)</w:t>
            </w:r>
          </w:p>
        </w:tc>
        <w:tc>
          <w:tcPr>
            <w:tcW w:w="868" w:type="dxa"/>
            <w:vAlign w:val="center"/>
          </w:tcPr>
          <w:p w:rsidR="001D642D" w:rsidRDefault="00DA3274">
            <w:pPr>
              <w:spacing w:before="20" w:after="20"/>
              <w:jc w:val="right"/>
              <w:rPr>
                <w:noProof/>
                <w:sz w:val="20"/>
              </w:rPr>
            </w:pPr>
            <w:r>
              <w:rPr>
                <w:noProof/>
                <w:sz w:val="20"/>
              </w:rPr>
              <w:t>3,894</w:t>
            </w:r>
          </w:p>
        </w:tc>
        <w:tc>
          <w:tcPr>
            <w:tcW w:w="868" w:type="dxa"/>
            <w:vAlign w:val="center"/>
          </w:tcPr>
          <w:p w:rsidR="001D642D" w:rsidRDefault="00DA3274">
            <w:pPr>
              <w:spacing w:before="20" w:after="20"/>
              <w:jc w:val="right"/>
              <w:rPr>
                <w:noProof/>
                <w:sz w:val="20"/>
              </w:rPr>
            </w:pPr>
            <w:r>
              <w:rPr>
                <w:noProof/>
                <w:sz w:val="20"/>
              </w:rPr>
              <w:t>3,894</w:t>
            </w:r>
          </w:p>
        </w:tc>
        <w:tc>
          <w:tcPr>
            <w:tcW w:w="868" w:type="dxa"/>
            <w:vAlign w:val="center"/>
          </w:tcPr>
          <w:p w:rsidR="001D642D" w:rsidRDefault="001D642D">
            <w:pPr>
              <w:spacing w:before="20" w:after="20"/>
              <w:jc w:val="right"/>
              <w:rPr>
                <w:noProof/>
                <w:sz w:val="20"/>
              </w:rPr>
            </w:pPr>
          </w:p>
        </w:tc>
        <w:tc>
          <w:tcPr>
            <w:tcW w:w="868" w:type="dxa"/>
            <w:vAlign w:val="center"/>
          </w:tcPr>
          <w:p w:rsidR="001D642D" w:rsidRDefault="001D642D">
            <w:pPr>
              <w:spacing w:before="20" w:after="20"/>
              <w:jc w:val="right"/>
              <w:rPr>
                <w:noProof/>
                <w:sz w:val="20"/>
              </w:rPr>
            </w:pPr>
          </w:p>
        </w:tc>
        <w:tc>
          <w:tcPr>
            <w:tcW w:w="868" w:type="dxa"/>
            <w:vAlign w:val="center"/>
          </w:tcPr>
          <w:p w:rsidR="001D642D" w:rsidRDefault="001D642D">
            <w:pPr>
              <w:spacing w:before="20" w:after="20"/>
              <w:jc w:val="right"/>
              <w:rPr>
                <w:noProof/>
                <w:sz w:val="20"/>
              </w:rPr>
            </w:pPr>
          </w:p>
        </w:tc>
        <w:tc>
          <w:tcPr>
            <w:tcW w:w="868" w:type="dxa"/>
            <w:vAlign w:val="center"/>
          </w:tcPr>
          <w:p w:rsidR="001D642D" w:rsidRDefault="001D642D">
            <w:pPr>
              <w:spacing w:before="20" w:after="20"/>
              <w:jc w:val="right"/>
              <w:rPr>
                <w:noProof/>
                <w:sz w:val="20"/>
              </w:rPr>
            </w:pPr>
          </w:p>
        </w:tc>
        <w:tc>
          <w:tcPr>
            <w:tcW w:w="868" w:type="dxa"/>
            <w:vAlign w:val="center"/>
          </w:tcPr>
          <w:p w:rsidR="001D642D" w:rsidRDefault="001D642D">
            <w:pPr>
              <w:spacing w:before="20" w:after="20"/>
              <w:jc w:val="right"/>
              <w:rPr>
                <w:b/>
                <w:noProof/>
                <w:sz w:val="20"/>
              </w:rPr>
            </w:pPr>
          </w:p>
        </w:tc>
        <w:tc>
          <w:tcPr>
            <w:tcW w:w="1777" w:type="dxa"/>
            <w:vAlign w:val="center"/>
          </w:tcPr>
          <w:p w:rsidR="001D642D" w:rsidRDefault="00DA3274">
            <w:pPr>
              <w:spacing w:before="20" w:after="20"/>
              <w:jc w:val="right"/>
              <w:rPr>
                <w:b/>
                <w:noProof/>
                <w:sz w:val="20"/>
              </w:rPr>
            </w:pPr>
            <w:r>
              <w:rPr>
                <w:b/>
                <w:noProof/>
                <w:sz w:val="20"/>
              </w:rPr>
              <w:t>7,788</w:t>
            </w:r>
          </w:p>
        </w:tc>
      </w:tr>
    </w:tbl>
    <w:p w:rsidR="001D642D" w:rsidRDefault="00DA3274">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1D642D">
        <w:tc>
          <w:tcPr>
            <w:tcW w:w="3960" w:type="dxa"/>
            <w:tcBorders>
              <w:top w:val="nil"/>
              <w:left w:val="nil"/>
              <w:right w:val="nil"/>
            </w:tcBorders>
            <w:vAlign w:val="center"/>
          </w:tcPr>
          <w:p w:rsidR="001D642D" w:rsidRDefault="001D642D">
            <w:pPr>
              <w:jc w:val="center"/>
              <w:rPr>
                <w:noProof/>
              </w:rPr>
            </w:pPr>
          </w:p>
        </w:tc>
        <w:tc>
          <w:tcPr>
            <w:tcW w:w="1560" w:type="dxa"/>
            <w:tcBorders>
              <w:top w:val="nil"/>
              <w:left w:val="nil"/>
              <w:right w:val="nil"/>
            </w:tcBorders>
          </w:tcPr>
          <w:p w:rsidR="001D642D" w:rsidRDefault="001D642D">
            <w:pPr>
              <w:rPr>
                <w:noProof/>
                <w:sz w:val="20"/>
              </w:rPr>
            </w:pPr>
          </w:p>
        </w:tc>
        <w:tc>
          <w:tcPr>
            <w:tcW w:w="534" w:type="dxa"/>
            <w:tcBorders>
              <w:top w:val="nil"/>
              <w:left w:val="nil"/>
            </w:tcBorders>
          </w:tcPr>
          <w:p w:rsidR="001D642D" w:rsidRDefault="001D642D">
            <w:pPr>
              <w:jc w:val="center"/>
              <w:rPr>
                <w:noProof/>
                <w:sz w:val="20"/>
              </w:rPr>
            </w:pPr>
          </w:p>
        </w:tc>
        <w:tc>
          <w:tcPr>
            <w:tcW w:w="868" w:type="dxa"/>
            <w:vAlign w:val="center"/>
          </w:tcPr>
          <w:p w:rsidR="001D642D" w:rsidRDefault="00DA3274">
            <w:pPr>
              <w:jc w:val="center"/>
              <w:rPr>
                <w:noProof/>
                <w:sz w:val="20"/>
              </w:rPr>
            </w:pPr>
            <w:r>
              <w:rPr>
                <w:noProof/>
                <w:sz w:val="20"/>
              </w:rPr>
              <w:t>Year</w:t>
            </w:r>
            <w:r>
              <w:rPr>
                <w:noProof/>
                <w:sz w:val="22"/>
              </w:rPr>
              <w:br/>
            </w:r>
            <w:r>
              <w:rPr>
                <w:b/>
                <w:noProof/>
                <w:sz w:val="20"/>
              </w:rPr>
              <w:t>2019</w:t>
            </w:r>
          </w:p>
        </w:tc>
        <w:tc>
          <w:tcPr>
            <w:tcW w:w="868" w:type="dxa"/>
            <w:vAlign w:val="center"/>
          </w:tcPr>
          <w:p w:rsidR="001D642D" w:rsidRDefault="00DA3274">
            <w:pPr>
              <w:jc w:val="center"/>
              <w:rPr>
                <w:noProof/>
                <w:sz w:val="20"/>
              </w:rPr>
            </w:pPr>
            <w:r>
              <w:rPr>
                <w:noProof/>
                <w:sz w:val="20"/>
              </w:rPr>
              <w:t>Year</w:t>
            </w:r>
            <w:r>
              <w:rPr>
                <w:noProof/>
                <w:sz w:val="22"/>
              </w:rPr>
              <w:br/>
            </w:r>
            <w:r>
              <w:rPr>
                <w:b/>
                <w:noProof/>
                <w:sz w:val="20"/>
              </w:rPr>
              <w:t>2020</w:t>
            </w:r>
          </w:p>
        </w:tc>
        <w:tc>
          <w:tcPr>
            <w:tcW w:w="868" w:type="dxa"/>
            <w:vAlign w:val="center"/>
          </w:tcPr>
          <w:p w:rsidR="001D642D" w:rsidRDefault="00DA3274">
            <w:pPr>
              <w:jc w:val="center"/>
              <w:rPr>
                <w:noProof/>
                <w:sz w:val="20"/>
              </w:rPr>
            </w:pPr>
            <w:r>
              <w:rPr>
                <w:noProof/>
                <w:color w:val="000000"/>
                <w:sz w:val="20"/>
              </w:rPr>
              <w:t>Years2021 &amp; 2022</w:t>
            </w:r>
          </w:p>
        </w:tc>
        <w:tc>
          <w:tcPr>
            <w:tcW w:w="868" w:type="dxa"/>
            <w:vAlign w:val="center"/>
          </w:tcPr>
          <w:p w:rsidR="001D642D" w:rsidRDefault="001D642D">
            <w:pPr>
              <w:jc w:val="center"/>
              <w:rPr>
                <w:noProof/>
                <w:sz w:val="20"/>
              </w:rPr>
            </w:pPr>
          </w:p>
        </w:tc>
        <w:tc>
          <w:tcPr>
            <w:tcW w:w="2604" w:type="dxa"/>
            <w:gridSpan w:val="3"/>
            <w:vAlign w:val="center"/>
          </w:tcPr>
          <w:p w:rsidR="001D642D" w:rsidRDefault="00DA3274">
            <w:pPr>
              <w:jc w:val="center"/>
              <w:rPr>
                <w:b/>
                <w:noProof/>
                <w:sz w:val="18"/>
              </w:rPr>
            </w:pPr>
            <w:r>
              <w:rPr>
                <w:noProof/>
                <w:sz w:val="18"/>
              </w:rPr>
              <w:t>Enter as many years as necessary to show the duration of the impact (see point 1.6)</w:t>
            </w:r>
          </w:p>
        </w:tc>
        <w:tc>
          <w:tcPr>
            <w:tcW w:w="1777" w:type="dxa"/>
            <w:vAlign w:val="center"/>
          </w:tcPr>
          <w:p w:rsidR="001D642D" w:rsidRDefault="00DA3274">
            <w:pPr>
              <w:jc w:val="center"/>
              <w:rPr>
                <w:b/>
                <w:noProof/>
                <w:sz w:val="20"/>
              </w:rPr>
            </w:pPr>
            <w:r>
              <w:rPr>
                <w:b/>
                <w:noProof/>
                <w:sz w:val="20"/>
              </w:rPr>
              <w:t>TOTAL</w:t>
            </w:r>
          </w:p>
        </w:tc>
      </w:tr>
      <w:tr w:rsidR="001D642D">
        <w:tc>
          <w:tcPr>
            <w:tcW w:w="3960" w:type="dxa"/>
            <w:vMerge w:val="restart"/>
            <w:shd w:val="clear" w:color="auto" w:fill="C0C0C0"/>
            <w:vAlign w:val="center"/>
          </w:tcPr>
          <w:p w:rsidR="001D642D" w:rsidRDefault="00DA3274">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1D642D" w:rsidRDefault="00DA3274">
            <w:pPr>
              <w:rPr>
                <w:noProof/>
                <w:sz w:val="14"/>
              </w:rPr>
            </w:pPr>
            <w:r>
              <w:rPr>
                <w:noProof/>
                <w:sz w:val="18"/>
              </w:rPr>
              <w:t>Commitments</w:t>
            </w:r>
          </w:p>
        </w:tc>
        <w:tc>
          <w:tcPr>
            <w:tcW w:w="868" w:type="dxa"/>
            <w:vAlign w:val="center"/>
          </w:tcPr>
          <w:p w:rsidR="001D642D" w:rsidRDefault="00DA3274">
            <w:pPr>
              <w:spacing w:before="60" w:after="60"/>
              <w:jc w:val="right"/>
              <w:rPr>
                <w:noProof/>
                <w:sz w:val="20"/>
              </w:rPr>
            </w:pPr>
            <w:r>
              <w:rPr>
                <w:noProof/>
                <w:sz w:val="20"/>
              </w:rPr>
              <w:t>43,894</w:t>
            </w:r>
          </w:p>
        </w:tc>
        <w:tc>
          <w:tcPr>
            <w:tcW w:w="868" w:type="dxa"/>
            <w:vAlign w:val="center"/>
          </w:tcPr>
          <w:p w:rsidR="001D642D" w:rsidRDefault="00DA3274">
            <w:pPr>
              <w:spacing w:before="60" w:after="60"/>
              <w:jc w:val="right"/>
              <w:rPr>
                <w:noProof/>
                <w:sz w:val="20"/>
              </w:rPr>
            </w:pPr>
            <w:r>
              <w:rPr>
                <w:noProof/>
                <w:sz w:val="20"/>
              </w:rPr>
              <w:t>43,894</w:t>
            </w:r>
          </w:p>
        </w:tc>
        <w:tc>
          <w:tcPr>
            <w:tcW w:w="868" w:type="dxa"/>
            <w:vAlign w:val="center"/>
          </w:tcPr>
          <w:p w:rsidR="001D642D" w:rsidRDefault="001D642D">
            <w:pPr>
              <w:spacing w:before="60" w:after="60"/>
              <w:jc w:val="right"/>
              <w:rPr>
                <w:noProof/>
                <w:sz w:val="20"/>
              </w:rPr>
            </w:pPr>
          </w:p>
        </w:tc>
        <w:tc>
          <w:tcPr>
            <w:tcW w:w="868" w:type="dxa"/>
            <w:vAlign w:val="center"/>
          </w:tcPr>
          <w:p w:rsidR="001D642D" w:rsidRDefault="001D642D">
            <w:pPr>
              <w:spacing w:before="60" w:after="60"/>
              <w:jc w:val="right"/>
              <w:rPr>
                <w:noProof/>
                <w:sz w:val="20"/>
              </w:rPr>
            </w:pPr>
          </w:p>
        </w:tc>
        <w:tc>
          <w:tcPr>
            <w:tcW w:w="868" w:type="dxa"/>
            <w:vAlign w:val="center"/>
          </w:tcPr>
          <w:p w:rsidR="001D642D" w:rsidRDefault="001D642D">
            <w:pPr>
              <w:spacing w:before="60" w:after="60"/>
              <w:jc w:val="right"/>
              <w:rPr>
                <w:noProof/>
                <w:sz w:val="20"/>
              </w:rPr>
            </w:pPr>
          </w:p>
        </w:tc>
        <w:tc>
          <w:tcPr>
            <w:tcW w:w="868" w:type="dxa"/>
            <w:vAlign w:val="center"/>
          </w:tcPr>
          <w:p w:rsidR="001D642D" w:rsidRDefault="001D642D">
            <w:pPr>
              <w:spacing w:before="60" w:after="60"/>
              <w:jc w:val="right"/>
              <w:rPr>
                <w:noProof/>
                <w:sz w:val="20"/>
              </w:rPr>
            </w:pPr>
          </w:p>
        </w:tc>
        <w:tc>
          <w:tcPr>
            <w:tcW w:w="868" w:type="dxa"/>
            <w:vAlign w:val="center"/>
          </w:tcPr>
          <w:p w:rsidR="001D642D" w:rsidRDefault="001D642D">
            <w:pPr>
              <w:spacing w:before="60" w:after="60"/>
              <w:jc w:val="right"/>
              <w:rPr>
                <w:b/>
                <w:noProof/>
                <w:sz w:val="20"/>
              </w:rPr>
            </w:pPr>
          </w:p>
        </w:tc>
        <w:tc>
          <w:tcPr>
            <w:tcW w:w="1777" w:type="dxa"/>
            <w:vAlign w:val="center"/>
          </w:tcPr>
          <w:p w:rsidR="001D642D" w:rsidRDefault="00DA3274">
            <w:pPr>
              <w:spacing w:before="60" w:after="60"/>
              <w:jc w:val="right"/>
              <w:rPr>
                <w:b/>
                <w:noProof/>
                <w:sz w:val="20"/>
              </w:rPr>
            </w:pPr>
            <w:r>
              <w:rPr>
                <w:b/>
                <w:noProof/>
                <w:sz w:val="20"/>
              </w:rPr>
              <w:t>87,788</w:t>
            </w:r>
          </w:p>
        </w:tc>
      </w:tr>
      <w:tr w:rsidR="001D642D">
        <w:tc>
          <w:tcPr>
            <w:tcW w:w="3960" w:type="dxa"/>
            <w:vMerge/>
            <w:shd w:val="clear" w:color="auto" w:fill="C0C0C0"/>
          </w:tcPr>
          <w:p w:rsidR="001D642D" w:rsidRDefault="001D642D">
            <w:pPr>
              <w:rPr>
                <w:noProof/>
                <w:sz w:val="20"/>
              </w:rPr>
            </w:pPr>
          </w:p>
        </w:tc>
        <w:tc>
          <w:tcPr>
            <w:tcW w:w="2094" w:type="dxa"/>
            <w:gridSpan w:val="2"/>
            <w:vAlign w:val="center"/>
          </w:tcPr>
          <w:p w:rsidR="001D642D" w:rsidRDefault="00DA3274">
            <w:pPr>
              <w:rPr>
                <w:noProof/>
                <w:sz w:val="14"/>
              </w:rPr>
            </w:pPr>
            <w:r>
              <w:rPr>
                <w:noProof/>
                <w:sz w:val="18"/>
              </w:rPr>
              <w:t>Payments</w:t>
            </w:r>
          </w:p>
        </w:tc>
        <w:tc>
          <w:tcPr>
            <w:tcW w:w="868" w:type="dxa"/>
            <w:vAlign w:val="center"/>
          </w:tcPr>
          <w:p w:rsidR="001D642D" w:rsidRDefault="00DA3274">
            <w:pPr>
              <w:spacing w:before="60" w:after="60"/>
              <w:jc w:val="right"/>
              <w:rPr>
                <w:noProof/>
                <w:sz w:val="20"/>
              </w:rPr>
            </w:pPr>
            <w:r>
              <w:rPr>
                <w:noProof/>
                <w:sz w:val="20"/>
              </w:rPr>
              <w:t>21,094</w:t>
            </w:r>
          </w:p>
        </w:tc>
        <w:tc>
          <w:tcPr>
            <w:tcW w:w="868" w:type="dxa"/>
            <w:vAlign w:val="center"/>
          </w:tcPr>
          <w:p w:rsidR="001D642D" w:rsidRDefault="00DA3274">
            <w:pPr>
              <w:spacing w:before="60" w:after="60"/>
              <w:jc w:val="right"/>
              <w:rPr>
                <w:noProof/>
                <w:sz w:val="20"/>
              </w:rPr>
            </w:pPr>
            <w:r>
              <w:rPr>
                <w:noProof/>
                <w:sz w:val="20"/>
              </w:rPr>
              <w:t>32,494</w:t>
            </w:r>
          </w:p>
        </w:tc>
        <w:tc>
          <w:tcPr>
            <w:tcW w:w="868" w:type="dxa"/>
            <w:vAlign w:val="center"/>
          </w:tcPr>
          <w:p w:rsidR="001D642D" w:rsidRDefault="00DA3274">
            <w:pPr>
              <w:spacing w:before="60" w:after="60"/>
              <w:jc w:val="right"/>
              <w:rPr>
                <w:noProof/>
                <w:sz w:val="20"/>
              </w:rPr>
            </w:pPr>
            <w:r>
              <w:rPr>
                <w:noProof/>
                <w:sz w:val="20"/>
              </w:rPr>
              <w:t>34,200</w:t>
            </w:r>
          </w:p>
        </w:tc>
        <w:tc>
          <w:tcPr>
            <w:tcW w:w="868" w:type="dxa"/>
            <w:vAlign w:val="center"/>
          </w:tcPr>
          <w:p w:rsidR="001D642D" w:rsidRDefault="001D642D">
            <w:pPr>
              <w:spacing w:before="60" w:after="60"/>
              <w:jc w:val="right"/>
              <w:rPr>
                <w:noProof/>
                <w:sz w:val="20"/>
              </w:rPr>
            </w:pPr>
          </w:p>
        </w:tc>
        <w:tc>
          <w:tcPr>
            <w:tcW w:w="868" w:type="dxa"/>
            <w:vAlign w:val="center"/>
          </w:tcPr>
          <w:p w:rsidR="001D642D" w:rsidRDefault="001D642D">
            <w:pPr>
              <w:spacing w:before="60" w:after="60"/>
              <w:jc w:val="right"/>
              <w:rPr>
                <w:noProof/>
                <w:sz w:val="20"/>
              </w:rPr>
            </w:pPr>
          </w:p>
        </w:tc>
        <w:tc>
          <w:tcPr>
            <w:tcW w:w="868" w:type="dxa"/>
            <w:vAlign w:val="center"/>
          </w:tcPr>
          <w:p w:rsidR="001D642D" w:rsidRDefault="001D642D">
            <w:pPr>
              <w:spacing w:before="60" w:after="60"/>
              <w:jc w:val="right"/>
              <w:rPr>
                <w:noProof/>
                <w:sz w:val="20"/>
              </w:rPr>
            </w:pPr>
          </w:p>
        </w:tc>
        <w:tc>
          <w:tcPr>
            <w:tcW w:w="868" w:type="dxa"/>
            <w:vAlign w:val="center"/>
          </w:tcPr>
          <w:p w:rsidR="001D642D" w:rsidRDefault="001D642D">
            <w:pPr>
              <w:spacing w:before="60" w:after="60"/>
              <w:jc w:val="right"/>
              <w:rPr>
                <w:b/>
                <w:noProof/>
                <w:sz w:val="20"/>
              </w:rPr>
            </w:pPr>
          </w:p>
        </w:tc>
        <w:tc>
          <w:tcPr>
            <w:tcW w:w="1777" w:type="dxa"/>
            <w:vAlign w:val="center"/>
          </w:tcPr>
          <w:p w:rsidR="001D642D" w:rsidRDefault="00DA3274">
            <w:pPr>
              <w:spacing w:before="60" w:after="60"/>
              <w:jc w:val="right"/>
              <w:rPr>
                <w:b/>
                <w:noProof/>
                <w:sz w:val="20"/>
              </w:rPr>
            </w:pPr>
            <w:r>
              <w:rPr>
                <w:b/>
                <w:noProof/>
                <w:sz w:val="20"/>
              </w:rPr>
              <w:t>87,788</w:t>
            </w:r>
          </w:p>
        </w:tc>
      </w:tr>
    </w:tbl>
    <w:p w:rsidR="001D642D" w:rsidRDefault="001D642D">
      <w:pPr>
        <w:rPr>
          <w:noProof/>
        </w:rPr>
        <w:sectPr w:rsidR="001D642D" w:rsidSect="00DA3274">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rsidR="001D642D" w:rsidRDefault="00DA3274">
      <w:pPr>
        <w:pStyle w:val="ManualHeading3"/>
        <w:rPr>
          <w:bCs/>
          <w:noProof/>
          <w:szCs w:val="24"/>
        </w:rPr>
      </w:pPr>
      <w:r>
        <w:t>3.2.2.</w:t>
      </w:r>
      <w:r>
        <w:tab/>
      </w:r>
      <w:r>
        <w:rPr>
          <w:noProof/>
        </w:rPr>
        <w:t xml:space="preserve">Estimated impact on operational appropriations </w:t>
      </w:r>
    </w:p>
    <w:p w:rsidR="001D642D" w:rsidRDefault="00DA3274">
      <w:pPr>
        <w:pStyle w:val="ListDash1"/>
        <w:rPr>
          <w:noProof/>
        </w:rPr>
      </w:pPr>
      <w:r>
        <w:rPr>
          <w:noProof/>
        </w:rPr>
        <w:sym w:font="Wingdings" w:char="F0A8"/>
      </w:r>
      <w:r>
        <w:rPr>
          <w:noProof/>
        </w:rPr>
        <w:tab/>
        <w:t xml:space="preserve">The proposal/initiative does not require the use of operational appropriations </w:t>
      </w:r>
    </w:p>
    <w:p w:rsidR="001D642D" w:rsidRDefault="00DA3274">
      <w:pPr>
        <w:pStyle w:val="ListDash1"/>
        <w:rPr>
          <w:noProof/>
        </w:rPr>
      </w:pPr>
      <w:r>
        <w:rPr>
          <w:noProof/>
        </w:rPr>
        <w:sym w:font="Wingdings" w:char="F0FC"/>
      </w:r>
      <w:r>
        <w:rPr>
          <w:noProof/>
        </w:rPr>
        <w:tab/>
        <w:t>The proposal/initiative requires the use of operational appropriations, as explained below:</w:t>
      </w:r>
    </w:p>
    <w:p w:rsidR="001D642D" w:rsidRDefault="00DA3274">
      <w:pPr>
        <w:jc w:val="right"/>
        <w:rPr>
          <w:noProof/>
          <w:sz w:val="20"/>
        </w:rPr>
      </w:pPr>
      <w:r>
        <w:rPr>
          <w:noProof/>
          <w:sz w:val="20"/>
        </w:rPr>
        <w:t>Commitment appropriations in EUR million (to three decimal places)</w:t>
      </w:r>
    </w:p>
    <w:tbl>
      <w:tblPr>
        <w:tblW w:w="10040" w:type="dxa"/>
        <w:tblInd w:w="93" w:type="dxa"/>
        <w:tblLook w:val="04A0" w:firstRow="1" w:lastRow="0" w:firstColumn="1" w:lastColumn="0" w:noHBand="0" w:noVBand="1"/>
      </w:tblPr>
      <w:tblGrid>
        <w:gridCol w:w="976"/>
        <w:gridCol w:w="1980"/>
        <w:gridCol w:w="1240"/>
        <w:gridCol w:w="960"/>
        <w:gridCol w:w="960"/>
        <w:gridCol w:w="960"/>
        <w:gridCol w:w="960"/>
        <w:gridCol w:w="960"/>
        <w:gridCol w:w="1060"/>
      </w:tblGrid>
      <w:tr w:rsidR="001D642D">
        <w:trPr>
          <w:gridAfter w:val="1"/>
          <w:wAfter w:w="1060" w:type="dxa"/>
          <w:trHeight w:val="975"/>
        </w:trPr>
        <w:tc>
          <w:tcPr>
            <w:tcW w:w="960" w:type="dxa"/>
            <w:tcBorders>
              <w:top w:val="single" w:sz="8" w:space="0" w:color="auto"/>
              <w:left w:val="single" w:sz="8" w:space="0" w:color="auto"/>
              <w:bottom w:val="nil"/>
              <w:right w:val="nil"/>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 xml:space="preserve">Indicate objectives and outputs </w:t>
            </w:r>
          </w:p>
        </w:tc>
        <w:tc>
          <w:tcPr>
            <w:tcW w:w="3220" w:type="dxa"/>
            <w:gridSpan w:val="2"/>
            <w:vMerge w:val="restart"/>
            <w:tcBorders>
              <w:top w:val="single" w:sz="8" w:space="0" w:color="auto"/>
              <w:left w:val="nil"/>
              <w:bottom w:val="single" w:sz="8" w:space="0" w:color="000000"/>
              <w:right w:val="nil"/>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Year</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Year</w:t>
            </w:r>
          </w:p>
        </w:tc>
        <w:tc>
          <w:tcPr>
            <w:tcW w:w="960" w:type="dxa"/>
            <w:tcBorders>
              <w:top w:val="single" w:sz="8" w:space="0" w:color="auto"/>
              <w:left w:val="nil"/>
              <w:bottom w:val="nil"/>
              <w:right w:val="single" w:sz="8" w:space="0" w:color="auto"/>
            </w:tcBorders>
            <w:shd w:val="clear" w:color="auto" w:fill="auto"/>
            <w:vAlign w:val="center"/>
            <w:hideMark/>
          </w:tcPr>
          <w:p w:rsidR="001D642D" w:rsidRDefault="00DA3274">
            <w:pPr>
              <w:spacing w:before="0" w:after="0"/>
              <w:jc w:val="left"/>
              <w:rPr>
                <w:b/>
                <w:bCs/>
                <w:noProof/>
                <w:color w:val="000000"/>
                <w:sz w:val="18"/>
                <w:szCs w:val="18"/>
              </w:rPr>
            </w:pPr>
            <w:r>
              <w:rPr>
                <w:b/>
                <w:bCs/>
                <w:noProof/>
                <w:color w:val="000000"/>
                <w:sz w:val="18"/>
                <w:szCs w:val="18"/>
              </w:rPr>
              <w:t>TOTAL</w:t>
            </w:r>
          </w:p>
        </w:tc>
      </w:tr>
      <w:tr w:rsidR="001D642D">
        <w:trPr>
          <w:gridAfter w:val="1"/>
          <w:wAfter w:w="1060" w:type="dxa"/>
          <w:trHeight w:val="330"/>
        </w:trPr>
        <w:tc>
          <w:tcPr>
            <w:tcW w:w="960" w:type="dxa"/>
            <w:tcBorders>
              <w:top w:val="nil"/>
              <w:left w:val="single" w:sz="8" w:space="0" w:color="auto"/>
              <w:bottom w:val="single" w:sz="8" w:space="0" w:color="auto"/>
              <w:right w:val="nil"/>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 </w:t>
            </w:r>
          </w:p>
        </w:tc>
        <w:tc>
          <w:tcPr>
            <w:tcW w:w="3220" w:type="dxa"/>
            <w:gridSpan w:val="2"/>
            <w:vMerge/>
            <w:tcBorders>
              <w:top w:val="nil"/>
              <w:left w:val="single" w:sz="8" w:space="0" w:color="auto"/>
              <w:bottom w:val="single" w:sz="8" w:space="0" w:color="auto"/>
              <w:right w:val="nil"/>
            </w:tcBorders>
            <w:vAlign w:val="center"/>
            <w:hideMark/>
          </w:tcPr>
          <w:p w:rsidR="001D642D" w:rsidRDefault="001D642D">
            <w:pPr>
              <w:spacing w:before="0" w:after="0"/>
              <w:jc w:val="left"/>
              <w:rPr>
                <w:noProof/>
                <w:color w:val="000000"/>
                <w:sz w:val="18"/>
                <w:szCs w:val="18"/>
              </w:rPr>
            </w:pP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2019</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2020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left"/>
              <w:rPr>
                <w:b/>
                <w:bCs/>
                <w:noProof/>
                <w:color w:val="000000"/>
                <w:sz w:val="18"/>
                <w:szCs w:val="18"/>
              </w:rPr>
            </w:pPr>
            <w:r>
              <w:rPr>
                <w:b/>
                <w:bCs/>
                <w:noProof/>
                <w:color w:val="000000"/>
                <w:sz w:val="18"/>
                <w:szCs w:val="18"/>
              </w:rPr>
              <w:t> </w:t>
            </w:r>
          </w:p>
        </w:tc>
      </w:tr>
      <w:tr w:rsidR="001D642D">
        <w:trPr>
          <w:trHeight w:val="315"/>
        </w:trPr>
        <w:tc>
          <w:tcPr>
            <w:tcW w:w="960" w:type="dxa"/>
            <w:tcBorders>
              <w:top w:val="nil"/>
              <w:left w:val="single" w:sz="8" w:space="0" w:color="auto"/>
              <w:bottom w:val="nil"/>
              <w:right w:val="nil"/>
            </w:tcBorders>
            <w:shd w:val="clear" w:color="auto" w:fill="auto"/>
            <w:vAlign w:val="center"/>
            <w:hideMark/>
          </w:tcPr>
          <w:p w:rsidR="001D642D" w:rsidRDefault="00DA3274">
            <w:pPr>
              <w:spacing w:before="0" w:after="0"/>
              <w:jc w:val="center"/>
              <w:rPr>
                <w:rFonts w:ascii="Wingdings" w:hAnsi="Wingdings" w:cs="Calibri"/>
                <w:noProof/>
                <w:color w:val="000000"/>
                <w:sz w:val="18"/>
                <w:szCs w:val="18"/>
              </w:rPr>
            </w:pPr>
            <w:r>
              <w:rPr>
                <w:rFonts w:ascii="Wingdings" w:hAnsi="Wingdings" w:cs="Calibri"/>
                <w:noProof/>
                <w:color w:val="000000"/>
                <w:sz w:val="18"/>
                <w:szCs w:val="18"/>
              </w:rPr>
              <w:t></w:t>
            </w:r>
          </w:p>
        </w:tc>
        <w:tc>
          <w:tcPr>
            <w:tcW w:w="9080" w:type="dxa"/>
            <w:gridSpan w:val="8"/>
            <w:tcBorders>
              <w:top w:val="nil"/>
              <w:left w:val="nil"/>
              <w:bottom w:val="nil"/>
              <w:right w:val="nil"/>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OUTPUTS</w:t>
            </w:r>
          </w:p>
        </w:tc>
      </w:tr>
      <w:tr w:rsidR="001D642D">
        <w:trPr>
          <w:gridAfter w:val="1"/>
          <w:wAfter w:w="1060" w:type="dxa"/>
          <w:trHeight w:val="315"/>
        </w:trPr>
        <w:tc>
          <w:tcPr>
            <w:tcW w:w="960" w:type="dxa"/>
            <w:tcBorders>
              <w:top w:val="nil"/>
              <w:left w:val="single" w:sz="8" w:space="0" w:color="auto"/>
              <w:bottom w:val="nil"/>
              <w:right w:val="nil"/>
            </w:tcBorders>
            <w:shd w:val="clear" w:color="auto" w:fill="auto"/>
            <w:vAlign w:val="center"/>
            <w:hideMark/>
          </w:tcPr>
          <w:p w:rsidR="001D642D" w:rsidRDefault="00DA3274">
            <w:pPr>
              <w:spacing w:before="0" w:after="0"/>
              <w:jc w:val="left"/>
              <w:rPr>
                <w:rFonts w:ascii="Calibri" w:hAnsi="Calibri" w:cs="Calibri"/>
                <w:noProof/>
                <w:color w:val="000000"/>
                <w:szCs w:val="24"/>
              </w:rPr>
            </w:pPr>
            <w:r>
              <w:rPr>
                <w:rFonts w:ascii="Calibri" w:hAnsi="Calibri" w:cs="Calibri"/>
                <w:noProof/>
                <w:color w:val="000000"/>
                <w:szCs w:val="24"/>
              </w:rPr>
              <w:t> </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center"/>
              <w:rPr>
                <w:rFonts w:ascii="Calibri" w:hAnsi="Calibri" w:cs="Calibri"/>
                <w:noProof/>
                <w:color w:val="0000FF"/>
                <w:sz w:val="22"/>
                <w:u w:val="single"/>
              </w:rPr>
            </w:pPr>
            <w:r>
              <w:rPr>
                <w:rFonts w:ascii="Calibri" w:hAnsi="Calibri" w:cs="Calibri"/>
                <w:noProof/>
                <w:color w:val="0000FF"/>
                <w:sz w:val="22"/>
                <w:u w:val="single"/>
              </w:rPr>
              <w:t>Type[1]</w:t>
            </w:r>
          </w:p>
        </w:tc>
        <w:tc>
          <w:tcPr>
            <w:tcW w:w="1240" w:type="dxa"/>
            <w:tcBorders>
              <w:top w:val="single" w:sz="8" w:space="0" w:color="auto"/>
              <w:left w:val="nil"/>
              <w:bottom w:val="nil"/>
              <w:right w:val="nil"/>
            </w:tcBorders>
            <w:shd w:val="clear" w:color="auto" w:fill="auto"/>
            <w:vAlign w:val="center"/>
            <w:hideMark/>
          </w:tcPr>
          <w:p w:rsidR="001D642D" w:rsidRDefault="00DA3274">
            <w:pPr>
              <w:spacing w:before="0" w:after="0"/>
              <w:jc w:val="left"/>
              <w:rPr>
                <w:noProof/>
                <w:color w:val="000000"/>
                <w:sz w:val="18"/>
                <w:szCs w:val="18"/>
              </w:rPr>
            </w:pPr>
            <w:r>
              <w:rPr>
                <w:noProof/>
                <w:color w:val="000000"/>
                <w:sz w:val="18"/>
                <w:szCs w:val="18"/>
              </w:rPr>
              <w:t>Average cost</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1D642D" w:rsidRDefault="00DA3274">
            <w:pPr>
              <w:spacing w:before="0" w:after="0"/>
              <w:jc w:val="center"/>
              <w:rPr>
                <w:noProof/>
                <w:color w:val="000000"/>
                <w:sz w:val="18"/>
                <w:szCs w:val="18"/>
              </w:rPr>
            </w:pPr>
            <w:r>
              <w:rPr>
                <w:noProof/>
                <w:color w:val="000000"/>
                <w:sz w:val="18"/>
                <w:szCs w:val="18"/>
              </w:rPr>
              <w:t>No</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Cost</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1D642D" w:rsidRDefault="00DA3274">
            <w:pPr>
              <w:spacing w:before="0" w:after="0"/>
              <w:jc w:val="center"/>
              <w:rPr>
                <w:noProof/>
                <w:color w:val="000000"/>
                <w:sz w:val="18"/>
                <w:szCs w:val="18"/>
              </w:rPr>
            </w:pPr>
            <w:r>
              <w:rPr>
                <w:noProof/>
                <w:color w:val="000000"/>
                <w:sz w:val="18"/>
                <w:szCs w:val="18"/>
              </w:rPr>
              <w:t>No</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Cost</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Total cost</w:t>
            </w:r>
          </w:p>
        </w:tc>
      </w:tr>
      <w:tr w:rsidR="001D642D">
        <w:trPr>
          <w:gridAfter w:val="1"/>
          <w:wAfter w:w="1060" w:type="dxa"/>
          <w:trHeight w:val="330"/>
        </w:trPr>
        <w:tc>
          <w:tcPr>
            <w:tcW w:w="960" w:type="dxa"/>
            <w:tcBorders>
              <w:top w:val="nil"/>
              <w:left w:val="single" w:sz="8" w:space="0" w:color="auto"/>
              <w:bottom w:val="single" w:sz="8" w:space="0" w:color="auto"/>
              <w:right w:val="nil"/>
            </w:tcBorders>
            <w:shd w:val="clear" w:color="auto" w:fill="auto"/>
            <w:vAlign w:val="center"/>
            <w:hideMark/>
          </w:tcPr>
          <w:p w:rsidR="001D642D" w:rsidRDefault="00DA3274">
            <w:pPr>
              <w:spacing w:before="0" w:after="0"/>
              <w:jc w:val="left"/>
              <w:rPr>
                <w:rFonts w:ascii="Calibri" w:hAnsi="Calibri" w:cs="Calibri"/>
                <w:noProof/>
                <w:color w:val="000000"/>
                <w:szCs w:val="24"/>
              </w:rPr>
            </w:pPr>
            <w:r>
              <w:rPr>
                <w:rFonts w:ascii="Calibri" w:hAnsi="Calibri" w:cs="Calibri"/>
                <w:noProof/>
                <w:color w:val="000000"/>
                <w:szCs w:val="24"/>
              </w:rPr>
              <w:t> </w:t>
            </w:r>
          </w:p>
        </w:tc>
        <w:tc>
          <w:tcPr>
            <w:tcW w:w="1980" w:type="dxa"/>
            <w:vMerge/>
            <w:tcBorders>
              <w:top w:val="single" w:sz="8" w:space="0" w:color="auto"/>
              <w:left w:val="single" w:sz="8" w:space="0" w:color="auto"/>
              <w:bottom w:val="single" w:sz="8" w:space="0" w:color="000000"/>
              <w:right w:val="single" w:sz="8" w:space="0" w:color="auto"/>
            </w:tcBorders>
            <w:vAlign w:val="center"/>
            <w:hideMark/>
          </w:tcPr>
          <w:p w:rsidR="001D642D" w:rsidRDefault="001D642D">
            <w:pPr>
              <w:spacing w:before="0" w:after="0"/>
              <w:jc w:val="left"/>
              <w:rPr>
                <w:rFonts w:ascii="Calibri" w:hAnsi="Calibri" w:cs="Calibri"/>
                <w:noProof/>
                <w:color w:val="0000FF"/>
                <w:sz w:val="22"/>
                <w:u w:val="single"/>
              </w:rPr>
            </w:pPr>
          </w:p>
        </w:tc>
        <w:tc>
          <w:tcPr>
            <w:tcW w:w="1240" w:type="dxa"/>
            <w:tcBorders>
              <w:top w:val="nil"/>
              <w:left w:val="nil"/>
              <w:bottom w:val="single" w:sz="8" w:space="0" w:color="auto"/>
              <w:right w:val="nil"/>
            </w:tcBorders>
            <w:shd w:val="clear" w:color="auto" w:fill="auto"/>
            <w:vAlign w:val="center"/>
            <w:hideMark/>
          </w:tcPr>
          <w:p w:rsidR="001D642D" w:rsidRDefault="00DA3274">
            <w:pPr>
              <w:spacing w:before="0" w:after="0"/>
              <w:jc w:val="left"/>
              <w:rPr>
                <w:noProof/>
                <w:color w:val="000000"/>
                <w:sz w:val="18"/>
                <w:szCs w:val="18"/>
              </w:rPr>
            </w:pPr>
            <w:r>
              <w:rPr>
                <w:noProof/>
                <w:color w:val="000000"/>
                <w:sz w:val="18"/>
                <w:szCs w:val="18"/>
              </w:rPr>
              <w:t> </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1D642D" w:rsidRDefault="001D642D">
            <w:pPr>
              <w:spacing w:before="0" w:after="0"/>
              <w:jc w:val="left"/>
              <w:rPr>
                <w:noProof/>
                <w:color w:val="000000"/>
                <w:sz w:val="18"/>
                <w:szCs w:val="18"/>
              </w:rPr>
            </w:pPr>
          </w:p>
        </w:tc>
      </w:tr>
      <w:tr w:rsidR="001D642D">
        <w:trPr>
          <w:trHeight w:val="315"/>
        </w:trPr>
        <w:tc>
          <w:tcPr>
            <w:tcW w:w="61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D642D" w:rsidRDefault="00DA3274">
            <w:pPr>
              <w:spacing w:before="0" w:after="0"/>
              <w:jc w:val="left"/>
              <w:rPr>
                <w:b/>
                <w:bCs/>
                <w:noProof/>
                <w:color w:val="000000"/>
                <w:sz w:val="18"/>
                <w:szCs w:val="18"/>
              </w:rPr>
            </w:pPr>
            <w:r>
              <w:rPr>
                <w:b/>
                <w:bCs/>
                <w:noProof/>
                <w:color w:val="000000"/>
                <w:sz w:val="18"/>
                <w:szCs w:val="18"/>
              </w:rPr>
              <w:t>SPECIFIC OBJECTIVE No 1</w:t>
            </w:r>
          </w:p>
        </w:tc>
        <w:tc>
          <w:tcPr>
            <w:tcW w:w="3940" w:type="dxa"/>
            <w:gridSpan w:val="4"/>
            <w:vMerge w:val="restart"/>
            <w:tcBorders>
              <w:top w:val="nil"/>
              <w:left w:val="single" w:sz="8" w:space="0" w:color="000000"/>
              <w:bottom w:val="nil"/>
              <w:right w:val="nil"/>
            </w:tcBorders>
            <w:shd w:val="clear" w:color="auto" w:fill="auto"/>
            <w:vAlign w:val="center"/>
            <w:hideMark/>
          </w:tcPr>
          <w:p w:rsidR="001D642D" w:rsidRDefault="00DA3274">
            <w:pPr>
              <w:spacing w:before="0" w:after="0"/>
              <w:jc w:val="left"/>
              <w:rPr>
                <w:rFonts w:ascii="Calibri" w:hAnsi="Calibri" w:cs="Calibri"/>
                <w:noProof/>
                <w:color w:val="000000"/>
                <w:sz w:val="22"/>
              </w:rPr>
            </w:pPr>
            <w:r>
              <w:rPr>
                <w:rFonts w:ascii="Calibri" w:hAnsi="Calibri" w:cs="Calibri"/>
                <w:noProof/>
                <w:color w:val="000000"/>
                <w:sz w:val="22"/>
              </w:rPr>
              <w:t> </w:t>
            </w:r>
          </w:p>
        </w:tc>
      </w:tr>
      <w:tr w:rsidR="001D642D">
        <w:trPr>
          <w:trHeight w:val="480"/>
        </w:trPr>
        <w:tc>
          <w:tcPr>
            <w:tcW w:w="61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D642D" w:rsidRDefault="00DA3274">
            <w:pPr>
              <w:spacing w:before="0" w:after="0"/>
              <w:jc w:val="left"/>
              <w:rPr>
                <w:b/>
                <w:bCs/>
                <w:noProof/>
                <w:color w:val="000000"/>
                <w:sz w:val="18"/>
                <w:szCs w:val="18"/>
              </w:rPr>
            </w:pPr>
            <w:r>
              <w:rPr>
                <w:b/>
                <w:bCs/>
                <w:noProof/>
                <w:color w:val="000000"/>
                <w:sz w:val="18"/>
                <w:szCs w:val="18"/>
              </w:rPr>
              <w:t>To assist the initiatives of national authorities to design their reforms according to priorities, taking into account initial conditions and expected socio-economic impacts</w:t>
            </w:r>
          </w:p>
        </w:tc>
        <w:tc>
          <w:tcPr>
            <w:tcW w:w="3940" w:type="dxa"/>
            <w:gridSpan w:val="4"/>
            <w:vMerge/>
            <w:tcBorders>
              <w:top w:val="nil"/>
              <w:left w:val="single" w:sz="8" w:space="0" w:color="000000"/>
              <w:bottom w:val="nil"/>
              <w:right w:val="nil"/>
            </w:tcBorders>
            <w:vAlign w:val="center"/>
            <w:hideMark/>
          </w:tcPr>
          <w:p w:rsidR="001D642D" w:rsidRDefault="001D642D">
            <w:pPr>
              <w:spacing w:before="0" w:after="0"/>
              <w:jc w:val="left"/>
              <w:rPr>
                <w:rFonts w:ascii="Calibri" w:hAnsi="Calibri" w:cs="Calibri"/>
                <w:noProof/>
                <w:color w:val="000000"/>
                <w:sz w:val="22"/>
              </w:rPr>
            </w:pPr>
          </w:p>
        </w:tc>
      </w:tr>
      <w:tr w:rsidR="001D642D">
        <w:trPr>
          <w:gridAfter w:val="1"/>
          <w:wAfter w:w="1060" w:type="dxa"/>
          <w:trHeight w:val="6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Output A</w:t>
            </w:r>
          </w:p>
        </w:tc>
        <w:tc>
          <w:tcPr>
            <w:tcW w:w="198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rPr>
                <w:noProof/>
                <w:color w:val="000000"/>
                <w:sz w:val="16"/>
                <w:szCs w:val="16"/>
              </w:rPr>
            </w:pPr>
            <w:r>
              <w:rPr>
                <w:noProof/>
                <w:color w:val="000000"/>
                <w:sz w:val="16"/>
                <w:szCs w:val="16"/>
              </w:rPr>
              <w:t>Number of analyses supporting national reform sector</w:t>
            </w:r>
          </w:p>
        </w:tc>
        <w:tc>
          <w:tcPr>
            <w:tcW w:w="1240" w:type="dxa"/>
            <w:tcBorders>
              <w:top w:val="nil"/>
              <w:left w:val="nil"/>
              <w:bottom w:val="single" w:sz="8" w:space="0" w:color="auto"/>
              <w:right w:val="nil"/>
            </w:tcBorders>
            <w:shd w:val="clear" w:color="auto" w:fill="auto"/>
            <w:vAlign w:val="center"/>
            <w:hideMark/>
          </w:tcPr>
          <w:p w:rsidR="001D642D" w:rsidRDefault="00DA3274">
            <w:pPr>
              <w:spacing w:before="0" w:after="0"/>
              <w:jc w:val="left"/>
              <w:rPr>
                <w:noProof/>
                <w:color w:val="000000"/>
                <w:sz w:val="18"/>
                <w:szCs w:val="18"/>
              </w:rPr>
            </w:pPr>
            <w:r>
              <w:rPr>
                <w:noProof/>
                <w:color w:val="000000"/>
                <w:sz w:val="18"/>
                <w:szCs w:val="18"/>
              </w:rPr>
              <w:t>0,06</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50-60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3,360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50-60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3,360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6,720</w:t>
            </w:r>
          </w:p>
        </w:tc>
      </w:tr>
      <w:tr w:rsidR="001D642D">
        <w:trPr>
          <w:gridAfter w:val="1"/>
          <w:wAfter w:w="1060" w:type="dxa"/>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Output B</w:t>
            </w:r>
          </w:p>
        </w:tc>
        <w:tc>
          <w:tcPr>
            <w:tcW w:w="198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6"/>
                <w:szCs w:val="16"/>
              </w:rPr>
            </w:pPr>
            <w:r>
              <w:rPr>
                <w:noProof/>
                <w:color w:val="000000"/>
                <w:sz w:val="16"/>
                <w:szCs w:val="16"/>
              </w:rPr>
              <w:t>Number of experts</w:t>
            </w:r>
          </w:p>
        </w:tc>
        <w:tc>
          <w:tcPr>
            <w:tcW w:w="1240" w:type="dxa"/>
            <w:tcBorders>
              <w:top w:val="nil"/>
              <w:left w:val="nil"/>
              <w:bottom w:val="single" w:sz="8" w:space="0" w:color="auto"/>
              <w:right w:val="nil"/>
            </w:tcBorders>
            <w:shd w:val="clear" w:color="auto" w:fill="auto"/>
            <w:vAlign w:val="center"/>
            <w:hideMark/>
          </w:tcPr>
          <w:p w:rsidR="001D642D" w:rsidRDefault="00DA3274">
            <w:pPr>
              <w:spacing w:before="0" w:after="0"/>
              <w:jc w:val="left"/>
              <w:rPr>
                <w:noProof/>
                <w:color w:val="000000"/>
                <w:sz w:val="18"/>
                <w:szCs w:val="18"/>
              </w:rPr>
            </w:pPr>
            <w:r>
              <w:rPr>
                <w:noProof/>
                <w:color w:val="000000"/>
                <w:sz w:val="18"/>
                <w:szCs w:val="18"/>
              </w:rPr>
              <w:t>0,00115</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80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0,092</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80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0,092</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0,184</w:t>
            </w:r>
          </w:p>
        </w:tc>
      </w:tr>
      <w:tr w:rsidR="001D642D">
        <w:trPr>
          <w:gridAfter w:val="1"/>
          <w:wAfter w:w="1060" w:type="dxa"/>
          <w:trHeight w:val="330"/>
        </w:trPr>
        <w:tc>
          <w:tcPr>
            <w:tcW w:w="4180" w:type="dxa"/>
            <w:gridSpan w:val="3"/>
            <w:tcBorders>
              <w:top w:val="single" w:sz="8" w:space="0" w:color="auto"/>
              <w:left w:val="single" w:sz="8" w:space="0" w:color="auto"/>
              <w:bottom w:val="single" w:sz="8" w:space="0" w:color="auto"/>
              <w:right w:val="nil"/>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Subtotal for specific objective No 1</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FF0000"/>
                <w:sz w:val="18"/>
                <w:szCs w:val="18"/>
              </w:rPr>
            </w:pPr>
            <w:r>
              <w:rPr>
                <w:b/>
                <w:bCs/>
                <w:noProof/>
                <w:color w:val="FF0000"/>
                <w:sz w:val="18"/>
                <w:szCs w:val="18"/>
              </w:rPr>
              <w:t>3,452</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FF0000"/>
                <w:sz w:val="18"/>
                <w:szCs w:val="18"/>
              </w:rPr>
            </w:pPr>
            <w:r>
              <w:rPr>
                <w:b/>
                <w:bCs/>
                <w:noProof/>
                <w:color w:val="FF0000"/>
                <w:sz w:val="18"/>
                <w:szCs w:val="18"/>
              </w:rPr>
              <w:t>3,452</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6,904</w:t>
            </w:r>
          </w:p>
        </w:tc>
      </w:tr>
      <w:tr w:rsidR="001D642D">
        <w:trPr>
          <w:trHeight w:val="315"/>
        </w:trPr>
        <w:tc>
          <w:tcPr>
            <w:tcW w:w="960" w:type="dxa"/>
            <w:tcBorders>
              <w:top w:val="nil"/>
              <w:left w:val="nil"/>
              <w:bottom w:val="nil"/>
              <w:right w:val="nil"/>
            </w:tcBorders>
            <w:shd w:val="clear" w:color="auto" w:fill="auto"/>
            <w:noWrap/>
            <w:vAlign w:val="bottom"/>
            <w:hideMark/>
          </w:tcPr>
          <w:p w:rsidR="001D642D" w:rsidRDefault="001D642D">
            <w:pPr>
              <w:spacing w:before="0" w:after="0"/>
              <w:jc w:val="left"/>
              <w:rPr>
                <w:rFonts w:ascii="Calibri" w:hAnsi="Calibri" w:cs="Calibri"/>
                <w:noProof/>
                <w:color w:val="000000"/>
                <w:sz w:val="22"/>
              </w:rPr>
            </w:pPr>
          </w:p>
          <w:p w:rsidR="001D642D" w:rsidRDefault="001D642D">
            <w:pPr>
              <w:spacing w:before="0" w:after="0"/>
              <w:jc w:val="left"/>
              <w:rPr>
                <w:rFonts w:ascii="Calibri" w:hAnsi="Calibri" w:cs="Calibri"/>
                <w:noProof/>
                <w:color w:val="000000"/>
                <w:sz w:val="22"/>
              </w:rPr>
            </w:pPr>
          </w:p>
          <w:p w:rsidR="001D642D" w:rsidRDefault="001D642D">
            <w:pPr>
              <w:spacing w:before="0" w:after="0"/>
              <w:jc w:val="left"/>
              <w:rPr>
                <w:rFonts w:ascii="Calibri" w:hAnsi="Calibri" w:cs="Calibri"/>
                <w:noProof/>
                <w:color w:val="000000"/>
                <w:sz w:val="22"/>
              </w:rPr>
            </w:pPr>
          </w:p>
          <w:p w:rsidR="001D642D" w:rsidRDefault="001D642D">
            <w:pPr>
              <w:spacing w:before="0" w:after="0"/>
              <w:jc w:val="left"/>
              <w:rPr>
                <w:rFonts w:ascii="Calibri" w:hAnsi="Calibri" w:cs="Calibri"/>
                <w:noProof/>
                <w:color w:val="000000"/>
                <w:sz w:val="22"/>
              </w:rPr>
            </w:pPr>
          </w:p>
          <w:p w:rsidR="001D642D" w:rsidRDefault="001D642D">
            <w:pPr>
              <w:spacing w:before="0" w:after="0"/>
              <w:jc w:val="left"/>
              <w:rPr>
                <w:rFonts w:ascii="Calibri" w:hAnsi="Calibri" w:cs="Calibri"/>
                <w:noProof/>
                <w:color w:val="000000"/>
                <w:sz w:val="22"/>
              </w:rPr>
            </w:pPr>
          </w:p>
          <w:p w:rsidR="001D642D" w:rsidRDefault="001D642D">
            <w:pPr>
              <w:spacing w:before="0" w:after="0"/>
              <w:jc w:val="left"/>
              <w:rPr>
                <w:rFonts w:ascii="Calibri" w:hAnsi="Calibri" w:cs="Calibri"/>
                <w:noProof/>
                <w:color w:val="000000"/>
                <w:sz w:val="22"/>
              </w:rPr>
            </w:pPr>
          </w:p>
          <w:p w:rsidR="001D642D" w:rsidRDefault="001D642D">
            <w:pPr>
              <w:spacing w:before="0" w:after="0"/>
              <w:jc w:val="left"/>
              <w:rPr>
                <w:rFonts w:ascii="Calibri" w:hAnsi="Calibri" w:cs="Calibri"/>
                <w:noProof/>
                <w:color w:val="000000"/>
                <w:sz w:val="22"/>
              </w:rPr>
            </w:pPr>
          </w:p>
          <w:p w:rsidR="001D642D" w:rsidRDefault="001D642D">
            <w:pPr>
              <w:spacing w:before="0" w:after="0"/>
              <w:jc w:val="left"/>
              <w:rPr>
                <w:rFonts w:ascii="Calibri" w:hAnsi="Calibri" w:cs="Calibri"/>
                <w:noProof/>
                <w:color w:val="000000"/>
                <w:sz w:val="22"/>
              </w:rPr>
            </w:pPr>
          </w:p>
          <w:p w:rsidR="001D642D" w:rsidRDefault="001D642D">
            <w:pPr>
              <w:spacing w:before="0" w:after="0"/>
              <w:jc w:val="left"/>
              <w:rPr>
                <w:rFonts w:ascii="Calibri" w:hAnsi="Calibri" w:cs="Calibri"/>
                <w:noProof/>
                <w:color w:val="000000"/>
                <w:sz w:val="22"/>
              </w:rPr>
            </w:pPr>
          </w:p>
          <w:p w:rsidR="001D642D" w:rsidRDefault="001D642D">
            <w:pPr>
              <w:spacing w:before="0" w:after="0"/>
              <w:jc w:val="left"/>
              <w:rPr>
                <w:rFonts w:ascii="Calibri" w:hAnsi="Calibri" w:cs="Calibri"/>
                <w:noProof/>
                <w:color w:val="000000"/>
                <w:sz w:val="22"/>
              </w:rPr>
            </w:pPr>
          </w:p>
        </w:tc>
        <w:tc>
          <w:tcPr>
            <w:tcW w:w="1980" w:type="dxa"/>
            <w:tcBorders>
              <w:top w:val="nil"/>
              <w:left w:val="nil"/>
              <w:bottom w:val="nil"/>
              <w:right w:val="nil"/>
            </w:tcBorders>
            <w:shd w:val="clear" w:color="auto" w:fill="auto"/>
            <w:noWrap/>
            <w:vAlign w:val="bottom"/>
            <w:hideMark/>
          </w:tcPr>
          <w:p w:rsidR="001D642D" w:rsidRDefault="001D642D">
            <w:pPr>
              <w:spacing w:before="0" w:after="0"/>
              <w:jc w:val="left"/>
              <w:rPr>
                <w:rFonts w:ascii="Calibri" w:hAnsi="Calibri" w:cs="Calibri"/>
                <w:noProof/>
                <w:color w:val="000000"/>
                <w:sz w:val="22"/>
              </w:rPr>
            </w:pPr>
          </w:p>
        </w:tc>
        <w:tc>
          <w:tcPr>
            <w:tcW w:w="1240" w:type="dxa"/>
            <w:tcBorders>
              <w:top w:val="nil"/>
              <w:left w:val="nil"/>
              <w:bottom w:val="nil"/>
              <w:right w:val="nil"/>
            </w:tcBorders>
            <w:shd w:val="clear" w:color="auto" w:fill="auto"/>
            <w:noWrap/>
            <w:vAlign w:val="bottom"/>
            <w:hideMark/>
          </w:tcPr>
          <w:p w:rsidR="001D642D" w:rsidRDefault="001D642D">
            <w:pPr>
              <w:spacing w:before="0" w:after="0"/>
              <w:jc w:val="left"/>
              <w:rPr>
                <w:rFonts w:ascii="Calibri" w:hAnsi="Calibri" w:cs="Calibri"/>
                <w:noProof/>
                <w:color w:val="000000"/>
                <w:sz w:val="22"/>
              </w:rPr>
            </w:pPr>
          </w:p>
        </w:tc>
        <w:tc>
          <w:tcPr>
            <w:tcW w:w="960" w:type="dxa"/>
            <w:tcBorders>
              <w:top w:val="nil"/>
              <w:left w:val="nil"/>
              <w:bottom w:val="nil"/>
              <w:right w:val="nil"/>
            </w:tcBorders>
            <w:shd w:val="clear" w:color="auto" w:fill="auto"/>
            <w:noWrap/>
            <w:vAlign w:val="bottom"/>
            <w:hideMark/>
          </w:tcPr>
          <w:p w:rsidR="001D642D" w:rsidRDefault="001D642D">
            <w:pPr>
              <w:spacing w:before="0" w:after="0"/>
              <w:jc w:val="left"/>
              <w:rPr>
                <w:rFonts w:ascii="Calibri" w:hAnsi="Calibri" w:cs="Calibri"/>
                <w:noProof/>
                <w:color w:val="000000"/>
                <w:sz w:val="22"/>
              </w:rPr>
            </w:pPr>
          </w:p>
        </w:tc>
        <w:tc>
          <w:tcPr>
            <w:tcW w:w="960" w:type="dxa"/>
            <w:tcBorders>
              <w:top w:val="nil"/>
              <w:left w:val="nil"/>
              <w:bottom w:val="nil"/>
              <w:right w:val="nil"/>
            </w:tcBorders>
            <w:shd w:val="clear" w:color="auto" w:fill="auto"/>
            <w:noWrap/>
            <w:vAlign w:val="bottom"/>
            <w:hideMark/>
          </w:tcPr>
          <w:p w:rsidR="001D642D" w:rsidRDefault="001D642D">
            <w:pPr>
              <w:spacing w:before="0" w:after="0"/>
              <w:jc w:val="left"/>
              <w:rPr>
                <w:rFonts w:ascii="Calibri" w:hAnsi="Calibri" w:cs="Calibri"/>
                <w:noProof/>
                <w:color w:val="000000"/>
                <w:sz w:val="22"/>
              </w:rPr>
            </w:pPr>
          </w:p>
        </w:tc>
        <w:tc>
          <w:tcPr>
            <w:tcW w:w="960" w:type="dxa"/>
            <w:tcBorders>
              <w:top w:val="nil"/>
              <w:left w:val="nil"/>
              <w:bottom w:val="nil"/>
              <w:right w:val="nil"/>
            </w:tcBorders>
            <w:shd w:val="clear" w:color="auto" w:fill="auto"/>
            <w:noWrap/>
            <w:vAlign w:val="bottom"/>
            <w:hideMark/>
          </w:tcPr>
          <w:p w:rsidR="001D642D" w:rsidRDefault="001D642D">
            <w:pPr>
              <w:spacing w:before="0" w:after="0"/>
              <w:jc w:val="left"/>
              <w:rPr>
                <w:rFonts w:ascii="Calibri" w:hAnsi="Calibri" w:cs="Calibri"/>
                <w:noProof/>
                <w:color w:val="000000"/>
                <w:sz w:val="22"/>
              </w:rPr>
            </w:pPr>
          </w:p>
        </w:tc>
        <w:tc>
          <w:tcPr>
            <w:tcW w:w="960" w:type="dxa"/>
            <w:tcBorders>
              <w:top w:val="nil"/>
              <w:left w:val="nil"/>
              <w:bottom w:val="nil"/>
              <w:right w:val="nil"/>
            </w:tcBorders>
            <w:shd w:val="clear" w:color="auto" w:fill="auto"/>
            <w:noWrap/>
            <w:vAlign w:val="bottom"/>
            <w:hideMark/>
          </w:tcPr>
          <w:p w:rsidR="001D642D" w:rsidRDefault="001D642D">
            <w:pPr>
              <w:spacing w:before="0" w:after="0"/>
              <w:jc w:val="left"/>
              <w:rPr>
                <w:rFonts w:ascii="Calibri" w:hAnsi="Calibri" w:cs="Calibri"/>
                <w:noProof/>
                <w:color w:val="000000"/>
                <w:sz w:val="22"/>
              </w:rPr>
            </w:pPr>
          </w:p>
        </w:tc>
        <w:tc>
          <w:tcPr>
            <w:tcW w:w="960" w:type="dxa"/>
            <w:tcBorders>
              <w:top w:val="nil"/>
              <w:left w:val="nil"/>
              <w:bottom w:val="nil"/>
              <w:right w:val="nil"/>
            </w:tcBorders>
            <w:shd w:val="clear" w:color="auto" w:fill="auto"/>
            <w:noWrap/>
            <w:vAlign w:val="bottom"/>
            <w:hideMark/>
          </w:tcPr>
          <w:p w:rsidR="001D642D" w:rsidRDefault="001D642D">
            <w:pPr>
              <w:spacing w:before="0" w:after="0"/>
              <w:jc w:val="left"/>
              <w:rPr>
                <w:rFonts w:ascii="Calibri" w:hAnsi="Calibri" w:cs="Calibri"/>
                <w:noProof/>
                <w:color w:val="000000"/>
                <w:sz w:val="22"/>
              </w:rPr>
            </w:pPr>
          </w:p>
        </w:tc>
        <w:tc>
          <w:tcPr>
            <w:tcW w:w="1060" w:type="dxa"/>
            <w:tcBorders>
              <w:top w:val="nil"/>
              <w:left w:val="nil"/>
              <w:bottom w:val="nil"/>
              <w:right w:val="nil"/>
            </w:tcBorders>
            <w:shd w:val="clear" w:color="auto" w:fill="auto"/>
            <w:noWrap/>
            <w:vAlign w:val="bottom"/>
            <w:hideMark/>
          </w:tcPr>
          <w:p w:rsidR="001D642D" w:rsidRDefault="001D642D">
            <w:pPr>
              <w:spacing w:before="0" w:after="0"/>
              <w:jc w:val="left"/>
              <w:rPr>
                <w:rFonts w:ascii="Calibri" w:hAnsi="Calibri" w:cs="Calibri"/>
                <w:noProof/>
                <w:color w:val="000000"/>
                <w:sz w:val="22"/>
              </w:rPr>
            </w:pPr>
          </w:p>
        </w:tc>
      </w:tr>
      <w:tr w:rsidR="001D642D">
        <w:trPr>
          <w:trHeight w:val="300"/>
        </w:trPr>
        <w:tc>
          <w:tcPr>
            <w:tcW w:w="6100" w:type="dxa"/>
            <w:gridSpan w:val="5"/>
            <w:tcBorders>
              <w:top w:val="single" w:sz="8" w:space="0" w:color="auto"/>
              <w:left w:val="single" w:sz="8" w:space="0" w:color="auto"/>
              <w:bottom w:val="nil"/>
              <w:right w:val="single" w:sz="8" w:space="0" w:color="000000"/>
            </w:tcBorders>
            <w:shd w:val="clear" w:color="auto" w:fill="auto"/>
            <w:vAlign w:val="center"/>
            <w:hideMark/>
          </w:tcPr>
          <w:p w:rsidR="001D642D" w:rsidRDefault="00DA3274">
            <w:pPr>
              <w:spacing w:before="0" w:after="0"/>
              <w:jc w:val="left"/>
              <w:rPr>
                <w:b/>
                <w:bCs/>
                <w:noProof/>
                <w:color w:val="000000"/>
                <w:sz w:val="18"/>
                <w:szCs w:val="18"/>
              </w:rPr>
            </w:pPr>
            <w:r>
              <w:rPr>
                <w:b/>
                <w:bCs/>
                <w:noProof/>
                <w:color w:val="000000"/>
                <w:sz w:val="18"/>
                <w:szCs w:val="18"/>
              </w:rPr>
              <w:t> </w:t>
            </w:r>
          </w:p>
        </w:tc>
        <w:tc>
          <w:tcPr>
            <w:tcW w:w="3940" w:type="dxa"/>
            <w:gridSpan w:val="4"/>
            <w:vMerge w:val="restart"/>
            <w:tcBorders>
              <w:top w:val="nil"/>
              <w:left w:val="nil"/>
              <w:bottom w:val="nil"/>
              <w:right w:val="nil"/>
            </w:tcBorders>
            <w:shd w:val="clear" w:color="auto" w:fill="auto"/>
            <w:vAlign w:val="center"/>
            <w:hideMark/>
          </w:tcPr>
          <w:p w:rsidR="001D642D" w:rsidRDefault="001D642D">
            <w:pPr>
              <w:spacing w:before="0" w:after="0"/>
              <w:jc w:val="left"/>
              <w:rPr>
                <w:rFonts w:ascii="Calibri" w:hAnsi="Calibri" w:cs="Calibri"/>
                <w:noProof/>
                <w:color w:val="000000"/>
                <w:sz w:val="22"/>
              </w:rPr>
            </w:pPr>
          </w:p>
        </w:tc>
      </w:tr>
      <w:tr w:rsidR="001D642D">
        <w:trPr>
          <w:trHeight w:val="315"/>
        </w:trPr>
        <w:tc>
          <w:tcPr>
            <w:tcW w:w="6100" w:type="dxa"/>
            <w:gridSpan w:val="5"/>
            <w:tcBorders>
              <w:top w:val="nil"/>
              <w:left w:val="single" w:sz="8" w:space="0" w:color="auto"/>
              <w:bottom w:val="single" w:sz="8" w:space="0" w:color="auto"/>
              <w:right w:val="single" w:sz="8" w:space="0" w:color="000000"/>
            </w:tcBorders>
            <w:shd w:val="clear" w:color="auto" w:fill="auto"/>
            <w:vAlign w:val="center"/>
            <w:hideMark/>
          </w:tcPr>
          <w:p w:rsidR="001D642D" w:rsidRDefault="00DA3274">
            <w:pPr>
              <w:spacing w:before="0" w:after="0"/>
              <w:jc w:val="left"/>
              <w:rPr>
                <w:b/>
                <w:bCs/>
                <w:noProof/>
                <w:color w:val="000000"/>
                <w:sz w:val="18"/>
                <w:szCs w:val="18"/>
              </w:rPr>
            </w:pPr>
            <w:r>
              <w:rPr>
                <w:b/>
                <w:bCs/>
                <w:noProof/>
                <w:color w:val="000000"/>
                <w:sz w:val="18"/>
                <w:szCs w:val="18"/>
              </w:rPr>
              <w:t>SPECIFIC OBJECTIVE No 2</w:t>
            </w:r>
          </w:p>
        </w:tc>
        <w:tc>
          <w:tcPr>
            <w:tcW w:w="3940" w:type="dxa"/>
            <w:gridSpan w:val="4"/>
            <w:vMerge/>
            <w:tcBorders>
              <w:top w:val="nil"/>
              <w:left w:val="nil"/>
              <w:bottom w:val="nil"/>
              <w:right w:val="nil"/>
            </w:tcBorders>
            <w:vAlign w:val="center"/>
            <w:hideMark/>
          </w:tcPr>
          <w:p w:rsidR="001D642D" w:rsidRDefault="001D642D">
            <w:pPr>
              <w:spacing w:before="0" w:after="0"/>
              <w:jc w:val="left"/>
              <w:rPr>
                <w:rFonts w:ascii="Calibri" w:hAnsi="Calibri" w:cs="Calibri"/>
                <w:noProof/>
                <w:color w:val="000000"/>
                <w:sz w:val="22"/>
              </w:rPr>
            </w:pPr>
          </w:p>
        </w:tc>
      </w:tr>
      <w:tr w:rsidR="001D642D">
        <w:trPr>
          <w:trHeight w:val="480"/>
        </w:trPr>
        <w:tc>
          <w:tcPr>
            <w:tcW w:w="61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D642D" w:rsidRDefault="00DA3274">
            <w:pPr>
              <w:spacing w:before="0" w:after="0"/>
              <w:jc w:val="left"/>
              <w:rPr>
                <w:b/>
                <w:bCs/>
                <w:noProof/>
                <w:color w:val="000000"/>
                <w:sz w:val="18"/>
                <w:szCs w:val="18"/>
              </w:rPr>
            </w:pPr>
            <w:r>
              <w:rPr>
                <w:b/>
                <w:bCs/>
                <w:noProof/>
                <w:color w:val="000000"/>
                <w:sz w:val="18"/>
                <w:szCs w:val="18"/>
              </w:rPr>
              <w:t>To sustain the endeavours of national authorities to enhance their capacity to formulate, develop and implement reform policies and strategies and pursue an integrated approach ensuring consistency between goals and means across sectors</w:t>
            </w:r>
          </w:p>
        </w:tc>
        <w:tc>
          <w:tcPr>
            <w:tcW w:w="3940" w:type="dxa"/>
            <w:gridSpan w:val="4"/>
            <w:vMerge/>
            <w:tcBorders>
              <w:top w:val="nil"/>
              <w:left w:val="nil"/>
              <w:bottom w:val="nil"/>
              <w:right w:val="nil"/>
            </w:tcBorders>
            <w:vAlign w:val="center"/>
            <w:hideMark/>
          </w:tcPr>
          <w:p w:rsidR="001D642D" w:rsidRDefault="001D642D">
            <w:pPr>
              <w:spacing w:before="0" w:after="0"/>
              <w:jc w:val="left"/>
              <w:rPr>
                <w:rFonts w:ascii="Calibri" w:hAnsi="Calibri" w:cs="Calibri"/>
                <w:noProof/>
                <w:color w:val="000000"/>
                <w:sz w:val="22"/>
              </w:rPr>
            </w:pPr>
          </w:p>
        </w:tc>
      </w:tr>
      <w:tr w:rsidR="001D642D">
        <w:trPr>
          <w:gridAfter w:val="1"/>
          <w:wAfter w:w="1060" w:type="dxa"/>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Output C</w:t>
            </w:r>
          </w:p>
        </w:tc>
        <w:tc>
          <w:tcPr>
            <w:tcW w:w="198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6"/>
                <w:szCs w:val="16"/>
              </w:rPr>
            </w:pPr>
            <w:r>
              <w:rPr>
                <w:noProof/>
                <w:color w:val="000000"/>
                <w:sz w:val="16"/>
                <w:szCs w:val="16"/>
              </w:rPr>
              <w:t>Number of experts</w:t>
            </w:r>
          </w:p>
        </w:tc>
        <w:tc>
          <w:tcPr>
            <w:tcW w:w="124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0,00115</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100-150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0,141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100-150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0,141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0,282</w:t>
            </w:r>
          </w:p>
        </w:tc>
      </w:tr>
      <w:tr w:rsidR="001D642D">
        <w:trPr>
          <w:gridAfter w:val="1"/>
          <w:wAfter w:w="1060" w:type="dxa"/>
          <w:trHeight w:val="9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Output D</w:t>
            </w:r>
          </w:p>
        </w:tc>
        <w:tc>
          <w:tcPr>
            <w:tcW w:w="198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6"/>
                <w:szCs w:val="16"/>
              </w:rPr>
            </w:pPr>
            <w:r>
              <w:rPr>
                <w:noProof/>
                <w:color w:val="000000"/>
                <w:sz w:val="16"/>
                <w:szCs w:val="16"/>
              </w:rPr>
              <w:t>Number of Roadmaps, Action plan, prepared and implemented by sector and country</w:t>
            </w:r>
          </w:p>
        </w:tc>
        <w:tc>
          <w:tcPr>
            <w:tcW w:w="124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0,125</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25-30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3,125</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25-30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3,125</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6,250</w:t>
            </w:r>
          </w:p>
        </w:tc>
      </w:tr>
      <w:tr w:rsidR="001D642D">
        <w:trPr>
          <w:gridAfter w:val="1"/>
          <w:wAfter w:w="1060" w:type="dxa"/>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Output E</w:t>
            </w:r>
          </w:p>
        </w:tc>
        <w:tc>
          <w:tcPr>
            <w:tcW w:w="198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6"/>
                <w:szCs w:val="16"/>
              </w:rPr>
            </w:pPr>
            <w:r>
              <w:rPr>
                <w:noProof/>
                <w:color w:val="000000"/>
                <w:sz w:val="16"/>
                <w:szCs w:val="16"/>
              </w:rPr>
              <w:t>Number of specific service expertise</w:t>
            </w:r>
          </w:p>
        </w:tc>
        <w:tc>
          <w:tcPr>
            <w:tcW w:w="124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0,015</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25-30</w:t>
            </w:r>
          </w:p>
        </w:tc>
        <w:tc>
          <w:tcPr>
            <w:tcW w:w="960" w:type="dxa"/>
            <w:tcBorders>
              <w:top w:val="nil"/>
              <w:left w:val="nil"/>
              <w:bottom w:val="single" w:sz="8" w:space="0" w:color="auto"/>
              <w:right w:val="nil"/>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0,390</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25-30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0,390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0,780</w:t>
            </w:r>
          </w:p>
        </w:tc>
      </w:tr>
      <w:tr w:rsidR="001D642D">
        <w:trPr>
          <w:gridAfter w:val="1"/>
          <w:wAfter w:w="1060" w:type="dxa"/>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Output F</w:t>
            </w:r>
          </w:p>
        </w:tc>
        <w:tc>
          <w:tcPr>
            <w:tcW w:w="198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6"/>
                <w:szCs w:val="16"/>
              </w:rPr>
            </w:pPr>
            <w:r>
              <w:rPr>
                <w:noProof/>
                <w:color w:val="000000"/>
                <w:sz w:val="16"/>
                <w:szCs w:val="16"/>
              </w:rPr>
              <w:t>Number of projects supported</w:t>
            </w:r>
          </w:p>
        </w:tc>
        <w:tc>
          <w:tcPr>
            <w:tcW w:w="124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0,900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6</w:t>
            </w:r>
          </w:p>
        </w:tc>
        <w:tc>
          <w:tcPr>
            <w:tcW w:w="960" w:type="dxa"/>
            <w:tcBorders>
              <w:top w:val="nil"/>
              <w:left w:val="nil"/>
              <w:bottom w:val="single" w:sz="8" w:space="0" w:color="auto"/>
              <w:right w:val="nil"/>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5,400</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6</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5,400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10,800</w:t>
            </w:r>
          </w:p>
        </w:tc>
      </w:tr>
      <w:tr w:rsidR="001D642D">
        <w:trPr>
          <w:trHeight w:val="330"/>
        </w:trPr>
        <w:tc>
          <w:tcPr>
            <w:tcW w:w="41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Subtotal for specific objective No 2</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w:t>
            </w:r>
          </w:p>
        </w:tc>
        <w:tc>
          <w:tcPr>
            <w:tcW w:w="960" w:type="dxa"/>
            <w:tcBorders>
              <w:top w:val="nil"/>
              <w:left w:val="nil"/>
              <w:bottom w:val="single" w:sz="8" w:space="0" w:color="auto"/>
              <w:right w:val="nil"/>
            </w:tcBorders>
            <w:shd w:val="clear" w:color="auto" w:fill="auto"/>
            <w:vAlign w:val="center"/>
            <w:hideMark/>
          </w:tcPr>
          <w:p w:rsidR="001D642D" w:rsidRDefault="00DA3274">
            <w:pPr>
              <w:spacing w:before="0" w:after="0"/>
              <w:jc w:val="center"/>
              <w:rPr>
                <w:b/>
                <w:bCs/>
                <w:noProof/>
                <w:color w:val="FF0000"/>
                <w:sz w:val="18"/>
                <w:szCs w:val="18"/>
              </w:rPr>
            </w:pPr>
            <w:r>
              <w:rPr>
                <w:b/>
                <w:bCs/>
                <w:noProof/>
                <w:color w:val="FF0000"/>
                <w:sz w:val="18"/>
                <w:szCs w:val="18"/>
              </w:rPr>
              <w:t>9,056</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FF0000"/>
                <w:sz w:val="18"/>
                <w:szCs w:val="18"/>
              </w:rPr>
            </w:pPr>
            <w:r>
              <w:rPr>
                <w:b/>
                <w:bCs/>
                <w:noProof/>
                <w:color w:val="FF0000"/>
                <w:sz w:val="18"/>
                <w:szCs w:val="18"/>
              </w:rPr>
              <w:t>9,056</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18,112</w:t>
            </w:r>
          </w:p>
        </w:tc>
        <w:tc>
          <w:tcPr>
            <w:tcW w:w="1060" w:type="dxa"/>
            <w:tcBorders>
              <w:top w:val="nil"/>
              <w:left w:val="nil"/>
              <w:bottom w:val="nil"/>
              <w:right w:val="nil"/>
            </w:tcBorders>
            <w:shd w:val="clear" w:color="auto" w:fill="auto"/>
            <w:vAlign w:val="center"/>
            <w:hideMark/>
          </w:tcPr>
          <w:p w:rsidR="001D642D" w:rsidRDefault="001D642D">
            <w:pPr>
              <w:spacing w:before="0" w:after="0"/>
              <w:rPr>
                <w:noProof/>
                <w:color w:val="000000"/>
                <w:szCs w:val="24"/>
              </w:rPr>
            </w:pPr>
          </w:p>
        </w:tc>
      </w:tr>
      <w:tr w:rsidR="001D642D">
        <w:trPr>
          <w:trHeight w:val="300"/>
        </w:trPr>
        <w:tc>
          <w:tcPr>
            <w:tcW w:w="6100" w:type="dxa"/>
            <w:gridSpan w:val="5"/>
            <w:tcBorders>
              <w:top w:val="single" w:sz="8" w:space="0" w:color="auto"/>
              <w:left w:val="single" w:sz="8" w:space="0" w:color="auto"/>
              <w:bottom w:val="nil"/>
              <w:right w:val="single" w:sz="8" w:space="0" w:color="000000"/>
            </w:tcBorders>
            <w:shd w:val="clear" w:color="auto" w:fill="auto"/>
            <w:vAlign w:val="center"/>
            <w:hideMark/>
          </w:tcPr>
          <w:p w:rsidR="001D642D" w:rsidRDefault="00DA3274">
            <w:pPr>
              <w:spacing w:before="0" w:after="0"/>
              <w:jc w:val="left"/>
              <w:rPr>
                <w:b/>
                <w:bCs/>
                <w:noProof/>
                <w:color w:val="000000"/>
                <w:sz w:val="18"/>
                <w:szCs w:val="18"/>
              </w:rPr>
            </w:pPr>
            <w:r>
              <w:rPr>
                <w:b/>
                <w:bCs/>
                <w:noProof/>
                <w:color w:val="000000"/>
                <w:sz w:val="18"/>
                <w:szCs w:val="18"/>
              </w:rPr>
              <w:t> </w:t>
            </w:r>
          </w:p>
        </w:tc>
        <w:tc>
          <w:tcPr>
            <w:tcW w:w="3940" w:type="dxa"/>
            <w:gridSpan w:val="4"/>
            <w:vMerge w:val="restart"/>
            <w:tcBorders>
              <w:top w:val="nil"/>
              <w:left w:val="single" w:sz="8" w:space="0" w:color="000000"/>
              <w:bottom w:val="nil"/>
              <w:right w:val="nil"/>
            </w:tcBorders>
            <w:shd w:val="clear" w:color="auto" w:fill="auto"/>
            <w:vAlign w:val="center"/>
            <w:hideMark/>
          </w:tcPr>
          <w:p w:rsidR="001D642D" w:rsidRDefault="00DA3274">
            <w:pPr>
              <w:spacing w:before="0" w:after="0"/>
              <w:jc w:val="left"/>
              <w:rPr>
                <w:rFonts w:ascii="Calibri" w:hAnsi="Calibri" w:cs="Calibri"/>
                <w:noProof/>
                <w:color w:val="000000"/>
                <w:sz w:val="22"/>
              </w:rPr>
            </w:pPr>
            <w:r>
              <w:rPr>
                <w:rFonts w:ascii="Calibri" w:hAnsi="Calibri" w:cs="Calibri"/>
                <w:noProof/>
                <w:color w:val="000000"/>
                <w:sz w:val="22"/>
              </w:rPr>
              <w:t> </w:t>
            </w:r>
          </w:p>
        </w:tc>
      </w:tr>
      <w:tr w:rsidR="001D642D">
        <w:trPr>
          <w:trHeight w:val="420"/>
        </w:trPr>
        <w:tc>
          <w:tcPr>
            <w:tcW w:w="6100" w:type="dxa"/>
            <w:gridSpan w:val="5"/>
            <w:tcBorders>
              <w:top w:val="nil"/>
              <w:left w:val="single" w:sz="8" w:space="0" w:color="auto"/>
              <w:bottom w:val="single" w:sz="8" w:space="0" w:color="auto"/>
              <w:right w:val="single" w:sz="8" w:space="0" w:color="000000"/>
            </w:tcBorders>
            <w:shd w:val="clear" w:color="auto" w:fill="auto"/>
            <w:vAlign w:val="center"/>
            <w:hideMark/>
          </w:tcPr>
          <w:p w:rsidR="001D642D" w:rsidRDefault="00DA3274">
            <w:pPr>
              <w:spacing w:before="0" w:after="0"/>
              <w:jc w:val="left"/>
              <w:rPr>
                <w:b/>
                <w:bCs/>
                <w:noProof/>
                <w:color w:val="000000"/>
                <w:sz w:val="16"/>
                <w:szCs w:val="16"/>
              </w:rPr>
            </w:pPr>
            <w:r>
              <w:rPr>
                <w:b/>
                <w:bCs/>
                <w:noProof/>
                <w:color w:val="000000"/>
                <w:sz w:val="16"/>
                <w:szCs w:val="16"/>
              </w:rPr>
              <w:t>To support the efforts of national authorities to define and implement appropriate processes and methodologies by taking into account good practices and lessons learned by other countries in addressing similar situations</w:t>
            </w:r>
          </w:p>
        </w:tc>
        <w:tc>
          <w:tcPr>
            <w:tcW w:w="3940" w:type="dxa"/>
            <w:gridSpan w:val="4"/>
            <w:vMerge/>
            <w:tcBorders>
              <w:top w:val="nil"/>
              <w:left w:val="single" w:sz="8" w:space="0" w:color="000000"/>
              <w:bottom w:val="nil"/>
              <w:right w:val="nil"/>
            </w:tcBorders>
            <w:vAlign w:val="center"/>
            <w:hideMark/>
          </w:tcPr>
          <w:p w:rsidR="001D642D" w:rsidRDefault="001D642D">
            <w:pPr>
              <w:spacing w:before="0" w:after="0"/>
              <w:jc w:val="left"/>
              <w:rPr>
                <w:rFonts w:ascii="Calibri" w:hAnsi="Calibri" w:cs="Calibri"/>
                <w:noProof/>
                <w:color w:val="000000"/>
                <w:sz w:val="22"/>
              </w:rPr>
            </w:pPr>
          </w:p>
        </w:tc>
      </w:tr>
      <w:tr w:rsidR="001D642D">
        <w:trPr>
          <w:gridAfter w:val="1"/>
          <w:wAfter w:w="1060" w:type="dxa"/>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Output G</w:t>
            </w:r>
          </w:p>
        </w:tc>
        <w:tc>
          <w:tcPr>
            <w:tcW w:w="198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6"/>
                <w:szCs w:val="16"/>
              </w:rPr>
            </w:pPr>
            <w:r>
              <w:rPr>
                <w:noProof/>
                <w:color w:val="000000"/>
                <w:sz w:val="16"/>
                <w:szCs w:val="16"/>
              </w:rPr>
              <w:t>Number of experts</w:t>
            </w:r>
          </w:p>
        </w:tc>
        <w:tc>
          <w:tcPr>
            <w:tcW w:w="124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0,00115</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220-240</w:t>
            </w:r>
          </w:p>
        </w:tc>
        <w:tc>
          <w:tcPr>
            <w:tcW w:w="960" w:type="dxa"/>
            <w:tcBorders>
              <w:top w:val="single" w:sz="8" w:space="0" w:color="auto"/>
              <w:left w:val="nil"/>
              <w:bottom w:val="single" w:sz="8" w:space="0" w:color="auto"/>
              <w:right w:val="nil"/>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0,251</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220-240</w:t>
            </w:r>
          </w:p>
        </w:tc>
        <w:tc>
          <w:tcPr>
            <w:tcW w:w="960" w:type="dxa"/>
            <w:tcBorders>
              <w:top w:val="single" w:sz="8" w:space="0" w:color="auto"/>
              <w:left w:val="nil"/>
              <w:bottom w:val="single" w:sz="8" w:space="0" w:color="auto"/>
              <w:right w:val="nil"/>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0,251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0,502</w:t>
            </w:r>
          </w:p>
        </w:tc>
      </w:tr>
      <w:tr w:rsidR="001D642D">
        <w:trPr>
          <w:gridAfter w:val="1"/>
          <w:wAfter w:w="1060" w:type="dxa"/>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Output H</w:t>
            </w:r>
          </w:p>
        </w:tc>
        <w:tc>
          <w:tcPr>
            <w:tcW w:w="198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6"/>
                <w:szCs w:val="16"/>
              </w:rPr>
            </w:pPr>
            <w:r>
              <w:rPr>
                <w:noProof/>
                <w:color w:val="000000"/>
                <w:sz w:val="16"/>
                <w:szCs w:val="16"/>
              </w:rPr>
              <w:t>Number of projects supported</w:t>
            </w:r>
          </w:p>
        </w:tc>
        <w:tc>
          <w:tcPr>
            <w:tcW w:w="124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0,900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8</w:t>
            </w:r>
          </w:p>
        </w:tc>
        <w:tc>
          <w:tcPr>
            <w:tcW w:w="960" w:type="dxa"/>
            <w:tcBorders>
              <w:top w:val="nil"/>
              <w:left w:val="nil"/>
              <w:bottom w:val="single" w:sz="8" w:space="0" w:color="auto"/>
              <w:right w:val="nil"/>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7,200</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8</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7,200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14,400</w:t>
            </w:r>
          </w:p>
        </w:tc>
      </w:tr>
      <w:tr w:rsidR="001D642D">
        <w:trPr>
          <w:gridAfter w:val="1"/>
          <w:wAfter w:w="1060" w:type="dxa"/>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Output I</w:t>
            </w:r>
          </w:p>
        </w:tc>
        <w:tc>
          <w:tcPr>
            <w:tcW w:w="198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6"/>
                <w:szCs w:val="16"/>
              </w:rPr>
            </w:pPr>
            <w:r>
              <w:rPr>
                <w:noProof/>
                <w:color w:val="000000"/>
                <w:sz w:val="16"/>
                <w:szCs w:val="16"/>
              </w:rPr>
              <w:t>Number of projects supported</w:t>
            </w:r>
          </w:p>
        </w:tc>
        <w:tc>
          <w:tcPr>
            <w:tcW w:w="124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0,150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18</w:t>
            </w:r>
          </w:p>
        </w:tc>
        <w:tc>
          <w:tcPr>
            <w:tcW w:w="960" w:type="dxa"/>
            <w:tcBorders>
              <w:top w:val="nil"/>
              <w:left w:val="nil"/>
              <w:bottom w:val="single" w:sz="8" w:space="0" w:color="auto"/>
              <w:right w:val="nil"/>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2,700</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18</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2,700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5,400</w:t>
            </w:r>
          </w:p>
        </w:tc>
      </w:tr>
      <w:tr w:rsidR="001D642D">
        <w:trPr>
          <w:gridAfter w:val="1"/>
          <w:wAfter w:w="1060" w:type="dxa"/>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Output J</w:t>
            </w:r>
          </w:p>
        </w:tc>
        <w:tc>
          <w:tcPr>
            <w:tcW w:w="198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6"/>
                <w:szCs w:val="16"/>
              </w:rPr>
            </w:pPr>
            <w:r>
              <w:rPr>
                <w:noProof/>
                <w:color w:val="000000"/>
                <w:sz w:val="16"/>
                <w:szCs w:val="16"/>
              </w:rPr>
              <w:t>Number of specific service expertise</w:t>
            </w:r>
          </w:p>
        </w:tc>
        <w:tc>
          <w:tcPr>
            <w:tcW w:w="124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0,015</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90-95</w:t>
            </w:r>
          </w:p>
        </w:tc>
        <w:tc>
          <w:tcPr>
            <w:tcW w:w="960" w:type="dxa"/>
            <w:tcBorders>
              <w:top w:val="nil"/>
              <w:left w:val="nil"/>
              <w:bottom w:val="single" w:sz="8" w:space="0" w:color="auto"/>
              <w:right w:val="nil"/>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1,380</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90-95</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1,380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2,760</w:t>
            </w:r>
          </w:p>
        </w:tc>
      </w:tr>
      <w:tr w:rsidR="001D642D">
        <w:trPr>
          <w:gridAfter w:val="1"/>
          <w:wAfter w:w="1060" w:type="dxa"/>
          <w:trHeight w:val="480"/>
        </w:trPr>
        <w:tc>
          <w:tcPr>
            <w:tcW w:w="29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Subtotal for specific objective No 3</w:t>
            </w:r>
          </w:p>
        </w:tc>
        <w:tc>
          <w:tcPr>
            <w:tcW w:w="124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w:t>
            </w:r>
          </w:p>
        </w:tc>
        <w:tc>
          <w:tcPr>
            <w:tcW w:w="960" w:type="dxa"/>
            <w:tcBorders>
              <w:top w:val="nil"/>
              <w:left w:val="nil"/>
              <w:bottom w:val="single" w:sz="8" w:space="0" w:color="auto"/>
              <w:right w:val="nil"/>
            </w:tcBorders>
            <w:shd w:val="clear" w:color="auto" w:fill="auto"/>
            <w:vAlign w:val="center"/>
            <w:hideMark/>
          </w:tcPr>
          <w:p w:rsidR="001D642D" w:rsidRDefault="00DA3274">
            <w:pPr>
              <w:spacing w:before="0" w:after="0"/>
              <w:jc w:val="center"/>
              <w:rPr>
                <w:b/>
                <w:bCs/>
                <w:noProof/>
                <w:color w:val="FF0000"/>
                <w:sz w:val="18"/>
                <w:szCs w:val="18"/>
              </w:rPr>
            </w:pPr>
            <w:r>
              <w:rPr>
                <w:b/>
                <w:bCs/>
                <w:noProof/>
                <w:color w:val="FF0000"/>
                <w:sz w:val="18"/>
                <w:szCs w:val="18"/>
              </w:rPr>
              <w:t>11,531</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FF0000"/>
                <w:sz w:val="18"/>
                <w:szCs w:val="18"/>
              </w:rPr>
            </w:pPr>
            <w:r>
              <w:rPr>
                <w:b/>
                <w:bCs/>
                <w:noProof/>
                <w:color w:val="FF0000"/>
                <w:sz w:val="18"/>
                <w:szCs w:val="18"/>
              </w:rPr>
              <w:t>11,531</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23,062</w:t>
            </w:r>
          </w:p>
        </w:tc>
      </w:tr>
      <w:tr w:rsidR="001D642D">
        <w:trPr>
          <w:trHeight w:val="330"/>
        </w:trPr>
        <w:tc>
          <w:tcPr>
            <w:tcW w:w="61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D642D" w:rsidRDefault="00DA3274">
            <w:pPr>
              <w:spacing w:before="0" w:after="0"/>
              <w:jc w:val="left"/>
              <w:rPr>
                <w:b/>
                <w:bCs/>
                <w:noProof/>
                <w:color w:val="000000"/>
                <w:sz w:val="18"/>
                <w:szCs w:val="18"/>
              </w:rPr>
            </w:pPr>
            <w:r>
              <w:rPr>
                <w:b/>
                <w:bCs/>
                <w:noProof/>
                <w:color w:val="000000"/>
                <w:sz w:val="18"/>
                <w:szCs w:val="18"/>
              </w:rPr>
              <w:t>SPECIFIC OBJECTIVE No 4</w:t>
            </w:r>
          </w:p>
        </w:tc>
        <w:tc>
          <w:tcPr>
            <w:tcW w:w="2880" w:type="dxa"/>
            <w:gridSpan w:val="3"/>
            <w:vMerge w:val="restart"/>
            <w:tcBorders>
              <w:top w:val="single" w:sz="8" w:space="0" w:color="auto"/>
              <w:left w:val="single" w:sz="8" w:space="0" w:color="000000"/>
              <w:bottom w:val="single" w:sz="8" w:space="0" w:color="000000"/>
              <w:right w:val="nil"/>
            </w:tcBorders>
            <w:shd w:val="clear" w:color="auto" w:fill="auto"/>
            <w:vAlign w:val="center"/>
            <w:hideMark/>
          </w:tcPr>
          <w:p w:rsidR="001D642D" w:rsidRDefault="00DA3274">
            <w:pPr>
              <w:spacing w:before="0" w:after="0"/>
              <w:jc w:val="left"/>
              <w:rPr>
                <w:rFonts w:ascii="Calibri" w:hAnsi="Calibri" w:cs="Calibri"/>
                <w:noProof/>
                <w:color w:val="000000"/>
                <w:sz w:val="22"/>
              </w:rPr>
            </w:pPr>
            <w:r>
              <w:rPr>
                <w:rFonts w:ascii="Calibri" w:hAnsi="Calibri" w:cs="Calibri"/>
                <w:noProof/>
                <w:color w:val="000000"/>
                <w:sz w:val="22"/>
              </w:rPr>
              <w:t> </w:t>
            </w:r>
          </w:p>
        </w:tc>
        <w:tc>
          <w:tcPr>
            <w:tcW w:w="1060" w:type="dxa"/>
            <w:tcBorders>
              <w:top w:val="nil"/>
              <w:left w:val="nil"/>
              <w:bottom w:val="nil"/>
              <w:right w:val="nil"/>
            </w:tcBorders>
            <w:shd w:val="clear" w:color="auto" w:fill="auto"/>
            <w:vAlign w:val="center"/>
            <w:hideMark/>
          </w:tcPr>
          <w:p w:rsidR="001D642D" w:rsidRDefault="001D642D">
            <w:pPr>
              <w:spacing w:before="0" w:after="0"/>
              <w:rPr>
                <w:noProof/>
                <w:color w:val="000000"/>
                <w:szCs w:val="24"/>
              </w:rPr>
            </w:pPr>
          </w:p>
        </w:tc>
      </w:tr>
      <w:tr w:rsidR="001D642D">
        <w:trPr>
          <w:gridAfter w:val="1"/>
          <w:wAfter w:w="1060" w:type="dxa"/>
          <w:trHeight w:val="480"/>
        </w:trPr>
        <w:tc>
          <w:tcPr>
            <w:tcW w:w="61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D642D" w:rsidRDefault="00DA3274">
            <w:pPr>
              <w:spacing w:before="0" w:after="0"/>
              <w:jc w:val="left"/>
              <w:rPr>
                <w:b/>
                <w:bCs/>
                <w:noProof/>
                <w:color w:val="000000"/>
                <w:sz w:val="18"/>
                <w:szCs w:val="18"/>
              </w:rPr>
            </w:pPr>
            <w:r>
              <w:rPr>
                <w:b/>
                <w:bCs/>
                <w:noProof/>
                <w:color w:val="000000"/>
                <w:sz w:val="18"/>
                <w:szCs w:val="18"/>
              </w:rPr>
              <w:t>To assist the national authorities to enhance the efficiency and effectiveness of human resources management, where appropriate, through definition of clear responsibilities and increase of professional knowledge and skills</w:t>
            </w:r>
          </w:p>
        </w:tc>
        <w:tc>
          <w:tcPr>
            <w:tcW w:w="2880" w:type="dxa"/>
            <w:gridSpan w:val="3"/>
            <w:vMerge/>
            <w:tcBorders>
              <w:top w:val="single" w:sz="8" w:space="0" w:color="auto"/>
              <w:left w:val="single" w:sz="8" w:space="0" w:color="000000"/>
              <w:bottom w:val="single" w:sz="8" w:space="0" w:color="000000"/>
              <w:right w:val="nil"/>
            </w:tcBorders>
            <w:vAlign w:val="center"/>
            <w:hideMark/>
          </w:tcPr>
          <w:p w:rsidR="001D642D" w:rsidRDefault="001D642D">
            <w:pPr>
              <w:spacing w:before="0" w:after="0"/>
              <w:jc w:val="left"/>
              <w:rPr>
                <w:rFonts w:ascii="Calibri" w:hAnsi="Calibri" w:cs="Calibri"/>
                <w:noProof/>
                <w:color w:val="000000"/>
                <w:sz w:val="22"/>
              </w:rPr>
            </w:pPr>
          </w:p>
        </w:tc>
      </w:tr>
      <w:tr w:rsidR="001D642D">
        <w:trPr>
          <w:gridAfter w:val="1"/>
          <w:wAfter w:w="1060" w:type="dxa"/>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Output K</w:t>
            </w:r>
          </w:p>
        </w:tc>
        <w:tc>
          <w:tcPr>
            <w:tcW w:w="198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6"/>
                <w:szCs w:val="16"/>
              </w:rPr>
            </w:pPr>
            <w:r>
              <w:rPr>
                <w:noProof/>
                <w:color w:val="000000"/>
                <w:sz w:val="16"/>
                <w:szCs w:val="16"/>
              </w:rPr>
              <w:t>Number of training events/seminars</w:t>
            </w:r>
          </w:p>
        </w:tc>
        <w:tc>
          <w:tcPr>
            <w:tcW w:w="124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0,08</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40-50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3,200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40-50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3,200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6,400</w:t>
            </w:r>
          </w:p>
        </w:tc>
      </w:tr>
      <w:tr w:rsidR="001D642D">
        <w:trPr>
          <w:gridAfter w:val="1"/>
          <w:wAfter w:w="1060" w:type="dxa"/>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Output L</w:t>
            </w:r>
          </w:p>
        </w:tc>
        <w:tc>
          <w:tcPr>
            <w:tcW w:w="198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6"/>
                <w:szCs w:val="16"/>
              </w:rPr>
            </w:pPr>
            <w:r>
              <w:rPr>
                <w:noProof/>
                <w:color w:val="000000"/>
                <w:sz w:val="16"/>
                <w:szCs w:val="16"/>
              </w:rPr>
              <w:t>Number of experts</w:t>
            </w:r>
          </w:p>
        </w:tc>
        <w:tc>
          <w:tcPr>
            <w:tcW w:w="124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0,00115</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100-150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0,161</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100-150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0,161</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0,322</w:t>
            </w:r>
          </w:p>
        </w:tc>
      </w:tr>
      <w:tr w:rsidR="001D642D">
        <w:trPr>
          <w:gridAfter w:val="1"/>
          <w:wAfter w:w="1060" w:type="dxa"/>
          <w:trHeight w:val="49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Output M</w:t>
            </w:r>
          </w:p>
        </w:tc>
        <w:tc>
          <w:tcPr>
            <w:tcW w:w="198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6"/>
                <w:szCs w:val="16"/>
              </w:rPr>
            </w:pPr>
            <w:r>
              <w:rPr>
                <w:noProof/>
                <w:color w:val="000000"/>
                <w:sz w:val="16"/>
                <w:szCs w:val="16"/>
              </w:rPr>
              <w:t>Number of projects supported</w:t>
            </w:r>
          </w:p>
        </w:tc>
        <w:tc>
          <w:tcPr>
            <w:tcW w:w="124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0,900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sz w:val="18"/>
                <w:szCs w:val="18"/>
              </w:rPr>
            </w:pPr>
            <w:r>
              <w:rPr>
                <w:noProof/>
                <w:sz w:val="18"/>
                <w:szCs w:val="18"/>
              </w:rPr>
              <w:t>10-12</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sz w:val="18"/>
                <w:szCs w:val="18"/>
              </w:rPr>
            </w:pPr>
            <w:r>
              <w:rPr>
                <w:b/>
                <w:bCs/>
                <w:noProof/>
                <w:sz w:val="18"/>
                <w:szCs w:val="18"/>
              </w:rPr>
              <w:t>9,900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sz w:val="18"/>
                <w:szCs w:val="18"/>
              </w:rPr>
            </w:pPr>
            <w:r>
              <w:rPr>
                <w:noProof/>
                <w:sz w:val="18"/>
                <w:szCs w:val="18"/>
              </w:rPr>
              <w:t>10-12</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9,900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19,800</w:t>
            </w:r>
          </w:p>
        </w:tc>
      </w:tr>
      <w:tr w:rsidR="001D642D">
        <w:trPr>
          <w:gridAfter w:val="1"/>
          <w:wAfter w:w="1060" w:type="dxa"/>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Output N</w:t>
            </w:r>
          </w:p>
        </w:tc>
        <w:tc>
          <w:tcPr>
            <w:tcW w:w="198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6"/>
                <w:szCs w:val="16"/>
              </w:rPr>
            </w:pPr>
            <w:r>
              <w:rPr>
                <w:noProof/>
                <w:color w:val="000000"/>
                <w:sz w:val="16"/>
                <w:szCs w:val="16"/>
              </w:rPr>
              <w:t>Number of projects supported</w:t>
            </w:r>
          </w:p>
        </w:tc>
        <w:tc>
          <w:tcPr>
            <w:tcW w:w="124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0,150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18</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2,700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18</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2,700</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5,400</w:t>
            </w:r>
          </w:p>
        </w:tc>
      </w:tr>
      <w:tr w:rsidR="001D642D">
        <w:trPr>
          <w:gridAfter w:val="1"/>
          <w:wAfter w:w="1060" w:type="dxa"/>
          <w:trHeight w:val="480"/>
        </w:trPr>
        <w:tc>
          <w:tcPr>
            <w:tcW w:w="29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Subtotal for specific objective No 4</w:t>
            </w:r>
          </w:p>
        </w:tc>
        <w:tc>
          <w:tcPr>
            <w:tcW w:w="124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FF0000"/>
                <w:sz w:val="18"/>
                <w:szCs w:val="18"/>
              </w:rPr>
            </w:pPr>
            <w:r>
              <w:rPr>
                <w:b/>
                <w:bCs/>
                <w:noProof/>
                <w:color w:val="FF0000"/>
                <w:sz w:val="18"/>
                <w:szCs w:val="18"/>
              </w:rPr>
              <w:t>15,961</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noProof/>
                <w:color w:val="000000"/>
                <w:sz w:val="18"/>
                <w:szCs w:val="18"/>
              </w:rPr>
            </w:pPr>
            <w:r>
              <w:rPr>
                <w:noProof/>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FF0000"/>
                <w:sz w:val="18"/>
                <w:szCs w:val="18"/>
              </w:rPr>
            </w:pPr>
            <w:r>
              <w:rPr>
                <w:b/>
                <w:bCs/>
                <w:noProof/>
                <w:color w:val="FF0000"/>
                <w:sz w:val="18"/>
                <w:szCs w:val="18"/>
              </w:rPr>
              <w:t>15,961</w:t>
            </w:r>
          </w:p>
        </w:tc>
        <w:tc>
          <w:tcPr>
            <w:tcW w:w="960" w:type="dxa"/>
            <w:tcBorders>
              <w:top w:val="nil"/>
              <w:left w:val="nil"/>
              <w:bottom w:val="single" w:sz="8" w:space="0" w:color="auto"/>
              <w:right w:val="single" w:sz="8" w:space="0" w:color="auto"/>
            </w:tcBorders>
            <w:shd w:val="clear" w:color="auto" w:fill="auto"/>
            <w:vAlign w:val="center"/>
            <w:hideMark/>
          </w:tcPr>
          <w:p w:rsidR="001D642D" w:rsidRDefault="00DA3274">
            <w:pPr>
              <w:spacing w:before="0" w:after="0"/>
              <w:jc w:val="center"/>
              <w:rPr>
                <w:b/>
                <w:bCs/>
                <w:noProof/>
                <w:color w:val="000000"/>
                <w:sz w:val="18"/>
                <w:szCs w:val="18"/>
              </w:rPr>
            </w:pPr>
            <w:r>
              <w:rPr>
                <w:b/>
                <w:bCs/>
                <w:noProof/>
                <w:color w:val="000000"/>
                <w:sz w:val="18"/>
                <w:szCs w:val="18"/>
              </w:rPr>
              <w:t>31,922</w:t>
            </w:r>
          </w:p>
        </w:tc>
      </w:tr>
    </w:tbl>
    <w:p w:rsidR="001D642D" w:rsidRDefault="001D642D">
      <w:pPr>
        <w:jc w:val="left"/>
        <w:rPr>
          <w:noProof/>
          <w:sz w:val="20"/>
        </w:rPr>
      </w:pPr>
    </w:p>
    <w:p w:rsidR="001D642D" w:rsidRDefault="001D642D">
      <w:pPr>
        <w:rPr>
          <w:noProof/>
        </w:rPr>
        <w:sectPr w:rsidR="001D642D" w:rsidSect="00DA3274">
          <w:pgSz w:w="16840" w:h="11907" w:orient="landscape" w:code="9"/>
          <w:pgMar w:top="1134" w:right="1418" w:bottom="567" w:left="1418" w:header="709" w:footer="709" w:gutter="0"/>
          <w:cols w:space="708"/>
          <w:docGrid w:linePitch="360"/>
        </w:sectPr>
      </w:pPr>
    </w:p>
    <w:p w:rsidR="001D642D" w:rsidRDefault="00DA3274">
      <w:pPr>
        <w:pStyle w:val="ManualHeading3"/>
        <w:rPr>
          <w:bCs/>
          <w:noProof/>
          <w:szCs w:val="24"/>
        </w:rPr>
      </w:pPr>
      <w:r>
        <w:t>3.2.3.</w:t>
      </w:r>
      <w:r>
        <w:tab/>
      </w:r>
      <w:r>
        <w:rPr>
          <w:noProof/>
        </w:rPr>
        <w:t>Estimated impact on appropriations of an administrative nature</w:t>
      </w:r>
    </w:p>
    <w:p w:rsidR="001D642D" w:rsidRDefault="00DA3274">
      <w:pPr>
        <w:pStyle w:val="ManualHeading4"/>
        <w:rPr>
          <w:noProof/>
        </w:rPr>
      </w:pPr>
      <w:r>
        <w:t>3.2.3.1.</w:t>
      </w:r>
      <w:r>
        <w:tab/>
      </w:r>
      <w:r>
        <w:rPr>
          <w:noProof/>
        </w:rPr>
        <w:t xml:space="preserve">Summary </w:t>
      </w:r>
    </w:p>
    <w:p w:rsidR="001D642D" w:rsidRDefault="00DA3274">
      <w:pPr>
        <w:pStyle w:val="ListDash1"/>
        <w:rPr>
          <w:noProof/>
        </w:rPr>
      </w:pPr>
      <w:r>
        <w:rPr>
          <w:noProof/>
        </w:rPr>
        <w:sym w:font="Wingdings" w:char="F0A8"/>
      </w:r>
      <w:r>
        <w:rPr>
          <w:noProof/>
        </w:rPr>
        <w:tab/>
        <w:t xml:space="preserve">The proposal/initiative does not require the use of appropriations of an administrative nature </w:t>
      </w:r>
    </w:p>
    <w:p w:rsidR="001D642D" w:rsidRDefault="00DA3274">
      <w:pPr>
        <w:pStyle w:val="ListDash1"/>
        <w:rPr>
          <w:noProof/>
        </w:rPr>
      </w:pPr>
      <w:r>
        <w:rPr>
          <w:noProof/>
        </w:rPr>
        <w:sym w:font="Wingdings" w:char="F0FC"/>
      </w:r>
      <w:r>
        <w:rPr>
          <w:noProof/>
        </w:rPr>
        <w:tab/>
        <w:t>The proposal/initiative requires the use of appropriations of an administrative nature, as explained below:</w:t>
      </w:r>
    </w:p>
    <w:p w:rsidR="001D642D" w:rsidRDefault="00DA3274">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1D642D">
        <w:trPr>
          <w:trHeight w:val="585"/>
        </w:trPr>
        <w:tc>
          <w:tcPr>
            <w:tcW w:w="1980" w:type="dxa"/>
          </w:tcPr>
          <w:p w:rsidR="001D642D" w:rsidRDefault="001D642D">
            <w:pPr>
              <w:spacing w:before="60" w:after="60" w:line="200" w:lineRule="exact"/>
              <w:rPr>
                <w:noProof/>
                <w:sz w:val="16"/>
                <w:szCs w:val="16"/>
              </w:rPr>
            </w:pPr>
          </w:p>
        </w:tc>
        <w:tc>
          <w:tcPr>
            <w:tcW w:w="1080" w:type="dxa"/>
            <w:vAlign w:val="center"/>
          </w:tcPr>
          <w:p w:rsidR="001D642D" w:rsidRDefault="00DA3274">
            <w:pPr>
              <w:spacing w:before="60" w:after="60" w:line="200" w:lineRule="exact"/>
              <w:jc w:val="center"/>
              <w:rPr>
                <w:noProof/>
                <w:sz w:val="16"/>
                <w:szCs w:val="16"/>
              </w:rPr>
            </w:pPr>
            <w:r>
              <w:rPr>
                <w:noProof/>
                <w:sz w:val="16"/>
              </w:rPr>
              <w:t>Year</w:t>
            </w:r>
            <w:r>
              <w:rPr>
                <w:noProof/>
                <w:sz w:val="22"/>
              </w:rPr>
              <w:br/>
            </w:r>
            <w:r>
              <w:rPr>
                <w:b/>
                <w:noProof/>
                <w:sz w:val="16"/>
              </w:rPr>
              <w:t>2019</w:t>
            </w:r>
            <w:r>
              <w:rPr>
                <w:rStyle w:val="FootnoteReference"/>
                <w:b/>
                <w:noProof/>
                <w:sz w:val="16"/>
              </w:rPr>
              <w:footnoteReference w:id="13"/>
            </w:r>
          </w:p>
        </w:tc>
        <w:tc>
          <w:tcPr>
            <w:tcW w:w="1080" w:type="dxa"/>
            <w:vAlign w:val="center"/>
          </w:tcPr>
          <w:p w:rsidR="001D642D" w:rsidRDefault="00DA3274">
            <w:pPr>
              <w:spacing w:before="60" w:after="60" w:line="200" w:lineRule="exact"/>
              <w:jc w:val="center"/>
              <w:rPr>
                <w:noProof/>
                <w:sz w:val="16"/>
                <w:szCs w:val="16"/>
              </w:rPr>
            </w:pPr>
            <w:r>
              <w:rPr>
                <w:noProof/>
                <w:sz w:val="16"/>
              </w:rPr>
              <w:t>Year</w:t>
            </w:r>
            <w:r>
              <w:rPr>
                <w:noProof/>
                <w:sz w:val="22"/>
              </w:rPr>
              <w:br/>
            </w:r>
            <w:r>
              <w:rPr>
                <w:b/>
                <w:noProof/>
                <w:sz w:val="16"/>
              </w:rPr>
              <w:t>2020</w:t>
            </w:r>
          </w:p>
        </w:tc>
        <w:tc>
          <w:tcPr>
            <w:tcW w:w="1080" w:type="dxa"/>
            <w:vAlign w:val="center"/>
          </w:tcPr>
          <w:p w:rsidR="001D642D" w:rsidRDefault="00DA3274">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rsidR="001D642D" w:rsidRDefault="00DA3274">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rsidR="001D642D" w:rsidRDefault="00DA3274">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rsidR="001D642D" w:rsidRDefault="00DA3274">
            <w:pPr>
              <w:spacing w:before="60" w:after="60" w:line="200" w:lineRule="exact"/>
              <w:jc w:val="center"/>
              <w:rPr>
                <w:b/>
                <w:noProof/>
                <w:sz w:val="16"/>
                <w:szCs w:val="16"/>
              </w:rPr>
            </w:pPr>
            <w:r>
              <w:rPr>
                <w:b/>
                <w:noProof/>
                <w:sz w:val="16"/>
              </w:rPr>
              <w:t>TOTAL</w:t>
            </w:r>
          </w:p>
        </w:tc>
      </w:tr>
    </w:tbl>
    <w:p w:rsidR="001D642D" w:rsidRDefault="001D642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D642D">
        <w:trPr>
          <w:trHeight w:val="585"/>
        </w:trPr>
        <w:tc>
          <w:tcPr>
            <w:tcW w:w="1980" w:type="dxa"/>
            <w:shd w:val="clear" w:color="auto" w:fill="CCCCCC"/>
            <w:vAlign w:val="center"/>
          </w:tcPr>
          <w:p w:rsidR="001D642D" w:rsidRDefault="00DA3274">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b/>
                <w:noProof/>
                <w:sz w:val="16"/>
                <w:szCs w:val="16"/>
              </w:rPr>
            </w:pPr>
          </w:p>
        </w:tc>
        <w:tc>
          <w:tcPr>
            <w:tcW w:w="1080" w:type="dxa"/>
            <w:vAlign w:val="center"/>
          </w:tcPr>
          <w:p w:rsidR="001D642D" w:rsidRDefault="001D642D">
            <w:pPr>
              <w:spacing w:before="60" w:after="60" w:line="200" w:lineRule="exact"/>
              <w:jc w:val="right"/>
              <w:rPr>
                <w:b/>
                <w:noProof/>
                <w:sz w:val="16"/>
                <w:szCs w:val="16"/>
              </w:rPr>
            </w:pPr>
          </w:p>
        </w:tc>
      </w:tr>
      <w:tr w:rsidR="001D642D">
        <w:trPr>
          <w:trHeight w:val="585"/>
        </w:trPr>
        <w:tc>
          <w:tcPr>
            <w:tcW w:w="1980" w:type="dxa"/>
            <w:vAlign w:val="center"/>
          </w:tcPr>
          <w:p w:rsidR="001D642D" w:rsidRDefault="00DA3274">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1D642D" w:rsidRDefault="00DA3274">
            <w:pPr>
              <w:spacing w:before="60" w:after="60" w:line="200" w:lineRule="exact"/>
              <w:jc w:val="right"/>
              <w:rPr>
                <w:noProof/>
                <w:sz w:val="16"/>
                <w:szCs w:val="16"/>
              </w:rPr>
            </w:pPr>
            <w:r>
              <w:rPr>
                <w:noProof/>
                <w:sz w:val="20"/>
              </w:rPr>
              <w:t>3,594</w:t>
            </w:r>
          </w:p>
        </w:tc>
        <w:tc>
          <w:tcPr>
            <w:tcW w:w="1080" w:type="dxa"/>
            <w:vAlign w:val="center"/>
          </w:tcPr>
          <w:p w:rsidR="001D642D" w:rsidRDefault="00DA3274">
            <w:pPr>
              <w:spacing w:before="60" w:after="60" w:line="200" w:lineRule="exact"/>
              <w:jc w:val="right"/>
              <w:rPr>
                <w:noProof/>
                <w:sz w:val="16"/>
                <w:szCs w:val="16"/>
              </w:rPr>
            </w:pPr>
            <w:r>
              <w:rPr>
                <w:noProof/>
                <w:sz w:val="20"/>
              </w:rPr>
              <w:t>3,594</w:t>
            </w: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b/>
                <w:noProof/>
                <w:sz w:val="16"/>
                <w:szCs w:val="16"/>
              </w:rPr>
            </w:pPr>
          </w:p>
        </w:tc>
        <w:tc>
          <w:tcPr>
            <w:tcW w:w="1080" w:type="dxa"/>
            <w:vAlign w:val="center"/>
          </w:tcPr>
          <w:p w:rsidR="001D642D" w:rsidRDefault="00DA3274">
            <w:pPr>
              <w:spacing w:before="60" w:after="60" w:line="200" w:lineRule="exact"/>
              <w:jc w:val="right"/>
              <w:rPr>
                <w:b/>
                <w:noProof/>
                <w:sz w:val="16"/>
                <w:szCs w:val="16"/>
              </w:rPr>
            </w:pPr>
            <w:r>
              <w:rPr>
                <w:b/>
                <w:noProof/>
                <w:sz w:val="16"/>
                <w:szCs w:val="16"/>
              </w:rPr>
              <w:t>7,188</w:t>
            </w:r>
          </w:p>
        </w:tc>
      </w:tr>
      <w:tr w:rsidR="001D642D">
        <w:trPr>
          <w:trHeight w:val="585"/>
        </w:trPr>
        <w:tc>
          <w:tcPr>
            <w:tcW w:w="1980" w:type="dxa"/>
            <w:vAlign w:val="center"/>
          </w:tcPr>
          <w:p w:rsidR="001D642D" w:rsidRDefault="00DA3274">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1D642D" w:rsidRDefault="00DA3274">
            <w:pPr>
              <w:spacing w:before="60" w:after="60" w:line="200" w:lineRule="exact"/>
              <w:jc w:val="right"/>
              <w:rPr>
                <w:noProof/>
                <w:sz w:val="16"/>
                <w:szCs w:val="16"/>
              </w:rPr>
            </w:pPr>
            <w:r>
              <w:rPr>
                <w:rFonts w:ascii="Arial Narrow" w:hAnsi="Arial Narrow"/>
                <w:noProof/>
                <w:sz w:val="20"/>
                <w:szCs w:val="20"/>
              </w:rPr>
              <w:t>0,300</w:t>
            </w:r>
          </w:p>
        </w:tc>
        <w:tc>
          <w:tcPr>
            <w:tcW w:w="1080" w:type="dxa"/>
            <w:vAlign w:val="center"/>
          </w:tcPr>
          <w:p w:rsidR="001D642D" w:rsidRDefault="00DA3274">
            <w:pPr>
              <w:spacing w:before="60" w:after="60" w:line="200" w:lineRule="exact"/>
              <w:jc w:val="right"/>
              <w:rPr>
                <w:noProof/>
                <w:sz w:val="16"/>
                <w:szCs w:val="16"/>
              </w:rPr>
            </w:pPr>
            <w:r>
              <w:rPr>
                <w:rFonts w:ascii="Arial Narrow" w:hAnsi="Arial Narrow"/>
                <w:noProof/>
                <w:sz w:val="20"/>
                <w:szCs w:val="20"/>
              </w:rPr>
              <w:t>0,300</w:t>
            </w: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b/>
                <w:noProof/>
                <w:sz w:val="16"/>
                <w:szCs w:val="16"/>
              </w:rPr>
            </w:pPr>
          </w:p>
        </w:tc>
        <w:tc>
          <w:tcPr>
            <w:tcW w:w="1080" w:type="dxa"/>
            <w:vAlign w:val="center"/>
          </w:tcPr>
          <w:p w:rsidR="001D642D" w:rsidRDefault="00DA3274">
            <w:pPr>
              <w:spacing w:before="60" w:after="60" w:line="200" w:lineRule="exact"/>
              <w:jc w:val="right"/>
              <w:rPr>
                <w:b/>
                <w:noProof/>
                <w:sz w:val="16"/>
                <w:szCs w:val="16"/>
              </w:rPr>
            </w:pPr>
            <w:r>
              <w:rPr>
                <w:b/>
                <w:noProof/>
                <w:sz w:val="16"/>
                <w:szCs w:val="16"/>
              </w:rPr>
              <w:t>0,600</w:t>
            </w:r>
          </w:p>
        </w:tc>
      </w:tr>
      <w:tr w:rsidR="001D642D">
        <w:trPr>
          <w:trHeight w:val="585"/>
        </w:trPr>
        <w:tc>
          <w:tcPr>
            <w:tcW w:w="1980" w:type="dxa"/>
            <w:shd w:val="clear" w:color="auto" w:fill="CCCCCC"/>
            <w:vAlign w:val="center"/>
          </w:tcPr>
          <w:p w:rsidR="001D642D" w:rsidRDefault="00DA3274">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1D642D" w:rsidRDefault="00DA3274">
            <w:pPr>
              <w:spacing w:before="60" w:after="60" w:line="200" w:lineRule="exact"/>
              <w:jc w:val="right"/>
              <w:rPr>
                <w:noProof/>
                <w:sz w:val="16"/>
                <w:szCs w:val="16"/>
              </w:rPr>
            </w:pPr>
            <w:r>
              <w:rPr>
                <w:noProof/>
                <w:sz w:val="20"/>
              </w:rPr>
              <w:t>3,894</w:t>
            </w:r>
          </w:p>
        </w:tc>
        <w:tc>
          <w:tcPr>
            <w:tcW w:w="1080" w:type="dxa"/>
            <w:vAlign w:val="center"/>
          </w:tcPr>
          <w:p w:rsidR="001D642D" w:rsidRDefault="00DA3274">
            <w:pPr>
              <w:spacing w:before="60" w:after="60" w:line="200" w:lineRule="exact"/>
              <w:jc w:val="right"/>
              <w:rPr>
                <w:noProof/>
                <w:sz w:val="16"/>
                <w:szCs w:val="16"/>
              </w:rPr>
            </w:pPr>
            <w:r>
              <w:rPr>
                <w:noProof/>
                <w:sz w:val="20"/>
              </w:rPr>
              <w:t>3,894</w:t>
            </w: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b/>
                <w:noProof/>
                <w:sz w:val="16"/>
                <w:szCs w:val="16"/>
              </w:rPr>
            </w:pPr>
          </w:p>
        </w:tc>
        <w:tc>
          <w:tcPr>
            <w:tcW w:w="1080" w:type="dxa"/>
            <w:vAlign w:val="center"/>
          </w:tcPr>
          <w:p w:rsidR="001D642D" w:rsidRDefault="00DA3274">
            <w:pPr>
              <w:spacing w:before="60" w:after="60" w:line="200" w:lineRule="exact"/>
              <w:jc w:val="right"/>
              <w:rPr>
                <w:b/>
                <w:noProof/>
                <w:sz w:val="16"/>
                <w:szCs w:val="16"/>
              </w:rPr>
            </w:pPr>
            <w:r>
              <w:rPr>
                <w:b/>
                <w:noProof/>
                <w:sz w:val="16"/>
                <w:szCs w:val="16"/>
              </w:rPr>
              <w:t>7,788</w:t>
            </w:r>
          </w:p>
        </w:tc>
      </w:tr>
    </w:tbl>
    <w:p w:rsidR="001D642D" w:rsidRDefault="001D642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D642D">
        <w:trPr>
          <w:trHeight w:val="585"/>
        </w:trPr>
        <w:tc>
          <w:tcPr>
            <w:tcW w:w="1980" w:type="dxa"/>
            <w:shd w:val="clear" w:color="auto" w:fill="CCCCCC"/>
            <w:vAlign w:val="center"/>
          </w:tcPr>
          <w:p w:rsidR="001D642D" w:rsidRDefault="00DA3274">
            <w:pPr>
              <w:spacing w:before="60" w:after="60" w:line="200" w:lineRule="exact"/>
              <w:jc w:val="center"/>
              <w:rPr>
                <w:noProof/>
                <w:sz w:val="16"/>
                <w:szCs w:val="16"/>
              </w:rPr>
            </w:pPr>
            <w:r>
              <w:rPr>
                <w:b/>
                <w:noProof/>
                <w:sz w:val="16"/>
              </w:rPr>
              <w:t>Outside HEADING 5</w:t>
            </w:r>
            <w:r>
              <w:rPr>
                <w:rStyle w:val="FootnoteReference"/>
                <w:b/>
                <w:noProof/>
                <w:sz w:val="16"/>
              </w:rPr>
              <w:footnoteReference w:id="14"/>
            </w:r>
            <w:r>
              <w:rPr>
                <w:noProof/>
                <w:sz w:val="22"/>
              </w:rPr>
              <w:br/>
            </w:r>
            <w:r>
              <w:rPr>
                <w:b/>
                <w:noProof/>
                <w:sz w:val="16"/>
              </w:rPr>
              <w:t xml:space="preserve">of the multiannual financial framework </w:t>
            </w:r>
          </w:p>
          <w:p w:rsidR="001D642D" w:rsidRDefault="001D642D">
            <w:pPr>
              <w:spacing w:before="0" w:after="0" w:line="200" w:lineRule="exact"/>
              <w:jc w:val="center"/>
              <w:rPr>
                <w:b/>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b/>
                <w:noProof/>
                <w:sz w:val="16"/>
                <w:szCs w:val="16"/>
              </w:rPr>
            </w:pPr>
          </w:p>
        </w:tc>
        <w:tc>
          <w:tcPr>
            <w:tcW w:w="1080" w:type="dxa"/>
            <w:vAlign w:val="center"/>
          </w:tcPr>
          <w:p w:rsidR="001D642D" w:rsidRDefault="001D642D">
            <w:pPr>
              <w:spacing w:before="60" w:after="60" w:line="200" w:lineRule="exact"/>
              <w:jc w:val="right"/>
              <w:rPr>
                <w:b/>
                <w:noProof/>
                <w:sz w:val="16"/>
                <w:szCs w:val="16"/>
              </w:rPr>
            </w:pPr>
          </w:p>
        </w:tc>
      </w:tr>
      <w:tr w:rsidR="001D642D">
        <w:trPr>
          <w:trHeight w:val="585"/>
        </w:trPr>
        <w:tc>
          <w:tcPr>
            <w:tcW w:w="1980" w:type="dxa"/>
            <w:vAlign w:val="center"/>
          </w:tcPr>
          <w:p w:rsidR="001D642D" w:rsidRDefault="00DA3274">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b/>
                <w:noProof/>
                <w:sz w:val="16"/>
                <w:szCs w:val="16"/>
              </w:rPr>
            </w:pPr>
          </w:p>
        </w:tc>
        <w:tc>
          <w:tcPr>
            <w:tcW w:w="1080" w:type="dxa"/>
            <w:vAlign w:val="center"/>
          </w:tcPr>
          <w:p w:rsidR="001D642D" w:rsidRDefault="001D642D">
            <w:pPr>
              <w:spacing w:before="60" w:after="60" w:line="200" w:lineRule="exact"/>
              <w:jc w:val="right"/>
              <w:rPr>
                <w:b/>
                <w:noProof/>
                <w:sz w:val="16"/>
                <w:szCs w:val="16"/>
              </w:rPr>
            </w:pPr>
          </w:p>
        </w:tc>
      </w:tr>
      <w:tr w:rsidR="001D642D">
        <w:trPr>
          <w:trHeight w:val="585"/>
        </w:trPr>
        <w:tc>
          <w:tcPr>
            <w:tcW w:w="1980" w:type="dxa"/>
            <w:vAlign w:val="center"/>
          </w:tcPr>
          <w:p w:rsidR="001D642D" w:rsidRDefault="00DA3274">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b/>
                <w:noProof/>
                <w:sz w:val="16"/>
                <w:szCs w:val="16"/>
              </w:rPr>
            </w:pPr>
          </w:p>
        </w:tc>
        <w:tc>
          <w:tcPr>
            <w:tcW w:w="1080" w:type="dxa"/>
            <w:vAlign w:val="center"/>
          </w:tcPr>
          <w:p w:rsidR="001D642D" w:rsidRDefault="001D642D">
            <w:pPr>
              <w:spacing w:before="60" w:after="60" w:line="200" w:lineRule="exact"/>
              <w:jc w:val="right"/>
              <w:rPr>
                <w:b/>
                <w:noProof/>
                <w:sz w:val="16"/>
                <w:szCs w:val="16"/>
              </w:rPr>
            </w:pPr>
          </w:p>
        </w:tc>
      </w:tr>
      <w:tr w:rsidR="001D642D">
        <w:trPr>
          <w:trHeight w:val="585"/>
        </w:trPr>
        <w:tc>
          <w:tcPr>
            <w:tcW w:w="1980" w:type="dxa"/>
            <w:shd w:val="clear" w:color="auto" w:fill="CCCCCC"/>
            <w:vAlign w:val="center"/>
          </w:tcPr>
          <w:p w:rsidR="001D642D" w:rsidRDefault="00DA3274">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noProof/>
                <w:sz w:val="16"/>
                <w:szCs w:val="16"/>
              </w:rPr>
            </w:pPr>
          </w:p>
        </w:tc>
        <w:tc>
          <w:tcPr>
            <w:tcW w:w="1080" w:type="dxa"/>
            <w:vAlign w:val="center"/>
          </w:tcPr>
          <w:p w:rsidR="001D642D" w:rsidRDefault="001D642D">
            <w:pPr>
              <w:spacing w:before="60" w:after="60" w:line="200" w:lineRule="exact"/>
              <w:jc w:val="right"/>
              <w:rPr>
                <w:b/>
                <w:noProof/>
                <w:sz w:val="16"/>
                <w:szCs w:val="16"/>
              </w:rPr>
            </w:pPr>
          </w:p>
        </w:tc>
        <w:tc>
          <w:tcPr>
            <w:tcW w:w="1080" w:type="dxa"/>
            <w:vAlign w:val="center"/>
          </w:tcPr>
          <w:p w:rsidR="001D642D" w:rsidRDefault="001D642D">
            <w:pPr>
              <w:spacing w:before="60" w:after="60" w:line="200" w:lineRule="exact"/>
              <w:jc w:val="right"/>
              <w:rPr>
                <w:b/>
                <w:noProof/>
                <w:sz w:val="16"/>
                <w:szCs w:val="16"/>
              </w:rPr>
            </w:pPr>
          </w:p>
        </w:tc>
      </w:tr>
    </w:tbl>
    <w:p w:rsidR="001D642D" w:rsidRDefault="001D642D">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D642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1D642D" w:rsidRDefault="00DA3274">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1D642D" w:rsidRDefault="00DA3274">
            <w:pPr>
              <w:spacing w:before="60" w:after="60" w:line="200" w:lineRule="exact"/>
              <w:jc w:val="right"/>
              <w:rPr>
                <w:b/>
                <w:noProof/>
                <w:sz w:val="16"/>
                <w:szCs w:val="16"/>
              </w:rPr>
            </w:pPr>
            <w:r>
              <w:rPr>
                <w:b/>
                <w:noProof/>
                <w:sz w:val="16"/>
                <w:szCs w:val="16"/>
              </w:rPr>
              <w:t>3,894</w:t>
            </w:r>
          </w:p>
        </w:tc>
        <w:tc>
          <w:tcPr>
            <w:tcW w:w="1080" w:type="dxa"/>
            <w:tcBorders>
              <w:top w:val="single" w:sz="12" w:space="0" w:color="auto"/>
              <w:left w:val="single" w:sz="2" w:space="0" w:color="auto"/>
              <w:bottom w:val="single" w:sz="12" w:space="0" w:color="auto"/>
              <w:right w:val="single" w:sz="2" w:space="0" w:color="auto"/>
            </w:tcBorders>
            <w:vAlign w:val="center"/>
          </w:tcPr>
          <w:p w:rsidR="001D642D" w:rsidRDefault="00DA3274">
            <w:pPr>
              <w:spacing w:before="60" w:after="60" w:line="200" w:lineRule="exact"/>
              <w:jc w:val="right"/>
              <w:rPr>
                <w:b/>
                <w:noProof/>
                <w:sz w:val="16"/>
                <w:szCs w:val="16"/>
              </w:rPr>
            </w:pPr>
            <w:r>
              <w:rPr>
                <w:b/>
                <w:noProof/>
                <w:sz w:val="16"/>
                <w:szCs w:val="16"/>
              </w:rPr>
              <w:t>3,894</w:t>
            </w:r>
          </w:p>
        </w:tc>
        <w:tc>
          <w:tcPr>
            <w:tcW w:w="1080" w:type="dxa"/>
            <w:tcBorders>
              <w:top w:val="single" w:sz="12" w:space="0" w:color="auto"/>
              <w:left w:val="single" w:sz="2" w:space="0" w:color="auto"/>
              <w:bottom w:val="single" w:sz="12" w:space="0" w:color="auto"/>
              <w:right w:val="single" w:sz="2" w:space="0" w:color="auto"/>
            </w:tcBorders>
            <w:vAlign w:val="center"/>
          </w:tcPr>
          <w:p w:rsidR="001D642D" w:rsidRDefault="001D642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D642D" w:rsidRDefault="001D642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D642D" w:rsidRDefault="001D642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D642D" w:rsidRDefault="001D642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D642D" w:rsidRDefault="001D642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1D642D" w:rsidRDefault="00DA3274">
            <w:pPr>
              <w:spacing w:before="60" w:after="60" w:line="200" w:lineRule="exact"/>
              <w:jc w:val="right"/>
              <w:rPr>
                <w:b/>
                <w:noProof/>
                <w:sz w:val="16"/>
                <w:szCs w:val="16"/>
              </w:rPr>
            </w:pPr>
            <w:r>
              <w:rPr>
                <w:b/>
                <w:noProof/>
                <w:sz w:val="16"/>
                <w:szCs w:val="16"/>
              </w:rPr>
              <w:t>7,788</w:t>
            </w:r>
          </w:p>
        </w:tc>
      </w:tr>
    </w:tbl>
    <w:p w:rsidR="001D642D" w:rsidRDefault="00DA3274">
      <w:pPr>
        <w:rPr>
          <w:noProof/>
          <w:sz w:val="18"/>
        </w:rPr>
        <w:sectPr w:rsidR="001D642D" w:rsidSect="00DA3274">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1D642D" w:rsidRDefault="00DA3274">
      <w:pPr>
        <w:pStyle w:val="ManualHeading4"/>
        <w:rPr>
          <w:bCs/>
          <w:noProof/>
          <w:szCs w:val="24"/>
        </w:rPr>
      </w:pPr>
      <w:r>
        <w:t>3.2.3.2.</w:t>
      </w:r>
      <w:r>
        <w:tab/>
      </w:r>
      <w:r>
        <w:rPr>
          <w:noProof/>
        </w:rPr>
        <w:t>Estimated requirements of human resources</w:t>
      </w:r>
    </w:p>
    <w:p w:rsidR="001D642D" w:rsidRDefault="00DA3274">
      <w:pPr>
        <w:pStyle w:val="ListDash1"/>
        <w:rPr>
          <w:noProof/>
        </w:rPr>
      </w:pPr>
      <w:r>
        <w:rPr>
          <w:noProof/>
        </w:rPr>
        <w:sym w:font="Wingdings" w:char="F0A8"/>
      </w:r>
      <w:r>
        <w:rPr>
          <w:noProof/>
        </w:rPr>
        <w:tab/>
        <w:t xml:space="preserve">The proposal/initiative does not require the use of human resources. </w:t>
      </w:r>
    </w:p>
    <w:p w:rsidR="001D642D" w:rsidRDefault="00DA3274">
      <w:pPr>
        <w:pStyle w:val="ListDash1"/>
        <w:rPr>
          <w:noProof/>
        </w:rPr>
      </w:pPr>
      <w:r>
        <w:rPr>
          <w:noProof/>
        </w:rPr>
        <w:sym w:font="Wingdings" w:char="F0FC"/>
      </w:r>
      <w:r>
        <w:rPr>
          <w:noProof/>
        </w:rPr>
        <w:tab/>
        <w:t>The proposal/initiative requires the use of human resources, as explained below:</w:t>
      </w:r>
    </w:p>
    <w:p w:rsidR="001D642D" w:rsidRDefault="00DA3274">
      <w:pPr>
        <w:spacing w:after="60"/>
        <w:jc w:val="right"/>
        <w:rPr>
          <w:i/>
          <w:noProof/>
          <w:sz w:val="20"/>
        </w:rPr>
      </w:pPr>
      <w:r>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3"/>
        <w:gridCol w:w="1955"/>
        <w:gridCol w:w="655"/>
        <w:gridCol w:w="655"/>
        <w:gridCol w:w="3895"/>
        <w:gridCol w:w="466"/>
        <w:gridCol w:w="237"/>
        <w:gridCol w:w="237"/>
        <w:gridCol w:w="236"/>
      </w:tblGrid>
      <w:tr w:rsidR="001D642D">
        <w:trPr>
          <w:gridBefore w:val="1"/>
          <w:wBefore w:w="6" w:type="pct"/>
          <w:trHeight w:val="289"/>
          <w:jc w:val="center"/>
        </w:trPr>
        <w:tc>
          <w:tcPr>
            <w:tcW w:w="1897" w:type="pct"/>
            <w:gridSpan w:val="2"/>
            <w:shd w:val="clear" w:color="auto" w:fill="auto"/>
          </w:tcPr>
          <w:p w:rsidR="001D642D" w:rsidRDefault="001D642D">
            <w:pPr>
              <w:pStyle w:val="Text1"/>
              <w:spacing w:before="40" w:after="40"/>
              <w:ind w:left="0"/>
              <w:jc w:val="center"/>
              <w:rPr>
                <w:i/>
                <w:noProof/>
                <w:sz w:val="16"/>
                <w:szCs w:val="16"/>
              </w:rPr>
            </w:pPr>
          </w:p>
        </w:tc>
        <w:tc>
          <w:tcPr>
            <w:tcW w:w="318" w:type="pct"/>
            <w:shd w:val="clear" w:color="auto" w:fill="auto"/>
            <w:vAlign w:val="center"/>
          </w:tcPr>
          <w:p w:rsidR="001D642D" w:rsidRDefault="00DA3274">
            <w:pPr>
              <w:spacing w:before="20" w:after="20"/>
              <w:jc w:val="center"/>
              <w:rPr>
                <w:noProof/>
                <w:sz w:val="16"/>
                <w:szCs w:val="16"/>
              </w:rPr>
            </w:pPr>
            <w:r>
              <w:rPr>
                <w:noProof/>
                <w:sz w:val="16"/>
              </w:rPr>
              <w:t>Year</w:t>
            </w:r>
            <w:r>
              <w:rPr>
                <w:noProof/>
                <w:sz w:val="22"/>
              </w:rPr>
              <w:br/>
            </w:r>
            <w:r>
              <w:rPr>
                <w:b/>
                <w:noProof/>
                <w:sz w:val="16"/>
              </w:rPr>
              <w:t>2019</w:t>
            </w:r>
          </w:p>
        </w:tc>
        <w:tc>
          <w:tcPr>
            <w:tcW w:w="318" w:type="pct"/>
            <w:shd w:val="clear" w:color="auto" w:fill="auto"/>
            <w:vAlign w:val="center"/>
          </w:tcPr>
          <w:p w:rsidR="001D642D" w:rsidRDefault="00DA3274">
            <w:pPr>
              <w:spacing w:before="20" w:after="20"/>
              <w:jc w:val="center"/>
              <w:rPr>
                <w:noProof/>
                <w:sz w:val="16"/>
                <w:szCs w:val="16"/>
              </w:rPr>
            </w:pPr>
            <w:r>
              <w:rPr>
                <w:noProof/>
                <w:sz w:val="16"/>
              </w:rPr>
              <w:t>Year</w:t>
            </w:r>
            <w:r>
              <w:rPr>
                <w:noProof/>
                <w:sz w:val="22"/>
              </w:rPr>
              <w:br/>
            </w:r>
            <w:r>
              <w:rPr>
                <w:b/>
                <w:noProof/>
                <w:sz w:val="16"/>
              </w:rPr>
              <w:t>2020</w:t>
            </w:r>
          </w:p>
        </w:tc>
        <w:tc>
          <w:tcPr>
            <w:tcW w:w="1891" w:type="pct"/>
            <w:shd w:val="clear" w:color="auto" w:fill="auto"/>
            <w:vAlign w:val="center"/>
          </w:tcPr>
          <w:p w:rsidR="001D642D" w:rsidRDefault="00DA3274">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rsidR="001D642D" w:rsidRDefault="00DA3274">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rsidR="001D642D" w:rsidRDefault="00DA3274">
            <w:pPr>
              <w:jc w:val="center"/>
              <w:rPr>
                <w:b/>
                <w:noProof/>
                <w:sz w:val="16"/>
                <w:szCs w:val="16"/>
              </w:rPr>
            </w:pPr>
            <w:r>
              <w:rPr>
                <w:noProof/>
                <w:sz w:val="16"/>
              </w:rPr>
              <w:t>Enter as many years as necessary to show the duration of the impact (see point 1.6)</w:t>
            </w:r>
          </w:p>
        </w:tc>
      </w:tr>
      <w:tr w:rsidR="001D642D">
        <w:trPr>
          <w:gridBefore w:val="1"/>
          <w:wBefore w:w="6" w:type="pct"/>
          <w:trHeight w:val="289"/>
          <w:jc w:val="center"/>
        </w:trPr>
        <w:tc>
          <w:tcPr>
            <w:tcW w:w="4424" w:type="pct"/>
            <w:gridSpan w:val="5"/>
            <w:shd w:val="clear" w:color="auto" w:fill="auto"/>
          </w:tcPr>
          <w:p w:rsidR="001D642D" w:rsidRDefault="00DA3274">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rsidR="001D642D" w:rsidRDefault="001D642D">
            <w:pPr>
              <w:spacing w:before="20" w:after="20"/>
              <w:jc w:val="center"/>
              <w:rPr>
                <w:noProof/>
                <w:sz w:val="16"/>
                <w:szCs w:val="16"/>
              </w:rPr>
            </w:pPr>
          </w:p>
        </w:tc>
        <w:tc>
          <w:tcPr>
            <w:tcW w:w="345" w:type="pct"/>
            <w:gridSpan w:val="3"/>
            <w:shd w:val="clear" w:color="auto" w:fill="auto"/>
            <w:vAlign w:val="center"/>
          </w:tcPr>
          <w:p w:rsidR="001D642D" w:rsidRDefault="001D642D">
            <w:pPr>
              <w:jc w:val="center"/>
              <w:rPr>
                <w:noProof/>
                <w:sz w:val="16"/>
                <w:szCs w:val="16"/>
              </w:rPr>
            </w:pPr>
          </w:p>
        </w:tc>
      </w:tr>
      <w:tr w:rsidR="001D642D">
        <w:trPr>
          <w:gridBefore w:val="1"/>
          <w:wBefore w:w="6" w:type="pct"/>
          <w:trHeight w:val="289"/>
          <w:jc w:val="center"/>
        </w:trPr>
        <w:tc>
          <w:tcPr>
            <w:tcW w:w="1897" w:type="pct"/>
            <w:gridSpan w:val="2"/>
            <w:shd w:val="clear" w:color="auto" w:fill="auto"/>
            <w:vAlign w:val="center"/>
          </w:tcPr>
          <w:p w:rsidR="001D642D" w:rsidRDefault="00DA3274">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rsidR="001D642D" w:rsidRDefault="00DA3274">
            <w:pPr>
              <w:spacing w:beforeLines="20" w:before="48" w:afterLines="20" w:after="48"/>
              <w:jc w:val="center"/>
              <w:rPr>
                <w:noProof/>
                <w:sz w:val="16"/>
                <w:szCs w:val="16"/>
              </w:rPr>
            </w:pPr>
            <w:r>
              <w:rPr>
                <w:noProof/>
                <w:sz w:val="16"/>
                <w:szCs w:val="16"/>
              </w:rPr>
              <w:t>23</w:t>
            </w:r>
          </w:p>
        </w:tc>
        <w:tc>
          <w:tcPr>
            <w:tcW w:w="318" w:type="pct"/>
            <w:shd w:val="clear" w:color="auto" w:fill="auto"/>
            <w:vAlign w:val="center"/>
          </w:tcPr>
          <w:p w:rsidR="001D642D" w:rsidRDefault="00DA3274">
            <w:pPr>
              <w:spacing w:beforeLines="20" w:before="48" w:afterLines="20" w:after="48"/>
              <w:jc w:val="center"/>
              <w:rPr>
                <w:noProof/>
                <w:sz w:val="16"/>
                <w:szCs w:val="16"/>
              </w:rPr>
            </w:pPr>
            <w:r>
              <w:rPr>
                <w:noProof/>
                <w:sz w:val="16"/>
                <w:szCs w:val="16"/>
              </w:rPr>
              <w:t>23</w:t>
            </w:r>
          </w:p>
        </w:tc>
        <w:tc>
          <w:tcPr>
            <w:tcW w:w="1891" w:type="pct"/>
            <w:shd w:val="clear" w:color="auto" w:fill="auto"/>
            <w:vAlign w:val="center"/>
          </w:tcPr>
          <w:p w:rsidR="001D642D" w:rsidRDefault="001D642D">
            <w:pPr>
              <w:spacing w:beforeLines="20" w:before="48" w:afterLines="20" w:after="48"/>
              <w:jc w:val="center"/>
              <w:rPr>
                <w:noProof/>
                <w:sz w:val="16"/>
                <w:szCs w:val="16"/>
              </w:rPr>
            </w:pPr>
          </w:p>
        </w:tc>
        <w:tc>
          <w:tcPr>
            <w:tcW w:w="226"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r>
      <w:tr w:rsidR="001D642D">
        <w:trPr>
          <w:gridBefore w:val="1"/>
          <w:wBefore w:w="6" w:type="pct"/>
          <w:trHeight w:val="289"/>
          <w:jc w:val="center"/>
        </w:trPr>
        <w:tc>
          <w:tcPr>
            <w:tcW w:w="1897" w:type="pct"/>
            <w:gridSpan w:val="2"/>
            <w:shd w:val="clear" w:color="auto" w:fill="auto"/>
            <w:vAlign w:val="center"/>
          </w:tcPr>
          <w:p w:rsidR="001D642D" w:rsidRDefault="00DA3274">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rsidR="001D642D" w:rsidRDefault="001D642D">
            <w:pPr>
              <w:spacing w:beforeLines="20" w:before="48" w:afterLines="20" w:after="48"/>
              <w:jc w:val="center"/>
              <w:rPr>
                <w:noProof/>
                <w:sz w:val="16"/>
                <w:szCs w:val="16"/>
              </w:rPr>
            </w:pPr>
          </w:p>
        </w:tc>
        <w:tc>
          <w:tcPr>
            <w:tcW w:w="318" w:type="pct"/>
            <w:shd w:val="clear" w:color="auto" w:fill="auto"/>
            <w:vAlign w:val="center"/>
          </w:tcPr>
          <w:p w:rsidR="001D642D" w:rsidRDefault="001D642D">
            <w:pPr>
              <w:spacing w:beforeLines="20" w:before="48" w:afterLines="20" w:after="48"/>
              <w:jc w:val="center"/>
              <w:rPr>
                <w:noProof/>
                <w:sz w:val="16"/>
                <w:szCs w:val="16"/>
              </w:rPr>
            </w:pPr>
          </w:p>
        </w:tc>
        <w:tc>
          <w:tcPr>
            <w:tcW w:w="1891" w:type="pct"/>
            <w:shd w:val="clear" w:color="auto" w:fill="auto"/>
            <w:vAlign w:val="center"/>
          </w:tcPr>
          <w:p w:rsidR="001D642D" w:rsidRDefault="001D642D">
            <w:pPr>
              <w:spacing w:beforeLines="20" w:before="48" w:afterLines="20" w:after="48"/>
              <w:jc w:val="center"/>
              <w:rPr>
                <w:noProof/>
                <w:sz w:val="16"/>
                <w:szCs w:val="16"/>
              </w:rPr>
            </w:pPr>
          </w:p>
        </w:tc>
        <w:tc>
          <w:tcPr>
            <w:tcW w:w="226"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r>
      <w:tr w:rsidR="001D642D">
        <w:trPr>
          <w:gridBefore w:val="1"/>
          <w:wBefore w:w="6" w:type="pct"/>
          <w:trHeight w:val="289"/>
          <w:jc w:val="center"/>
        </w:trPr>
        <w:tc>
          <w:tcPr>
            <w:tcW w:w="1897" w:type="pct"/>
            <w:gridSpan w:val="2"/>
            <w:shd w:val="clear" w:color="auto" w:fill="auto"/>
            <w:vAlign w:val="center"/>
          </w:tcPr>
          <w:p w:rsidR="001D642D" w:rsidRDefault="00DA3274">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rsidR="001D642D" w:rsidRDefault="001D642D">
            <w:pPr>
              <w:spacing w:beforeLines="20" w:before="48" w:afterLines="20" w:after="48"/>
              <w:jc w:val="center"/>
              <w:rPr>
                <w:noProof/>
                <w:sz w:val="16"/>
                <w:szCs w:val="16"/>
              </w:rPr>
            </w:pPr>
          </w:p>
        </w:tc>
        <w:tc>
          <w:tcPr>
            <w:tcW w:w="318" w:type="pct"/>
            <w:shd w:val="clear" w:color="auto" w:fill="auto"/>
            <w:vAlign w:val="center"/>
          </w:tcPr>
          <w:p w:rsidR="001D642D" w:rsidRDefault="001D642D">
            <w:pPr>
              <w:spacing w:beforeLines="20" w:before="48" w:afterLines="20" w:after="48"/>
              <w:jc w:val="center"/>
              <w:rPr>
                <w:noProof/>
                <w:sz w:val="16"/>
                <w:szCs w:val="16"/>
              </w:rPr>
            </w:pPr>
          </w:p>
        </w:tc>
        <w:tc>
          <w:tcPr>
            <w:tcW w:w="1891" w:type="pct"/>
            <w:shd w:val="clear" w:color="auto" w:fill="auto"/>
            <w:vAlign w:val="center"/>
          </w:tcPr>
          <w:p w:rsidR="001D642D" w:rsidRDefault="001D642D">
            <w:pPr>
              <w:spacing w:beforeLines="20" w:before="48" w:afterLines="20" w:after="48"/>
              <w:jc w:val="center"/>
              <w:rPr>
                <w:noProof/>
                <w:sz w:val="16"/>
                <w:szCs w:val="16"/>
              </w:rPr>
            </w:pPr>
          </w:p>
        </w:tc>
        <w:tc>
          <w:tcPr>
            <w:tcW w:w="226"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r>
      <w:tr w:rsidR="001D642D">
        <w:trPr>
          <w:gridBefore w:val="1"/>
          <w:wBefore w:w="6" w:type="pct"/>
          <w:trHeight w:val="289"/>
          <w:jc w:val="center"/>
        </w:trPr>
        <w:tc>
          <w:tcPr>
            <w:tcW w:w="1897" w:type="pct"/>
            <w:gridSpan w:val="2"/>
            <w:shd w:val="clear" w:color="auto" w:fill="auto"/>
            <w:vAlign w:val="center"/>
          </w:tcPr>
          <w:p w:rsidR="001D642D" w:rsidRDefault="00DA3274">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rsidR="001D642D" w:rsidRDefault="001D642D">
            <w:pPr>
              <w:spacing w:beforeLines="20" w:before="48" w:afterLines="20" w:after="48"/>
              <w:jc w:val="center"/>
              <w:rPr>
                <w:noProof/>
                <w:sz w:val="16"/>
                <w:szCs w:val="16"/>
              </w:rPr>
            </w:pPr>
          </w:p>
        </w:tc>
        <w:tc>
          <w:tcPr>
            <w:tcW w:w="318" w:type="pct"/>
            <w:shd w:val="clear" w:color="auto" w:fill="auto"/>
            <w:vAlign w:val="center"/>
          </w:tcPr>
          <w:p w:rsidR="001D642D" w:rsidRDefault="001D642D">
            <w:pPr>
              <w:spacing w:beforeLines="20" w:before="48" w:afterLines="20" w:after="48"/>
              <w:jc w:val="center"/>
              <w:rPr>
                <w:noProof/>
                <w:sz w:val="16"/>
                <w:szCs w:val="16"/>
              </w:rPr>
            </w:pPr>
          </w:p>
        </w:tc>
        <w:tc>
          <w:tcPr>
            <w:tcW w:w="1891" w:type="pct"/>
            <w:shd w:val="clear" w:color="auto" w:fill="auto"/>
            <w:vAlign w:val="center"/>
          </w:tcPr>
          <w:p w:rsidR="001D642D" w:rsidRDefault="001D642D">
            <w:pPr>
              <w:spacing w:beforeLines="20" w:before="48" w:afterLines="20" w:after="48"/>
              <w:jc w:val="center"/>
              <w:rPr>
                <w:noProof/>
                <w:sz w:val="16"/>
                <w:szCs w:val="16"/>
              </w:rPr>
            </w:pPr>
          </w:p>
        </w:tc>
        <w:tc>
          <w:tcPr>
            <w:tcW w:w="226"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r>
      <w:tr w:rsidR="001D642D">
        <w:trPr>
          <w:gridAfter w:val="4"/>
          <w:wAfter w:w="570" w:type="pct"/>
          <w:trHeight w:val="248"/>
          <w:jc w:val="center"/>
        </w:trPr>
        <w:tc>
          <w:tcPr>
            <w:tcW w:w="4430" w:type="pct"/>
            <w:gridSpan w:val="6"/>
            <w:shd w:val="clear" w:color="auto" w:fill="auto"/>
            <w:vAlign w:val="center"/>
          </w:tcPr>
          <w:p w:rsidR="001D642D" w:rsidRDefault="00DA3274">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15"/>
            </w:r>
          </w:p>
          <w:p w:rsidR="001D642D" w:rsidRDefault="001D642D">
            <w:pPr>
              <w:pStyle w:val="Text1"/>
              <w:spacing w:before="0" w:after="0"/>
              <w:ind w:left="0"/>
              <w:jc w:val="left"/>
              <w:rPr>
                <w:noProof/>
                <w:sz w:val="16"/>
                <w:szCs w:val="16"/>
              </w:rPr>
            </w:pPr>
          </w:p>
        </w:tc>
      </w:tr>
      <w:tr w:rsidR="001D642D">
        <w:trPr>
          <w:gridBefore w:val="1"/>
          <w:wBefore w:w="6" w:type="pct"/>
          <w:trHeight w:val="289"/>
          <w:jc w:val="center"/>
        </w:trPr>
        <w:tc>
          <w:tcPr>
            <w:tcW w:w="1897" w:type="pct"/>
            <w:gridSpan w:val="2"/>
            <w:shd w:val="clear" w:color="auto" w:fill="auto"/>
            <w:vAlign w:val="center"/>
          </w:tcPr>
          <w:p w:rsidR="001D642D" w:rsidRDefault="00DA3274">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rsidR="001D642D" w:rsidRDefault="00DA3274">
            <w:pPr>
              <w:spacing w:beforeLines="20" w:before="48" w:afterLines="20" w:after="48"/>
              <w:jc w:val="center"/>
              <w:rPr>
                <w:noProof/>
                <w:sz w:val="16"/>
                <w:szCs w:val="16"/>
              </w:rPr>
            </w:pPr>
            <w:r>
              <w:rPr>
                <w:noProof/>
                <w:sz w:val="16"/>
                <w:szCs w:val="16"/>
              </w:rPr>
              <w:t>6</w:t>
            </w:r>
          </w:p>
        </w:tc>
        <w:tc>
          <w:tcPr>
            <w:tcW w:w="318" w:type="pct"/>
            <w:shd w:val="clear" w:color="auto" w:fill="auto"/>
            <w:vAlign w:val="center"/>
          </w:tcPr>
          <w:p w:rsidR="001D642D" w:rsidRDefault="00DA3274">
            <w:pPr>
              <w:spacing w:beforeLines="20" w:before="48" w:afterLines="20" w:after="48"/>
              <w:jc w:val="center"/>
              <w:rPr>
                <w:noProof/>
                <w:sz w:val="16"/>
                <w:szCs w:val="16"/>
              </w:rPr>
            </w:pPr>
            <w:r>
              <w:rPr>
                <w:noProof/>
                <w:sz w:val="16"/>
                <w:szCs w:val="16"/>
              </w:rPr>
              <w:t>6</w:t>
            </w:r>
          </w:p>
        </w:tc>
        <w:tc>
          <w:tcPr>
            <w:tcW w:w="1891" w:type="pct"/>
            <w:shd w:val="clear" w:color="auto" w:fill="auto"/>
            <w:vAlign w:val="center"/>
          </w:tcPr>
          <w:p w:rsidR="001D642D" w:rsidRDefault="001D642D">
            <w:pPr>
              <w:spacing w:beforeLines="20" w:before="48" w:afterLines="20" w:after="48"/>
              <w:jc w:val="center"/>
              <w:rPr>
                <w:noProof/>
                <w:sz w:val="16"/>
                <w:szCs w:val="16"/>
              </w:rPr>
            </w:pPr>
          </w:p>
        </w:tc>
        <w:tc>
          <w:tcPr>
            <w:tcW w:w="226"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r>
      <w:tr w:rsidR="001D642D">
        <w:trPr>
          <w:gridBefore w:val="1"/>
          <w:wBefore w:w="6" w:type="pct"/>
          <w:trHeight w:val="289"/>
          <w:jc w:val="center"/>
        </w:trPr>
        <w:tc>
          <w:tcPr>
            <w:tcW w:w="1897" w:type="pct"/>
            <w:gridSpan w:val="2"/>
            <w:shd w:val="clear" w:color="auto" w:fill="auto"/>
            <w:vAlign w:val="center"/>
          </w:tcPr>
          <w:p w:rsidR="001D642D" w:rsidRDefault="00DA3274">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318" w:type="pct"/>
            <w:shd w:val="clear" w:color="auto" w:fill="auto"/>
            <w:vAlign w:val="center"/>
          </w:tcPr>
          <w:p w:rsidR="001D642D" w:rsidRDefault="001D642D">
            <w:pPr>
              <w:spacing w:beforeLines="20" w:before="48" w:afterLines="20" w:after="48"/>
              <w:jc w:val="center"/>
              <w:rPr>
                <w:noProof/>
                <w:sz w:val="16"/>
                <w:szCs w:val="16"/>
              </w:rPr>
            </w:pPr>
          </w:p>
        </w:tc>
        <w:tc>
          <w:tcPr>
            <w:tcW w:w="318" w:type="pct"/>
            <w:shd w:val="clear" w:color="auto" w:fill="auto"/>
            <w:vAlign w:val="center"/>
          </w:tcPr>
          <w:p w:rsidR="001D642D" w:rsidRDefault="001D642D">
            <w:pPr>
              <w:spacing w:beforeLines="20" w:before="48" w:afterLines="20" w:after="48"/>
              <w:jc w:val="center"/>
              <w:rPr>
                <w:noProof/>
                <w:sz w:val="16"/>
                <w:szCs w:val="16"/>
              </w:rPr>
            </w:pPr>
          </w:p>
        </w:tc>
        <w:tc>
          <w:tcPr>
            <w:tcW w:w="1891" w:type="pct"/>
            <w:shd w:val="clear" w:color="auto" w:fill="auto"/>
            <w:vAlign w:val="center"/>
          </w:tcPr>
          <w:p w:rsidR="001D642D" w:rsidRDefault="001D642D">
            <w:pPr>
              <w:spacing w:beforeLines="20" w:before="48" w:afterLines="20" w:after="48"/>
              <w:jc w:val="center"/>
              <w:rPr>
                <w:noProof/>
                <w:sz w:val="16"/>
                <w:szCs w:val="16"/>
              </w:rPr>
            </w:pPr>
          </w:p>
        </w:tc>
        <w:tc>
          <w:tcPr>
            <w:tcW w:w="226"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r>
      <w:tr w:rsidR="001D642D">
        <w:trPr>
          <w:gridBefore w:val="1"/>
          <w:wBefore w:w="6" w:type="pct"/>
          <w:trHeight w:val="289"/>
          <w:jc w:val="center"/>
        </w:trPr>
        <w:tc>
          <w:tcPr>
            <w:tcW w:w="948" w:type="pct"/>
            <w:vMerge w:val="restart"/>
            <w:shd w:val="clear" w:color="auto" w:fill="auto"/>
            <w:vAlign w:val="center"/>
          </w:tcPr>
          <w:p w:rsidR="001D642D" w:rsidRDefault="00DA3274">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16"/>
            </w:r>
          </w:p>
          <w:p w:rsidR="001D642D" w:rsidRDefault="001D642D">
            <w:pPr>
              <w:pStyle w:val="Text1"/>
              <w:spacing w:beforeLines="20" w:before="48" w:afterLines="20" w:after="48"/>
              <w:ind w:left="136"/>
              <w:jc w:val="left"/>
              <w:rPr>
                <w:b/>
                <w:noProof/>
                <w:sz w:val="16"/>
                <w:szCs w:val="16"/>
              </w:rPr>
            </w:pPr>
          </w:p>
        </w:tc>
        <w:tc>
          <w:tcPr>
            <w:tcW w:w="949" w:type="pct"/>
            <w:shd w:val="clear" w:color="auto" w:fill="auto"/>
            <w:vAlign w:val="center"/>
          </w:tcPr>
          <w:p w:rsidR="001D642D" w:rsidRDefault="00DA3274">
            <w:pPr>
              <w:pStyle w:val="Text1"/>
              <w:spacing w:beforeLines="20" w:before="48" w:afterLines="20" w:after="48"/>
              <w:ind w:left="136"/>
              <w:jc w:val="left"/>
              <w:rPr>
                <w:b/>
                <w:noProof/>
                <w:sz w:val="16"/>
                <w:szCs w:val="16"/>
              </w:rPr>
            </w:pPr>
            <w:r>
              <w:rPr>
                <w:noProof/>
                <w:sz w:val="16"/>
              </w:rPr>
              <w:t>- at Headquarters</w:t>
            </w:r>
          </w:p>
          <w:p w:rsidR="001D642D" w:rsidRDefault="001D642D">
            <w:pPr>
              <w:pStyle w:val="Text1"/>
              <w:spacing w:beforeLines="20" w:before="48" w:afterLines="20" w:after="48"/>
              <w:ind w:left="136"/>
              <w:jc w:val="left"/>
              <w:rPr>
                <w:b/>
                <w:noProof/>
                <w:sz w:val="16"/>
                <w:szCs w:val="16"/>
              </w:rPr>
            </w:pPr>
          </w:p>
        </w:tc>
        <w:tc>
          <w:tcPr>
            <w:tcW w:w="318" w:type="pct"/>
            <w:shd w:val="clear" w:color="auto" w:fill="auto"/>
            <w:vAlign w:val="center"/>
          </w:tcPr>
          <w:p w:rsidR="001D642D" w:rsidRDefault="001D642D">
            <w:pPr>
              <w:pStyle w:val="Text1"/>
              <w:spacing w:beforeLines="20" w:before="48" w:afterLines="20" w:after="48"/>
              <w:ind w:left="0"/>
              <w:rPr>
                <w:noProof/>
                <w:sz w:val="16"/>
                <w:szCs w:val="16"/>
              </w:rPr>
            </w:pPr>
          </w:p>
        </w:tc>
        <w:tc>
          <w:tcPr>
            <w:tcW w:w="318" w:type="pct"/>
            <w:shd w:val="clear" w:color="auto" w:fill="auto"/>
            <w:vAlign w:val="center"/>
          </w:tcPr>
          <w:p w:rsidR="001D642D" w:rsidRDefault="001D642D">
            <w:pPr>
              <w:spacing w:beforeLines="20" w:before="48" w:afterLines="20" w:after="48"/>
              <w:jc w:val="center"/>
              <w:rPr>
                <w:noProof/>
                <w:sz w:val="16"/>
                <w:szCs w:val="16"/>
              </w:rPr>
            </w:pPr>
          </w:p>
        </w:tc>
        <w:tc>
          <w:tcPr>
            <w:tcW w:w="1891" w:type="pct"/>
            <w:shd w:val="clear" w:color="auto" w:fill="auto"/>
            <w:vAlign w:val="center"/>
          </w:tcPr>
          <w:p w:rsidR="001D642D" w:rsidRDefault="001D642D">
            <w:pPr>
              <w:spacing w:beforeLines="20" w:before="48" w:afterLines="20" w:after="48"/>
              <w:jc w:val="center"/>
              <w:rPr>
                <w:noProof/>
                <w:sz w:val="16"/>
                <w:szCs w:val="16"/>
              </w:rPr>
            </w:pPr>
          </w:p>
        </w:tc>
        <w:tc>
          <w:tcPr>
            <w:tcW w:w="226"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r>
      <w:tr w:rsidR="001D642D">
        <w:trPr>
          <w:gridBefore w:val="1"/>
          <w:wBefore w:w="6" w:type="pct"/>
          <w:trHeight w:val="289"/>
          <w:jc w:val="center"/>
        </w:trPr>
        <w:tc>
          <w:tcPr>
            <w:tcW w:w="948" w:type="pct"/>
            <w:vMerge/>
            <w:shd w:val="clear" w:color="auto" w:fill="auto"/>
            <w:vAlign w:val="center"/>
          </w:tcPr>
          <w:p w:rsidR="001D642D" w:rsidRDefault="001D642D">
            <w:pPr>
              <w:pStyle w:val="Text1"/>
              <w:spacing w:beforeLines="20" w:before="48" w:afterLines="20" w:after="48"/>
              <w:ind w:left="136"/>
              <w:jc w:val="left"/>
              <w:rPr>
                <w:b/>
                <w:noProof/>
                <w:sz w:val="16"/>
                <w:szCs w:val="16"/>
              </w:rPr>
            </w:pPr>
          </w:p>
        </w:tc>
        <w:tc>
          <w:tcPr>
            <w:tcW w:w="949" w:type="pct"/>
            <w:shd w:val="clear" w:color="auto" w:fill="auto"/>
            <w:vAlign w:val="center"/>
          </w:tcPr>
          <w:p w:rsidR="001D642D" w:rsidRDefault="00DA3274">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rsidR="001D642D" w:rsidRDefault="001D642D">
            <w:pPr>
              <w:pStyle w:val="Text1"/>
              <w:spacing w:beforeLines="20" w:before="48" w:afterLines="20" w:after="48"/>
              <w:ind w:left="0"/>
              <w:rPr>
                <w:noProof/>
                <w:sz w:val="16"/>
                <w:szCs w:val="16"/>
              </w:rPr>
            </w:pPr>
          </w:p>
        </w:tc>
        <w:tc>
          <w:tcPr>
            <w:tcW w:w="318" w:type="pct"/>
            <w:shd w:val="clear" w:color="auto" w:fill="auto"/>
            <w:vAlign w:val="center"/>
          </w:tcPr>
          <w:p w:rsidR="001D642D" w:rsidRDefault="001D642D">
            <w:pPr>
              <w:spacing w:beforeLines="20" w:before="48" w:afterLines="20" w:after="48"/>
              <w:jc w:val="center"/>
              <w:rPr>
                <w:noProof/>
                <w:sz w:val="16"/>
                <w:szCs w:val="16"/>
              </w:rPr>
            </w:pPr>
          </w:p>
        </w:tc>
        <w:tc>
          <w:tcPr>
            <w:tcW w:w="1891" w:type="pct"/>
            <w:shd w:val="clear" w:color="auto" w:fill="auto"/>
            <w:vAlign w:val="center"/>
          </w:tcPr>
          <w:p w:rsidR="001D642D" w:rsidRDefault="001D642D">
            <w:pPr>
              <w:spacing w:beforeLines="20" w:before="48" w:afterLines="20" w:after="48"/>
              <w:jc w:val="center"/>
              <w:rPr>
                <w:noProof/>
                <w:sz w:val="16"/>
                <w:szCs w:val="16"/>
              </w:rPr>
            </w:pPr>
          </w:p>
        </w:tc>
        <w:tc>
          <w:tcPr>
            <w:tcW w:w="226"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r>
      <w:tr w:rsidR="001D642D">
        <w:trPr>
          <w:gridBefore w:val="1"/>
          <w:wBefore w:w="6" w:type="pct"/>
          <w:trHeight w:val="289"/>
          <w:jc w:val="center"/>
        </w:trPr>
        <w:tc>
          <w:tcPr>
            <w:tcW w:w="1897" w:type="pct"/>
            <w:gridSpan w:val="2"/>
            <w:shd w:val="clear" w:color="auto" w:fill="auto"/>
            <w:vAlign w:val="center"/>
          </w:tcPr>
          <w:p w:rsidR="001D642D" w:rsidRDefault="00DA3274">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rsidR="001D642D" w:rsidRDefault="001D642D">
            <w:pPr>
              <w:spacing w:beforeLines="20" w:before="48" w:afterLines="20" w:after="48"/>
              <w:jc w:val="center"/>
              <w:rPr>
                <w:noProof/>
                <w:sz w:val="16"/>
                <w:szCs w:val="16"/>
              </w:rPr>
            </w:pPr>
          </w:p>
        </w:tc>
        <w:tc>
          <w:tcPr>
            <w:tcW w:w="318" w:type="pct"/>
            <w:shd w:val="clear" w:color="auto" w:fill="auto"/>
            <w:vAlign w:val="center"/>
          </w:tcPr>
          <w:p w:rsidR="001D642D" w:rsidRDefault="001D642D">
            <w:pPr>
              <w:spacing w:beforeLines="20" w:before="48" w:afterLines="20" w:after="48"/>
              <w:jc w:val="center"/>
              <w:rPr>
                <w:noProof/>
                <w:sz w:val="16"/>
                <w:szCs w:val="16"/>
              </w:rPr>
            </w:pPr>
          </w:p>
        </w:tc>
        <w:tc>
          <w:tcPr>
            <w:tcW w:w="1891" w:type="pct"/>
            <w:shd w:val="clear" w:color="auto" w:fill="auto"/>
            <w:vAlign w:val="center"/>
          </w:tcPr>
          <w:p w:rsidR="001D642D" w:rsidRDefault="001D642D">
            <w:pPr>
              <w:spacing w:beforeLines="20" w:before="48" w:afterLines="20" w:after="48"/>
              <w:jc w:val="center"/>
              <w:rPr>
                <w:noProof/>
                <w:sz w:val="16"/>
                <w:szCs w:val="16"/>
              </w:rPr>
            </w:pPr>
          </w:p>
        </w:tc>
        <w:tc>
          <w:tcPr>
            <w:tcW w:w="226"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r>
      <w:tr w:rsidR="001D642D">
        <w:trPr>
          <w:gridBefore w:val="1"/>
          <w:wBefore w:w="6" w:type="pct"/>
          <w:trHeight w:val="289"/>
          <w:jc w:val="center"/>
        </w:trPr>
        <w:tc>
          <w:tcPr>
            <w:tcW w:w="1897" w:type="pct"/>
            <w:gridSpan w:val="2"/>
            <w:shd w:val="clear" w:color="auto" w:fill="auto"/>
            <w:vAlign w:val="center"/>
          </w:tcPr>
          <w:p w:rsidR="001D642D" w:rsidRDefault="00DA3274">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rsidR="001D642D" w:rsidRDefault="001D642D">
            <w:pPr>
              <w:spacing w:beforeLines="20" w:before="48" w:afterLines="20" w:after="48"/>
              <w:jc w:val="center"/>
              <w:rPr>
                <w:noProof/>
                <w:sz w:val="16"/>
                <w:szCs w:val="16"/>
              </w:rPr>
            </w:pPr>
          </w:p>
        </w:tc>
        <w:tc>
          <w:tcPr>
            <w:tcW w:w="318" w:type="pct"/>
            <w:shd w:val="clear" w:color="auto" w:fill="auto"/>
            <w:vAlign w:val="center"/>
          </w:tcPr>
          <w:p w:rsidR="001D642D" w:rsidRDefault="001D642D">
            <w:pPr>
              <w:spacing w:beforeLines="20" w:before="48" w:afterLines="20" w:after="48"/>
              <w:jc w:val="center"/>
              <w:rPr>
                <w:noProof/>
                <w:sz w:val="16"/>
                <w:szCs w:val="16"/>
              </w:rPr>
            </w:pPr>
          </w:p>
        </w:tc>
        <w:tc>
          <w:tcPr>
            <w:tcW w:w="1891" w:type="pct"/>
            <w:shd w:val="clear" w:color="auto" w:fill="auto"/>
            <w:vAlign w:val="center"/>
          </w:tcPr>
          <w:p w:rsidR="001D642D" w:rsidRDefault="001D642D">
            <w:pPr>
              <w:spacing w:beforeLines="20" w:before="48" w:afterLines="20" w:after="48"/>
              <w:jc w:val="center"/>
              <w:rPr>
                <w:noProof/>
                <w:sz w:val="16"/>
                <w:szCs w:val="16"/>
              </w:rPr>
            </w:pPr>
          </w:p>
        </w:tc>
        <w:tc>
          <w:tcPr>
            <w:tcW w:w="226"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c>
          <w:tcPr>
            <w:tcW w:w="115" w:type="pct"/>
            <w:shd w:val="clear" w:color="auto" w:fill="auto"/>
            <w:vAlign w:val="center"/>
          </w:tcPr>
          <w:p w:rsidR="001D642D" w:rsidRDefault="001D642D">
            <w:pPr>
              <w:spacing w:beforeLines="20" w:before="48" w:afterLines="20" w:after="48"/>
              <w:jc w:val="center"/>
              <w:rPr>
                <w:noProof/>
                <w:sz w:val="16"/>
                <w:szCs w:val="16"/>
              </w:rPr>
            </w:pPr>
          </w:p>
        </w:tc>
      </w:tr>
      <w:tr w:rsidR="001D642D">
        <w:trPr>
          <w:gridBefore w:val="1"/>
          <w:wBefore w:w="6" w:type="pct"/>
          <w:trHeight w:val="289"/>
          <w:jc w:val="center"/>
        </w:trPr>
        <w:tc>
          <w:tcPr>
            <w:tcW w:w="1897" w:type="pct"/>
            <w:gridSpan w:val="2"/>
            <w:tcBorders>
              <w:bottom w:val="double" w:sz="4" w:space="0" w:color="auto"/>
            </w:tcBorders>
            <w:shd w:val="clear" w:color="auto" w:fill="auto"/>
            <w:vAlign w:val="center"/>
          </w:tcPr>
          <w:p w:rsidR="001D642D" w:rsidRDefault="00DA3274">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rsidR="001D642D" w:rsidRDefault="001D642D">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1D642D" w:rsidRDefault="001D642D">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1D642D" w:rsidRDefault="001D642D">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1D642D" w:rsidRDefault="001D642D">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D642D" w:rsidRDefault="001D642D">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D642D" w:rsidRDefault="001D642D">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D642D" w:rsidRDefault="001D642D">
            <w:pPr>
              <w:spacing w:beforeLines="20" w:before="48" w:afterLines="20" w:after="48"/>
              <w:jc w:val="center"/>
              <w:rPr>
                <w:noProof/>
                <w:sz w:val="16"/>
                <w:szCs w:val="16"/>
              </w:rPr>
            </w:pPr>
          </w:p>
        </w:tc>
      </w:tr>
      <w:tr w:rsidR="001D642D">
        <w:trPr>
          <w:gridBefore w:val="1"/>
          <w:wBefore w:w="6" w:type="pct"/>
          <w:trHeight w:val="289"/>
          <w:jc w:val="center"/>
        </w:trPr>
        <w:tc>
          <w:tcPr>
            <w:tcW w:w="1897" w:type="pct"/>
            <w:gridSpan w:val="2"/>
            <w:tcBorders>
              <w:top w:val="double" w:sz="4" w:space="0" w:color="auto"/>
            </w:tcBorders>
            <w:shd w:val="clear" w:color="auto" w:fill="auto"/>
            <w:vAlign w:val="center"/>
          </w:tcPr>
          <w:p w:rsidR="001D642D" w:rsidRDefault="00DA3274">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1D642D" w:rsidRDefault="00DA3274">
            <w:pPr>
              <w:spacing w:beforeLines="20" w:before="48" w:afterLines="20" w:after="48"/>
              <w:jc w:val="center"/>
              <w:rPr>
                <w:b/>
                <w:noProof/>
                <w:sz w:val="16"/>
                <w:szCs w:val="16"/>
              </w:rPr>
            </w:pPr>
            <w:r>
              <w:rPr>
                <w:b/>
                <w:noProof/>
                <w:sz w:val="16"/>
                <w:szCs w:val="16"/>
              </w:rPr>
              <w:t>29</w:t>
            </w:r>
          </w:p>
        </w:tc>
        <w:tc>
          <w:tcPr>
            <w:tcW w:w="318" w:type="pct"/>
            <w:tcBorders>
              <w:top w:val="double" w:sz="4" w:space="0" w:color="auto"/>
            </w:tcBorders>
            <w:shd w:val="clear" w:color="auto" w:fill="auto"/>
            <w:vAlign w:val="center"/>
          </w:tcPr>
          <w:p w:rsidR="001D642D" w:rsidRDefault="00DA3274">
            <w:pPr>
              <w:spacing w:beforeLines="20" w:before="48" w:afterLines="20" w:after="48"/>
              <w:jc w:val="center"/>
              <w:rPr>
                <w:b/>
                <w:noProof/>
                <w:sz w:val="16"/>
                <w:szCs w:val="16"/>
              </w:rPr>
            </w:pPr>
            <w:r>
              <w:rPr>
                <w:b/>
                <w:noProof/>
                <w:sz w:val="16"/>
                <w:szCs w:val="16"/>
              </w:rPr>
              <w:t>29</w:t>
            </w:r>
          </w:p>
        </w:tc>
        <w:tc>
          <w:tcPr>
            <w:tcW w:w="1891" w:type="pct"/>
            <w:tcBorders>
              <w:top w:val="double" w:sz="4" w:space="0" w:color="auto"/>
            </w:tcBorders>
            <w:shd w:val="clear" w:color="auto" w:fill="auto"/>
            <w:vAlign w:val="center"/>
          </w:tcPr>
          <w:p w:rsidR="001D642D" w:rsidRDefault="001D642D">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1D642D" w:rsidRDefault="001D642D">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1D642D" w:rsidRDefault="001D642D">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1D642D" w:rsidRDefault="001D642D">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1D642D" w:rsidRDefault="001D642D">
            <w:pPr>
              <w:spacing w:beforeLines="20" w:before="48" w:afterLines="20" w:after="48"/>
              <w:jc w:val="center"/>
              <w:rPr>
                <w:b/>
                <w:noProof/>
                <w:sz w:val="16"/>
                <w:szCs w:val="16"/>
              </w:rPr>
            </w:pPr>
          </w:p>
        </w:tc>
      </w:tr>
    </w:tbl>
    <w:p w:rsidR="001D642D" w:rsidRDefault="00DA3274">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1D642D" w:rsidRDefault="00DA3274">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1D642D" w:rsidRDefault="00DA3274">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D642D">
        <w:tc>
          <w:tcPr>
            <w:tcW w:w="3240" w:type="dxa"/>
          </w:tcPr>
          <w:p w:rsidR="001D642D" w:rsidRDefault="00DA3274">
            <w:pPr>
              <w:rPr>
                <w:noProof/>
                <w:sz w:val="20"/>
              </w:rPr>
            </w:pPr>
            <w:r>
              <w:rPr>
                <w:noProof/>
                <w:sz w:val="20"/>
              </w:rPr>
              <w:t>Officials and temporary staff</w:t>
            </w:r>
          </w:p>
        </w:tc>
        <w:tc>
          <w:tcPr>
            <w:tcW w:w="7200" w:type="dxa"/>
          </w:tcPr>
          <w:p w:rsidR="001D642D" w:rsidRDefault="00DA3274">
            <w:pPr>
              <w:rPr>
                <w:noProof/>
                <w:sz w:val="20"/>
              </w:rPr>
            </w:pPr>
            <w:r>
              <w:rPr>
                <w:noProof/>
                <w:sz w:val="20"/>
              </w:rPr>
              <w:t>The task to be carried out comprise all tasks necessary to a) the processing of MS request and subsequent management of projects and b) the financial and contractual management of the programme, namely:</w:t>
            </w:r>
          </w:p>
          <w:p w:rsidR="001D642D" w:rsidRDefault="00DA3274">
            <w:pPr>
              <w:numPr>
                <w:ilvl w:val="0"/>
                <w:numId w:val="17"/>
              </w:numPr>
              <w:rPr>
                <w:noProof/>
                <w:sz w:val="20"/>
              </w:rPr>
            </w:pPr>
            <w:r>
              <w:rPr>
                <w:noProof/>
                <w:sz w:val="20"/>
              </w:rPr>
              <w:t>Providing input to the budgetary procedure and management plan</w:t>
            </w:r>
          </w:p>
          <w:p w:rsidR="001D642D" w:rsidRDefault="00DA3274">
            <w:pPr>
              <w:numPr>
                <w:ilvl w:val="0"/>
                <w:numId w:val="17"/>
              </w:numPr>
              <w:rPr>
                <w:noProof/>
                <w:sz w:val="20"/>
              </w:rPr>
            </w:pPr>
            <w:r>
              <w:rPr>
                <w:noProof/>
                <w:sz w:val="20"/>
              </w:rPr>
              <w:t xml:space="preserve">Preparing annual work programmes/financing decisions, establishing annual priorities </w:t>
            </w:r>
          </w:p>
          <w:p w:rsidR="001D642D" w:rsidRDefault="00DA3274">
            <w:pPr>
              <w:numPr>
                <w:ilvl w:val="0"/>
                <w:numId w:val="17"/>
              </w:numPr>
              <w:rPr>
                <w:noProof/>
                <w:sz w:val="20"/>
              </w:rPr>
            </w:pPr>
            <w:r>
              <w:rPr>
                <w:noProof/>
                <w:sz w:val="20"/>
              </w:rPr>
              <w:t>Managing call for tenders and call for proposals and the subsequent selection procedures in coordination with the operational services.</w:t>
            </w:r>
          </w:p>
          <w:p w:rsidR="001D642D" w:rsidRDefault="00DA3274">
            <w:pPr>
              <w:numPr>
                <w:ilvl w:val="0"/>
                <w:numId w:val="17"/>
              </w:numPr>
              <w:rPr>
                <w:noProof/>
                <w:sz w:val="20"/>
              </w:rPr>
            </w:pPr>
            <w:r>
              <w:rPr>
                <w:noProof/>
                <w:sz w:val="20"/>
              </w:rPr>
              <w:t>Communicating with stakeholders on contractual and financial matters.</w:t>
            </w:r>
          </w:p>
          <w:p w:rsidR="001D642D" w:rsidRDefault="00DA3274">
            <w:pPr>
              <w:numPr>
                <w:ilvl w:val="0"/>
                <w:numId w:val="17"/>
              </w:numPr>
              <w:rPr>
                <w:noProof/>
                <w:sz w:val="20"/>
              </w:rPr>
            </w:pPr>
            <w:r>
              <w:rPr>
                <w:noProof/>
                <w:sz w:val="20"/>
              </w:rPr>
              <w:t>Preparation and organisation of the High Level Group meetings with DG concerned, Member States and other stakeholders.</w:t>
            </w:r>
          </w:p>
          <w:p w:rsidR="001D642D" w:rsidRDefault="00DA3274">
            <w:pPr>
              <w:numPr>
                <w:ilvl w:val="0"/>
                <w:numId w:val="17"/>
              </w:numPr>
              <w:rPr>
                <w:noProof/>
                <w:sz w:val="20"/>
              </w:rPr>
            </w:pPr>
            <w:r>
              <w:rPr>
                <w:noProof/>
                <w:sz w:val="20"/>
              </w:rPr>
              <w:t>Managing projects: design, implementation and follow up of pr</w:t>
            </w:r>
            <w:r w:rsidR="0046687D">
              <w:rPr>
                <w:noProof/>
                <w:sz w:val="20"/>
              </w:rPr>
              <w:t>ojects and management of the co</w:t>
            </w:r>
            <w:r>
              <w:rPr>
                <w:noProof/>
                <w:sz w:val="20"/>
              </w:rPr>
              <w:t>n</w:t>
            </w:r>
            <w:r w:rsidR="0046687D">
              <w:rPr>
                <w:noProof/>
                <w:sz w:val="20"/>
              </w:rPr>
              <w:t>t</w:t>
            </w:r>
            <w:r>
              <w:rPr>
                <w:noProof/>
                <w:sz w:val="20"/>
              </w:rPr>
              <w:t>ractual and financial side: commitment, payment, recovery order, etc.</w:t>
            </w:r>
          </w:p>
          <w:p w:rsidR="001D642D" w:rsidRDefault="00DA3274">
            <w:pPr>
              <w:numPr>
                <w:ilvl w:val="0"/>
                <w:numId w:val="17"/>
              </w:numPr>
              <w:rPr>
                <w:noProof/>
                <w:sz w:val="20"/>
              </w:rPr>
            </w:pPr>
            <w:r>
              <w:rPr>
                <w:noProof/>
                <w:sz w:val="20"/>
              </w:rPr>
              <w:t>Performing controls, as described above (ex ante verification, procurement service, ex post/internal control)</w:t>
            </w:r>
          </w:p>
          <w:p w:rsidR="001D642D" w:rsidRDefault="00DA3274">
            <w:pPr>
              <w:numPr>
                <w:ilvl w:val="0"/>
                <w:numId w:val="17"/>
              </w:numPr>
              <w:rPr>
                <w:noProof/>
                <w:sz w:val="20"/>
              </w:rPr>
            </w:pPr>
            <w:r>
              <w:rPr>
                <w:noProof/>
                <w:sz w:val="20"/>
              </w:rPr>
              <w:t xml:space="preserve"> Managing IT tools</w:t>
            </w:r>
          </w:p>
          <w:p w:rsidR="001D642D" w:rsidRDefault="00DA3274">
            <w:pPr>
              <w:numPr>
                <w:ilvl w:val="0"/>
                <w:numId w:val="17"/>
              </w:numPr>
              <w:rPr>
                <w:noProof/>
                <w:sz w:val="20"/>
              </w:rPr>
            </w:pPr>
            <w:r>
              <w:rPr>
                <w:noProof/>
                <w:sz w:val="20"/>
              </w:rPr>
              <w:t>Contributions and follow up of the annual DAS procedure.</w:t>
            </w:r>
          </w:p>
          <w:p w:rsidR="001D642D" w:rsidRDefault="00DA3274">
            <w:pPr>
              <w:rPr>
                <w:noProof/>
                <w:sz w:val="20"/>
              </w:rPr>
            </w:pPr>
            <w:r>
              <w:rPr>
                <w:noProof/>
                <w:sz w:val="20"/>
              </w:rPr>
              <w:t>Monitoring and reporting on achievement of objectives, including in the budgetary procedure, management plan, mid-term review, AAR and AOS reports</w:t>
            </w:r>
          </w:p>
        </w:tc>
      </w:tr>
      <w:tr w:rsidR="001D642D">
        <w:tc>
          <w:tcPr>
            <w:tcW w:w="3240" w:type="dxa"/>
          </w:tcPr>
          <w:p w:rsidR="001D642D" w:rsidRDefault="00DA3274">
            <w:pPr>
              <w:spacing w:before="60" w:after="60"/>
              <w:rPr>
                <w:noProof/>
                <w:sz w:val="20"/>
              </w:rPr>
            </w:pPr>
            <w:r>
              <w:rPr>
                <w:noProof/>
                <w:sz w:val="20"/>
              </w:rPr>
              <w:t>External staff</w:t>
            </w:r>
          </w:p>
        </w:tc>
        <w:tc>
          <w:tcPr>
            <w:tcW w:w="7200" w:type="dxa"/>
          </w:tcPr>
          <w:p w:rsidR="001D642D" w:rsidRDefault="00DA3274">
            <w:pPr>
              <w:rPr>
                <w:noProof/>
                <w:sz w:val="20"/>
              </w:rPr>
            </w:pPr>
            <w:r>
              <w:rPr>
                <w:noProof/>
                <w:sz w:val="20"/>
              </w:rPr>
              <w:t>Support to the financial and administrative tasks.</w:t>
            </w:r>
          </w:p>
        </w:tc>
      </w:tr>
    </w:tbl>
    <w:p w:rsidR="001D642D" w:rsidRDefault="00DA3274">
      <w:pPr>
        <w:pStyle w:val="ManualHeading3"/>
        <w:rPr>
          <w:bCs/>
          <w:noProof/>
          <w:szCs w:val="24"/>
        </w:rPr>
      </w:pPr>
      <w:r>
        <w:t>3.2.4.</w:t>
      </w:r>
      <w:r>
        <w:tab/>
      </w:r>
      <w:r>
        <w:rPr>
          <w:noProof/>
        </w:rPr>
        <w:t xml:space="preserve">Compatibility with the current multiannual financial framework </w:t>
      </w:r>
    </w:p>
    <w:p w:rsidR="001D642D" w:rsidRDefault="00DA3274">
      <w:pPr>
        <w:pStyle w:val="ListDash1"/>
        <w:rPr>
          <w:noProof/>
        </w:rPr>
      </w:pPr>
      <w:r>
        <w:rPr>
          <w:noProof/>
        </w:rPr>
        <w:sym w:font="Wingdings" w:char="F0A8"/>
      </w:r>
      <w:r>
        <w:rPr>
          <w:noProof/>
        </w:rPr>
        <w:tab/>
        <w:t>The proposal/initiative is compatible the current multiannual financial framework.</w:t>
      </w:r>
    </w:p>
    <w:p w:rsidR="001D642D" w:rsidRDefault="00DA3274">
      <w:pPr>
        <w:pStyle w:val="ListDash1"/>
        <w:rPr>
          <w:noProof/>
        </w:rPr>
      </w:pPr>
      <w:r>
        <w:rPr>
          <w:noProof/>
        </w:rPr>
        <w:sym w:font="Wingdings" w:char="F0A8"/>
      </w:r>
      <w:r>
        <w:rPr>
          <w:noProof/>
        </w:rPr>
        <w:tab/>
        <w:t>The proposal/initiative will entail reprogramming of the relevant heading in the multiannual financial framework.</w:t>
      </w:r>
    </w:p>
    <w:p w:rsidR="001D642D" w:rsidRDefault="00DA3274">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rsidR="001D642D" w:rsidRDefault="00DA3274">
      <w:pPr>
        <w:pStyle w:val="ListDash1"/>
        <w:rPr>
          <w:noProof/>
        </w:rPr>
      </w:pPr>
      <w:r>
        <w:rPr>
          <w:noProof/>
        </w:rPr>
        <w:sym w:font="Wingdings" w:char="F0FC"/>
      </w:r>
      <w:r>
        <w:rPr>
          <w:noProof/>
        </w:rPr>
        <w:tab/>
        <w:t>The proposal/initiative requires application of the flexibility instrument or revision of the multiannual financial framework.</w:t>
      </w:r>
    </w:p>
    <w:p w:rsidR="001D642D" w:rsidRDefault="00DA3274">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rsidR="001D642D" w:rsidRDefault="00DA3274">
      <w:pPr>
        <w:pStyle w:val="Text1"/>
        <w:pBdr>
          <w:top w:val="single" w:sz="4" w:space="1" w:color="auto"/>
          <w:left w:val="single" w:sz="4" w:space="4" w:color="auto"/>
          <w:bottom w:val="single" w:sz="4" w:space="1" w:color="auto"/>
          <w:right w:val="single" w:sz="4" w:space="4" w:color="auto"/>
        </w:pBdr>
        <w:rPr>
          <w:noProof/>
        </w:rPr>
      </w:pPr>
      <w:r>
        <w:rPr>
          <w:noProof/>
        </w:rPr>
        <w:t>The proposal requires the use of the Flexibility instrument under the current MFF (Article 11 of Council Regulation 1311/2013),  which allows for supplementing the financing available in the general budget of the Union by EUR 40 million in 2019 and EUR 40 million in 2020 beyond the ceiling of sub-heading 1b.</w:t>
      </w:r>
    </w:p>
    <w:p w:rsidR="001D642D" w:rsidRDefault="00DA3274">
      <w:pPr>
        <w:pStyle w:val="ManualHeading3"/>
        <w:rPr>
          <w:bCs/>
          <w:noProof/>
          <w:szCs w:val="24"/>
        </w:rPr>
      </w:pPr>
      <w:r>
        <w:t>3.2.5.</w:t>
      </w:r>
      <w:r>
        <w:tab/>
      </w:r>
      <w:r>
        <w:rPr>
          <w:noProof/>
        </w:rPr>
        <w:t xml:space="preserve">Third-party contributions </w:t>
      </w:r>
    </w:p>
    <w:p w:rsidR="001D642D" w:rsidRDefault="00DA3274">
      <w:pPr>
        <w:pStyle w:val="ListDash1"/>
        <w:rPr>
          <w:noProof/>
        </w:rPr>
      </w:pPr>
      <w:r>
        <w:rPr>
          <w:noProof/>
        </w:rPr>
        <w:sym w:font="Wingdings" w:char="F0FC"/>
      </w:r>
      <w:r>
        <w:rPr>
          <w:noProof/>
        </w:rPr>
        <w:t xml:space="preserve"> The proposal/initiative does not provide for co-financing by third parties. </w:t>
      </w:r>
    </w:p>
    <w:p w:rsidR="001D642D" w:rsidRDefault="00DA3274">
      <w:pPr>
        <w:pStyle w:val="ListDash1"/>
        <w:rPr>
          <w:noProof/>
        </w:rPr>
      </w:pPr>
      <w:r>
        <w:rPr>
          <w:noProof/>
        </w:rPr>
        <w:t>The proposal/initiative provides for the co-financing estimated below:</w:t>
      </w:r>
    </w:p>
    <w:p w:rsidR="001D642D" w:rsidRDefault="00DA3274">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1D642D">
        <w:trPr>
          <w:cantSplit/>
        </w:trPr>
        <w:tc>
          <w:tcPr>
            <w:tcW w:w="2340" w:type="dxa"/>
          </w:tcPr>
          <w:p w:rsidR="001D642D" w:rsidRDefault="001D642D">
            <w:pPr>
              <w:spacing w:before="60" w:after="60"/>
              <w:rPr>
                <w:noProof/>
                <w:sz w:val="20"/>
              </w:rPr>
            </w:pPr>
          </w:p>
        </w:tc>
        <w:tc>
          <w:tcPr>
            <w:tcW w:w="964" w:type="dxa"/>
            <w:vAlign w:val="center"/>
          </w:tcPr>
          <w:p w:rsidR="001D642D" w:rsidRDefault="00DA3274">
            <w:pPr>
              <w:jc w:val="center"/>
              <w:rPr>
                <w:noProof/>
                <w:sz w:val="20"/>
              </w:rPr>
            </w:pPr>
            <w:r>
              <w:rPr>
                <w:noProof/>
                <w:sz w:val="20"/>
              </w:rPr>
              <w:t>Year</w:t>
            </w:r>
            <w:r>
              <w:rPr>
                <w:noProof/>
                <w:sz w:val="22"/>
              </w:rPr>
              <w:br/>
            </w:r>
            <w:r>
              <w:rPr>
                <w:b/>
                <w:noProof/>
                <w:sz w:val="20"/>
              </w:rPr>
              <w:t>N</w:t>
            </w:r>
          </w:p>
        </w:tc>
        <w:tc>
          <w:tcPr>
            <w:tcW w:w="964" w:type="dxa"/>
            <w:vAlign w:val="center"/>
          </w:tcPr>
          <w:p w:rsidR="001D642D" w:rsidRDefault="00DA3274">
            <w:pPr>
              <w:jc w:val="center"/>
              <w:rPr>
                <w:noProof/>
                <w:sz w:val="20"/>
              </w:rPr>
            </w:pPr>
            <w:r>
              <w:rPr>
                <w:noProof/>
                <w:sz w:val="20"/>
              </w:rPr>
              <w:t>Year</w:t>
            </w:r>
            <w:r>
              <w:rPr>
                <w:noProof/>
                <w:sz w:val="22"/>
              </w:rPr>
              <w:br/>
            </w:r>
            <w:r>
              <w:rPr>
                <w:b/>
                <w:noProof/>
                <w:sz w:val="20"/>
              </w:rPr>
              <w:t>N+1</w:t>
            </w:r>
          </w:p>
        </w:tc>
        <w:tc>
          <w:tcPr>
            <w:tcW w:w="964" w:type="dxa"/>
            <w:vAlign w:val="center"/>
          </w:tcPr>
          <w:p w:rsidR="001D642D" w:rsidRDefault="00DA3274">
            <w:pPr>
              <w:jc w:val="center"/>
              <w:rPr>
                <w:noProof/>
                <w:sz w:val="20"/>
              </w:rPr>
            </w:pPr>
            <w:r>
              <w:rPr>
                <w:noProof/>
                <w:sz w:val="20"/>
              </w:rPr>
              <w:t>Year</w:t>
            </w:r>
            <w:r>
              <w:rPr>
                <w:noProof/>
                <w:sz w:val="22"/>
              </w:rPr>
              <w:br/>
            </w:r>
            <w:r>
              <w:rPr>
                <w:b/>
                <w:noProof/>
                <w:sz w:val="20"/>
              </w:rPr>
              <w:t>N+2</w:t>
            </w:r>
          </w:p>
        </w:tc>
        <w:tc>
          <w:tcPr>
            <w:tcW w:w="964" w:type="dxa"/>
            <w:vAlign w:val="center"/>
          </w:tcPr>
          <w:p w:rsidR="001D642D" w:rsidRDefault="00DA3274">
            <w:pPr>
              <w:jc w:val="center"/>
              <w:rPr>
                <w:noProof/>
                <w:sz w:val="20"/>
              </w:rPr>
            </w:pPr>
            <w:r>
              <w:rPr>
                <w:noProof/>
                <w:sz w:val="20"/>
              </w:rPr>
              <w:t>Year</w:t>
            </w:r>
            <w:r>
              <w:rPr>
                <w:noProof/>
                <w:sz w:val="22"/>
              </w:rPr>
              <w:br/>
            </w:r>
            <w:r>
              <w:rPr>
                <w:b/>
                <w:noProof/>
                <w:sz w:val="20"/>
              </w:rPr>
              <w:t>N+3</w:t>
            </w:r>
          </w:p>
        </w:tc>
        <w:tc>
          <w:tcPr>
            <w:tcW w:w="2892" w:type="dxa"/>
            <w:gridSpan w:val="3"/>
            <w:vAlign w:val="center"/>
          </w:tcPr>
          <w:p w:rsidR="001D642D" w:rsidRDefault="00DA3274">
            <w:pPr>
              <w:jc w:val="center"/>
              <w:rPr>
                <w:b/>
                <w:noProof/>
                <w:sz w:val="20"/>
              </w:rPr>
            </w:pPr>
            <w:r>
              <w:rPr>
                <w:noProof/>
                <w:sz w:val="20"/>
              </w:rPr>
              <w:t>Enter as many years as necessary to show the duration of the impact (see point 1.6)</w:t>
            </w:r>
          </w:p>
        </w:tc>
        <w:tc>
          <w:tcPr>
            <w:tcW w:w="1158" w:type="dxa"/>
            <w:vAlign w:val="center"/>
          </w:tcPr>
          <w:p w:rsidR="001D642D" w:rsidRDefault="00DA3274">
            <w:pPr>
              <w:spacing w:before="60" w:after="60"/>
              <w:jc w:val="center"/>
              <w:rPr>
                <w:noProof/>
                <w:sz w:val="20"/>
              </w:rPr>
            </w:pPr>
            <w:r>
              <w:rPr>
                <w:noProof/>
                <w:sz w:val="20"/>
              </w:rPr>
              <w:t>Total</w:t>
            </w:r>
          </w:p>
        </w:tc>
      </w:tr>
      <w:tr w:rsidR="001D642D">
        <w:trPr>
          <w:cantSplit/>
        </w:trPr>
        <w:tc>
          <w:tcPr>
            <w:tcW w:w="2340" w:type="dxa"/>
          </w:tcPr>
          <w:p w:rsidR="001D642D" w:rsidRDefault="00DA3274">
            <w:pPr>
              <w:rPr>
                <w:noProof/>
              </w:rPr>
            </w:pPr>
            <w:r>
              <w:rPr>
                <w:noProof/>
                <w:sz w:val="20"/>
              </w:rPr>
              <w:t>Specify the co-financing body</w:t>
            </w:r>
            <w:r>
              <w:rPr>
                <w:i/>
                <w:noProof/>
                <w:sz w:val="20"/>
              </w:rPr>
              <w:t xml:space="preserve"> </w:t>
            </w:r>
          </w:p>
        </w:tc>
        <w:tc>
          <w:tcPr>
            <w:tcW w:w="964" w:type="dxa"/>
            <w:vAlign w:val="center"/>
          </w:tcPr>
          <w:p w:rsidR="001D642D" w:rsidRDefault="001D642D">
            <w:pPr>
              <w:spacing w:before="60" w:after="60"/>
              <w:jc w:val="center"/>
              <w:rPr>
                <w:noProof/>
                <w:sz w:val="20"/>
              </w:rPr>
            </w:pPr>
          </w:p>
        </w:tc>
        <w:tc>
          <w:tcPr>
            <w:tcW w:w="964" w:type="dxa"/>
            <w:vAlign w:val="center"/>
          </w:tcPr>
          <w:p w:rsidR="001D642D" w:rsidRDefault="001D642D">
            <w:pPr>
              <w:spacing w:before="60" w:after="60"/>
              <w:jc w:val="center"/>
              <w:rPr>
                <w:noProof/>
                <w:sz w:val="20"/>
              </w:rPr>
            </w:pPr>
          </w:p>
        </w:tc>
        <w:tc>
          <w:tcPr>
            <w:tcW w:w="964" w:type="dxa"/>
            <w:vAlign w:val="center"/>
          </w:tcPr>
          <w:p w:rsidR="001D642D" w:rsidRDefault="001D642D">
            <w:pPr>
              <w:spacing w:before="60" w:after="60"/>
              <w:jc w:val="center"/>
              <w:rPr>
                <w:noProof/>
                <w:sz w:val="20"/>
              </w:rPr>
            </w:pPr>
          </w:p>
        </w:tc>
        <w:tc>
          <w:tcPr>
            <w:tcW w:w="964" w:type="dxa"/>
            <w:vAlign w:val="center"/>
          </w:tcPr>
          <w:p w:rsidR="001D642D" w:rsidRDefault="001D642D">
            <w:pPr>
              <w:spacing w:before="60" w:after="60"/>
              <w:jc w:val="center"/>
              <w:rPr>
                <w:noProof/>
                <w:sz w:val="20"/>
              </w:rPr>
            </w:pPr>
          </w:p>
        </w:tc>
        <w:tc>
          <w:tcPr>
            <w:tcW w:w="964" w:type="dxa"/>
            <w:vAlign w:val="center"/>
          </w:tcPr>
          <w:p w:rsidR="001D642D" w:rsidRDefault="001D642D">
            <w:pPr>
              <w:spacing w:before="60" w:after="60"/>
              <w:jc w:val="center"/>
              <w:rPr>
                <w:noProof/>
                <w:sz w:val="20"/>
              </w:rPr>
            </w:pPr>
          </w:p>
        </w:tc>
        <w:tc>
          <w:tcPr>
            <w:tcW w:w="964" w:type="dxa"/>
            <w:vAlign w:val="center"/>
          </w:tcPr>
          <w:p w:rsidR="001D642D" w:rsidRDefault="001D642D">
            <w:pPr>
              <w:spacing w:before="60" w:after="60"/>
              <w:jc w:val="center"/>
              <w:rPr>
                <w:noProof/>
                <w:sz w:val="20"/>
              </w:rPr>
            </w:pPr>
          </w:p>
        </w:tc>
        <w:tc>
          <w:tcPr>
            <w:tcW w:w="964" w:type="dxa"/>
            <w:vAlign w:val="center"/>
          </w:tcPr>
          <w:p w:rsidR="001D642D" w:rsidRDefault="001D642D">
            <w:pPr>
              <w:spacing w:before="60" w:after="60"/>
              <w:jc w:val="center"/>
              <w:rPr>
                <w:noProof/>
                <w:sz w:val="20"/>
              </w:rPr>
            </w:pPr>
          </w:p>
        </w:tc>
        <w:tc>
          <w:tcPr>
            <w:tcW w:w="1158" w:type="dxa"/>
            <w:vAlign w:val="center"/>
          </w:tcPr>
          <w:p w:rsidR="001D642D" w:rsidRDefault="001D642D">
            <w:pPr>
              <w:spacing w:before="60" w:after="60"/>
              <w:jc w:val="center"/>
              <w:rPr>
                <w:noProof/>
                <w:sz w:val="20"/>
              </w:rPr>
            </w:pPr>
          </w:p>
        </w:tc>
      </w:tr>
      <w:tr w:rsidR="001D642D">
        <w:trPr>
          <w:cantSplit/>
        </w:trPr>
        <w:tc>
          <w:tcPr>
            <w:tcW w:w="2340" w:type="dxa"/>
          </w:tcPr>
          <w:p w:rsidR="001D642D" w:rsidRDefault="00DA3274">
            <w:pPr>
              <w:spacing w:before="60" w:after="60"/>
              <w:jc w:val="left"/>
              <w:rPr>
                <w:noProof/>
                <w:sz w:val="20"/>
              </w:rPr>
            </w:pPr>
            <w:r>
              <w:rPr>
                <w:noProof/>
                <w:sz w:val="20"/>
              </w:rPr>
              <w:t xml:space="preserve">TOTAL appropriations co-financed </w:t>
            </w:r>
          </w:p>
        </w:tc>
        <w:tc>
          <w:tcPr>
            <w:tcW w:w="964" w:type="dxa"/>
            <w:vAlign w:val="center"/>
          </w:tcPr>
          <w:p w:rsidR="001D642D" w:rsidRDefault="001D642D">
            <w:pPr>
              <w:spacing w:before="60" w:after="60"/>
              <w:jc w:val="center"/>
              <w:rPr>
                <w:noProof/>
                <w:sz w:val="20"/>
              </w:rPr>
            </w:pPr>
          </w:p>
        </w:tc>
        <w:tc>
          <w:tcPr>
            <w:tcW w:w="964" w:type="dxa"/>
            <w:vAlign w:val="center"/>
          </w:tcPr>
          <w:p w:rsidR="001D642D" w:rsidRDefault="001D642D">
            <w:pPr>
              <w:spacing w:before="60" w:after="60"/>
              <w:jc w:val="center"/>
              <w:rPr>
                <w:noProof/>
                <w:sz w:val="20"/>
              </w:rPr>
            </w:pPr>
          </w:p>
        </w:tc>
        <w:tc>
          <w:tcPr>
            <w:tcW w:w="964" w:type="dxa"/>
            <w:vAlign w:val="center"/>
          </w:tcPr>
          <w:p w:rsidR="001D642D" w:rsidRDefault="001D642D">
            <w:pPr>
              <w:spacing w:before="60" w:after="60"/>
              <w:jc w:val="center"/>
              <w:rPr>
                <w:noProof/>
                <w:sz w:val="20"/>
              </w:rPr>
            </w:pPr>
          </w:p>
        </w:tc>
        <w:tc>
          <w:tcPr>
            <w:tcW w:w="964" w:type="dxa"/>
            <w:vAlign w:val="center"/>
          </w:tcPr>
          <w:p w:rsidR="001D642D" w:rsidRDefault="001D642D">
            <w:pPr>
              <w:spacing w:before="60" w:after="60"/>
              <w:jc w:val="center"/>
              <w:rPr>
                <w:noProof/>
                <w:sz w:val="20"/>
              </w:rPr>
            </w:pPr>
          </w:p>
        </w:tc>
        <w:tc>
          <w:tcPr>
            <w:tcW w:w="964" w:type="dxa"/>
            <w:vAlign w:val="center"/>
          </w:tcPr>
          <w:p w:rsidR="001D642D" w:rsidRDefault="001D642D">
            <w:pPr>
              <w:spacing w:before="60" w:after="60"/>
              <w:jc w:val="center"/>
              <w:rPr>
                <w:noProof/>
                <w:sz w:val="20"/>
              </w:rPr>
            </w:pPr>
          </w:p>
        </w:tc>
        <w:tc>
          <w:tcPr>
            <w:tcW w:w="964" w:type="dxa"/>
            <w:vAlign w:val="center"/>
          </w:tcPr>
          <w:p w:rsidR="001D642D" w:rsidRDefault="001D642D">
            <w:pPr>
              <w:spacing w:before="60" w:after="60"/>
              <w:jc w:val="center"/>
              <w:rPr>
                <w:noProof/>
                <w:sz w:val="20"/>
              </w:rPr>
            </w:pPr>
          </w:p>
        </w:tc>
        <w:tc>
          <w:tcPr>
            <w:tcW w:w="964" w:type="dxa"/>
            <w:vAlign w:val="center"/>
          </w:tcPr>
          <w:p w:rsidR="001D642D" w:rsidRDefault="001D642D">
            <w:pPr>
              <w:spacing w:before="60" w:after="60"/>
              <w:jc w:val="center"/>
              <w:rPr>
                <w:noProof/>
                <w:sz w:val="20"/>
              </w:rPr>
            </w:pPr>
          </w:p>
        </w:tc>
        <w:tc>
          <w:tcPr>
            <w:tcW w:w="1158" w:type="dxa"/>
            <w:vAlign w:val="center"/>
          </w:tcPr>
          <w:p w:rsidR="001D642D" w:rsidRDefault="001D642D">
            <w:pPr>
              <w:spacing w:before="60" w:after="60"/>
              <w:jc w:val="center"/>
              <w:rPr>
                <w:noProof/>
                <w:sz w:val="20"/>
              </w:rPr>
            </w:pPr>
          </w:p>
        </w:tc>
      </w:tr>
    </w:tbl>
    <w:p w:rsidR="001D642D" w:rsidRDefault="00DA3274">
      <w:pPr>
        <w:rPr>
          <w:noProof/>
        </w:rPr>
      </w:pPr>
      <w:r>
        <w:rPr>
          <w:noProof/>
        </w:rPr>
        <w:br/>
      </w:r>
    </w:p>
    <w:p w:rsidR="001D642D" w:rsidRDefault="00DA3274">
      <w:pPr>
        <w:pStyle w:val="ManualHeading2"/>
        <w:rPr>
          <w:bCs/>
          <w:noProof/>
          <w:szCs w:val="24"/>
        </w:rPr>
      </w:pPr>
      <w:r>
        <w:t>3.3.</w:t>
      </w:r>
      <w:r>
        <w:tab/>
      </w:r>
      <w:r>
        <w:rPr>
          <w:noProof/>
        </w:rPr>
        <w:t xml:space="preserve">Estimated impact on revenue </w:t>
      </w:r>
    </w:p>
    <w:p w:rsidR="001D642D" w:rsidRDefault="00DA3274">
      <w:pPr>
        <w:pStyle w:val="ListDash1"/>
        <w:rPr>
          <w:noProof/>
        </w:rPr>
      </w:pPr>
      <w:r>
        <w:rPr>
          <w:noProof/>
        </w:rPr>
        <w:sym w:font="Wingdings" w:char="F0FC"/>
      </w:r>
      <w:r>
        <w:rPr>
          <w:noProof/>
        </w:rPr>
        <w:tab/>
        <w:t>The proposal/initiative has no financial impact on revenue.</w:t>
      </w:r>
    </w:p>
    <w:p w:rsidR="001D642D" w:rsidRDefault="00DA3274">
      <w:pPr>
        <w:pStyle w:val="ListDash1"/>
        <w:rPr>
          <w:noProof/>
        </w:rPr>
      </w:pPr>
      <w:r>
        <w:rPr>
          <w:noProof/>
        </w:rPr>
        <w:sym w:font="Wingdings" w:char="F0A8"/>
      </w:r>
      <w:r>
        <w:rPr>
          <w:noProof/>
        </w:rPr>
        <w:tab/>
        <w:t>The proposal/initiative has the following financial impact:</w:t>
      </w:r>
    </w:p>
    <w:p w:rsidR="001D642D" w:rsidRDefault="00DA3274">
      <w:pPr>
        <w:pStyle w:val="ListNumberLevel3"/>
        <w:tabs>
          <w:tab w:val="clear" w:pos="2126"/>
        </w:tabs>
        <w:rPr>
          <w:noProof/>
        </w:rPr>
      </w:pPr>
      <w:r>
        <w:rPr>
          <w:noProof/>
        </w:rPr>
        <w:sym w:font="Wingdings" w:char="F0A8"/>
      </w:r>
      <w:r>
        <w:rPr>
          <w:noProof/>
        </w:rPr>
        <w:tab/>
        <w:t xml:space="preserve">on own resources </w:t>
      </w:r>
    </w:p>
    <w:p w:rsidR="001D642D" w:rsidRDefault="00DA3274">
      <w:pPr>
        <w:pStyle w:val="ListNumberLevel3"/>
        <w:tabs>
          <w:tab w:val="clear" w:pos="2126"/>
        </w:tabs>
        <w:rPr>
          <w:noProof/>
        </w:rPr>
      </w:pPr>
      <w:r>
        <w:rPr>
          <w:noProof/>
        </w:rPr>
        <w:sym w:font="Wingdings" w:char="F0A8"/>
      </w:r>
      <w:r>
        <w:rPr>
          <w:noProof/>
        </w:rPr>
        <w:tab/>
        <w:t xml:space="preserve">on miscellaneous revenue </w:t>
      </w:r>
    </w:p>
    <w:p w:rsidR="001D642D" w:rsidRDefault="00DA3274">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1D642D">
        <w:trPr>
          <w:trHeight w:val="388"/>
        </w:trPr>
        <w:tc>
          <w:tcPr>
            <w:tcW w:w="2144" w:type="dxa"/>
            <w:vMerge w:val="restart"/>
            <w:vAlign w:val="center"/>
          </w:tcPr>
          <w:p w:rsidR="001D642D" w:rsidRDefault="00DA3274">
            <w:pPr>
              <w:spacing w:before="40" w:after="40"/>
              <w:rPr>
                <w:noProof/>
                <w:sz w:val="18"/>
              </w:rPr>
            </w:pPr>
            <w:r>
              <w:rPr>
                <w:noProof/>
                <w:sz w:val="18"/>
              </w:rPr>
              <w:t>Budget revenue line:</w:t>
            </w:r>
          </w:p>
        </w:tc>
        <w:tc>
          <w:tcPr>
            <w:tcW w:w="1276" w:type="dxa"/>
            <w:vMerge w:val="restart"/>
            <w:vAlign w:val="center"/>
          </w:tcPr>
          <w:p w:rsidR="001D642D" w:rsidRDefault="00DA3274">
            <w:pPr>
              <w:jc w:val="center"/>
              <w:rPr>
                <w:noProof/>
                <w:sz w:val="18"/>
              </w:rPr>
            </w:pPr>
            <w:r>
              <w:rPr>
                <w:noProof/>
                <w:sz w:val="18"/>
              </w:rPr>
              <w:t>Appropriations available for the current financial year</w:t>
            </w:r>
          </w:p>
        </w:tc>
        <w:tc>
          <w:tcPr>
            <w:tcW w:w="7200" w:type="dxa"/>
            <w:gridSpan w:val="7"/>
            <w:vAlign w:val="center"/>
          </w:tcPr>
          <w:p w:rsidR="001D642D" w:rsidRDefault="00DA3274">
            <w:pPr>
              <w:jc w:val="center"/>
              <w:rPr>
                <w:noProof/>
                <w:sz w:val="18"/>
              </w:rPr>
            </w:pPr>
            <w:r>
              <w:rPr>
                <w:noProof/>
                <w:sz w:val="18"/>
              </w:rPr>
              <w:t>Impact of the proposal/initiative</w:t>
            </w:r>
            <w:r>
              <w:rPr>
                <w:rStyle w:val="FootnoteReference"/>
                <w:noProof/>
                <w:sz w:val="18"/>
              </w:rPr>
              <w:footnoteReference w:id="17"/>
            </w:r>
          </w:p>
        </w:tc>
      </w:tr>
      <w:tr w:rsidR="001D642D">
        <w:trPr>
          <w:trHeight w:val="388"/>
        </w:trPr>
        <w:tc>
          <w:tcPr>
            <w:tcW w:w="2144" w:type="dxa"/>
            <w:vMerge/>
          </w:tcPr>
          <w:p w:rsidR="001D642D" w:rsidRDefault="001D642D">
            <w:pPr>
              <w:spacing w:before="40" w:after="40"/>
              <w:rPr>
                <w:noProof/>
                <w:sz w:val="18"/>
              </w:rPr>
            </w:pPr>
          </w:p>
        </w:tc>
        <w:tc>
          <w:tcPr>
            <w:tcW w:w="1276" w:type="dxa"/>
            <w:vMerge/>
          </w:tcPr>
          <w:p w:rsidR="001D642D" w:rsidRDefault="001D642D">
            <w:pPr>
              <w:spacing w:beforeLines="40" w:before="96" w:afterLines="40" w:after="96"/>
              <w:rPr>
                <w:i/>
                <w:noProof/>
                <w:sz w:val="18"/>
              </w:rPr>
            </w:pPr>
          </w:p>
        </w:tc>
        <w:tc>
          <w:tcPr>
            <w:tcW w:w="1080" w:type="dxa"/>
            <w:vAlign w:val="center"/>
          </w:tcPr>
          <w:p w:rsidR="001D642D" w:rsidRDefault="00DA3274">
            <w:pPr>
              <w:jc w:val="center"/>
              <w:rPr>
                <w:noProof/>
                <w:sz w:val="18"/>
              </w:rPr>
            </w:pPr>
            <w:r>
              <w:rPr>
                <w:noProof/>
                <w:sz w:val="18"/>
              </w:rPr>
              <w:t>Year</w:t>
            </w:r>
            <w:r>
              <w:rPr>
                <w:noProof/>
                <w:sz w:val="22"/>
              </w:rPr>
              <w:br/>
            </w:r>
            <w:r>
              <w:rPr>
                <w:b/>
                <w:noProof/>
                <w:sz w:val="18"/>
              </w:rPr>
              <w:t>N</w:t>
            </w:r>
          </w:p>
        </w:tc>
        <w:tc>
          <w:tcPr>
            <w:tcW w:w="900" w:type="dxa"/>
            <w:vAlign w:val="center"/>
          </w:tcPr>
          <w:p w:rsidR="001D642D" w:rsidRDefault="00DA3274">
            <w:pPr>
              <w:jc w:val="center"/>
              <w:rPr>
                <w:noProof/>
                <w:sz w:val="18"/>
              </w:rPr>
            </w:pPr>
            <w:r>
              <w:rPr>
                <w:noProof/>
                <w:sz w:val="18"/>
              </w:rPr>
              <w:t>Year</w:t>
            </w:r>
            <w:r>
              <w:rPr>
                <w:noProof/>
                <w:sz w:val="22"/>
              </w:rPr>
              <w:br/>
            </w:r>
            <w:r>
              <w:rPr>
                <w:b/>
                <w:noProof/>
                <w:sz w:val="18"/>
              </w:rPr>
              <w:t>N+1</w:t>
            </w:r>
          </w:p>
        </w:tc>
        <w:tc>
          <w:tcPr>
            <w:tcW w:w="900" w:type="dxa"/>
            <w:vAlign w:val="center"/>
          </w:tcPr>
          <w:p w:rsidR="001D642D" w:rsidRDefault="00DA3274">
            <w:pPr>
              <w:jc w:val="center"/>
              <w:rPr>
                <w:noProof/>
                <w:sz w:val="18"/>
              </w:rPr>
            </w:pPr>
            <w:r>
              <w:rPr>
                <w:noProof/>
                <w:sz w:val="18"/>
              </w:rPr>
              <w:t>Year</w:t>
            </w:r>
            <w:r>
              <w:rPr>
                <w:noProof/>
                <w:sz w:val="22"/>
              </w:rPr>
              <w:br/>
            </w:r>
            <w:r>
              <w:rPr>
                <w:b/>
                <w:noProof/>
                <w:sz w:val="18"/>
              </w:rPr>
              <w:t>N+2</w:t>
            </w:r>
          </w:p>
        </w:tc>
        <w:tc>
          <w:tcPr>
            <w:tcW w:w="1080" w:type="dxa"/>
            <w:vAlign w:val="center"/>
          </w:tcPr>
          <w:p w:rsidR="001D642D" w:rsidRDefault="00DA3274">
            <w:pPr>
              <w:jc w:val="center"/>
              <w:rPr>
                <w:noProof/>
                <w:sz w:val="18"/>
              </w:rPr>
            </w:pPr>
            <w:r>
              <w:rPr>
                <w:noProof/>
                <w:sz w:val="18"/>
              </w:rPr>
              <w:t>Year</w:t>
            </w:r>
            <w:r>
              <w:rPr>
                <w:noProof/>
                <w:sz w:val="22"/>
              </w:rPr>
              <w:br/>
            </w:r>
            <w:r>
              <w:rPr>
                <w:b/>
                <w:noProof/>
                <w:sz w:val="18"/>
              </w:rPr>
              <w:t>N+3</w:t>
            </w:r>
          </w:p>
        </w:tc>
        <w:tc>
          <w:tcPr>
            <w:tcW w:w="3240" w:type="dxa"/>
            <w:gridSpan w:val="3"/>
            <w:vAlign w:val="center"/>
          </w:tcPr>
          <w:p w:rsidR="001D642D" w:rsidRDefault="00DA3274">
            <w:pPr>
              <w:jc w:val="center"/>
              <w:rPr>
                <w:b/>
                <w:noProof/>
                <w:sz w:val="18"/>
              </w:rPr>
            </w:pPr>
            <w:r>
              <w:rPr>
                <w:noProof/>
                <w:sz w:val="18"/>
              </w:rPr>
              <w:t>Enter as many years as necessary to show the duration of the impact (see point 1.6)</w:t>
            </w:r>
          </w:p>
        </w:tc>
      </w:tr>
      <w:tr w:rsidR="001D642D">
        <w:trPr>
          <w:trHeight w:val="388"/>
        </w:trPr>
        <w:tc>
          <w:tcPr>
            <w:tcW w:w="2144" w:type="dxa"/>
            <w:vAlign w:val="center"/>
          </w:tcPr>
          <w:p w:rsidR="001D642D" w:rsidRDefault="00DA3274">
            <w:pPr>
              <w:spacing w:before="40" w:after="40"/>
              <w:rPr>
                <w:noProof/>
                <w:sz w:val="18"/>
              </w:rPr>
            </w:pPr>
            <w:r>
              <w:rPr>
                <w:noProof/>
                <w:sz w:val="18"/>
              </w:rPr>
              <w:t>Article ………….</w:t>
            </w:r>
          </w:p>
        </w:tc>
        <w:tc>
          <w:tcPr>
            <w:tcW w:w="1276" w:type="dxa"/>
          </w:tcPr>
          <w:p w:rsidR="001D642D" w:rsidRDefault="001D642D">
            <w:pPr>
              <w:spacing w:beforeLines="40" w:before="96" w:afterLines="40" w:after="96"/>
              <w:jc w:val="center"/>
              <w:rPr>
                <w:i/>
                <w:noProof/>
                <w:sz w:val="18"/>
              </w:rPr>
            </w:pPr>
          </w:p>
        </w:tc>
        <w:tc>
          <w:tcPr>
            <w:tcW w:w="1080" w:type="dxa"/>
          </w:tcPr>
          <w:p w:rsidR="001D642D" w:rsidRDefault="001D642D">
            <w:pPr>
              <w:spacing w:beforeLines="40" w:before="96" w:afterLines="40" w:after="96"/>
              <w:jc w:val="center"/>
              <w:rPr>
                <w:noProof/>
                <w:sz w:val="18"/>
              </w:rPr>
            </w:pPr>
          </w:p>
        </w:tc>
        <w:tc>
          <w:tcPr>
            <w:tcW w:w="900" w:type="dxa"/>
          </w:tcPr>
          <w:p w:rsidR="001D642D" w:rsidRDefault="001D642D">
            <w:pPr>
              <w:spacing w:beforeLines="40" w:before="96" w:afterLines="40" w:after="96"/>
              <w:jc w:val="center"/>
              <w:rPr>
                <w:noProof/>
                <w:sz w:val="18"/>
              </w:rPr>
            </w:pPr>
          </w:p>
        </w:tc>
        <w:tc>
          <w:tcPr>
            <w:tcW w:w="900" w:type="dxa"/>
          </w:tcPr>
          <w:p w:rsidR="001D642D" w:rsidRDefault="001D642D">
            <w:pPr>
              <w:spacing w:beforeLines="40" w:before="96" w:afterLines="40" w:after="96"/>
              <w:jc w:val="center"/>
              <w:rPr>
                <w:noProof/>
                <w:sz w:val="18"/>
              </w:rPr>
            </w:pPr>
          </w:p>
        </w:tc>
        <w:tc>
          <w:tcPr>
            <w:tcW w:w="1080" w:type="dxa"/>
          </w:tcPr>
          <w:p w:rsidR="001D642D" w:rsidRDefault="001D642D">
            <w:pPr>
              <w:spacing w:beforeLines="40" w:before="96" w:afterLines="40" w:after="96"/>
              <w:jc w:val="center"/>
              <w:rPr>
                <w:noProof/>
                <w:sz w:val="18"/>
              </w:rPr>
            </w:pPr>
          </w:p>
        </w:tc>
        <w:tc>
          <w:tcPr>
            <w:tcW w:w="1080" w:type="dxa"/>
          </w:tcPr>
          <w:p w:rsidR="001D642D" w:rsidRDefault="001D642D">
            <w:pPr>
              <w:spacing w:beforeLines="40" w:before="96" w:afterLines="40" w:after="96"/>
              <w:jc w:val="center"/>
              <w:rPr>
                <w:noProof/>
                <w:sz w:val="18"/>
              </w:rPr>
            </w:pPr>
          </w:p>
        </w:tc>
        <w:tc>
          <w:tcPr>
            <w:tcW w:w="1080" w:type="dxa"/>
          </w:tcPr>
          <w:p w:rsidR="001D642D" w:rsidRDefault="001D642D">
            <w:pPr>
              <w:spacing w:beforeLines="40" w:before="96" w:afterLines="40" w:after="96"/>
              <w:jc w:val="center"/>
              <w:rPr>
                <w:noProof/>
                <w:sz w:val="18"/>
              </w:rPr>
            </w:pPr>
          </w:p>
        </w:tc>
        <w:tc>
          <w:tcPr>
            <w:tcW w:w="1080" w:type="dxa"/>
          </w:tcPr>
          <w:p w:rsidR="001D642D" w:rsidRDefault="001D642D">
            <w:pPr>
              <w:spacing w:beforeLines="40" w:before="96" w:afterLines="40" w:after="96"/>
              <w:jc w:val="center"/>
              <w:rPr>
                <w:noProof/>
                <w:sz w:val="18"/>
              </w:rPr>
            </w:pPr>
          </w:p>
        </w:tc>
      </w:tr>
    </w:tbl>
    <w:p w:rsidR="001D642D" w:rsidRDefault="00DA3274">
      <w:pPr>
        <w:pStyle w:val="Text1"/>
        <w:rPr>
          <w:noProof/>
          <w:sz w:val="20"/>
        </w:rPr>
      </w:pPr>
      <w:r>
        <w:rPr>
          <w:noProof/>
          <w:sz w:val="20"/>
        </w:rPr>
        <w:t>For miscellaneous ‘assigned’ revenue, specify the budget expenditure line(s) affected.</w:t>
      </w:r>
    </w:p>
    <w:p w:rsidR="001D642D" w:rsidRDefault="00DA3274">
      <w:pPr>
        <w:pStyle w:val="Text1"/>
        <w:rPr>
          <w:noProof/>
          <w:sz w:val="20"/>
        </w:rPr>
      </w:pPr>
      <w:r>
        <w:rPr>
          <w:noProof/>
          <w:sz w:val="20"/>
        </w:rPr>
        <w:t>Specify the method for calculating the impact on revenue.</w:t>
      </w:r>
    </w:p>
    <w:sectPr w:rsidR="001D642D" w:rsidSect="00DA327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42D" w:rsidRDefault="00DA3274">
      <w:pPr>
        <w:spacing w:before="0" w:after="0"/>
      </w:pPr>
      <w:r>
        <w:separator/>
      </w:r>
    </w:p>
    <w:p w:rsidR="001D642D" w:rsidRDefault="001D642D"/>
  </w:endnote>
  <w:endnote w:type="continuationSeparator" w:id="0">
    <w:p w:rsidR="001D642D" w:rsidRDefault="00DA3274">
      <w:pPr>
        <w:spacing w:before="0" w:after="0"/>
      </w:pPr>
      <w:r>
        <w:continuationSeparator/>
      </w:r>
    </w:p>
    <w:p w:rsidR="001D642D" w:rsidRDefault="001D642D"/>
  </w:endnote>
  <w:endnote w:type="continuationNotice" w:id="1">
    <w:p w:rsidR="001D642D" w:rsidRDefault="001D642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D" w:rsidRPr="00DA3274" w:rsidRDefault="00DA3274" w:rsidP="00DA3274">
    <w:pPr>
      <w:pStyle w:val="Footer"/>
      <w:rPr>
        <w:rFonts w:ascii="Arial" w:hAnsi="Arial" w:cs="Arial"/>
        <w:b/>
        <w:sz w:val="48"/>
      </w:rPr>
    </w:pPr>
    <w:r w:rsidRPr="00DA3274">
      <w:rPr>
        <w:rFonts w:ascii="Arial" w:hAnsi="Arial" w:cs="Arial"/>
        <w:b/>
        <w:sz w:val="48"/>
      </w:rPr>
      <w:t>EN</w:t>
    </w:r>
    <w:r w:rsidRPr="00DA3274">
      <w:rPr>
        <w:rFonts w:ascii="Arial" w:hAnsi="Arial" w:cs="Arial"/>
        <w:b/>
        <w:sz w:val="48"/>
      </w:rPr>
      <w:tab/>
    </w:r>
    <w:r w:rsidRPr="00DA3274">
      <w:rPr>
        <w:rFonts w:ascii="Arial" w:hAnsi="Arial" w:cs="Arial"/>
        <w:b/>
        <w:sz w:val="48"/>
      </w:rPr>
      <w:tab/>
    </w:r>
    <w:r w:rsidRPr="00DA3274">
      <w:tab/>
    </w:r>
    <w:proofErr w:type="spellStart"/>
    <w:r w:rsidRPr="00DA3274">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74" w:rsidRPr="00DA3274" w:rsidRDefault="00DA3274" w:rsidP="00DA3274">
    <w:pPr>
      <w:pStyle w:val="Footer"/>
      <w:rPr>
        <w:rFonts w:ascii="Arial" w:hAnsi="Arial" w:cs="Arial"/>
        <w:b/>
        <w:sz w:val="48"/>
      </w:rPr>
    </w:pPr>
    <w:r w:rsidRPr="00DA3274">
      <w:rPr>
        <w:rFonts w:ascii="Arial" w:hAnsi="Arial" w:cs="Arial"/>
        <w:b/>
        <w:sz w:val="48"/>
      </w:rPr>
      <w:t>EN</w:t>
    </w:r>
    <w:r w:rsidRPr="00DA3274">
      <w:rPr>
        <w:rFonts w:ascii="Arial" w:hAnsi="Arial" w:cs="Arial"/>
        <w:b/>
        <w:sz w:val="48"/>
      </w:rPr>
      <w:tab/>
    </w:r>
    <w:r>
      <w:fldChar w:fldCharType="begin"/>
    </w:r>
    <w:r>
      <w:instrText xml:space="preserve"> PAGE  \* MERGEFORMAT </w:instrText>
    </w:r>
    <w:r>
      <w:fldChar w:fldCharType="separate"/>
    </w:r>
    <w:r w:rsidR="00457C9F">
      <w:rPr>
        <w:noProof/>
      </w:rPr>
      <w:t>5</w:t>
    </w:r>
    <w:r>
      <w:fldChar w:fldCharType="end"/>
    </w:r>
    <w:r>
      <w:tab/>
    </w:r>
    <w:r w:rsidRPr="00DA3274">
      <w:tab/>
    </w:r>
    <w:r w:rsidRPr="00DA3274">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74" w:rsidRPr="00DA3274" w:rsidRDefault="00DA3274" w:rsidP="00DA32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74" w:rsidRPr="00DA3274" w:rsidRDefault="00DA3274" w:rsidP="00DA3274">
    <w:pPr>
      <w:pStyle w:val="FooterLandscape"/>
      <w:rPr>
        <w:rFonts w:ascii="Arial" w:hAnsi="Arial" w:cs="Arial"/>
        <w:b/>
        <w:sz w:val="48"/>
      </w:rPr>
    </w:pPr>
    <w:r w:rsidRPr="00DA3274">
      <w:rPr>
        <w:rFonts w:ascii="Arial" w:hAnsi="Arial" w:cs="Arial"/>
        <w:b/>
        <w:sz w:val="48"/>
      </w:rPr>
      <w:t>EN</w:t>
    </w:r>
    <w:r w:rsidRPr="00DA3274">
      <w:rPr>
        <w:rFonts w:ascii="Arial" w:hAnsi="Arial" w:cs="Arial"/>
        <w:b/>
        <w:sz w:val="48"/>
      </w:rPr>
      <w:tab/>
    </w:r>
    <w:r>
      <w:fldChar w:fldCharType="begin"/>
    </w:r>
    <w:r>
      <w:instrText xml:space="preserve"> PAGE  \* MERGEFORMAT </w:instrText>
    </w:r>
    <w:r>
      <w:fldChar w:fldCharType="separate"/>
    </w:r>
    <w:r w:rsidR="0046687D">
      <w:rPr>
        <w:noProof/>
      </w:rPr>
      <w:t>22</w:t>
    </w:r>
    <w:r>
      <w:fldChar w:fldCharType="end"/>
    </w:r>
    <w:r>
      <w:tab/>
    </w:r>
    <w:r w:rsidRPr="00DA3274">
      <w:tab/>
    </w:r>
    <w:r w:rsidRPr="00DA327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74" w:rsidRPr="00DA3274" w:rsidRDefault="00DA3274" w:rsidP="00DA3274">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74" w:rsidRPr="00DA3274" w:rsidRDefault="00DA3274" w:rsidP="00DA3274">
    <w:pPr>
      <w:pStyle w:val="Footer"/>
      <w:rPr>
        <w:rFonts w:ascii="Arial" w:hAnsi="Arial" w:cs="Arial"/>
        <w:b/>
        <w:sz w:val="48"/>
      </w:rPr>
    </w:pPr>
    <w:r w:rsidRPr="00DA3274">
      <w:rPr>
        <w:rFonts w:ascii="Arial" w:hAnsi="Arial" w:cs="Arial"/>
        <w:b/>
        <w:sz w:val="48"/>
      </w:rPr>
      <w:t>EN</w:t>
    </w:r>
    <w:r w:rsidRPr="00DA3274">
      <w:rPr>
        <w:rFonts w:ascii="Arial" w:hAnsi="Arial" w:cs="Arial"/>
        <w:b/>
        <w:sz w:val="48"/>
      </w:rPr>
      <w:tab/>
    </w:r>
    <w:r>
      <w:fldChar w:fldCharType="begin"/>
    </w:r>
    <w:r>
      <w:instrText xml:space="preserve"> PAGE  \* MERGEFORMAT </w:instrText>
    </w:r>
    <w:r>
      <w:fldChar w:fldCharType="separate"/>
    </w:r>
    <w:r w:rsidR="0046687D">
      <w:rPr>
        <w:noProof/>
      </w:rPr>
      <w:t>25</w:t>
    </w:r>
    <w:r>
      <w:fldChar w:fldCharType="end"/>
    </w:r>
    <w:r>
      <w:tab/>
    </w:r>
    <w:r w:rsidRPr="00DA3274">
      <w:tab/>
    </w:r>
    <w:r w:rsidRPr="00DA3274">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74" w:rsidRPr="00DA3274" w:rsidRDefault="00DA3274" w:rsidP="00DA3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42D" w:rsidRDefault="00DA3274">
      <w:pPr>
        <w:spacing w:before="0" w:after="0"/>
      </w:pPr>
      <w:r>
        <w:separator/>
      </w:r>
    </w:p>
    <w:p w:rsidR="001D642D" w:rsidRDefault="001D642D"/>
  </w:footnote>
  <w:footnote w:type="continuationSeparator" w:id="0">
    <w:p w:rsidR="001D642D" w:rsidRDefault="00DA3274">
      <w:pPr>
        <w:spacing w:before="0" w:after="0"/>
      </w:pPr>
      <w:r>
        <w:continuationSeparator/>
      </w:r>
    </w:p>
    <w:p w:rsidR="001D642D" w:rsidRDefault="001D642D"/>
  </w:footnote>
  <w:footnote w:type="continuationNotice" w:id="1">
    <w:p w:rsidR="001D642D" w:rsidRDefault="001D642D">
      <w:pPr>
        <w:spacing w:before="0" w:after="0"/>
      </w:pPr>
    </w:p>
  </w:footnote>
  <w:footnote w:id="2">
    <w:p w:rsidR="001D642D" w:rsidRDefault="00DA3274">
      <w:pPr>
        <w:pStyle w:val="FootnoteText"/>
      </w:pPr>
      <w:r>
        <w:rPr>
          <w:rStyle w:val="FootnoteReference"/>
        </w:rPr>
        <w:footnoteRef/>
      </w:r>
      <w:r>
        <w:tab/>
        <w:t>Regulation (EU) No 2017/825 of the European Parliament and of the Council of 17 May 2017 on the establishment of the Structural Reform Support Programme for the period 2017 to 2020 and amending Regulations (EU) No 1303/2013 and (EU) No 1305/2013 (OJ L129 19.05.2017, p. 1).</w:t>
      </w:r>
    </w:p>
  </w:footnote>
  <w:footnote w:id="3">
    <w:p w:rsidR="001D642D" w:rsidRDefault="00DA3274">
      <w:pPr>
        <w:pStyle w:val="FootnoteText"/>
      </w:pPr>
      <w:r>
        <w:rPr>
          <w:rStyle w:val="FootnoteReference"/>
        </w:rPr>
        <w:footnoteRef/>
      </w:r>
      <w:r>
        <w:tab/>
        <w:t>President Jean-Claude Juncker’s State of the Union Address 2017, 13 September 2017.</w:t>
      </w:r>
    </w:p>
  </w:footnote>
  <w:footnote w:id="4">
    <w:p w:rsidR="001D642D" w:rsidRDefault="00DA3274">
      <w:pPr>
        <w:pStyle w:val="FootnoteText"/>
      </w:pPr>
      <w:r>
        <w:rPr>
          <w:rStyle w:val="FootnoteReference"/>
        </w:rPr>
        <w:footnoteRef/>
      </w:r>
      <w:r>
        <w:tab/>
        <w:t xml:space="preserve">Cf. Article 11 of Council Regulation (EU, EURATOM) No 1311/2013. </w:t>
      </w:r>
    </w:p>
  </w:footnote>
  <w:footnote w:id="5">
    <w:p w:rsidR="001D642D" w:rsidRDefault="00DA3274">
      <w:pPr>
        <w:pStyle w:val="FootnoteText"/>
      </w:pPr>
      <w:r>
        <w:rPr>
          <w:rStyle w:val="FootnoteReference"/>
        </w:rPr>
        <w:footnoteRef/>
      </w:r>
      <w:r>
        <w:tab/>
        <w:t>COM(2017) 291, 31 May 2017.</w:t>
      </w:r>
    </w:p>
  </w:footnote>
  <w:footnote w:id="6">
    <w:p w:rsidR="001D642D" w:rsidRDefault="00DA3274">
      <w:pPr>
        <w:pStyle w:val="FootnoteText"/>
      </w:pPr>
      <w:r>
        <w:rPr>
          <w:rStyle w:val="FootnoteReference"/>
        </w:rPr>
        <w:footnoteRef/>
      </w:r>
      <w:r>
        <w:tab/>
        <w:t>OJ C […], […], p. […].</w:t>
      </w:r>
    </w:p>
  </w:footnote>
  <w:footnote w:id="7">
    <w:p w:rsidR="001D642D" w:rsidRDefault="00DA3274">
      <w:pPr>
        <w:pStyle w:val="FootnoteText"/>
      </w:pPr>
      <w:r>
        <w:rPr>
          <w:rStyle w:val="FootnoteReference"/>
        </w:rPr>
        <w:footnoteRef/>
      </w:r>
      <w:r>
        <w:tab/>
        <w:t>OJ C […], […], p. […].</w:t>
      </w:r>
    </w:p>
  </w:footnote>
  <w:footnote w:id="8">
    <w:p w:rsidR="001D642D" w:rsidRDefault="00DA3274">
      <w:pPr>
        <w:pStyle w:val="FootnoteText"/>
        <w:rPr>
          <w:szCs w:val="24"/>
        </w:rPr>
      </w:pPr>
      <w:r>
        <w:rPr>
          <w:rStyle w:val="FootnoteReference"/>
        </w:rPr>
        <w:footnoteRef/>
      </w:r>
      <w:r>
        <w:tab/>
        <w:t>As referred to in Article 54(2)(a) or (b) of the Financial Regulation.</w:t>
      </w:r>
    </w:p>
  </w:footnote>
  <w:footnote w:id="9">
    <w:p w:rsidR="001D642D" w:rsidRDefault="00DA3274">
      <w:pPr>
        <w:pStyle w:val="FootnoteText"/>
        <w:jc w:val="lef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1" w:history="1">
        <w:r>
          <w:rPr>
            <w:rStyle w:val="Hyperlink"/>
            <w:szCs w:val="24"/>
          </w:rPr>
          <w:t>https://myintracomm.ec.europa.eu/budgweb/EN/man/budgmanag/Pages/budgmanag.aspx</w:t>
        </w:r>
      </w:hyperlink>
      <w:r>
        <w:rPr>
          <w:szCs w:val="24"/>
        </w:rPr>
        <w:t xml:space="preserve"> </w:t>
      </w:r>
    </w:p>
  </w:footnote>
  <w:footnote w:id="10">
    <w:p w:rsidR="001D642D" w:rsidRDefault="00DA3274">
      <w:pPr>
        <w:pStyle w:val="FootnoteText"/>
        <w:rPr>
          <w:szCs w:val="24"/>
        </w:rPr>
      </w:pPr>
      <w:r>
        <w:rPr>
          <w:rStyle w:val="FootnoteReference"/>
        </w:rPr>
        <w:footnoteRef/>
      </w:r>
      <w:r>
        <w:tab/>
        <w:t>Diff. = Differentiated appropriations / Non-diff. = Non-differentiated appropriations.</w:t>
      </w:r>
    </w:p>
  </w:footnote>
  <w:footnote w:id="11">
    <w:p w:rsidR="001D642D" w:rsidRDefault="00DA3274">
      <w:pPr>
        <w:pStyle w:val="FootnoteText"/>
        <w:rPr>
          <w:szCs w:val="24"/>
        </w:rPr>
      </w:pPr>
      <w:r>
        <w:rPr>
          <w:rStyle w:val="FootnoteReference"/>
        </w:rPr>
        <w:footnoteRef/>
      </w:r>
      <w:r>
        <w:tab/>
        <w:t xml:space="preserve">EFTA: European Free Trade Association. </w:t>
      </w:r>
    </w:p>
  </w:footnote>
  <w:footnote w:id="12">
    <w:p w:rsidR="001D642D" w:rsidRDefault="00DA3274">
      <w:pPr>
        <w:pStyle w:val="FootnoteText"/>
        <w:rPr>
          <w:szCs w:val="24"/>
        </w:rPr>
      </w:pPr>
      <w:r>
        <w:rPr>
          <w:rStyle w:val="FootnoteReference"/>
        </w:rPr>
        <w:footnoteRef/>
      </w:r>
      <w:r>
        <w:tab/>
        <w:t>Candidate countries and, where applicable, potential candidates from the Western Balkans.</w:t>
      </w:r>
    </w:p>
  </w:footnote>
  <w:footnote w:id="13">
    <w:p w:rsidR="001D642D" w:rsidRDefault="00DA3274">
      <w:pPr>
        <w:pStyle w:val="FootnoteText"/>
        <w:rPr>
          <w:szCs w:val="24"/>
        </w:rPr>
      </w:pPr>
      <w:r>
        <w:rPr>
          <w:rStyle w:val="FootnoteReference"/>
        </w:rPr>
        <w:footnoteRef/>
      </w:r>
      <w:r>
        <w:tab/>
        <w:t>Year N is the year in which implementation of the proposal/initiative starts.</w:t>
      </w:r>
    </w:p>
  </w:footnote>
  <w:footnote w:id="14">
    <w:p w:rsidR="001D642D" w:rsidRDefault="00DA3274">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5">
    <w:p w:rsidR="001D642D" w:rsidRDefault="00DA3274">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16">
    <w:p w:rsidR="001D642D" w:rsidRDefault="00DA3274">
      <w:pPr>
        <w:pStyle w:val="FootnoteText"/>
        <w:rPr>
          <w:szCs w:val="24"/>
        </w:rPr>
      </w:pPr>
      <w:r>
        <w:rPr>
          <w:rStyle w:val="FootnoteReference"/>
        </w:rPr>
        <w:footnoteRef/>
      </w:r>
      <w:r>
        <w:tab/>
        <w:t>Sub-ceiling for external staff covered by operational appropriations (former ‘BA’ lines).</w:t>
      </w:r>
    </w:p>
  </w:footnote>
  <w:footnote w:id="17">
    <w:p w:rsidR="001D642D" w:rsidRDefault="00DA3274">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74" w:rsidRPr="00DA3274" w:rsidRDefault="00DA3274" w:rsidP="00DA3274">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74" w:rsidRPr="00DA3274" w:rsidRDefault="00DA3274" w:rsidP="00DA3274">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74" w:rsidRPr="00DA3274" w:rsidRDefault="00DA3274" w:rsidP="00DA32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74" w:rsidRPr="00DA3274" w:rsidRDefault="00DA3274" w:rsidP="00DA3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54A8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A85C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08EE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C83B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24C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EA7D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08B808"/>
    <w:lvl w:ilvl="0">
      <w:start w:val="1"/>
      <w:numFmt w:val="decimal"/>
      <w:pStyle w:val="ListNumber"/>
      <w:lvlText w:val="%1."/>
      <w:lvlJc w:val="left"/>
      <w:pPr>
        <w:tabs>
          <w:tab w:val="num" w:pos="360"/>
        </w:tabs>
        <w:ind w:left="360" w:hanging="360"/>
      </w:pPr>
    </w:lvl>
  </w:abstractNum>
  <w:abstractNum w:abstractNumId="7">
    <w:nsid w:val="FFFFFF89"/>
    <w:multiLevelType w:val="singleLevel"/>
    <w:tmpl w:val="E752E8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10F6159"/>
    <w:multiLevelType w:val="hybridMultilevel"/>
    <w:tmpl w:val="C16A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CAA416B"/>
    <w:multiLevelType w:val="hybridMultilevel"/>
    <w:tmpl w:val="876E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8"/>
    <w:lvlOverride w:ilvl="0">
      <w:startOverride w:val="1"/>
    </w:lvlOverride>
  </w:num>
  <w:num w:numId="6">
    <w:abstractNumId w:val="6"/>
  </w:num>
  <w:num w:numId="7">
    <w:abstractNumId w:val="2"/>
  </w:num>
  <w:num w:numId="8">
    <w:abstractNumId w:val="1"/>
  </w:num>
  <w:num w:numId="9">
    <w:abstractNumId w:val="0"/>
  </w:num>
  <w:num w:numId="10">
    <w:abstractNumId w:val="25"/>
  </w:num>
  <w:num w:numId="11">
    <w:abstractNumId w:val="8"/>
  </w:num>
  <w:num w:numId="12">
    <w:abstractNumId w:val="13"/>
  </w:num>
  <w:num w:numId="13">
    <w:abstractNumId w:val="18"/>
  </w:num>
  <w:num w:numId="14">
    <w:abstractNumId w:val="17"/>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9"/>
  </w:num>
  <w:num w:numId="18">
    <w:abstractNumId w:val="24"/>
  </w:num>
  <w:num w:numId="19">
    <w:abstractNumId w:val="23"/>
  </w:num>
  <w:num w:numId="20">
    <w:abstractNumId w:val="14"/>
  </w:num>
  <w:num w:numId="21">
    <w:abstractNumId w:val="26"/>
  </w:num>
  <w:num w:numId="22">
    <w:abstractNumId w:val="12"/>
  </w:num>
  <w:num w:numId="23">
    <w:abstractNumId w:val="15"/>
  </w:num>
  <w:num w:numId="24">
    <w:abstractNumId w:val="10"/>
  </w:num>
  <w:num w:numId="25">
    <w:abstractNumId w:val="25"/>
  </w:num>
  <w:num w:numId="26">
    <w:abstractNumId w:val="9"/>
  </w:num>
  <w:num w:numId="27">
    <w:abstractNumId w:val="16"/>
  </w:num>
  <w:num w:numId="28">
    <w:abstractNumId w:val="21"/>
  </w:num>
  <w:num w:numId="29">
    <w:abstractNumId w:val="22"/>
  </w:num>
  <w:num w:numId="30">
    <w:abstractNumId w:val="11"/>
  </w:num>
  <w:num w:numId="31">
    <w:abstractNumId w:val="20"/>
  </w:num>
  <w:num w:numId="32">
    <w:abstractNumId w:val="28"/>
  </w:num>
  <w:num w:numId="33">
    <w:abstractNumId w:val="23"/>
  </w:num>
  <w:num w:numId="34">
    <w:abstractNumId w:val="14"/>
  </w:num>
  <w:num w:numId="35">
    <w:abstractNumId w:val="26"/>
  </w:num>
  <w:num w:numId="36">
    <w:abstractNumId w:val="12"/>
  </w:num>
  <w:num w:numId="37">
    <w:abstractNumId w:val="15"/>
  </w:num>
  <w:num w:numId="38">
    <w:abstractNumId w:val="10"/>
  </w:num>
  <w:num w:numId="39">
    <w:abstractNumId w:val="25"/>
  </w:num>
  <w:num w:numId="40">
    <w:abstractNumId w:val="9"/>
  </w:num>
  <w:num w:numId="41">
    <w:abstractNumId w:val="16"/>
  </w:num>
  <w:num w:numId="42">
    <w:abstractNumId w:val="21"/>
  </w:num>
  <w:num w:numId="43">
    <w:abstractNumId w:val="22"/>
  </w:num>
  <w:num w:numId="44">
    <w:abstractNumId w:val="11"/>
  </w:num>
  <w:num w:numId="45">
    <w:abstractNumId w:val="20"/>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9"/>
  <w:hideSpellingErrors/>
  <w:hideGrammaticalErrors/>
  <w:proofState w:spelling="clean"/>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4 15:36:2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10"/>
    <w:docVar w:name="DQCStatus" w:val="Yellow"/>
    <w:docVar w:name="DQCVersion" w:val="3"/>
    <w:docVar w:name="DQCWithWarnings" w:val="0"/>
    <w:docVar w:name="LW_CORRIGENDUM" w:val="&lt;UNUSED&gt;"/>
    <w:docVar w:name="LW_COVERPAGE_EXISTS" w:val="True"/>
    <w:docVar w:name="LW_COVERPAGE_GUID" w:val="0594A2B6-2ED5-4AF0-AABC-A81E90FEE399"/>
    <w:docVar w:name="LW_COVERPAGE_TYPE" w:val="1"/>
    <w:docVar w:name="LW_CROSSREFERENCE" w:val="&lt;UNUSED&gt;"/>
    <w:docVar w:name="LW_DocType" w:val="COM"/>
    <w:docVar w:name="LW_EMISSION" w:val="6.12.2017"/>
    <w:docVar w:name="LW_EMISSION_ISODATE" w:val="2017-12-06"/>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34"/>
    <w:docVar w:name="LW_REF.II.NEW.CP_YEAR" w:val="2017"/>
    <w:docVar w:name="LW_REF.INST.NEW" w:val="COM"/>
    <w:docVar w:name="LW_REF.INST.NEW_ADOPTED" w:val="final"/>
    <w:docVar w:name="LW_REF.INST.NEW_TEXT" w:val="(2017) 8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2017/825 to increase the financial envelope of the Structural Reform Support Programme and adapt its general objective "/>
    <w:docVar w:name="LW_TYPE.DOC.CP" w:val="REGULATION OF THE EUROPEAN PARLIAMENT AND OF THE COUNCIL"/>
  </w:docVars>
  <w:rsids>
    <w:rsidRoot w:val="001D642D"/>
    <w:rsid w:val="001D642D"/>
    <w:rsid w:val="00457C9F"/>
    <w:rsid w:val="0046687D"/>
    <w:rsid w:val="00B526CD"/>
    <w:rsid w:val="00DA3274"/>
    <w:rsid w:val="00F11756"/>
    <w:rsid w:val="00FB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DocumentMap">
    <w:name w:val="Document Map"/>
    <w:basedOn w:val="Normal"/>
    <w:link w:val="DocumentMapChar"/>
    <w:uiPriority w:val="99"/>
    <w:semiHidden/>
    <w:unhideWhenUsed/>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character" w:styleId="PlaceholderText">
    <w:name w:val="Placeholder Text"/>
    <w:basedOn w:val="DefaultParagraphFont"/>
    <w:uiPriority w:val="99"/>
    <w:semiHidden/>
    <w:rPr>
      <w:color w:val="808080"/>
    </w:rPr>
  </w:style>
  <w:style w:type="paragraph" w:customStyle="1" w:styleId="ListBullet1">
    <w:name w:val="List Bullet 1"/>
    <w:basedOn w:val="Normal"/>
    <w:pPr>
      <w:numPr>
        <w:numId w:val="11"/>
      </w:numPr>
    </w:pPr>
    <w:rPr>
      <w:lang w:eastAsia="en-GB"/>
    </w:rPr>
  </w:style>
  <w:style w:type="paragraph" w:customStyle="1" w:styleId="ListDash">
    <w:name w:val="List Dash"/>
    <w:basedOn w:val="Normal"/>
    <w:pPr>
      <w:numPr>
        <w:numId w:val="12"/>
      </w:numPr>
    </w:pPr>
    <w:rPr>
      <w:lang w:eastAsia="en-GB"/>
    </w:rPr>
  </w:style>
  <w:style w:type="paragraph" w:customStyle="1" w:styleId="ListDash1">
    <w:name w:val="List Dash 1"/>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ListDash6">
    <w:name w:val="List Dash 6"/>
    <w:basedOn w:val="Normal"/>
    <w:pPr>
      <w:numPr>
        <w:numId w:val="16"/>
      </w:numPr>
      <w:spacing w:before="0" w:after="240"/>
    </w:pPr>
    <w:rPr>
      <w:szCs w:val="20"/>
    </w:rPr>
  </w:style>
  <w:style w:type="paragraph" w:styleId="ListParagraph">
    <w:name w:val="List Paragraph"/>
    <w:basedOn w:val="Normal"/>
    <w:uiPriority w:val="34"/>
    <w:qFormat/>
    <w:pPr>
      <w:ind w:left="720"/>
      <w:contextualSpacing/>
    </w:pPr>
    <w:rPr>
      <w:lang w:eastAsia="en-GB"/>
    </w:rPr>
  </w:style>
  <w:style w:type="paragraph" w:styleId="Header">
    <w:name w:val="header"/>
    <w:basedOn w:val="Normal"/>
    <w:link w:val="HeaderChar"/>
    <w:uiPriority w:val="99"/>
    <w:unhideWhenUsed/>
    <w:rsid w:val="00DA3274"/>
    <w:pPr>
      <w:tabs>
        <w:tab w:val="center" w:pos="4535"/>
        <w:tab w:val="right" w:pos="9071"/>
      </w:tabs>
      <w:spacing w:before="0"/>
    </w:pPr>
  </w:style>
  <w:style w:type="character" w:customStyle="1" w:styleId="HeaderChar">
    <w:name w:val="Header Char"/>
    <w:basedOn w:val="DefaultParagraphFont"/>
    <w:link w:val="Header"/>
    <w:uiPriority w:val="99"/>
    <w:rsid w:val="00DA3274"/>
    <w:rPr>
      <w:rFonts w:ascii="Times New Roman" w:hAnsi="Times New Roman" w:cs="Times New Roman"/>
      <w:sz w:val="24"/>
      <w:lang w:val="en-GB"/>
    </w:rPr>
  </w:style>
  <w:style w:type="paragraph" w:styleId="Footer">
    <w:name w:val="footer"/>
    <w:basedOn w:val="Normal"/>
    <w:link w:val="FooterChar"/>
    <w:uiPriority w:val="99"/>
    <w:unhideWhenUsed/>
    <w:rsid w:val="00DA327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A327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A3274"/>
    <w:pPr>
      <w:tabs>
        <w:tab w:val="center" w:pos="7285"/>
        <w:tab w:val="right" w:pos="14003"/>
      </w:tabs>
      <w:spacing w:before="0"/>
    </w:pPr>
  </w:style>
  <w:style w:type="paragraph" w:customStyle="1" w:styleId="FooterLandscape">
    <w:name w:val="FooterLandscape"/>
    <w:basedOn w:val="Normal"/>
    <w:rsid w:val="00DA327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A327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A327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DocumentMap">
    <w:name w:val="Document Map"/>
    <w:basedOn w:val="Normal"/>
    <w:link w:val="DocumentMapChar"/>
    <w:uiPriority w:val="99"/>
    <w:semiHidden/>
    <w:unhideWhenUsed/>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character" w:styleId="PlaceholderText">
    <w:name w:val="Placeholder Text"/>
    <w:basedOn w:val="DefaultParagraphFont"/>
    <w:uiPriority w:val="99"/>
    <w:semiHidden/>
    <w:rPr>
      <w:color w:val="808080"/>
    </w:rPr>
  </w:style>
  <w:style w:type="paragraph" w:customStyle="1" w:styleId="ListBullet1">
    <w:name w:val="List Bullet 1"/>
    <w:basedOn w:val="Normal"/>
    <w:pPr>
      <w:numPr>
        <w:numId w:val="11"/>
      </w:numPr>
    </w:pPr>
    <w:rPr>
      <w:lang w:eastAsia="en-GB"/>
    </w:rPr>
  </w:style>
  <w:style w:type="paragraph" w:customStyle="1" w:styleId="ListDash">
    <w:name w:val="List Dash"/>
    <w:basedOn w:val="Normal"/>
    <w:pPr>
      <w:numPr>
        <w:numId w:val="12"/>
      </w:numPr>
    </w:pPr>
    <w:rPr>
      <w:lang w:eastAsia="en-GB"/>
    </w:rPr>
  </w:style>
  <w:style w:type="paragraph" w:customStyle="1" w:styleId="ListDash1">
    <w:name w:val="List Dash 1"/>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ListDash6">
    <w:name w:val="List Dash 6"/>
    <w:basedOn w:val="Normal"/>
    <w:pPr>
      <w:numPr>
        <w:numId w:val="16"/>
      </w:numPr>
      <w:spacing w:before="0" w:after="240"/>
    </w:pPr>
    <w:rPr>
      <w:szCs w:val="20"/>
    </w:rPr>
  </w:style>
  <w:style w:type="paragraph" w:styleId="ListParagraph">
    <w:name w:val="List Paragraph"/>
    <w:basedOn w:val="Normal"/>
    <w:uiPriority w:val="34"/>
    <w:qFormat/>
    <w:pPr>
      <w:ind w:left="720"/>
      <w:contextualSpacing/>
    </w:pPr>
    <w:rPr>
      <w:lang w:eastAsia="en-GB"/>
    </w:rPr>
  </w:style>
  <w:style w:type="paragraph" w:styleId="Header">
    <w:name w:val="header"/>
    <w:basedOn w:val="Normal"/>
    <w:link w:val="HeaderChar"/>
    <w:uiPriority w:val="99"/>
    <w:unhideWhenUsed/>
    <w:rsid w:val="00DA3274"/>
    <w:pPr>
      <w:tabs>
        <w:tab w:val="center" w:pos="4535"/>
        <w:tab w:val="right" w:pos="9071"/>
      </w:tabs>
      <w:spacing w:before="0"/>
    </w:pPr>
  </w:style>
  <w:style w:type="character" w:customStyle="1" w:styleId="HeaderChar">
    <w:name w:val="Header Char"/>
    <w:basedOn w:val="DefaultParagraphFont"/>
    <w:link w:val="Header"/>
    <w:uiPriority w:val="99"/>
    <w:rsid w:val="00DA3274"/>
    <w:rPr>
      <w:rFonts w:ascii="Times New Roman" w:hAnsi="Times New Roman" w:cs="Times New Roman"/>
      <w:sz w:val="24"/>
      <w:lang w:val="en-GB"/>
    </w:rPr>
  </w:style>
  <w:style w:type="paragraph" w:styleId="Footer">
    <w:name w:val="footer"/>
    <w:basedOn w:val="Normal"/>
    <w:link w:val="FooterChar"/>
    <w:uiPriority w:val="99"/>
    <w:unhideWhenUsed/>
    <w:rsid w:val="00DA327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A327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A3274"/>
    <w:pPr>
      <w:tabs>
        <w:tab w:val="center" w:pos="7285"/>
        <w:tab w:val="right" w:pos="14003"/>
      </w:tabs>
      <w:spacing w:before="0"/>
    </w:pPr>
  </w:style>
  <w:style w:type="paragraph" w:customStyle="1" w:styleId="FooterLandscape">
    <w:name w:val="FooterLandscape"/>
    <w:basedOn w:val="Normal"/>
    <w:rsid w:val="00DA327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A327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A327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5179">
      <w:bodyDiv w:val="1"/>
      <w:marLeft w:val="0"/>
      <w:marRight w:val="0"/>
      <w:marTop w:val="0"/>
      <w:marBottom w:val="0"/>
      <w:divBdr>
        <w:top w:val="none" w:sz="0" w:space="0" w:color="auto"/>
        <w:left w:val="none" w:sz="0" w:space="0" w:color="auto"/>
        <w:bottom w:val="none" w:sz="0" w:space="0" w:color="auto"/>
        <w:right w:val="none" w:sz="0" w:space="0" w:color="auto"/>
      </w:divBdr>
    </w:div>
    <w:div w:id="979530168">
      <w:bodyDiv w:val="1"/>
      <w:marLeft w:val="0"/>
      <w:marRight w:val="0"/>
      <w:marTop w:val="0"/>
      <w:marBottom w:val="0"/>
      <w:divBdr>
        <w:top w:val="none" w:sz="0" w:space="0" w:color="auto"/>
        <w:left w:val="none" w:sz="0" w:space="0" w:color="auto"/>
        <w:bottom w:val="none" w:sz="0" w:space="0" w:color="auto"/>
        <w:right w:val="none" w:sz="0" w:space="0" w:color="auto"/>
      </w:divBdr>
    </w:div>
    <w:div w:id="1048723693">
      <w:bodyDiv w:val="1"/>
      <w:marLeft w:val="0"/>
      <w:marRight w:val="0"/>
      <w:marTop w:val="0"/>
      <w:marBottom w:val="0"/>
      <w:divBdr>
        <w:top w:val="none" w:sz="0" w:space="0" w:color="auto"/>
        <w:left w:val="none" w:sz="0" w:space="0" w:color="auto"/>
        <w:bottom w:val="none" w:sz="0" w:space="0" w:color="auto"/>
        <w:right w:val="none" w:sz="0" w:space="0" w:color="auto"/>
      </w:divBdr>
    </w:div>
    <w:div w:id="17888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1849F-7ECD-439C-BECC-964456C6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6556</Words>
  <Characters>37331</Characters>
  <Application>Microsoft Office Word</Application>
  <DocSecurity>0</DocSecurity>
  <Lines>1489</Lines>
  <Paragraphs>629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PAREDES ECHAURI Cristina (CAB-ALMUNIA)</dc:creator>
  <cp:lastModifiedBy>PAREDES ECHAURI Cristina (CAB-ALMUNIA)</cp:lastModifiedBy>
  <cp:revision>2</cp:revision>
  <cp:lastPrinted>2017-11-20T16:11:00Z</cp:lastPrinted>
  <dcterms:created xsi:type="dcterms:W3CDTF">2017-12-06T16:42:00Z</dcterms:created>
  <dcterms:modified xsi:type="dcterms:W3CDTF">2017-12-06T16:42:00Z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