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237D784-0295-4920-B6E7-70A8CF508310"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 ДО СЪВЕТА</w:t>
      </w:r>
    </w:p>
    <w:p>
      <w:pPr>
        <w:spacing w:line="240" w:lineRule="auto"/>
        <w:jc w:val="center"/>
        <w:rPr>
          <w:rFonts w:ascii="Times New Roman" w:hAnsi="Times New Roman"/>
          <w:b/>
          <w:noProof/>
          <w:sz w:val="24"/>
          <w:szCs w:val="24"/>
        </w:rPr>
      </w:pPr>
      <w:r>
        <w:rPr>
          <w:rFonts w:ascii="Times New Roman" w:hAnsi="Times New Roman"/>
          <w:b/>
          <w:noProof/>
          <w:sz w:val="24"/>
        </w:rPr>
        <w:t xml:space="preserve">относно упражняването на правомощието за приемане на делегирани актове, предоставено на Комисията по силата на Регламент (ЕС) № 1151/2012 на Европейския парламент и на Съвета от 21 ноември 2012 г. относно схемите за качество на селскостопанските продукти и храни </w:t>
      </w:r>
    </w:p>
    <w:p>
      <w:pPr>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rPr>
        <w:t xml:space="preserve">1. </w:t>
      </w:r>
      <w:r>
        <w:rPr>
          <w:noProof/>
        </w:rPr>
        <w:tab/>
      </w:r>
      <w:r>
        <w:rPr>
          <w:rFonts w:ascii="Times New Roman" w:hAnsi="Times New Roman"/>
          <w:b/>
          <w:noProof/>
          <w:sz w:val="24"/>
        </w:rPr>
        <w:t>ВЪВЕДЕНИЕ</w:t>
      </w:r>
    </w:p>
    <w:p>
      <w:pPr>
        <w:spacing w:before="120" w:after="120" w:line="240" w:lineRule="auto"/>
        <w:jc w:val="both"/>
        <w:rPr>
          <w:rFonts w:ascii="Times New Roman" w:hAnsi="Times New Roman"/>
          <w:noProof/>
          <w:sz w:val="24"/>
          <w:szCs w:val="24"/>
        </w:rPr>
      </w:pPr>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rPr>
        <w:t>Регламент (ЕС) № 1151/2012 на Европейския парламент и на Съвета от 21 ноември 2012 г. относно схемите за качество на селскостопанските продукти и храни</w:t>
      </w:r>
      <w:r>
        <w:rPr>
          <w:rFonts w:ascii="Times New Roman" w:hAnsi="Times New Roman"/>
          <w:noProof/>
          <w:sz w:val="24"/>
          <w:vertAlign w:val="superscript"/>
        </w:rPr>
        <w:footnoteReference w:id="1"/>
      </w:r>
      <w:r>
        <w:rPr>
          <w:rFonts w:ascii="Times New Roman" w:hAnsi="Times New Roman"/>
          <w:noProof/>
          <w:sz w:val="24"/>
        </w:rPr>
        <w:t>, с който се отменят Регламент (ЕО) № 510/2006 на Съвета от 20 март 2006 г. относно закрилата на географски указания и наименования за произход на земеделски продукти и храни</w:t>
      </w:r>
      <w:r>
        <w:rPr>
          <w:rFonts w:ascii="Times New Roman" w:hAnsi="Times New Roman"/>
          <w:noProof/>
          <w:sz w:val="24"/>
          <w:vertAlign w:val="superscript"/>
        </w:rPr>
        <w:footnoteReference w:id="2"/>
      </w:r>
      <w:r>
        <w:rPr>
          <w:rFonts w:ascii="Times New Roman" w:hAnsi="Times New Roman"/>
          <w:noProof/>
          <w:sz w:val="24"/>
        </w:rPr>
        <w:t xml:space="preserve"> и Регламент (ЕО) № 509/2006 на Съвета от 20 март 2006 г. относно селскостопански и хранителни продукти с традиционно специфичен характер</w:t>
      </w:r>
      <w:r>
        <w:rPr>
          <w:rFonts w:ascii="Times New Roman" w:hAnsi="Times New Roman"/>
          <w:noProof/>
          <w:sz w:val="24"/>
          <w:vertAlign w:val="superscript"/>
        </w:rPr>
        <w:footnoteReference w:id="3"/>
      </w:r>
      <w:r>
        <w:rPr>
          <w:rFonts w:ascii="Times New Roman" w:hAnsi="Times New Roman"/>
          <w:noProof/>
          <w:sz w:val="24"/>
        </w:rPr>
        <w:t xml:space="preserve">, е основният законодателен акт по отношение на схемите за качество на ЕС за селскостопанските продукти и храни. С него беше подобрена и актуализирана рамката за защита и утвърждаване на качествените селскостопански продукти. По-конкретно в обхвата на защитата попаднаха нови продукти, някои определения бяха приведени в съответствие с ТРИПС (Споразумението за свързаните с търговията аспекти на правата върху интелектуалната собственост), защитата беше подобрена, процедурите за регистрация и за изменение бяха рационализирани, използването на символите за защитено наименование за произход (ЗНП), за защитено географско указание (ЗГУ) и за храна с традиционно специфичен характер (ХТСХ) стана задължително за продукти с произход от ЕС, схемата за ХТСХ беше утвърдена, правилата за контрол бяха изяснени и беше създадена схема за незадължителни термини за качество. </w:t>
      </w:r>
    </w:p>
    <w:p>
      <w:pPr>
        <w:spacing w:before="120" w:after="240" w:line="240" w:lineRule="auto"/>
        <w:jc w:val="both"/>
        <w:rPr>
          <w:rFonts w:ascii="Times New Roman" w:hAnsi="Times New Roman"/>
          <w:noProof/>
          <w:sz w:val="24"/>
          <w:szCs w:val="24"/>
        </w:rPr>
      </w:pPr>
      <w:r>
        <w:rPr>
          <w:rFonts w:ascii="Times New Roman" w:hAnsi="Times New Roman"/>
          <w:noProof/>
          <w:sz w:val="24"/>
        </w:rPr>
        <w:t>По силата на член 2, параграф 1, втора алинея, член 5, параграф 4, член 7, параграф 2, първа алинея, член 12, параграф 7, първа алинея, член 16, параграф 2, член 18, параграф 5, член 19, параграф 2, първа алинея, член 23, параграф 4, първа алинея, член 25, параграф 3, член 29, параграф 4, член 30, член 31, параграфи 3 и 4, член 41, параграф 3, член 42, параграф 2, член 49, параграф 7, първа алинея, член 51, параграф 6, първа алинея, член 53, параграф 3, първа алинея и член 54, параграф 2, първа алинея от Регламент (ЕС) № 1151/2012 Комисията се оправомощава да приема делегирани актове с цел допълнение на Регламент (ЕС) № 1151/2012 по отношение на следните въпроси:</w:t>
      </w:r>
      <w:r>
        <w:rPr>
          <w:noProof/>
        </w:rPr>
        <w:t xml:space="preserve"> </w:t>
      </w:r>
      <w:r>
        <w:rPr>
          <w:rFonts w:ascii="Times New Roman" w:hAnsi="Times New Roman"/>
          <w:noProof/>
          <w:sz w:val="24"/>
        </w:rPr>
        <w:t>списъка на продуктите, залегнал в приложение I към Регламент (ЕС) № 1151/2012; ограниченията и дерогациите във връзка с набавянето на фуражи в случай на ЗНП и във връзка с клането на живи животни и набавянето на суровини</w:t>
      </w:r>
      <w:r>
        <w:rPr>
          <w:noProof/>
        </w:rPr>
        <w:t xml:space="preserve"> </w:t>
      </w:r>
      <w:r>
        <w:rPr>
          <w:rFonts w:ascii="Times New Roman" w:hAnsi="Times New Roman"/>
          <w:noProof/>
          <w:sz w:val="24"/>
        </w:rPr>
        <w:t xml:space="preserve">в случай на ЗНП или на ЗГУ; правилата, с които се ограничава информацията, съдържаща се в продуктовата спецификация за ЗНП и ЗГУ, когато такова ограничение </w:t>
      </w:r>
      <w:r>
        <w:rPr>
          <w:rFonts w:ascii="Times New Roman" w:hAnsi="Times New Roman"/>
          <w:noProof/>
          <w:sz w:val="24"/>
        </w:rPr>
        <w:lastRenderedPageBreak/>
        <w:t>е необходимо, за да се избегнат прекомерно обемистите заявления за регистрация; определянето на символите на Съюза, използвани за ЗНП и ЗГУ; допълнителните преходни разпоредби относно ЗНП/ЗГУ, за да се защитят правата и законните интереси на съответните производители и заинтересовани страни; допълнителните подробности за критериите за допустимост за ХТСХ; правилата, с които се ограничава информацията, съдържаща се в продуктовата спецификация за ХТСХ, когато такова ограничение е необходимо, за да се избегнат прекомерно обемистите заявления за регистрация; определянето на символите на Съюза, използвани за ХТСХ;</w:t>
      </w:r>
      <w:r>
        <w:rPr>
          <w:noProof/>
        </w:rPr>
        <w:t xml:space="preserve"> </w:t>
      </w:r>
      <w:r>
        <w:rPr>
          <w:rFonts w:ascii="Times New Roman" w:hAnsi="Times New Roman"/>
          <w:noProof/>
          <w:sz w:val="24"/>
        </w:rPr>
        <w:t>допълнителните преходни разпоредби относно ХТСХ, за да се защитят правата и законните интереси на съответните производители и заинтересовани страни; подробните правила относно критериите за незадължителни термини за качество; запазването, създаването и изменението на условията за използване на допълнителни незадължителни термини за качество; дерогацията от условията за използване на незадължителния термин за качество „планински продукт“, по-специално що се отнася до условията, при които се разрешава суровините или фуражите да идват извън планинските райони, условията, при които се разрешава преработката на продуктите да се извършва извън планинските райони в географски район, който следва да се определи, и за определянето на този географски район; установяването на методите на производство и други критерии, относими към използването на незадължителния термин за качество „планински продукт“; допълнителните правила за определяне на родовия характер на родовите термини;</w:t>
      </w:r>
      <w:r>
        <w:rPr>
          <w:noProof/>
        </w:rPr>
        <w:t xml:space="preserve"> </w:t>
      </w:r>
      <w:r>
        <w:rPr>
          <w:rFonts w:ascii="Times New Roman" w:hAnsi="Times New Roman"/>
          <w:noProof/>
          <w:sz w:val="24"/>
        </w:rPr>
        <w:t>правилата за уреждане на употребата на наименованието на сорт растения или порода животни; правилата за провеждане на националната процедура по предявяване на възражения по отношение на съвместните заявления, свързани с повече от една национална територия, и за допълване на правилата за процеса на подаване на заявления; финализирането на правилата за процедурата по предявяване на възражения; финализирането на правилата за процеса на подаване на заявления за изменение, включително когато се отнася до временна промяна в спецификацията в резултат на налагането на задължителни санитарни или фитосанитарни мерки от страна на публичните органи; финализирането на правилата по отношение на процеса на заличаване.</w:t>
      </w:r>
    </w:p>
    <w:p>
      <w:pPr>
        <w:spacing w:before="120" w:after="240"/>
        <w:jc w:val="both"/>
        <w:rPr>
          <w:rFonts w:ascii="Times New Roman" w:hAnsi="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ПРАВНО ОСНОВАНИЕ</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Настоящият доклад е изготвен във връзка с изискването по член 56, параграф 2 от Регламент (ЕС) № 1151/2012. Съгласно посочената разпоредба правомощието да приема делегирани актове се предоставя на Комисията за срок от пет години, считано от 3 януари 2013 г. Делегирането на правомощия се удължава с мълчаливо съгласие за срокове със същата продължителност, освен ако Европейският парламент или Съветът не възразят срещу подобно удължаване не по-късно от три месеца преди изтичането на всеки срок. </w:t>
      </w:r>
    </w:p>
    <w:p>
      <w:pPr>
        <w:spacing w:before="120" w:after="240"/>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УПРАЖНЯВАНЕ НА ДЕЛЕГИРАНЕТО</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Правомощието за приемане на делегирани актове беше упражнено, за да се гарантира правилното и ефикасно функциониране на Регламент (ЕС) № 1151/2012, да се осигури плавен преход от Регламент (ЕО) № 510/2006 на Съвета относно закрилата на географски указания и наименования за произход на земеделски продукти и храни и Регламент (ЕО) № 509/2006 на Съвета относно селскостопански и хранителни </w:t>
      </w:r>
      <w:r>
        <w:rPr>
          <w:rFonts w:ascii="Times New Roman" w:hAnsi="Times New Roman"/>
          <w:noProof/>
          <w:sz w:val="24"/>
        </w:rPr>
        <w:lastRenderedPageBreak/>
        <w:t xml:space="preserve">продукти с традиционно специфичен характер към новата схема, както и да се осигури справедливо и последователно прилагане на член 31 от регламента относно незадължителния термин за качество „планински продукт“.    </w:t>
      </w:r>
    </w:p>
    <w:p>
      <w:pPr>
        <w:spacing w:before="120" w:after="240" w:line="240" w:lineRule="auto"/>
        <w:jc w:val="both"/>
        <w:rPr>
          <w:rFonts w:ascii="Times New Roman" w:hAnsi="Times New Roman"/>
          <w:noProof/>
          <w:sz w:val="24"/>
          <w:szCs w:val="24"/>
        </w:rPr>
      </w:pPr>
      <w:r>
        <w:rPr>
          <w:rFonts w:ascii="Times New Roman" w:hAnsi="Times New Roman"/>
          <w:noProof/>
          <w:sz w:val="24"/>
        </w:rPr>
        <w:t>Комисията е използвала това правомощие умерено, като е приела два делегирани регламента: Делегиран регламент (ЕС) № 664/2014 на Комисията от 18 декември 2013 г.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w:t>
      </w:r>
      <w:r>
        <w:rPr>
          <w:rFonts w:ascii="Times New Roman" w:hAnsi="Times New Roman"/>
          <w:noProof/>
          <w:sz w:val="24"/>
          <w:vertAlign w:val="superscript"/>
        </w:rPr>
        <w:footnoteReference w:id="4"/>
      </w:r>
      <w:r>
        <w:rPr>
          <w:rFonts w:ascii="Times New Roman" w:hAnsi="Times New Roman"/>
          <w:noProof/>
          <w:sz w:val="24"/>
        </w:rPr>
        <w:t xml:space="preserve"> и Делегиран регламент (ЕС) № 665/2014 на Комисията от 11 март 2014 г. за допълване на Регламент (ЕС) № 1151/2012 на Европейския парламент и на Съвета по отношение на условията за използване на незадължителния термин за качество „планински продукт“</w:t>
      </w:r>
      <w:r>
        <w:rPr>
          <w:rFonts w:ascii="Times New Roman" w:hAnsi="Times New Roman"/>
          <w:noProof/>
          <w:sz w:val="24"/>
          <w:vertAlign w:val="superscript"/>
        </w:rPr>
        <w:footnoteReference w:id="5"/>
      </w:r>
      <w:r>
        <w:rPr>
          <w:rFonts w:ascii="Times New Roman" w:hAnsi="Times New Roman"/>
          <w:noProof/>
          <w:sz w:val="24"/>
        </w:rPr>
        <w:t>.</w:t>
      </w:r>
    </w:p>
    <w:p>
      <w:pPr>
        <w:spacing w:before="120" w:after="240" w:line="240" w:lineRule="auto"/>
        <w:jc w:val="both"/>
        <w:rPr>
          <w:rFonts w:ascii="Times New Roman" w:hAnsi="Times New Roman"/>
          <w:noProof/>
          <w:sz w:val="24"/>
          <w:szCs w:val="24"/>
        </w:rPr>
      </w:pPr>
      <w:r>
        <w:rPr>
          <w:rFonts w:ascii="Times New Roman" w:hAnsi="Times New Roman"/>
          <w:noProof/>
          <w:sz w:val="24"/>
        </w:rPr>
        <w:t>Понастоящем Комисията не предвижда да използва отново оправомощаването съгласно членовете от Регламент (ЕС) № 1151/2012, с които Комисията се оправомощава да приема делегирани актове.</w:t>
      </w:r>
    </w:p>
    <w:p>
      <w:pPr>
        <w:spacing w:before="120" w:after="240" w:line="240" w:lineRule="auto"/>
        <w:jc w:val="both"/>
        <w:rPr>
          <w:rFonts w:ascii="Times New Roman" w:hAnsi="Times New Roman"/>
          <w:noProof/>
          <w:sz w:val="24"/>
          <w:szCs w:val="24"/>
        </w:rPr>
      </w:pPr>
      <w:r>
        <w:rPr>
          <w:rFonts w:ascii="Times New Roman" w:hAnsi="Times New Roman"/>
          <w:noProof/>
          <w:sz w:val="24"/>
        </w:rPr>
        <w:t>В Делегиран регламент (ЕС) № 664/2014 на Комисията</w:t>
      </w:r>
      <w:r>
        <w:rPr>
          <w:noProof/>
        </w:rPr>
        <w:t xml:space="preserve"> </w:t>
      </w:r>
      <w:r>
        <w:rPr>
          <w:rFonts w:ascii="Times New Roman" w:hAnsi="Times New Roman"/>
          <w:noProof/>
          <w:sz w:val="24"/>
        </w:rPr>
        <w:t>са предвидени специфични правила за набавянето на фуражи за защитени наименования за произход и относно произхода на суровините за защитени географски указания (член 1), определят се символите на Съюза (член 2), определя се максималната дължина на продуктовите спецификации на храните с традиционно специфичен характер (член 3), поясняват се правилата за процедурата за предявяване на възражения по отношение на съвместни заявления (член 4), предвижда се задължението заявителят да уведоми Комисията относно цялата информация, свързана със съгласието, постигнато в контекста на процедурата за предявяване на възражения (член 5), определят се процесуалните правила за изменения, които не са несъществени, за несъществени изменения и временни изменения (член 6), като се посочва, че заличаването става предмет на официална процедура чрез привеждането му в съответствие със стандартната процедура за регистрация, както е посочено в членове 49—52 от Регламент (ЕС) № 1151/2012 (член 7), предвиждат се преходни правила за публикуване на единни документи за защитени наименования за произход и защитени географски указания, регистрирани преди 31 март 2006 г., и относно условията за използване на символи, които да се прилагат до 3 януари 2016 г., датата, от която новият режим относно условията за използването на символи, указания и съкращения, както е посочено в член 12, параграф 3 и член 23, параграф 3 от Регламент (ЕС) № 1151/2012, ще се прилага (член 8), отменят се Регламент (ЕО) № 1898/2006 на Комисията за определяне на подробни правила за прилагане на Регламент (ЕО) № 510/2006 на Съвета относно закрилата на географски указания и наименования за произход на земеделски продукти и храни</w:t>
      </w:r>
      <w:r>
        <w:rPr>
          <w:rFonts w:ascii="Times New Roman" w:hAnsi="Times New Roman"/>
          <w:noProof/>
          <w:sz w:val="24"/>
          <w:vertAlign w:val="superscript"/>
        </w:rPr>
        <w:footnoteReference w:id="6"/>
      </w:r>
      <w:r>
        <w:rPr>
          <w:rFonts w:ascii="Times New Roman" w:hAnsi="Times New Roman"/>
          <w:noProof/>
          <w:sz w:val="24"/>
        </w:rPr>
        <w:t xml:space="preserve"> и Регламент (ЕО) № 1216/2007 на Комисията за приемане на подробни правила за прилагането на Регламент (ЕО) № 509/2006 на Съвета относно селскостопански и хранителни продукти с традиционно специфичен характер</w:t>
      </w:r>
      <w:r>
        <w:rPr>
          <w:rFonts w:ascii="Times New Roman" w:hAnsi="Times New Roman"/>
          <w:noProof/>
          <w:sz w:val="24"/>
          <w:vertAlign w:val="superscript"/>
        </w:rPr>
        <w:footnoteReference w:id="7"/>
      </w:r>
      <w:r>
        <w:rPr>
          <w:rFonts w:ascii="Times New Roman" w:hAnsi="Times New Roman"/>
          <w:noProof/>
          <w:sz w:val="24"/>
        </w:rPr>
        <w:t xml:space="preserve"> (член 9).</w:t>
      </w:r>
    </w:p>
    <w:p>
      <w:pPr>
        <w:spacing w:before="120" w:after="240" w:line="240" w:lineRule="auto"/>
        <w:jc w:val="both"/>
        <w:rPr>
          <w:rFonts w:ascii="Times New Roman" w:hAnsi="Times New Roman"/>
          <w:noProof/>
          <w:sz w:val="24"/>
          <w:szCs w:val="24"/>
        </w:rPr>
      </w:pPr>
      <w:r>
        <w:rPr>
          <w:rFonts w:ascii="Times New Roman" w:hAnsi="Times New Roman"/>
          <w:noProof/>
          <w:sz w:val="24"/>
        </w:rPr>
        <w:t>С Делегиран регламент (ЕС) № 665/2014 на Комисията се определят критериите за използването на термина „планински продукт“ за продукти от животински произход (член 1), разясняват се изискванията за различните видове животни, съгласно които фуражите следва да са с произход главно от планински райони (член 2), определят се критериите за използването на термина „планински продукт“ за продукти от пчеларството (член 3), определят се критериите за използването на термина „планински продукт“ за продукти от растителен произход (член 4), изброяват се съставките на продуктите от растителен и животински произход, които могат да бъдат с произход извън планинските райони (член 5), както и се определя какви преработвателни дейности може да се извършват в рамките на определено разстояние от планинските райони (член 6).</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В съответствие с Общото споразумение относно делегираните актове при подготовката на актовете — в рамките на експертната група за устойчивост и качество на селското стопанство и развитие на селските район — бяха проведени консултации с експерти от държавите членки. Комисията осигури едновременното и своевременно предаване на съответните документи по подходящ начин на Европейския парламент и на Съвета. </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На 18 декември 2013 г. Комисията прие Делегиран регламент (ЕС) № 664/2014 на Комисията, а на 11 март 2014 г. — Делегиран регламент (ЕС) № 665/2014 на Комисията. За тях бяха уведомени Европейският парламент и Съветът, за да се даде възможност на тези институции да предявят възражение в срок от два месеца, считано от уведомяването за актовете. </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Що се отнася до Делегиран регламент (ЕС) № 664/2014 на Комисията, срокът от два месеца от датата на уведомяване на Европейския парламент и на Съвета за акта с оглед предявяване на възражение, както е предвидено в член 56, параграф 5 от Регламент (ЕС) № 1151/2012, беше удължен с два месеца по инициатива на Съвета. </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Нито Европейският парламент, нито Съветът предявиха възражение по отношение на двата делегирани регламента. След изтичането на съответните срокове Делегиран регламент (ЕС) № 664/2014 на Комисията беше публикуван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(L 179 от 19 юни 2014 г.) и влезе в сила на 22 юни 2014 г., а Делегиран регламент (ЕС) № 665/2014 на Комисията беше публикуван в същия брой на </w:t>
      </w:r>
      <w:r>
        <w:rPr>
          <w:rFonts w:ascii="Times New Roman" w:hAnsi="Times New Roman"/>
          <w:i/>
          <w:noProof/>
          <w:sz w:val="24"/>
        </w:rPr>
        <w:t>Официален вестник на Европейския съюз</w:t>
      </w:r>
      <w:r>
        <w:rPr>
          <w:rFonts w:ascii="Times New Roman" w:hAnsi="Times New Roman"/>
          <w:noProof/>
          <w:sz w:val="24"/>
        </w:rPr>
        <w:t xml:space="preserve"> и влезе в сила на 26 юни 2014 г.</w:t>
      </w:r>
    </w:p>
    <w:p>
      <w:pPr>
        <w:spacing w:before="120" w:after="240"/>
        <w:jc w:val="both"/>
        <w:rPr>
          <w:rFonts w:ascii="Times New Roman" w:hAnsi="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АКТУАЛНО ПОЛОЖЕНИЕ</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Двата посочени по-горе делегирани регламента са постигнали в задоволителна степен целта за допълнение на Регламент (ЕС) № 1151/2012 с необходимите правила, така че да бъде осигурено неговото правилно и ефикасно функциониране.  </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Не е получено искане от държавите членки за евентуално допълнително делегиране на правомощия на Комисията или за оттеглянето им. Не са представени очаквания за промяна на баланса на правомощията, предвидени в Регламент (ЕС) № 1151/2012. Не е получено и искане за изменение на двата делегирани регламента. </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Макар да не бяха срещнати трудности при прилагането и тълкуването на въпросните два делегирани регламента през трите години от прилагането им, съответният правен, икономически и фактически контекст търпи непрекъснато развитие. Следователно е препоръчително удължаване на срока на делегирането на правомощията за срок от още 5 години, за да се даде възможност на Комисията да реагира своевременно на възможни специфични проблеми, които могат да възникнат при тълкуването и прилагането на цялостната правна система, състояща се от Регламент (ЕС) № 1151/2012, Регламент (ЕС) № 664/2014, Регламент (ЕС) № 665/2014 и Регламент (ЕС) № 668/2014.       </w:t>
      </w:r>
    </w:p>
    <w:p>
      <w:pPr>
        <w:spacing w:before="120" w:after="240"/>
        <w:jc w:val="both"/>
        <w:rPr>
          <w:rFonts w:ascii="Times New Roman" w:hAnsi="Times New Roman"/>
          <w:b/>
          <w:noProof/>
          <w:sz w:val="24"/>
          <w:szCs w:val="24"/>
        </w:rPr>
      </w:pPr>
      <w:r>
        <w:rPr>
          <w:rFonts w:ascii="Times New Roman" w:hAnsi="Times New Roman"/>
          <w:b/>
          <w:noProof/>
          <w:sz w:val="24"/>
        </w:rPr>
        <w:t xml:space="preserve">5. </w:t>
      </w:r>
      <w:r>
        <w:rPr>
          <w:noProof/>
        </w:rPr>
        <w:tab/>
      </w:r>
      <w:r>
        <w:rPr>
          <w:rFonts w:ascii="Times New Roman" w:hAnsi="Times New Roman"/>
          <w:b/>
          <w:noProof/>
          <w:sz w:val="24"/>
        </w:rPr>
        <w:t>ЗАКЛЮЧЕНИЕ</w:t>
      </w:r>
    </w:p>
    <w:p>
      <w:pPr>
        <w:spacing w:before="120" w:after="240" w:line="240" w:lineRule="auto"/>
        <w:jc w:val="both"/>
        <w:rPr>
          <w:rFonts w:ascii="Times New Roman" w:hAnsi="Times New Roman"/>
          <w:b/>
          <w:noProof/>
          <w:sz w:val="24"/>
          <w:szCs w:val="24"/>
        </w:rPr>
      </w:pPr>
      <w:r>
        <w:rPr>
          <w:rFonts w:ascii="Times New Roman" w:hAnsi="Times New Roman"/>
          <w:noProof/>
          <w:sz w:val="24"/>
        </w:rPr>
        <w:t>Комисията е упражнила правилно делегираните ѝ правомощия и приканва Европейския парламент и Съвета да вземат под внимание настоящия доклад.</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lang w:val="pl-PL"/>
        </w:rPr>
      </w:pPr>
      <w:r>
        <w:rPr>
          <w:rStyle w:val="FootnoteReference"/>
        </w:rPr>
        <w:footnoteRef/>
      </w:r>
      <w:r>
        <w:t xml:space="preserve"> </w:t>
      </w:r>
      <w:r>
        <w:tab/>
      </w:r>
      <w:r>
        <w:rPr>
          <w:rFonts w:ascii="Times New Roman" w:hAnsi="Times New Roman"/>
        </w:rPr>
        <w:t>OВ L 343, 14.12.2012 г., стр. 1.</w:t>
      </w:r>
    </w:p>
  </w:footnote>
  <w:footnote w:id="2">
    <w:p>
      <w:pPr>
        <w:pStyle w:val="FootnoteText"/>
        <w:rPr>
          <w:rFonts w:ascii="Times New Roman" w:hAnsi="Times New Roman"/>
          <w:lang w:val="pl-PL"/>
        </w:rPr>
      </w:pPr>
      <w:r>
        <w:rPr>
          <w:rStyle w:val="FootnoteReference"/>
          <w:rFonts w:ascii="Times New Roman" w:hAnsi="Times New Roman"/>
        </w:rPr>
        <w:footnoteRef/>
      </w:r>
      <w:r>
        <w:tab/>
      </w:r>
      <w:r>
        <w:rPr>
          <w:rFonts w:ascii="Times New Roman" w:hAnsi="Times New Roman"/>
        </w:rPr>
        <w:t>ОВ L 93, 31.3.2006 г., стр. 12.</w:t>
      </w:r>
    </w:p>
  </w:footnote>
  <w:footnote w:id="3">
    <w:p>
      <w:pPr>
        <w:pStyle w:val="FootnoteText"/>
        <w:rPr>
          <w:b/>
          <w:lang w:val="pl-PL"/>
        </w:rPr>
      </w:pPr>
      <w:r>
        <w:rPr>
          <w:rStyle w:val="FootnoteReference"/>
          <w:rFonts w:ascii="Times New Roman" w:hAnsi="Times New Roman"/>
        </w:rPr>
        <w:footnoteRef/>
      </w:r>
      <w:r>
        <w:tab/>
      </w:r>
      <w:r>
        <w:rPr>
          <w:rFonts w:ascii="Times New Roman" w:hAnsi="Times New Roman"/>
        </w:rPr>
        <w:t>ОВ L 93, 31.3.2006 г., стр. 1.</w:t>
      </w:r>
    </w:p>
  </w:footnote>
  <w:footnote w:id="4">
    <w:p>
      <w:pPr>
        <w:pStyle w:val="FootnoteText"/>
        <w:rPr>
          <w:rStyle w:val="FootnoteReference"/>
          <w:lang w:val="pl-PL"/>
        </w:rPr>
      </w:pPr>
      <w:r>
        <w:rPr>
          <w:rStyle w:val="FootnoteReference"/>
        </w:rPr>
        <w:footnoteRef/>
      </w:r>
      <w:r>
        <w:t xml:space="preserve"> </w:t>
      </w:r>
      <w:r>
        <w:tab/>
      </w:r>
      <w:r>
        <w:rPr>
          <w:rFonts w:ascii="Times New Roman" w:hAnsi="Times New Roman"/>
        </w:rPr>
        <w:t>ОВ L 179, 19.6.2014 г., стр. 17.</w:t>
      </w:r>
    </w:p>
  </w:footnote>
  <w:footnote w:id="5">
    <w:p>
      <w:pPr>
        <w:pStyle w:val="FootnoteText"/>
        <w:rPr>
          <w:rFonts w:ascii="Times New Roman" w:hAnsi="Times New Roman"/>
          <w:lang w:val="pl-PL"/>
        </w:rPr>
      </w:pPr>
      <w:r>
        <w:rPr>
          <w:rStyle w:val="FootnoteReference"/>
        </w:rPr>
        <w:footnoteRef/>
      </w:r>
      <w:r>
        <w:t xml:space="preserve"> </w:t>
      </w:r>
      <w:r>
        <w:tab/>
      </w:r>
      <w:r>
        <w:rPr>
          <w:rFonts w:ascii="Times New Roman" w:hAnsi="Times New Roman"/>
          <w:color w:val="000000"/>
        </w:rPr>
        <w:t>ОВ L 179, 19.6.2014 г., стр. 23.</w:t>
      </w:r>
    </w:p>
  </w:footnote>
  <w:footnote w:id="6">
    <w:p>
      <w:pPr>
        <w:pStyle w:val="doc-ti"/>
        <w:spacing w:after="200"/>
        <w:jc w:val="both"/>
        <w:rPr>
          <w:lang w:val="pl-PL"/>
        </w:rPr>
      </w:pPr>
      <w:r>
        <w:rPr>
          <w:rStyle w:val="FootnoteReference"/>
          <w:b w:val="0"/>
          <w:sz w:val="20"/>
        </w:rPr>
        <w:footnoteRef/>
      </w:r>
      <w:r>
        <w:rPr>
          <w:b w:val="0"/>
          <w:sz w:val="20"/>
        </w:rPr>
        <w:t xml:space="preserve"> </w:t>
      </w:r>
      <w:r>
        <w:tab/>
      </w:r>
      <w:r>
        <w:rPr>
          <w:b w:val="0"/>
          <w:sz w:val="20"/>
        </w:rPr>
        <w:t>ОВ L 369, 23.12.2006 г., стр. 1.</w:t>
      </w:r>
    </w:p>
  </w:footnote>
  <w:footnote w:id="7">
    <w:p>
      <w:pPr>
        <w:pStyle w:val="FootnoteText"/>
        <w:rPr>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275, 19.10.2007 г., стр.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FigNum" w:val="1"/>
    <w:docVar w:name="LW_CORRIGENDUM" w:val="&lt;UNUSED&gt;"/>
    <w:docVar w:name="LW_COVERPAGE_EXISTS" w:val="True"/>
    <w:docVar w:name="LW_COVERPAGE_GUID" w:val="E237D784-0295-4920-B6E7-70A8CF508310"/>
    <w:docVar w:name="LW_COVERPAGE_TYPE" w:val="1"/>
    <w:docVar w:name="LW_CROSSREFERENCE" w:val="&lt;UNUSED&gt;"/>
    <w:docVar w:name="LW_DocType" w:val="NORMAL"/>
    <w:docVar w:name="LW_EMISSION" w:val="11.12.2017"/>
    <w:docVar w:name="LW_EMISSION_ISODATE" w:val="2017-12-11"/>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u1057?) \u8470? 1151/2012 \u1085?\u1072? \u1045?\u1074?\u1088?\u1086?\u1087?\u1077?\u1081?\u1089?\u1082?\u1080?\u1103? \u1087?\u1072?\u1088?\u1083?\u1072?\u1084?\u1077?\u1085?\u1090? \u1080? \u1085?\u1072? \u1057?\u1098?\u1074?\u1077?\u1090?\u1072? \u1086?\u1090? 21 \u1085?\u1086?\u1077?\u1084?\u1074?\u1088?\u1080? 2012 \u1075?. \u1086?\u1090?\u1085?\u1086?\u1089?\u1085?\u1086? \u1089?\u1093?\u1077?\u1084?\u1080?\u1090?\u1077? \u1079?\u1072? \u1082?\u1072?\u1095?\u1077?\u1089?\u1090?\u1074?\u1086? \u1085?\u1072? \u1089?\u1077?\u1083?\u1089?\u1082?\u1086?\u1089?\u1090?\u1086?\u1087?\u1072?\u1085?\u1089?\u1082?\u1080?\u1090?\u1077? \u1087?\u1088?\u1086?\u1076?\u1091?\u1082?\u1090?\u1080? \u1080? \u1093?\u1088?\u1072?\u1085?\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bg-BG"/>
    </w:rPr>
  </w:style>
  <w:style w:type="character" w:styleId="FootnoteReference">
    <w:name w:val="footnote reference"/>
    <w:semiHidden/>
    <w:rPr>
      <w:shd w:val="clear" w:color="auto" w:fill="auto"/>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55BF-DAD9-4864-BC03-57E46A75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1896</Words>
  <Characters>10923</Characters>
  <Application>Microsoft Office Word</Application>
  <DocSecurity>0</DocSecurity>
  <Lines>179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2017-05-31T18:13:00Z</cp:lastPrinted>
  <dcterms:created xsi:type="dcterms:W3CDTF">2017-11-15T08:53:00Z</dcterms:created>
  <dcterms:modified xsi:type="dcterms:W3CDTF">2017-12-01T08:49:00Z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