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BE58944A-2517-46EA-ABA1-CBA80F61D3A3" style="width:450.45pt;height:406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до решението за определяне на позицията, която да бъде заета от името на Съюза в рамките на Съвместния комитет, създаден по силата на 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Споразумението за партньорство по въпросите на отношенията и сътрудничеството между ЕС и Нова Зеландия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 („Споразумението“), има за цел да установи засилено партньорство между ЕС и неговите държави членки и Нова Зеландия и да задълбочи и подобри сътрудничеството по въпроси от взаимен интерес, като бъдат отразени споделените ценности и общи принципи, включително чрез засилване на диалога на високо равнище. Със Споразумението ще се създаде съгласувана, правно обвързваща рамка за отношенията на ЕС с Нова Зеландия.  Части от Споразумението се прилагат временно от 12 януари 2017 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 xml:space="preserve">Съвместен комитет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Съвместният комитет се създава по силата на член 53 от Споразумението. Негови основни задачи са да улеснява изпълнението и да съдейства за постигане на общите цели на Споразумението, както и да запазва цялостната съгласуваност в отношенията между ЕС и Нова Зеландия. Останалите задачи на Съвместния комитет включват: наблюдение на развитието на отношенията между ЕС и Нова Зеландия; обмен на становища и отправяне на предложения по всички въпроси от общ интерес; полагане на усилия за разрешаване на спорове, които биха могли да възникнат в областите, обхванати от Споразумението.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Съвместният комитет прави препоръки и приема решения, когато е уместно, за привеждане в действие на конкретни аспекти на  Споразумението. Съвместният комитет действа с консенсус и заседава на равнище висши служители. Съвместният комитет приема свой процедурен правилник. Той може да създава подкомитети и работни групи, които да се занимават с конкретни въпроси.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Съвместния комитет</w:t>
      </w:r>
    </w:p>
    <w:p>
      <w:pPr>
        <w:rPr>
          <w:rFonts w:eastAsia="Arial Unicode MS"/>
          <w:noProof/>
        </w:rPr>
      </w:pPr>
      <w:r>
        <w:rPr>
          <w:noProof/>
        </w:rPr>
        <w:t>По време на първото си заседание Съвместният комитет следва да приеме решения относно приемането на своя процедурен правилник  и мандата на подкомитетите и работните групи („предвидените актове“).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Целта на предвидените актове е да бъдат приети, в съответствие с член 53, параграф 4 от Споразумението, процедурният правилник за организацията на Съвместния комитет и мандатът на подкомитетите и работните групи, за да се даде възможност за прилагането на Споразумението. </w:t>
      </w:r>
    </w:p>
    <w:p>
      <w:pPr>
        <w:pStyle w:val="ManualHeading1"/>
        <w:rPr>
          <w:rFonts w:eastAsia="Arial Unicode MS"/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да бъде заета от името на Съюза</w:t>
      </w:r>
    </w:p>
    <w:p>
      <w:pPr>
        <w:rPr>
          <w:noProof/>
        </w:rPr>
      </w:pPr>
      <w:r>
        <w:rPr>
          <w:noProof/>
        </w:rPr>
        <w:t xml:space="preserve">Позицията, която следва да бъде заета от името на Съюза, следва да има за цел приемането на процедурния правилник на Съвместния комитет ЕС—Нова Зеландия и на мандата на подкомитетите и работните групи. Позицията следва да се основава на проектите на решения на Съвместния комитет. 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на които се подчинява съответният орган. Понятието включва също инструменти, които нямат обвързващ характер съгласно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Съвместният комитет е орган създаден по силата на 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страна.</w:t>
      </w:r>
    </w:p>
    <w:p>
      <w:pPr>
        <w:rPr>
          <w:noProof/>
        </w:rPr>
      </w:pPr>
      <w:r>
        <w:rPr>
          <w:noProof/>
        </w:rPr>
        <w:t>Актовете, които Съвместният комитет има за задача да приема, са актове с правно действие. Това е така, защото в съответствие с член 53, параграф 3, буква и) от Споразумението, Съвместният комитет следва да приема решения, които са обвързващи за страните по Споразумението.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 218, параграф 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rPr>
          <w:noProof/>
        </w:rPr>
      </w:pPr>
      <w:r>
        <w:rPr>
          <w:noProof/>
        </w:rPr>
        <w:t xml:space="preserve">По отношение на предвиден акт, който преследва едновременно няколко цели или се състои от няколко части, които са неразривно свързани, без никоя от тях да е акцесорна </w:t>
      </w:r>
      <w:r>
        <w:rPr>
          <w:noProof/>
        </w:rPr>
        <w:lastRenderedPageBreak/>
        <w:t>по отношение на другите, материалноправното основание на решение съгласно член 218, параграф 9 от ДФЕС ще трябва, по изключение, да включва съответните различни правни основания.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b/>
          <w:noProof/>
        </w:rPr>
      </w:pPr>
      <w:r>
        <w:rPr>
          <w:noProof/>
        </w:rPr>
        <w:t xml:space="preserve">Целта на предвидените действия е да се съдейства за постигането на целите на Споразумението и да бъде улеснено неговото изпълнение. </w:t>
      </w:r>
    </w:p>
    <w:p>
      <w:pPr>
        <w:rPr>
          <w:b/>
          <w:noProof/>
        </w:rPr>
      </w:pPr>
      <w:r>
        <w:rPr>
          <w:noProof/>
        </w:rPr>
        <w:t>Споразумението преследва цели и съдържа части, отнасящи се до областите на общата външна политика и политика на сигурност,  общата търговска политика и сътрудничеството с развитите държави. Тези аспекти на Споразумението са неразривно свързани, без никой от тях да е акцесорен по отношение на другия. Подписването на Споразумението се основава на член 37 от ДЕС, член 207 от ДФЕС и член 212, параграф 1 от ДФЕС.</w:t>
      </w:r>
    </w:p>
    <w:p>
      <w:pPr>
        <w:rPr>
          <w:b/>
          <w:noProof/>
        </w:rPr>
      </w:pPr>
      <w:r>
        <w:rPr>
          <w:noProof/>
        </w:rPr>
        <w:t>Поради това предвидените актове следва да се основават на едни и същи материалноправни основания.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 xml:space="preserve">С оглед на изложеното по-горе правното основание за предложеното решение следва да бъде член 37 от ДЕС, член 207 от ДФЕС и член 212, параграф 1 от ДФЕС във връзка с член 218, параграф 9 от ДФЕС. 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2017/0327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Съвместния комитет, създаден по силата на 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страна, във връзка с приемането на решения относно процедурния правилник на Съвместния комитет и приемането на мандата на подкомитетите и работните групи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spacing w:before="0" w:after="240"/>
        <w:rPr>
          <w:rFonts w:eastAsia="Calibri"/>
          <w:noProof/>
        </w:rPr>
      </w:pPr>
      <w:r>
        <w:rPr>
          <w:noProof/>
        </w:rPr>
        <w:t>като взе предвид Договора за Европейския съюз, и по-специално член 37 от него,</w:t>
      </w:r>
    </w:p>
    <w:p>
      <w:pPr>
        <w:spacing w:before="0" w:after="240"/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207 и член 212, параграф 1, във връзка с член 218, параграф 9 от него,</w:t>
      </w:r>
    </w:p>
    <w:p>
      <w:pPr>
        <w:spacing w:before="0" w:after="240"/>
        <w:rPr>
          <w:rFonts w:eastAsia="Calibri"/>
          <w:noProof/>
        </w:rPr>
      </w:pPr>
      <w:r>
        <w:rPr>
          <w:noProof/>
        </w:rPr>
        <w:t>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партньорство между Европейския съюз и неговите държави членки, от една страна, и Нова Зеландия, от друга страна („Споразумението“), беше подписано в Брюксел на 5 октомври 2016 г. и се прилага временно от 12 януари 2017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член 53, параграф 1 от Споразумението се създава Съвместен комитет, чиято цел е да улеснява изпълнението на Споразумението.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 53, параграф 4 от Споразумението се предвижда, че Съвместният комитет следва да приеме свой процедурен правилник и че може да създава подкомитети и работни групи, които да се занимават с конкретни въпроси.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Съгласно член 53, параграф 5 от Споразумението страните следва  съвместно да председателстват Съвместния комитет.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цел да се гарантира ефективното прилагане на Споразумението, процедурният правилник на Съвместния комитет следва да бъде приет възможно най-скоро.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Следователно позицията на Съюза в рамките на Съвместния комитет следва да се основава на приложените проекти на решения,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Позицията, която да бъде заета от името на Съюза на първото заседание на Съвместния комитет ЕС—Нова Зеландия, се основава на проектите на решения на Съвместния комитет, приложени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 2</w:t>
      </w:r>
    </w:p>
    <w:p>
      <w:pPr>
        <w:rPr>
          <w:noProof/>
          <w:szCs w:val="24"/>
        </w:rPr>
      </w:pPr>
      <w:r>
        <w:rPr>
          <w:noProof/>
        </w:rPr>
        <w:t>Върховният представител на Съюза по въпросите на външните работи и политиката на сигурност председателства Съвместния комитет, предвиден в член 53 от Споразумението. В Съвместния комитет са представени Съюзът или съответно Съюзът и държавите членки в зависимост от конкретната тема.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Адресати на настоящото решение са Комисията и върховният представител на Съюза по въпросите на външните работи и политиката на сигурност.</w:t>
      </w:r>
    </w:p>
    <w:p>
      <w:pPr>
        <w:rPr>
          <w:noProof/>
        </w:rPr>
      </w:pP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Дело C-399/12 Германия/Съвет (OIV), ECLI:EU:C:2014:2258, т. 61—64.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1458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E3A87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C202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A40D0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7565D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FCE2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C966A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44ED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12 07:51:1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E58944A-2517-46EA-ABA1-CBA80F61D3A3"/>
    <w:docVar w:name="LW_COVERPAGE_TYPE" w:val="1"/>
    <w:docVar w:name="LW_CROSSREFERENCE" w:val="&lt;UNUSED&gt;"/>
    <w:docVar w:name="LW_DocType" w:val="COM"/>
    <w:docVar w:name="LW_EMISSION" w:val="6.12.2017"/>
    <w:docVar w:name="LW_EMISSION_ISODATE" w:val="2017-12-06"/>
    <w:docVar w:name="LW_EMISSION_LOCATION" w:val="BRX"/>
    <w:docVar w:name="LW_EMISSION_PREFIX" w:val="Брюксел, "/>
    <w:docVar w:name="LW_EMISSION_SUFFIX" w:val=" \u1075?."/>
    <w:docVar w:name="LW_ID_DOCMODEL" w:val="SG-064"/>
    <w:docVar w:name="LW_ID_DOCSIGNATURE" w:val="SJ-019"/>
    <w:docVar w:name="LW_ID_DOCSTRUCTURE" w:val="COM/PL/ORG"/>
    <w:docVar w:name="LW_ID_DOCTYPE" w:val="SG-064"/>
    <w:docVar w:name="LW_ID_STATUT" w:val="SG-064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327"/>
    <w:docVar w:name="LW_REF.II.NEW.CP_YEAR" w:val="2017"/>
    <w:docVar w:name="LW_REF.INST.NEW" w:val="JOIN"/>
    <w:docVar w:name="LW_REF.INST.NEW_ADOPTED" w:val="final"/>
    <w:docVar w:name="LW_REF.INST.NEW_TEXT" w:val="(2017) 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7?\u1086? \u1089?\u1080?\u1083?\u1072?\u1090?\u1072? \u1085?\u1072? \u1057?\u1087?\u1086?\u1088?\u1072?\u1079?\u1091?\u1084?\u1077?\u1085?\u1080?\u1077?\u1090?\u1086? \u1079?\u1072? \u1087?\u1072?\u1088?\u1090?\u1085?\u1100?\u1086?\u1088?\u1089?\u1090?\u1074?\u1086? \u1087?\u1086? \u1074?\u1098?\u1087?\u1088?\u1086?\u1089?\u1080?\u1090?\u1077? \u1085?\u1072? \u1086?\u1090?\u1085?\u1086?\u1096?\u1077?\u1085?\u1080?\u1103?\u1090?\u1072? \u1080? \u1089?\u1098?\u1090?\u1088?\u1091?\u1076?\u1085?\u1080?\u1095?\u1077?\u1089?\u1090?\u1074?\u1086?\u1090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3?\u1086?\u1074?\u1072? \u1047?\u1077?\u1083?\u1072?\u1085?\u1076?\u1080?\u1103?, \u1086?\u1090? \u1076?\u1088?\u1091?\u1075?\u1072? \u1089?\u1090?\u1088?\u1072?\u1085?\u1072?, \u1074?\u1098?\u1074? \u1074?\u1088?\u1098?\u1079?\u1082?\u1072? \u1089? \u1087?\u1088?\u1080?\u1077?\u1084?\u1072?\u1085?\u1077?\u1090?\u1086? \u1085?\u1072? \u1088?\u1077?\u1096?\u1077?\u1085?\u1080?\u1103? \u1086?\u1090?\u1085?\u1086?\u1089?\u1085?\u1086? \u1087?\u1088?\u1086?\u1094?\u1077?\u1076?\u1091?\u1088?\u1085?\u1080?\u1103? \u1087?\u1088?\u1072?\u1074?\u1080?\u1083?\u1085?\u1080?\u1082? \u1085?\u1072? \u1057?\u1098?\u1074?\u1084?\u1077?\u1089?\u1090?\u1085?\u1080?\u1103? \u1082?\u1086?\u1084?\u1080?\u1090?\u1077?\u1090? \u1080? \u1087?\u1088?\u1080?\u1077?\u1084?\u1072?\u1085?\u1077?\u1090?\u1086? \u1085?\u1072? \u1084?\u1072?\u1085?\u1076?\u1072?\u1090?\u1072? \u1085?\u1072? \u1087?\u1086?\u1076?\u1082?\u1086?\u1084?\u1080?\u1090?\u1077?\u1090?\u1080?\u1090?\u1077? \u1080? \u1088?\u1072?\u1073?\u1086?\u1090?\u1085?\u1080?\u1090?\u1077? \u1075?\u1088?\u1091?\u1087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1363</Words>
  <Characters>7747</Characters>
  <Application>Microsoft Office Word</Application>
  <DocSecurity>0</DocSecurity>
  <Lines>154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2017-11-06T16:20:00Z</cp:lastPrinted>
  <dcterms:created xsi:type="dcterms:W3CDTF">2017-12-11T16:09:00Z</dcterms:created>
  <dcterms:modified xsi:type="dcterms:W3CDTF">2017-12-12T06:51:00Z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20141001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SG-064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