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0D270D9-74F2-4DE9-9E58-4EAC97885FD4" style="width:450pt;height:36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Една от основните цели на реформата на настоящата обща политика в областта на рибарството (ОПОР)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е постигането на равнище на експлоатация за максимален устойчив улов за всички запаси, за да се възстановят и поддържат популациите от рибните запаси на устойчиви равнища, т.е. над нивата на биомаса, които позволяват максимален устойчив улов. Устойчивата експлоатация на морските биологични ресурси може да бъде реализиранa по-ефективно посредством многогодишен подход към управлението на рибарството чрез приемане на многогодишни планове за управление на рибарството, които съгласно настоящата ОПОР следва да отразяват особеностите на различните риболовни дейности и на запасите. Многогодишните планове за управление следва да осигурят рамката за устойчивата експлоатация на запасите, като в тях се определят ясно сроковете и предпазните механизми в случай на непредвидена промяна в състоянието на рибните запаси. 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През 2013 г. между Европейския парламент, Съвета и Европейската комисия беше създадена междуинституционална работна група за многогодишните планове с цел съгласуване на действията, с които да се улесни разработването и въвеждането на многогодишните планове в рамките на ОПОР. Работната група реши, че целевите равнища, съответстващи на целта за максимален устойчив улов, следва да се изразят като научно разработен диапазон от стойности на F</w:t>
      </w:r>
      <w:r>
        <w:rPr>
          <w:noProof/>
          <w:vertAlign w:val="subscript"/>
        </w:rPr>
        <w:t>msy</w:t>
      </w:r>
      <w:r>
        <w:rPr>
          <w:noProof/>
        </w:rPr>
        <w:t>, които след това да бъдат определени от съзаконодателите и посочени в плана. Съветът ще приеме мерки за определянето и разпределянето на възможностите за риболов на годишна база въз основа на научните становища и по начин, който позволява постигне на целите на плана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Първият многогодишен план за управление след реформата на ОПОР беше приет за региона на Балтийско море. С Регламент (ЕС) 2016/1139 беше създаден многогодишен план за запасите от треска, херинга и цаца (по-долу „съответните запаси“) в Балтийско море (по-долу „планът“). Целта на плана е да се гарантира, че експлоатацията на съответните запаси възстановява и поддържа популациите на тези запаси над нивата, на които може да се постигне максимален устойчив улов. В този план се определят количествено измерими цели, т.е. диапазони на смъртност от риболов, както и референтни равнища на опазване, изразени като MSY B</w:t>
      </w:r>
      <w:r>
        <w:rPr>
          <w:noProof/>
          <w:vertAlign w:val="subscript"/>
        </w:rPr>
        <w:t>trigger</w:t>
      </w:r>
      <w:r>
        <w:rPr>
          <w:noProof/>
        </w:rPr>
        <w:t xml:space="preserve"> и B</w:t>
      </w:r>
      <w:r>
        <w:rPr>
          <w:noProof/>
          <w:vertAlign w:val="subscript"/>
        </w:rPr>
        <w:t>lim</w:t>
      </w:r>
      <w:r>
        <w:rPr>
          <w:noProof/>
        </w:rPr>
        <w:t>. Числените стойности на посочените параметри са взети от научните становища, предоставени от Международния съвет за изследване на морето (ICES) през 2015 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Извършената през 2017 г. научна оценка показва, че съответните стойности на максималния устойчив улов за запасите от херинга в Ботническо море и в Ботническия залив са се променили.</w:t>
      </w:r>
    </w:p>
    <w:p>
      <w:pPr>
        <w:rPr>
          <w:noProof/>
        </w:rPr>
      </w:pPr>
      <w:r>
        <w:rPr>
          <w:noProof/>
        </w:rPr>
        <w:t xml:space="preserve">В член 5, параграф 6 от Регламент (ЕС) 2016/1139 е предвидено, че когато, въз основа на научни становища, Комисията счита, че референтните равнища на опазване, предвидени в приложение II към посочения регламент, вече не изразяват правилно </w:t>
      </w:r>
      <w:r>
        <w:rPr>
          <w:noProof/>
        </w:rPr>
        <w:lastRenderedPageBreak/>
        <w:t xml:space="preserve">целите на плана, тези референтни равнища може да бъдат внесени по спешност за преразглеждане в Европейския парламент и Съвета. </w:t>
      </w:r>
    </w:p>
    <w:p>
      <w:pPr>
        <w:rPr>
          <w:noProof/>
        </w:rPr>
      </w:pPr>
      <w:r>
        <w:rPr>
          <w:noProof/>
        </w:rPr>
        <w:t>Поради това Комисията възнамерява да предложи изменение на Регламент (ЕС) 2016/1139 с оглед на най-новите и най-добри налични научни становища.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КОНСУЛТАЦИИТЕ СЪС ЗАИНТЕРЕСОВАНИТЕ СТРАНИ И ОТ ОЦЕНКИТЕ НА ВЪЗДЕЙСТВИЕТО</w:t>
      </w:r>
    </w:p>
    <w:p>
      <w:pPr>
        <w:rPr>
          <w:noProof/>
        </w:rPr>
      </w:pPr>
      <w:r>
        <w:rPr>
          <w:noProof/>
        </w:rPr>
        <w:t>Научната обосновка за изменението беше предоставена от ICES. През 2017 г. ICES извърши оценка на запасите от херинга в Ботническо море и в Ботническия залив</w:t>
      </w:r>
      <w:r>
        <w:rPr>
          <w:rStyle w:val="FootnoteReference"/>
          <w:noProof/>
        </w:rPr>
        <w:footnoteReference w:id="5"/>
      </w:r>
      <w:r>
        <w:rPr>
          <w:noProof/>
        </w:rPr>
        <w:t>. Идентифицирането на запасите беше основен въпрос, разгледан от учените — т.е. дали да се обедини оценката на двете зони или те да продължат да бъдат оценявани поотделно. Беше решено запасите да се обединят въз основа на следните съображения:</w:t>
      </w:r>
    </w:p>
    <w:p>
      <w:pPr>
        <w:rPr>
          <w:noProof/>
        </w:rPr>
      </w:pPr>
      <w:r>
        <w:rPr>
          <w:noProof/>
        </w:rPr>
        <w:t xml:space="preserve">а) не съществуват убедителни биологични доказателства за обединяване или разделяне на запасите; </w:t>
      </w:r>
    </w:p>
    <w:p>
      <w:pPr>
        <w:rPr>
          <w:noProof/>
        </w:rPr>
      </w:pPr>
      <w:r>
        <w:rPr>
          <w:noProof/>
        </w:rPr>
        <w:t xml:space="preserve">б) наличните данни не позволяват надеждна качествена оценка на запасите от херинга в Ботническия залив и е малко вероятно положението да се подобри в бъдеще; </w:t>
      </w:r>
    </w:p>
    <w:p>
      <w:pPr>
        <w:rPr>
          <w:noProof/>
        </w:rPr>
      </w:pPr>
      <w:r>
        <w:rPr>
          <w:noProof/>
        </w:rPr>
        <w:t>в) не се очаква свръхексплоатация по отношение на по-малкия компонент запаси в Ботническия залив при сливането му с по-големия компонент запаси от херинга в Ботническо море.</w:t>
      </w:r>
    </w:p>
    <w:p>
      <w:pPr>
        <w:rPr>
          <w:noProof/>
        </w:rPr>
      </w:pPr>
      <w:r>
        <w:rPr>
          <w:noProof/>
        </w:rPr>
        <w:t>В резултат на сливането на двата запаса ICES изчисли новите референтни стойности за максималния устойчив улов. Получената стойност за F</w:t>
      </w:r>
      <w:r>
        <w:rPr>
          <w:noProof/>
          <w:vertAlign w:val="subscript"/>
        </w:rPr>
        <w:t>MSY</w:t>
      </w:r>
      <w:r>
        <w:rPr>
          <w:noProof/>
        </w:rPr>
        <w:t xml:space="preserve"> е 0,21. Бяха изчислени съответните диапазони на F</w:t>
      </w:r>
      <w:r>
        <w:rPr>
          <w:noProof/>
          <w:vertAlign w:val="subscript"/>
        </w:rPr>
        <w:t>MSY</w:t>
      </w:r>
      <w:r>
        <w:rPr>
          <w:noProof/>
        </w:rPr>
        <w:t>, което доведе до F</w:t>
      </w:r>
      <w:r>
        <w:rPr>
          <w:noProof/>
          <w:vertAlign w:val="subscript"/>
        </w:rPr>
        <w:t>MSY lower</w:t>
      </w:r>
      <w:r>
        <w:rPr>
          <w:noProof/>
        </w:rPr>
        <w:t xml:space="preserve"> (най-ниска стойност) от 0,15 и F</w:t>
      </w:r>
      <w:r>
        <w:rPr>
          <w:noProof/>
          <w:vertAlign w:val="subscript"/>
        </w:rPr>
        <w:t>MSY upper</w:t>
      </w:r>
      <w:r>
        <w:rPr>
          <w:noProof/>
        </w:rPr>
        <w:t xml:space="preserve"> (най-висока стойност) от 0,21. Поради вероятността биомасата на запасите да падне под предпазните равнища F</w:t>
      </w:r>
      <w:r>
        <w:rPr>
          <w:noProof/>
          <w:vertAlign w:val="subscript"/>
        </w:rPr>
        <w:t>MSY upper</w:t>
      </w:r>
      <w:r>
        <w:rPr>
          <w:noProof/>
        </w:rPr>
        <w:t xml:space="preserve"> се ограничава до F</w:t>
      </w:r>
      <w:r>
        <w:rPr>
          <w:noProof/>
          <w:vertAlign w:val="subscript"/>
        </w:rPr>
        <w:t xml:space="preserve">MSY </w:t>
      </w:r>
      <w:r>
        <w:rPr>
          <w:noProof/>
        </w:rPr>
        <w:t xml:space="preserve"> 0,21 и е равна на тази стойност. Съответните равнища на биомасата MSY B</w:t>
      </w:r>
      <w:r>
        <w:rPr>
          <w:noProof/>
          <w:vertAlign w:val="subscript"/>
        </w:rPr>
        <w:t>trigger</w:t>
      </w:r>
      <w:r>
        <w:rPr>
          <w:noProof/>
        </w:rPr>
        <w:t xml:space="preserve"> и B</w:t>
      </w:r>
      <w:r>
        <w:rPr>
          <w:noProof/>
          <w:vertAlign w:val="subscript"/>
        </w:rPr>
        <w:t>lim</w:t>
      </w:r>
      <w:r>
        <w:rPr>
          <w:noProof/>
        </w:rPr>
        <w:t xml:space="preserve"> бяха изчислени съответно на 283 180 и 202 272 тона. </w:t>
      </w:r>
    </w:p>
    <w:p>
      <w:pPr>
        <w:rPr>
          <w:noProof/>
        </w:rPr>
      </w:pPr>
      <w:r>
        <w:rPr>
          <w:noProof/>
        </w:rPr>
        <w:t>Не беше извършена конкретна оценка на въздействието, тъй като въздействието на прилагането на концепцията за максимален устойчив улов при управлението на рибарството вече е оценено в рамките на оценката на въздействието за реформата на ОПОР. Последиците от постигането на максимален устойчив улов бяха изразени количествено като част от тази оценка на въздействието</w:t>
      </w:r>
      <w:r>
        <w:rPr>
          <w:rStyle w:val="FootnoteReference"/>
          <w:noProof/>
        </w:rPr>
        <w:footnoteReference w:id="6"/>
      </w:r>
      <w:r>
        <w:rPr>
          <w:noProof/>
        </w:rPr>
        <w:t>. Нова оценка на въздействието не би добавила нова информация към наличната от предишната оценка. Промените в съществуващия регламент съответстват на член 5, параграф 6 от него и са вследствие на научни становища. Те са от основно значение за определянето или преразглеждането, според случая, на годишните възможности за риболов за Балтийско море и правилното функциониране на новата ОПОР.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ЕЛЕМЕНТИ НА ПРЕДЛОЖЕНИЕТО</w:t>
      </w:r>
    </w:p>
    <w:p>
      <w:pPr>
        <w:rPr>
          <w:b/>
          <w:noProof/>
        </w:rPr>
      </w:pPr>
      <w:r>
        <w:rPr>
          <w:b/>
          <w:noProof/>
        </w:rPr>
        <w:t>Обобщение на предлаганите мерки</w:t>
      </w:r>
    </w:p>
    <w:p>
      <w:pPr>
        <w:rPr>
          <w:b/>
          <w:noProof/>
        </w:rPr>
      </w:pPr>
      <w:r>
        <w:rPr>
          <w:noProof/>
        </w:rPr>
        <w:t>Основната мярка е да се улесни постигането на устойчиво рибарство, както е предвидено в рамките на реформата на ОПОР, чрез адаптиране на съответните стойности за максималния устойчив улов към най-добрите налични научни становища.</w:t>
      </w:r>
    </w:p>
    <w:p>
      <w:pPr>
        <w:rPr>
          <w:b/>
          <w:noProof/>
        </w:rPr>
      </w:pPr>
      <w:r>
        <w:rPr>
          <w:b/>
          <w:noProof/>
        </w:rPr>
        <w:lastRenderedPageBreak/>
        <w:t>Правно основание</w:t>
      </w:r>
    </w:p>
    <w:p>
      <w:pPr>
        <w:rPr>
          <w:noProof/>
        </w:rPr>
      </w:pPr>
      <w:r>
        <w:rPr>
          <w:noProof/>
        </w:rPr>
        <w:t>Член 43, параграф 2 от Договора за функционирането на Европейския съюз.</w:t>
      </w:r>
    </w:p>
    <w:p>
      <w:pPr>
        <w:rPr>
          <w:b/>
          <w:noProof/>
        </w:rPr>
      </w:pPr>
      <w:r>
        <w:rPr>
          <w:b/>
          <w:noProof/>
        </w:rPr>
        <w:t>Принцип на субсидиарност</w:t>
      </w:r>
    </w:p>
    <w:p>
      <w:pPr>
        <w:rPr>
          <w:noProof/>
        </w:rPr>
      </w:pPr>
      <w:r>
        <w:rPr>
          <w:noProof/>
        </w:rPr>
        <w:t>Предложението попада в обхвата на изключителната компетентност на Европейския съюз.</w:t>
      </w:r>
    </w:p>
    <w:p>
      <w:pPr>
        <w:rPr>
          <w:b/>
          <w:noProof/>
        </w:rPr>
      </w:pPr>
      <w:r>
        <w:rPr>
          <w:b/>
          <w:noProof/>
        </w:rPr>
        <w:t>Принцип на пропорционалност</w:t>
      </w:r>
    </w:p>
    <w:p>
      <w:pPr>
        <w:rPr>
          <w:noProof/>
        </w:rPr>
      </w:pPr>
      <w:r>
        <w:rPr>
          <w:noProof/>
        </w:rPr>
        <w:t>Настоящото предложение е за изменение на вече съществуващи мерки, следователно няма основание за загриженост по отношение на принципа на пропорционалност.</w:t>
      </w:r>
    </w:p>
    <w:p>
      <w:pPr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Предлаган инструмент: регламент на Европейския парламент и на Съвета. </w:t>
      </w:r>
    </w:p>
    <w:p>
      <w:pPr>
        <w:rPr>
          <w:noProof/>
        </w:rPr>
      </w:pPr>
      <w:r>
        <w:rPr>
          <w:noProof/>
        </w:rPr>
        <w:t>Други средства не биха били подходящи тъй като изменението на регламент се извършва чрез друг регламент.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ОТРАЖЕНИЕ ВЪРХУ БЮДЖЕТА </w:t>
      </w:r>
    </w:p>
    <w:p>
      <w:pPr>
        <w:rPr>
          <w:noProof/>
        </w:rPr>
      </w:pPr>
      <w:r>
        <w:rPr>
          <w:noProof/>
        </w:rPr>
        <w:t xml:space="preserve">Тази мярка не поражда допълнителни разходи за Съюза. 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2017/0348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2016/1139 по отношение на диапазоните на смъртност от риболов и предпазните равнища за някои запаси от херинга в Балтийско море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 43, параграф 2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7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 Регламент (ЕС) 2016/1139 на Европейския парламент и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беше създаден многогодишен план за запасите от треска, херинга и цаца в Балтийско море (по-долу „планът“). Целта на плана е да допринесе за постигането на целите на общата политика в областта на рибарството, и по-специално да гарантира, че експлоатацията на живите морски биологични ресурси води до възстановяване и поддържане на популациите на подлежащите на улов видове над равнищата, на които може да се постигне максимален устойчив улов.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член 1 от Регламент (ЕС) 2016/1139 се определят съответните рибни запаси в Балтийско море, включително запасите от херинга в Ботническо море и в Ботническия залив. С цел да се гарантира пълната възпроизводителна способност на тези запаси, в приложения I и II към посочения регламент са определени референтни равнища на опазване, включително диапазони на смъртността от риболов и референтни равнища на биомасата на репродуктивния запас.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Научната оценка на запасите от херинга в Ботническо море и в Ботническия залив, извършена през 2017 г. от Международния съвет за изследване на морето (ICES), показа, че тези два запаса са сходни. Вследствие на това ICES обедини двата запаса в един, промени границите на географската зона на разпространение и оцени повторно диапазоните на смъртността от риболов по отношение на максималния устойчив улов, както и съответните референтни </w:t>
      </w:r>
      <w:r>
        <w:rPr>
          <w:noProof/>
        </w:rPr>
        <w:lastRenderedPageBreak/>
        <w:t xml:space="preserve">равнища на опазване. Определените в резултат на това запаси и цифрови стойности се различават от посочените в член 1 от Регламент (ЕС) 2016/1139 и в приложения I и II към него. 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В член 5, параграф 6 от Регламент (ЕС) 2016/1139 е предвидено, че когато, въз основа на научни становища, Комисията счита, че референтните равнища на опазване, предвидени в приложение II към посочения регламент, вече не изразяват правилно целите на плана, тези референтни равнища може да бъдат внесени по спешност за преразглеждане в Европейския парламент и Съвета. 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Целесъобразно е да се извърши изменение по спешност на член 1, букви д) и е) от Регламент (ЕС) 2016/1139 и на приложения I и II към него, за да се гарантира, че възможностите за риболов за съответните запаси са определени в съответствие с актуализираните референтни равнища на опазване.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Регламент (ЕС) 2016/1139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b/>
          <w:bCs/>
          <w:iCs/>
          <w:noProof/>
        </w:rPr>
      </w:pPr>
      <w:r>
        <w:rPr>
          <w:noProof/>
        </w:rPr>
        <w:t>Член 1</w:t>
      </w:r>
      <w:r>
        <w:rPr>
          <w:noProof/>
        </w:rPr>
        <w:br/>
      </w:r>
      <w:r>
        <w:rPr>
          <w:b/>
          <w:noProof/>
        </w:rPr>
        <w:t>Изменения на Регламент (ЕС) 2016/1139</w:t>
      </w:r>
    </w:p>
    <w:p>
      <w:pPr>
        <w:rPr>
          <w:noProof/>
        </w:rPr>
      </w:pPr>
      <w:r>
        <w:rPr>
          <w:noProof/>
        </w:rPr>
        <w:t>Регламент (ЕС) 2016/1139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Член 1, параграф 1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буква д) се заменя със следното:</w:t>
      </w:r>
    </w:p>
    <w:p>
      <w:pPr>
        <w:pStyle w:val="Point2"/>
        <w:rPr>
          <w:noProof/>
        </w:rPr>
      </w:pPr>
      <w:r>
        <w:rPr>
          <w:noProof/>
        </w:rPr>
        <w:t xml:space="preserve">„д) </w:t>
      </w:r>
      <w:r>
        <w:rPr>
          <w:noProof/>
        </w:rPr>
        <w:tab/>
        <w:t>херинга (</w:t>
      </w:r>
      <w:r>
        <w:rPr>
          <w:i/>
          <w:noProof/>
        </w:rPr>
        <w:t>Clupea harengus</w:t>
      </w:r>
      <w:r>
        <w:rPr>
          <w:noProof/>
        </w:rPr>
        <w:t>) в подучастъци 30—31 на ICES (херинга в Ботническия залив);“;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буква е) се заличава.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приложение I вписванията за запасите от херинга в Ботническо море и в Ботническия залив се заменят със следното вписване: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1"/>
        <w:gridCol w:w="2012"/>
        <w:gridCol w:w="2264"/>
      </w:tblGrid>
      <w:tr>
        <w:trPr>
          <w:tblCellSpacing w:w="0" w:type="dxa"/>
        </w:trPr>
        <w:tc>
          <w:tcPr>
            <w:tcW w:w="0" w:type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„Херинга в Ботническия залив</w:t>
            </w:r>
          </w:p>
        </w:tc>
        <w:tc>
          <w:tcPr>
            <w:tcW w:w="0" w:type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0,15 — 0,21</w:t>
            </w:r>
          </w:p>
        </w:tc>
        <w:tc>
          <w:tcPr>
            <w:tcW w:w="0" w:type="auto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0,21 — 0,21“.</w:t>
            </w:r>
          </w:p>
        </w:tc>
      </w:tr>
    </w:tbl>
    <w:p>
      <w:pPr>
        <w:pStyle w:val="Point0"/>
        <w:rPr>
          <w:noProof/>
        </w:rPr>
      </w:pPr>
      <w:r>
        <w:rPr>
          <w:noProof/>
        </w:rPr>
        <w:t xml:space="preserve">(3) </w:t>
      </w:r>
      <w:r>
        <w:rPr>
          <w:noProof/>
        </w:rPr>
        <w:tab/>
        <w:t>В приложение II вписванията за запасите от херинга в Ботническо море и в Ботническия залив се заменят със следното вписване: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7"/>
        <w:gridCol w:w="2127"/>
        <w:gridCol w:w="2193"/>
      </w:tblGrid>
      <w:tr>
        <w:trPr>
          <w:tblCellSpacing w:w="0" w:type="dxa"/>
        </w:trPr>
        <w:tc>
          <w:tcPr>
            <w:tcW w:w="2654" w:type="pct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„Херинга в Ботническия залив</w:t>
            </w:r>
          </w:p>
        </w:tc>
        <w:tc>
          <w:tcPr>
            <w:tcW w:w="1155" w:type="pct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283 180</w:t>
            </w:r>
          </w:p>
        </w:tc>
        <w:tc>
          <w:tcPr>
            <w:tcW w:w="1191" w:type="pct"/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202 272“.</w:t>
            </w:r>
          </w:p>
        </w:tc>
      </w:tr>
    </w:tbl>
    <w:p>
      <w:pPr>
        <w:pStyle w:val="Titrearticle"/>
        <w:rPr>
          <w:b/>
          <w:noProof/>
        </w:rPr>
      </w:pPr>
      <w:r>
        <w:rPr>
          <w:noProof/>
        </w:rPr>
        <w:t>Член 2</w:t>
      </w:r>
      <w:r>
        <w:rPr>
          <w:noProof/>
        </w:rPr>
        <w:br/>
      </w:r>
      <w:r>
        <w:rPr>
          <w:b/>
          <w:noProof/>
        </w:rPr>
        <w:t>Влизане в сила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keepNext/>
        <w:keepLines/>
        <w:rPr>
          <w:noProof/>
        </w:rPr>
      </w:pPr>
      <w:r>
        <w:rPr>
          <w:noProof/>
        </w:rPr>
        <w:lastRenderedPageBreak/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354, 28.12.2013 г., стр. 22.</w:t>
      </w:r>
    </w:p>
  </w:footnote>
  <w:footnote w:id="3">
    <w:p>
      <w:pPr>
        <w:pStyle w:val="FootnoteText"/>
        <w:jc w:val="left"/>
      </w:pPr>
      <w:r>
        <w:rPr>
          <w:rStyle w:val="FootnoteReference"/>
        </w:rPr>
        <w:footnoteRef/>
      </w:r>
      <w:r>
        <w:tab/>
        <w:t xml:space="preserve">Работна група за многогодишните планове. Окончателен доклад, април 2014 г. — </w:t>
      </w:r>
      <w:hyperlink r:id="rId1">
        <w:r>
          <w:rPr>
            <w:rStyle w:val="Hyperlink"/>
          </w:rPr>
          <w:t>http://www.europarl.europa.eu/meetdocs/2009_2014/documents/pech/dv/taskfor/taskforce.pdf</w:t>
        </w:r>
      </w:hyperlink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Становище на ICES по специално искане. Становище на ICES от 2015 г., книга 6. Искане на ЕС до ICES за предоставяне на диапазони на F</w:t>
      </w:r>
      <w:r>
        <w:rPr>
          <w:vertAlign w:val="subscript"/>
        </w:rPr>
        <w:t>MSY</w:t>
      </w:r>
      <w:r>
        <w:t xml:space="preserve"> за определени запаси в Северно и Балтийско море.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ICES, 2017 г. — Доклад от семинара относно основните запаси в Балтийско море (WKBALT), 7—10 февруари 2017 г., Копенхаген, Дания. ICES CM 2017/ACOM:30, стр. 108.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SEC(2011) 891. 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ОВ С [...], [...] г., стр. [...].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2016/1139 на Европейския парламент и на Съвета от 6 юли 2016 г. за създаване на многогодишен план за запасите от треска, херинга и цаца в Балтийско море и за видовете риболов, които експлоатират тези запаси, за изменение на Регламент (ЕО) № 2187/2005 на Съвета и за отмяна на Регламент (ЕО) № 1098/2007 на Съвета (ОВ L 191, 15.7.2016 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B669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708B5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30417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59613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6B472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52ABF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7884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5D8E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DQCDateTime" w:val="2017-12-11 17:50:3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0D270D9-74F2-4DE9-9E58-4EAC97885FD4"/>
    <w:docVar w:name="LW_COVERPAGE_TYPE" w:val="1"/>
    <w:docVar w:name="LW_CROSSREFERENCE" w:val="&lt;UNUSED&gt;"/>
    <w:docVar w:name="LW_DocType" w:val="COM"/>
    <w:docVar w:name="LW_EMISSION" w:val="18.12.2017"/>
    <w:docVar w:name="LW_EMISSION_ISODATE" w:val="2017-12-18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348"/>
    <w:docVar w:name="LW_REF.II.NEW.CP_YEAR" w:val="2017"/>
    <w:docVar w:name="LW_REF.INST.NEW" w:val="COM"/>
    <w:docVar w:name="LW_REF.INST.NEW_ADOPTED" w:val="final"/>
    <w:docVar w:name="LW_REF.INST.NEW_TEXT" w:val="(2017) 7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2016/1139 \u1087?\u1086? \u1086?\u1090?\u1085?\u1086?\u1096?\u1077?\u1085?\u1080?\u1077? \u1085?\u1072? \u1076?\u1080?\u1072?\u1087?\u1072?\u1079?\u1086?\u1085?\u1080?\u1090?\u1077? \u1085?\u1072? \u1089?\u1084?\u1098?\u1088?\u1090?\u1085?\u1086?\u1089?\u1090? \u1086?\u1090? \u1088?\u1080?\u1073?\u1086?\u1083?\u1086?\u1074? \u1080? \u1087?\u1088?\u1077?\u1076?\u1087?\u1072?\u1079?\u1085?\u1080?\u1090?\u1077? \u1088?\u1072?\u1074?\u1085?\u1080?\u1097?\u1072? \u1079?\u1072? \u1085?\u1103?\u1082?\u1086?\u1080? \u1079?\u1072?\u1087?\u1072?\u1089?\u1080? \u1086?\u1090? \u1093?\u1077?\u1088?\u1080?\u1085?\u1075?\u1072? \u1074? \u1041?\u1072?\u1083?\u1090?\u1080?\u1081?\u1089?\u1082?\u1086? \u1084?\u1086?\u1088?\u1077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paragraph" w:styleId="ListBullet2">
    <w:name w:val="List Bullet 2"/>
    <w:basedOn w:val="Normal"/>
    <w:pPr>
      <w:numPr>
        <w:numId w:val="2"/>
      </w:numPr>
      <w:contextualSpacing/>
    </w:pPr>
  </w:style>
  <w:style w:type="paragraph" w:styleId="ListBullet3">
    <w:name w:val="List Bullet 3"/>
    <w:basedOn w:val="Normal"/>
    <w:pPr>
      <w:numPr>
        <w:numId w:val="3"/>
      </w:numPr>
      <w:contextualSpacing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character" w:styleId="Hyperlink">
    <w:name w:val="Hyperlink"/>
    <w:rPr>
      <w:color w:val="3366FF"/>
      <w:u w:val="single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</w:style>
  <w:style w:type="paragraph" w:styleId="ListNumber">
    <w:name w:val="List Number"/>
    <w:basedOn w:val="Normal"/>
    <w:pPr>
      <w:numPr>
        <w:numId w:val="5"/>
      </w:numPr>
      <w:contextualSpacing/>
    </w:pPr>
  </w:style>
  <w:style w:type="paragraph" w:styleId="ListNumber2">
    <w:name w:val="List Number 2"/>
    <w:basedOn w:val="Normal"/>
    <w:pPr>
      <w:numPr>
        <w:numId w:val="6"/>
      </w:numPr>
      <w:contextualSpacing/>
    </w:pPr>
  </w:style>
  <w:style w:type="paragraph" w:styleId="ListNumber3">
    <w:name w:val="List Number 3"/>
    <w:basedOn w:val="Normal"/>
    <w:pPr>
      <w:numPr>
        <w:numId w:val="7"/>
      </w:numPr>
      <w:contextualSpacing/>
    </w:pPr>
  </w:style>
  <w:style w:type="paragraph" w:styleId="ListNumber4">
    <w:name w:val="List Number 4"/>
    <w:basedOn w:val="Normal"/>
    <w:pPr>
      <w:numPr>
        <w:numId w:val="8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bl-hdr">
    <w:name w:val="tbl-hdr"/>
    <w:basedOn w:val="Normal"/>
    <w:pPr>
      <w:spacing w:before="100" w:beforeAutospacing="1" w:after="100" w:afterAutospacing="1"/>
      <w:jc w:val="left"/>
    </w:pPr>
  </w:style>
  <w:style w:type="character" w:customStyle="1" w:styleId="sub">
    <w:name w:val="sub"/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</w:style>
  <w:style w:type="paragraph" w:customStyle="1" w:styleId="tbl-txt">
    <w:name w:val="tbl-txt"/>
    <w:basedOn w:val="Normal"/>
    <w:pPr>
      <w:spacing w:before="100" w:beforeAutospacing="1" w:after="100" w:afterAutospacing="1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077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5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3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rl.europa.eu/meetdocs/2009_2014/documents/pech/dv/taskfor/taskforc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7928-C558-4ACC-B244-FBAAF69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1541</Words>
  <Characters>8800</Characters>
  <Application>Microsoft Office Word</Application>
  <DocSecurity>0</DocSecurity>
  <Lines>172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10264</CharactersWithSpaces>
  <SharedDoc>false</SharedDoc>
  <HLinks>
    <vt:vector size="6" baseType="variant"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http://www.europarl.europa.eu/meetdocs/2009_2014/documents/pech/dv/taskfor/taskforce.pdf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DIGIT/A3</cp:lastModifiedBy>
  <cp:revision>18</cp:revision>
  <cp:lastPrinted>2017-11-15T09:09:00Z</cp:lastPrinted>
  <dcterms:created xsi:type="dcterms:W3CDTF">2017-12-11T09:28:00Z</dcterms:created>
  <dcterms:modified xsi:type="dcterms:W3CDTF">2017-12-11T16:50:00Z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5.8.64.0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5.8.2, Build 20120919</vt:lpwstr>
  </property>
  <property fmtid="{D5CDD505-2E9C-101B-9397-08002B2CF9AE}" pid="6" name="LWTemplateID">
    <vt:lpwstr>SJ-023</vt:lpwstr>
  </property>
  <property fmtid="{D5CDD505-2E9C-101B-9397-08002B2CF9AE}" pid="7" name="_NewReviewCycle">
    <vt:lpwstr/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evel of sensitivity">
    <vt:lpwstr>Standard treatment</vt:lpwstr>
  </property>
  <property fmtid="{D5CDD505-2E9C-101B-9397-08002B2CF9AE}" pid="11" name="DQCStatus">
    <vt:lpwstr>Green (DQC version 03)</vt:lpwstr>
  </property>
</Properties>
</file>