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6832007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A240C2A-2ED4-4B69-A568-B8DA2C486A4E" style="width:450.75pt;height:366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noProof/>
        </w:rPr>
      </w:pPr>
      <w:bookmarkStart w:id="2" w:name="_GoBack"/>
      <w:bookmarkEnd w:id="0"/>
      <w:bookmarkEnd w:id="2"/>
      <w:r>
        <w:rPr>
          <w:rFonts w:ascii="Times New Roman" w:hAnsi="Times New Roman"/>
          <w:b/>
          <w:smallCaps/>
          <w:noProof/>
          <w:sz w:val="24"/>
        </w:rPr>
        <w:lastRenderedPageBreak/>
        <w:t>Annexe I:</w:t>
      </w:r>
      <w:r>
        <w:rPr>
          <w:noProof/>
        </w:rPr>
        <w:tab/>
      </w:r>
      <w:r>
        <w:rPr>
          <w:rFonts w:ascii="Times New Roman" w:hAnsi="Times New Roman"/>
          <w:b/>
          <w:noProof/>
          <w:sz w:val="24"/>
        </w:rPr>
        <w:t>Fonds de solidarité de l’Union européenne - Seuils pour les catastrophes majeures applicables en </w:t>
      </w:r>
      <w:r>
        <w:rPr>
          <w:rFonts w:ascii="Times New Roman" w:hAnsi="Times New Roman"/>
          <w:b/>
          <w:noProof/>
          <w:sz w:val="24"/>
          <w:u w:val="single"/>
        </w:rPr>
        <w:t>2016</w:t>
      </w:r>
      <w:r>
        <w:rPr>
          <w:rFonts w:ascii="Times New Roman" w:eastAsia="Times New Roman" w:hAnsi="Times New Roman"/>
          <w:b/>
          <w:noProof/>
          <w:sz w:val="24"/>
          <w:u w:val="single"/>
        </w:rPr>
        <w:br/>
      </w:r>
      <w:r>
        <w:rPr>
          <w:noProof/>
        </w:rPr>
        <w:tab/>
      </w:r>
      <w:r>
        <w:rPr>
          <w:noProof/>
        </w:rPr>
        <w:tab/>
      </w:r>
      <w:r>
        <w:rPr>
          <w:rFonts w:ascii="Times New Roman" w:hAnsi="Times New Roman"/>
          <w:noProof/>
        </w:rPr>
        <w:t>(d'après les données 2014 d’Eurostat sur le revenu national brut)</w:t>
      </w:r>
    </w:p>
    <w:p>
      <w:pPr>
        <w:tabs>
          <w:tab w:val="left" w:pos="1080"/>
        </w:tabs>
        <w:spacing w:after="0" w:line="240" w:lineRule="auto"/>
        <w:ind w:right="-191"/>
        <w:rPr>
          <w:rFonts w:ascii="Times New Roman" w:eastAsia="Times New Roman" w:hAnsi="Times New Roman"/>
          <w:strike/>
          <w:noProof/>
          <w:sz w:val="24"/>
        </w:rPr>
      </w:pPr>
    </w:p>
    <w:p>
      <w:pPr>
        <w:spacing w:after="0" w:line="240" w:lineRule="auto"/>
        <w:ind w:right="143"/>
        <w:rPr>
          <w:rFonts w:ascii="Times New Roman" w:eastAsia="Times New Roman" w:hAnsi="Times New Roman"/>
          <w:noProof/>
          <w:sz w:val="20"/>
          <w:szCs w:val="20"/>
        </w:rPr>
      </w:pPr>
      <w:r>
        <w:rPr>
          <w:rFonts w:ascii="Times New Roman" w:hAnsi="Times New Roman"/>
          <w:noProof/>
          <w:sz w:val="20"/>
        </w:rPr>
        <w:t>Pour la mobilisation du Fonds de solidarité de l’UE</w:t>
      </w:r>
      <w:r>
        <w:rPr>
          <w:rFonts w:ascii="Times New Roman" w:hAnsi="Times New Roman"/>
          <w:noProof/>
          <w:sz w:val="20"/>
          <w:vertAlign w:val="superscript"/>
        </w:rPr>
        <w:footnoteReference w:id="1"/>
      </w:r>
      <w:r>
        <w:rPr>
          <w:rFonts w:ascii="Times New Roman" w:hAnsi="Times New Roman"/>
          <w:noProof/>
          <w:sz w:val="20"/>
        </w:rPr>
        <w:t xml:space="preserve">, des seuils spécifiques par pays s'appliquent, selon lesquels le montant total des dommages directs doit être </w:t>
      </w:r>
      <w:r>
        <w:rPr>
          <w:rFonts w:ascii="Times New Roman" w:hAnsi="Times New Roman"/>
          <w:noProof/>
          <w:sz w:val="20"/>
          <w:u w:val="single"/>
        </w:rPr>
        <w:t>supérieur à</w:t>
      </w:r>
      <w:r>
        <w:rPr>
          <w:rFonts w:ascii="Times New Roman" w:hAnsi="Times New Roman"/>
          <w:noProof/>
          <w:sz w:val="20"/>
        </w:rPr>
        <w:t> 0,6 % du RNB ou à 3 milliards d’EUR aux prix de 2011. Le montant le plus bas s’applique.</w:t>
      </w:r>
      <w:r>
        <w:rPr>
          <w:rFonts w:ascii="Times New Roman" w:eastAsia="Times New Roman" w:hAnsi="Times New Roman"/>
          <w:noProof/>
          <w:sz w:val="20"/>
          <w:szCs w:val="20"/>
        </w:rPr>
        <w:br/>
      </w:r>
    </w:p>
    <w:p>
      <w:pPr>
        <w:spacing w:after="0" w:line="240" w:lineRule="auto"/>
        <w:ind w:right="143"/>
        <w:jc w:val="right"/>
        <w:rPr>
          <w:rFonts w:ascii="Times New Roman" w:eastAsia="Times New Roman" w:hAnsi="Times New Roman"/>
          <w:noProof/>
          <w:sz w:val="18"/>
          <w:szCs w:val="20"/>
        </w:rPr>
      </w:pPr>
      <w:r>
        <w:rPr>
          <w:rFonts w:ascii="Times New Roman" w:hAnsi="Times New Roman"/>
          <w:noProof/>
          <w:sz w:val="18"/>
        </w:rPr>
        <w:t>(en millions d’EUR)</w:t>
      </w:r>
    </w:p>
    <w:tbl>
      <w:tblPr>
        <w:tblW w:w="9375" w:type="dxa"/>
        <w:tblInd w:w="93" w:type="dxa"/>
        <w:tblLook w:val="04A0" w:firstRow="1" w:lastRow="0" w:firstColumn="1" w:lastColumn="0" w:noHBand="0" w:noVBand="1"/>
      </w:tblPr>
      <w:tblGrid>
        <w:gridCol w:w="735"/>
        <w:gridCol w:w="2520"/>
        <w:gridCol w:w="1920"/>
        <w:gridCol w:w="1800"/>
        <w:gridCol w:w="2400"/>
      </w:tblGrid>
      <w:tr>
        <w:trPr>
          <w:trHeight w:val="518"/>
        </w:trPr>
        <w:tc>
          <w:tcPr>
            <w:tcW w:w="735" w:type="dxa"/>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p>
        </w:tc>
        <w:tc>
          <w:tcPr>
            <w:tcW w:w="2520" w:type="dxa"/>
            <w:tcBorders>
              <w:top w:val="single" w:sz="4" w:space="0" w:color="000000"/>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p>
        </w:tc>
        <w:tc>
          <w:tcPr>
            <w:tcW w:w="1920" w:type="dxa"/>
            <w:tcBorders>
              <w:top w:val="single" w:sz="4" w:space="0" w:color="000000"/>
              <w:left w:val="nil"/>
              <w:bottom w:val="single" w:sz="4" w:space="0" w:color="000000"/>
              <w:right w:val="nil"/>
            </w:tcBorders>
            <w:shd w:val="clear" w:color="000000" w:fill="D8E4BC"/>
            <w:noWrap/>
            <w:vAlign w:val="center"/>
            <w:hideMark/>
          </w:tcPr>
          <w:p>
            <w:pPr>
              <w:spacing w:after="0" w:line="240" w:lineRule="auto"/>
              <w:jc w:val="center"/>
              <w:rPr>
                <w:rFonts w:ascii="Arial" w:eastAsia="Times New Roman" w:hAnsi="Arial" w:cs="Arial"/>
                <w:b/>
                <w:bCs/>
                <w:noProof/>
                <w:sz w:val="20"/>
                <w:szCs w:val="20"/>
              </w:rPr>
            </w:pPr>
            <w:r>
              <w:rPr>
                <w:rFonts w:ascii="Arial" w:hAnsi="Arial"/>
                <w:b/>
                <w:noProof/>
                <w:sz w:val="20"/>
              </w:rPr>
              <w:t>RNB 2014</w:t>
            </w:r>
          </w:p>
        </w:tc>
        <w:tc>
          <w:tcPr>
            <w:tcW w:w="18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0,6 % du RNB</w:t>
            </w:r>
          </w:p>
        </w:tc>
        <w:tc>
          <w:tcPr>
            <w:tcW w:w="2400" w:type="dxa"/>
            <w:tcBorders>
              <w:top w:val="single" w:sz="4" w:space="0" w:color="auto"/>
              <w:left w:val="nil"/>
              <w:bottom w:val="single" w:sz="4" w:space="0" w:color="auto"/>
              <w:right w:val="single" w:sz="4" w:space="0" w:color="auto"/>
            </w:tcBorders>
            <w:shd w:val="clear" w:color="000000" w:fill="D8E4BC"/>
            <w:noWrap/>
            <w:vAlign w:val="center"/>
            <w:hideMark/>
          </w:tcPr>
          <w:p>
            <w:pPr>
              <w:spacing w:after="0" w:line="240" w:lineRule="auto"/>
              <w:jc w:val="center"/>
              <w:rPr>
                <w:rFonts w:ascii="Arial" w:eastAsia="Times New Roman" w:hAnsi="Arial" w:cs="Arial"/>
                <w:b/>
                <w:noProof/>
                <w:sz w:val="20"/>
                <w:szCs w:val="20"/>
              </w:rPr>
            </w:pPr>
            <w:r>
              <w:rPr>
                <w:rFonts w:ascii="Arial" w:hAnsi="Arial"/>
                <w:b/>
                <w:noProof/>
                <w:sz w:val="20"/>
              </w:rPr>
              <w:t>Seuil «catastrophe majeure» 2016</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AT</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ÖSTERREICH</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327 202</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1 963,212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1 963,212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BE</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BELGIË/BELGIQUE</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406 681</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2 440,086</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2 440,086</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hideMark/>
          </w:tcPr>
          <w:p>
            <w:pPr>
              <w:spacing w:after="0" w:line="240" w:lineRule="auto"/>
              <w:jc w:val="center"/>
              <w:rPr>
                <w:rFonts w:ascii="Arial" w:eastAsia="Times New Roman" w:hAnsi="Arial" w:cs="Arial"/>
                <w:noProof/>
                <w:sz w:val="20"/>
                <w:szCs w:val="20"/>
              </w:rPr>
            </w:pPr>
            <w:r>
              <w:rPr>
                <w:rFonts w:ascii="Arial" w:hAnsi="Arial"/>
                <w:noProof/>
                <w:sz w:val="20"/>
              </w:rPr>
              <w:t>BG</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BULGARIA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41 882**</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251,292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251,292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CY</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KYPROS</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16 902</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101,412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101,412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CZ</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ČESKÁ REPUBLIKA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142 600</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855,600</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855,600</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DE</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DEUTSCHLAND</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2 982 444</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17 894,664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DK</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DANMARK</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265 177</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1 591,062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1 591,062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EE</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EESTI</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19 504</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117,024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117,024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GR</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ELLADA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177 488</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1 064,928</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1 064,928</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ES</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ESPAÑA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1 036 937</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6 221,622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FI</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SUOMI/FINLAND</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204 952</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1 229,712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1 229,712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FR</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FRANCE</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2 174 475</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13 046,850</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HR</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HRVATSKA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41 889</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251,334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251,334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HU</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b/>
                <w:bCs/>
                <w:noProof/>
                <w:color w:val="00B050"/>
                <w:sz w:val="20"/>
                <w:szCs w:val="20"/>
              </w:rPr>
            </w:pPr>
            <w:r>
              <w:rPr>
                <w:rFonts w:ascii="Arial" w:hAnsi="Arial"/>
                <w:noProof/>
                <w:sz w:val="20"/>
              </w:rPr>
              <w:t>MAGYARORSZÁG</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99 630</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597,780</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597,780</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IE</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b/>
                <w:bCs/>
                <w:noProof/>
                <w:color w:val="00B050"/>
                <w:sz w:val="20"/>
                <w:szCs w:val="20"/>
              </w:rPr>
            </w:pPr>
            <w:r>
              <w:rPr>
                <w:rFonts w:ascii="Arial" w:hAnsi="Arial"/>
                <w:noProof/>
                <w:sz w:val="20"/>
              </w:rPr>
              <w:t>ÉIRE/IRELAND</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163 917**</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983,502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983,502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IT</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ITALIA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1 613 410</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9 680,460</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LT</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LIETUVA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36 004</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216,024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216,024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LU</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b/>
                <w:bCs/>
                <w:noProof/>
                <w:color w:val="00B050"/>
                <w:sz w:val="20"/>
                <w:szCs w:val="20"/>
              </w:rPr>
            </w:pPr>
            <w:r>
              <w:rPr>
                <w:rFonts w:ascii="Arial" w:hAnsi="Arial"/>
                <w:noProof/>
                <w:sz w:val="20"/>
              </w:rPr>
              <w:t>LUXEMBOURG (G.D.)</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32 727**</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196,362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196,362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LV</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LATVIJA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23 541</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141,246</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141,246</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MT</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MALTA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7 588</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45,528</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45,528</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NL</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NEDERLAND</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671 126</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4 026,756</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PL</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b/>
                <w:bCs/>
                <w:noProof/>
                <w:color w:val="00B050"/>
                <w:sz w:val="20"/>
                <w:szCs w:val="20"/>
              </w:rPr>
            </w:pPr>
            <w:r>
              <w:rPr>
                <w:rFonts w:ascii="Arial" w:hAnsi="Arial"/>
                <w:noProof/>
                <w:sz w:val="20"/>
              </w:rPr>
              <w:t>POLSKA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396 974**</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2 381,844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2 381,844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PT</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PORTUGAL</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171 119</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1 026,714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1 026,714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RO</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ROMÂNIA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147 319</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883,914</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883,914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SE</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SVERIGE</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445 577</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2 673,462</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2 673,462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SK</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SLOVENSKO</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73 118</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438,708</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438,708</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SI</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SLOVENIJA</w:t>
            </w:r>
          </w:p>
        </w:tc>
        <w:tc>
          <w:tcPr>
            <w:tcW w:w="1920" w:type="dxa"/>
            <w:tcBorders>
              <w:top w:val="single" w:sz="4" w:space="0" w:color="000000"/>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37 245</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223,470</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223,470</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noProof/>
                <w:sz w:val="20"/>
                <w:szCs w:val="20"/>
              </w:rPr>
            </w:pPr>
            <w:r>
              <w:rPr>
                <w:rFonts w:ascii="Arial" w:hAnsi="Arial"/>
                <w:noProof/>
                <w:sz w:val="20"/>
              </w:rPr>
              <w:t>UK</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noProof/>
                <w:sz w:val="20"/>
              </w:rPr>
              <w:t>UNITED KINGDOM</w:t>
            </w:r>
          </w:p>
        </w:tc>
        <w:tc>
          <w:tcPr>
            <w:tcW w:w="1920" w:type="dxa"/>
            <w:tcBorders>
              <w:top w:val="single" w:sz="4" w:space="0" w:color="000000"/>
              <w:left w:val="nil"/>
              <w:bottom w:val="single" w:sz="4" w:space="0" w:color="auto"/>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2 212 240</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13 273,440</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hideMark/>
          </w:tcPr>
          <w:p>
            <w:pPr>
              <w:spacing w:after="0" w:line="240" w:lineRule="auto"/>
              <w:jc w:val="center"/>
              <w:rPr>
                <w:rFonts w:ascii="Arial" w:eastAsia="Times New Roman" w:hAnsi="Arial" w:cs="Arial"/>
                <w:i/>
                <w:noProof/>
                <w:sz w:val="20"/>
                <w:szCs w:val="20"/>
              </w:rPr>
            </w:pPr>
            <w:r>
              <w:rPr>
                <w:rFonts w:ascii="Arial" w:hAnsi="Arial"/>
                <w:i/>
                <w:noProof/>
                <w:sz w:val="20"/>
              </w:rPr>
              <w:t>ME</w:t>
            </w:r>
          </w:p>
        </w:tc>
        <w:tc>
          <w:tcPr>
            <w:tcW w:w="2520" w:type="dxa"/>
            <w:tcBorders>
              <w:top w:val="nil"/>
              <w:left w:val="nil"/>
              <w:bottom w:val="single" w:sz="4" w:space="0" w:color="000000"/>
              <w:right w:val="single" w:sz="4" w:space="0" w:color="000000"/>
            </w:tcBorders>
            <w:shd w:val="clear" w:color="000000" w:fill="99CCFF"/>
            <w:noWrap/>
            <w:vAlign w:val="center"/>
            <w:hideMark/>
          </w:tcPr>
          <w:p>
            <w:pPr>
              <w:spacing w:after="0" w:line="240" w:lineRule="auto"/>
              <w:rPr>
                <w:rFonts w:ascii="Arial" w:eastAsia="Times New Roman" w:hAnsi="Arial" w:cs="Arial"/>
                <w:noProof/>
                <w:sz w:val="20"/>
                <w:szCs w:val="20"/>
              </w:rPr>
            </w:pPr>
            <w:r>
              <w:rPr>
                <w:rFonts w:ascii="Arial" w:hAnsi="Arial"/>
                <w:i/>
                <w:noProof/>
                <w:sz w:val="20"/>
              </w:rPr>
              <w:t>MONTENEGRO</w:t>
            </w:r>
          </w:p>
        </w:tc>
        <w:tc>
          <w:tcPr>
            <w:tcW w:w="1920" w:type="dxa"/>
            <w:tcBorders>
              <w:top w:val="single" w:sz="4" w:space="0" w:color="auto"/>
              <w:left w:val="nil"/>
              <w:bottom w:val="single" w:sz="4" w:space="0" w:color="auto"/>
              <w:right w:val="nil"/>
            </w:tcBorders>
            <w:shd w:val="clear" w:color="auto" w:fill="auto"/>
            <w:noWrap/>
            <w:vAlign w:val="center"/>
          </w:tcPr>
          <w:p>
            <w:pPr>
              <w:spacing w:after="0" w:line="240" w:lineRule="auto"/>
              <w:jc w:val="right"/>
              <w:rPr>
                <w:rFonts w:ascii="Arial" w:eastAsia="Times New Roman" w:hAnsi="Arial" w:cs="Arial"/>
                <w:noProof/>
                <w:sz w:val="20"/>
                <w:szCs w:val="20"/>
              </w:rPr>
            </w:pPr>
            <w:r>
              <w:rPr>
                <w:rFonts w:ascii="Arial" w:hAnsi="Arial"/>
                <w:noProof/>
                <w:sz w:val="20"/>
              </w:rPr>
              <w:t>3 504***</w:t>
            </w:r>
          </w:p>
        </w:tc>
        <w:tc>
          <w:tcPr>
            <w:tcW w:w="1800"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Arial" w:eastAsia="Times New Roman" w:hAnsi="Arial" w:cs="Arial"/>
                <w:noProof/>
                <w:sz w:val="20"/>
                <w:szCs w:val="20"/>
              </w:rPr>
            </w:pPr>
            <w:r>
              <w:rPr>
                <w:rFonts w:ascii="Arial" w:hAnsi="Arial"/>
                <w:noProof/>
                <w:sz w:val="20"/>
              </w:rPr>
              <w:t>21,024</w:t>
            </w:r>
          </w:p>
        </w:tc>
        <w:tc>
          <w:tcPr>
            <w:tcW w:w="2400"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Arial" w:eastAsia="Times New Roman" w:hAnsi="Arial" w:cs="Arial"/>
                <w:noProof/>
                <w:sz w:val="20"/>
                <w:szCs w:val="20"/>
              </w:rPr>
            </w:pPr>
            <w:r>
              <w:rPr>
                <w:rFonts w:ascii="Arial" w:hAnsi="Arial"/>
                <w:noProof/>
                <w:sz w:val="20"/>
              </w:rPr>
              <w:t>21,024</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i/>
                <w:noProof/>
                <w:sz w:val="20"/>
                <w:szCs w:val="20"/>
              </w:rPr>
            </w:pPr>
            <w:r>
              <w:rPr>
                <w:rFonts w:ascii="Arial" w:hAnsi="Arial"/>
                <w:i/>
                <w:noProof/>
                <w:sz w:val="20"/>
              </w:rPr>
              <w:t>TR</w:t>
            </w:r>
          </w:p>
        </w:tc>
        <w:tc>
          <w:tcPr>
            <w:tcW w:w="2520" w:type="dxa"/>
            <w:tcBorders>
              <w:top w:val="nil"/>
              <w:left w:val="nil"/>
              <w:bottom w:val="single" w:sz="4" w:space="0" w:color="000000"/>
              <w:right w:val="single" w:sz="4" w:space="0" w:color="000000"/>
            </w:tcBorders>
            <w:shd w:val="clear" w:color="000000" w:fill="99CCFF"/>
            <w:noWrap/>
            <w:vAlign w:val="center"/>
          </w:tcPr>
          <w:p>
            <w:pPr>
              <w:spacing w:after="0" w:line="240" w:lineRule="auto"/>
              <w:rPr>
                <w:rFonts w:ascii="Arial" w:eastAsia="Times New Roman" w:hAnsi="Arial" w:cs="Arial"/>
                <w:noProof/>
                <w:sz w:val="20"/>
                <w:szCs w:val="20"/>
              </w:rPr>
            </w:pPr>
            <w:r>
              <w:rPr>
                <w:rFonts w:ascii="Arial" w:hAnsi="Arial"/>
                <w:i/>
                <w:noProof/>
                <w:sz w:val="20"/>
              </w:rPr>
              <w:t>TÜRKIYE</w:t>
            </w:r>
          </w:p>
        </w:tc>
        <w:tc>
          <w:tcPr>
            <w:tcW w:w="1920" w:type="dxa"/>
            <w:tcBorders>
              <w:top w:val="single" w:sz="4" w:space="0" w:color="auto"/>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594 250**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3 565,500</w:t>
            </w:r>
          </w:p>
        </w:tc>
        <w:tc>
          <w:tcPr>
            <w:tcW w:w="2400"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b/>
                <w:bCs/>
                <w:noProof/>
                <w:sz w:val="20"/>
                <w:szCs w:val="20"/>
              </w:rPr>
            </w:pPr>
            <w:r>
              <w:rPr>
                <w:rFonts w:ascii="Arial" w:hAnsi="Arial"/>
                <w:b/>
                <w:noProof/>
                <w:sz w:val="20"/>
              </w:rPr>
              <w:t>3 312,242*</w:t>
            </w:r>
          </w:p>
        </w:tc>
      </w:tr>
      <w:tr>
        <w:trPr>
          <w:trHeight w:val="300"/>
        </w:trPr>
        <w:tc>
          <w:tcPr>
            <w:tcW w:w="735" w:type="dxa"/>
            <w:tcBorders>
              <w:top w:val="nil"/>
              <w:left w:val="single" w:sz="4" w:space="0" w:color="000000"/>
              <w:bottom w:val="single" w:sz="4" w:space="0" w:color="000000"/>
              <w:right w:val="single" w:sz="4" w:space="0" w:color="000000"/>
            </w:tcBorders>
            <w:shd w:val="clear" w:color="000000" w:fill="99CCFF"/>
            <w:noWrap/>
            <w:vAlign w:val="center"/>
          </w:tcPr>
          <w:p>
            <w:pPr>
              <w:spacing w:after="0" w:line="240" w:lineRule="auto"/>
              <w:jc w:val="center"/>
              <w:rPr>
                <w:rFonts w:ascii="Arial" w:eastAsia="Times New Roman" w:hAnsi="Arial" w:cs="Arial"/>
                <w:i/>
                <w:noProof/>
                <w:sz w:val="20"/>
                <w:szCs w:val="20"/>
              </w:rPr>
            </w:pPr>
            <w:r>
              <w:rPr>
                <w:rFonts w:ascii="Arial" w:hAnsi="Arial"/>
                <w:i/>
                <w:noProof/>
                <w:sz w:val="20"/>
              </w:rPr>
              <w:t>RS</w:t>
            </w:r>
          </w:p>
        </w:tc>
        <w:tc>
          <w:tcPr>
            <w:tcW w:w="2520" w:type="dxa"/>
            <w:tcBorders>
              <w:top w:val="nil"/>
              <w:left w:val="nil"/>
              <w:bottom w:val="single" w:sz="4" w:space="0" w:color="000000"/>
              <w:right w:val="single" w:sz="4" w:space="0" w:color="000000"/>
            </w:tcBorders>
            <w:shd w:val="clear" w:color="000000" w:fill="99CCFF"/>
            <w:noWrap/>
            <w:vAlign w:val="center"/>
          </w:tcPr>
          <w:p>
            <w:pPr>
              <w:spacing w:after="0" w:line="240" w:lineRule="auto"/>
              <w:rPr>
                <w:rFonts w:ascii="Arial" w:eastAsia="Times New Roman" w:hAnsi="Arial" w:cs="Arial"/>
                <w:noProof/>
                <w:sz w:val="20"/>
                <w:szCs w:val="20"/>
              </w:rPr>
            </w:pPr>
            <w:r>
              <w:rPr>
                <w:rFonts w:ascii="Arial" w:hAnsi="Arial"/>
                <w:i/>
                <w:noProof/>
                <w:sz w:val="20"/>
              </w:rPr>
              <w:t>SRBIJA</w:t>
            </w:r>
          </w:p>
        </w:tc>
        <w:tc>
          <w:tcPr>
            <w:tcW w:w="1920" w:type="dxa"/>
            <w:tcBorders>
              <w:top w:val="nil"/>
              <w:left w:val="nil"/>
              <w:bottom w:val="single" w:sz="4" w:space="0" w:color="000000"/>
              <w:right w:val="nil"/>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31 738**</w:t>
            </w:r>
          </w:p>
        </w:tc>
        <w:tc>
          <w:tcPr>
            <w:tcW w:w="1800"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190,428</w:t>
            </w:r>
          </w:p>
        </w:tc>
        <w:tc>
          <w:tcPr>
            <w:tcW w:w="2400"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Arial" w:eastAsia="Times New Roman" w:hAnsi="Arial" w:cs="Arial"/>
                <w:noProof/>
                <w:sz w:val="20"/>
                <w:szCs w:val="20"/>
              </w:rPr>
            </w:pPr>
            <w:r>
              <w:rPr>
                <w:rFonts w:ascii="Arial" w:hAnsi="Arial"/>
                <w:noProof/>
                <w:sz w:val="20"/>
              </w:rPr>
              <w:t>190,428</w:t>
            </w:r>
          </w:p>
        </w:tc>
      </w:tr>
    </w:tbl>
    <w:p>
      <w:pPr>
        <w:spacing w:after="0" w:line="240" w:lineRule="auto"/>
        <w:ind w:right="252"/>
        <w:rPr>
          <w:rFonts w:ascii="Times New Roman" w:eastAsia="Times New Roman" w:hAnsi="Times New Roman"/>
          <w:noProof/>
          <w:sz w:val="20"/>
          <w:szCs w:val="20"/>
        </w:rPr>
      </w:pPr>
    </w:p>
    <w:p>
      <w:pPr>
        <w:spacing w:after="0" w:line="240" w:lineRule="auto"/>
        <w:rPr>
          <w:rFonts w:ascii="Times New Roman" w:eastAsia="Times New Roman" w:hAnsi="Times New Roman"/>
          <w:noProof/>
          <w:sz w:val="18"/>
          <w:szCs w:val="18"/>
        </w:rPr>
      </w:pPr>
    </w:p>
    <w:p>
      <w:pPr>
        <w:spacing w:after="0" w:line="240" w:lineRule="auto"/>
        <w:rPr>
          <w:rFonts w:ascii="Times New Roman" w:eastAsia="Times New Roman" w:hAnsi="Times New Roman"/>
          <w:noProof/>
          <w:sz w:val="18"/>
          <w:szCs w:val="18"/>
        </w:rPr>
      </w:pPr>
      <w:r>
        <w:rPr>
          <w:rFonts w:ascii="Times New Roman" w:hAnsi="Times New Roman"/>
          <w:noProof/>
          <w:sz w:val="18"/>
        </w:rPr>
        <w:t>* Ceci correspond à 3 milliards d’EUR aux prix de 2011.</w:t>
      </w:r>
    </w:p>
    <w:p>
      <w:pPr>
        <w:spacing w:after="0" w:line="240" w:lineRule="auto"/>
        <w:jc w:val="both"/>
        <w:rPr>
          <w:rFonts w:ascii="Times New Roman" w:eastAsia="Times New Roman" w:hAnsi="Times New Roman"/>
          <w:noProof/>
          <w:sz w:val="18"/>
          <w:szCs w:val="18"/>
        </w:rPr>
      </w:pPr>
      <w:r>
        <w:rPr>
          <w:rFonts w:ascii="Times New Roman" w:hAnsi="Times New Roman"/>
          <w:noProof/>
          <w:sz w:val="18"/>
        </w:rPr>
        <w:t>** Aucun chiffre du RNB n’étant disponible, ce sont les chiffres du PIB fondés sur la base de données AMECO (base de données macroéconomiques annuelles de la direction générale des affaires économiques et financières de la Commission européenne) qui ont été utilisés.</w:t>
      </w:r>
    </w:p>
    <w:p>
      <w:pPr>
        <w:spacing w:after="0" w:line="240" w:lineRule="auto"/>
        <w:rPr>
          <w:rFonts w:ascii="Times New Roman" w:eastAsia="Times New Roman" w:hAnsi="Times New Roman"/>
          <w:noProof/>
          <w:sz w:val="18"/>
          <w:szCs w:val="18"/>
        </w:rPr>
      </w:pPr>
      <w:r>
        <w:rPr>
          <w:rFonts w:ascii="Times New Roman" w:hAnsi="Times New Roman"/>
          <w:noProof/>
          <w:sz w:val="18"/>
        </w:rPr>
        <w:t>*** Aucune donnée Eurostat n’étant disponible, ce sont les chiffres provenant de l’Institut de statistiques du Monténégro qui ont été utilisés.</w:t>
      </w:r>
    </w:p>
    <w:p>
      <w:pPr>
        <w:spacing w:after="0" w:line="240" w:lineRule="auto"/>
        <w:rPr>
          <w:rFonts w:ascii="Times New Roman" w:eastAsia="Times New Roman" w:hAnsi="Times New Roman"/>
          <w:noProof/>
          <w:sz w:val="18"/>
          <w:szCs w:val="18"/>
        </w:rPr>
      </w:pPr>
    </w:p>
    <w:p>
      <w:pPr>
        <w:spacing w:after="0" w:line="240" w:lineRule="auto"/>
        <w:rPr>
          <w:rFonts w:ascii="Times New Roman" w:hAnsi="Times New Roman"/>
          <w:noProof/>
          <w:sz w:val="16"/>
          <w:szCs w:val="16"/>
        </w:rPr>
        <w:sectPr>
          <w:headerReference w:type="even" r:id="rId15"/>
          <w:headerReference w:type="default" r:id="rId16"/>
          <w:footerReference w:type="even" r:id="rId17"/>
          <w:footerReference w:type="default" r:id="rId18"/>
          <w:headerReference w:type="first" r:id="rId19"/>
          <w:footerReference w:type="first" r:id="rId20"/>
          <w:pgSz w:w="11907" w:h="16839"/>
          <w:pgMar w:top="960" w:right="1418" w:bottom="1134" w:left="1320" w:header="138" w:footer="229" w:gutter="0"/>
          <w:pgNumType w:start="2"/>
          <w:cols w:space="708"/>
          <w:docGrid w:linePitch="360"/>
        </w:sectPr>
      </w:pPr>
    </w:p>
    <w:p>
      <w:pPr>
        <w:pStyle w:val="ManualHeading1"/>
        <w:tabs>
          <w:tab w:val="clear" w:pos="850"/>
        </w:tabs>
        <w:spacing w:before="120" w:after="240"/>
        <w:ind w:left="0" w:firstLine="0"/>
        <w:jc w:val="center"/>
        <w:rPr>
          <w:noProof/>
        </w:rPr>
      </w:pPr>
      <w:bookmarkStart w:id="3" w:name="_Toc368320077"/>
      <w:r>
        <w:rPr>
          <w:noProof/>
        </w:rPr>
        <w:t xml:space="preserve">Annexe II: Fonds de solidarité de l’Union européenne - </w:t>
      </w:r>
      <w:bookmarkEnd w:id="3"/>
      <w:r>
        <w:rPr>
          <w:noProof/>
        </w:rPr>
        <w:t>Aperçu des demandes reçues en 2016</w:t>
      </w:r>
    </w:p>
    <w:tbl>
      <w:tblPr>
        <w:tblW w:w="13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660"/>
        <w:gridCol w:w="1660"/>
        <w:gridCol w:w="1660"/>
        <w:gridCol w:w="1660"/>
        <w:gridCol w:w="1660"/>
        <w:gridCol w:w="2020"/>
      </w:tblGrid>
      <w:tr>
        <w:trPr>
          <w:trHeight w:val="255"/>
        </w:trPr>
        <w:tc>
          <w:tcPr>
            <w:tcW w:w="3120" w:type="dxa"/>
            <w:tcBorders>
              <w:top w:val="single" w:sz="4" w:space="0" w:color="auto"/>
            </w:tcBorders>
            <w:shd w:val="clear" w:color="auto" w:fill="66CCFF"/>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Année de survenance</w:t>
            </w:r>
          </w:p>
        </w:tc>
        <w:tc>
          <w:tcPr>
            <w:tcW w:w="10320" w:type="dxa"/>
            <w:gridSpan w:val="6"/>
            <w:tcBorders>
              <w:top w:val="single" w:sz="4" w:space="0" w:color="auto"/>
              <w:bottom w:val="single" w:sz="4" w:space="0" w:color="auto"/>
            </w:tcBorders>
            <w:shd w:val="clear" w:color="auto" w:fill="66CCFF"/>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2016</w:t>
            </w:r>
          </w:p>
        </w:tc>
      </w:tr>
      <w:tr>
        <w:trPr>
          <w:trHeight w:val="255"/>
        </w:trPr>
        <w:tc>
          <w:tcPr>
            <w:tcW w:w="3120" w:type="dxa"/>
            <w:tcBorders>
              <w:top w:val="single" w:sz="4" w:space="0" w:color="auto"/>
            </w:tcBorders>
            <w:shd w:val="clear" w:color="auto" w:fill="DFDCC7"/>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État demandeur</w:t>
            </w:r>
          </w:p>
        </w:tc>
        <w:tc>
          <w:tcPr>
            <w:tcW w:w="1660" w:type="dxa"/>
            <w:tcBorders>
              <w:top w:val="single" w:sz="4" w:space="0" w:color="auto"/>
              <w:bottom w:val="single" w:sz="4" w:space="0" w:color="auto"/>
            </w:tcBorders>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Grèce</w:t>
            </w:r>
          </w:p>
        </w:tc>
        <w:tc>
          <w:tcPr>
            <w:tcW w:w="1660" w:type="dxa"/>
            <w:tcBorders>
              <w:top w:val="single" w:sz="4" w:space="0" w:color="auto"/>
              <w:bottom w:val="single" w:sz="4" w:space="0" w:color="auto"/>
            </w:tcBorders>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Royaume-Uni</w:t>
            </w:r>
          </w:p>
        </w:tc>
        <w:tc>
          <w:tcPr>
            <w:tcW w:w="1660" w:type="dxa"/>
            <w:tcBorders>
              <w:top w:val="single" w:sz="4" w:space="0" w:color="auto"/>
              <w:bottom w:val="single" w:sz="4" w:space="0" w:color="auto"/>
            </w:tcBorders>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Allemagne</w:t>
            </w:r>
          </w:p>
        </w:tc>
        <w:tc>
          <w:tcPr>
            <w:tcW w:w="1660" w:type="dxa"/>
            <w:tcBorders>
              <w:top w:val="single" w:sz="4" w:space="0" w:color="auto"/>
              <w:bottom w:val="single" w:sz="4" w:space="0" w:color="auto"/>
            </w:tcBorders>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Chypre</w:t>
            </w:r>
          </w:p>
        </w:tc>
        <w:tc>
          <w:tcPr>
            <w:tcW w:w="1660" w:type="dxa"/>
            <w:tcBorders>
              <w:top w:val="single" w:sz="4" w:space="0" w:color="auto"/>
              <w:bottom w:val="single" w:sz="4" w:space="0" w:color="auto"/>
            </w:tcBorders>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Portugal</w:t>
            </w:r>
          </w:p>
        </w:tc>
        <w:tc>
          <w:tcPr>
            <w:tcW w:w="2020" w:type="dxa"/>
            <w:tcBorders>
              <w:top w:val="single" w:sz="4" w:space="0" w:color="auto"/>
              <w:bottom w:val="single" w:sz="4" w:space="0" w:color="auto"/>
            </w:tcBorders>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Italie</w:t>
            </w:r>
          </w:p>
        </w:tc>
      </w:tr>
      <w:tr>
        <w:trPr>
          <w:trHeight w:val="740"/>
        </w:trPr>
        <w:tc>
          <w:tcPr>
            <w:tcW w:w="3120" w:type="dxa"/>
            <w:shd w:val="clear" w:color="auto" w:fill="DFDCC7"/>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Nom et nature</w:t>
            </w:r>
            <w:r>
              <w:rPr>
                <w:rFonts w:ascii="Times New Roman" w:eastAsia="Times New Roman" w:hAnsi="Times New Roman"/>
                <w:b/>
                <w:bCs/>
                <w:noProof/>
                <w:sz w:val="18"/>
                <w:szCs w:val="18"/>
              </w:rPr>
              <w:br/>
            </w:r>
            <w:r>
              <w:rPr>
                <w:rFonts w:ascii="Times New Roman" w:hAnsi="Times New Roman"/>
                <w:b/>
                <w:noProof/>
                <w:sz w:val="18"/>
              </w:rPr>
              <w:t>de la catastrophe</w:t>
            </w:r>
          </w:p>
        </w:tc>
        <w:tc>
          <w:tcPr>
            <w:tcW w:w="1660" w:type="dxa"/>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Tremblement de terre de Leucade de 2015</w:t>
            </w:r>
          </w:p>
        </w:tc>
        <w:tc>
          <w:tcPr>
            <w:tcW w:w="1660" w:type="dxa"/>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Inondations de 2015</w:t>
            </w:r>
          </w:p>
        </w:tc>
        <w:tc>
          <w:tcPr>
            <w:tcW w:w="1660" w:type="dxa"/>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Inondations en Basse-Bavière de 2016</w:t>
            </w:r>
          </w:p>
        </w:tc>
        <w:tc>
          <w:tcPr>
            <w:tcW w:w="1660" w:type="dxa"/>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Sécheresse et incendies de 2016</w:t>
            </w:r>
          </w:p>
        </w:tc>
        <w:tc>
          <w:tcPr>
            <w:tcW w:w="1660" w:type="dxa"/>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Incendies à Madère de 2016</w:t>
            </w:r>
          </w:p>
        </w:tc>
        <w:tc>
          <w:tcPr>
            <w:tcW w:w="2020" w:type="dxa"/>
            <w:shd w:val="clear" w:color="auto" w:fill="DFDCC7"/>
            <w:vAlign w:val="center"/>
          </w:tcPr>
          <w:p>
            <w:pPr>
              <w:spacing w:after="0" w:line="240" w:lineRule="auto"/>
              <w:jc w:val="center"/>
              <w:rPr>
                <w:rFonts w:ascii="Times New Roman" w:eastAsia="Times New Roman" w:hAnsi="Times New Roman"/>
                <w:b/>
                <w:bCs/>
                <w:noProof/>
                <w:sz w:val="18"/>
                <w:szCs w:val="20"/>
              </w:rPr>
            </w:pPr>
            <w:r>
              <w:rPr>
                <w:rFonts w:ascii="Times New Roman" w:hAnsi="Times New Roman"/>
                <w:b/>
                <w:noProof/>
                <w:sz w:val="18"/>
              </w:rPr>
              <w:t>Séries de tremblements de terre en 2016/2017</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Date du premier dommage</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17.11.2015</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5.12.2015</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28.5.2016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14.6.2016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8.8.2016</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24.8.2016</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Délai d'introduction des demandes</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9.2./2016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27.2.2016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20.8.2016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6.9.2016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31.10.2016</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16.11.2016</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Date de la demande </w:t>
            </w:r>
            <w:r>
              <w:rPr>
                <w:rFonts w:ascii="Times New Roman" w:eastAsia="Times New Roman" w:hAnsi="Times New Roman"/>
                <w:b/>
                <w:bCs/>
                <w:noProof/>
                <w:sz w:val="18"/>
                <w:szCs w:val="18"/>
              </w:rPr>
              <w:br/>
            </w:r>
            <w:r>
              <w:rPr>
                <w:rFonts w:ascii="Times New Roman" w:hAnsi="Times New Roman"/>
                <w:b/>
                <w:noProof/>
                <w:sz w:val="18"/>
              </w:rPr>
              <w:t>(réception par la Commission)</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5.2.2016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26.2.2016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19.8.2016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5.9.2016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21.9.2016</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16.11.2016</w:t>
            </w:r>
          </w:p>
        </w:tc>
      </w:tr>
      <w:tr>
        <w:trPr>
          <w:trHeight w:val="255"/>
        </w:trPr>
        <w:tc>
          <w:tcPr>
            <w:tcW w:w="3120" w:type="dxa"/>
            <w:shd w:val="clear" w:color="auto" w:fill="D9D9D9"/>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Date de disponibilité de toutes les informations requises</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9.3.2016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22.9.2016</w:t>
            </w:r>
          </w:p>
        </w:tc>
        <w:tc>
          <w:tcPr>
            <w:tcW w:w="1660" w:type="dxa"/>
            <w:vAlign w:val="center"/>
          </w:tcPr>
          <w:p>
            <w:pPr>
              <w:spacing w:after="0" w:line="240" w:lineRule="auto"/>
              <w:jc w:val="center"/>
              <w:rPr>
                <w:rFonts w:ascii="Times New Roman" w:eastAsia="Times New Roman" w:hAnsi="Times New Roman"/>
                <w:i/>
                <w:iCs/>
                <w:noProof/>
                <w:color w:val="000000"/>
                <w:sz w:val="20"/>
                <w:szCs w:val="20"/>
              </w:rPr>
            </w:pPr>
            <w:r>
              <w:rPr>
                <w:rFonts w:ascii="Times New Roman" w:hAnsi="Times New Roman"/>
                <w:i/>
                <w:noProof/>
                <w:color w:val="000000"/>
                <w:sz w:val="20"/>
              </w:rPr>
              <w:t>~</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i/>
                <w:noProof/>
                <w:color w:val="000000"/>
                <w:sz w:val="20"/>
              </w:rPr>
              <w:t>~</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26.10.2016</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25.5.2017</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Seuil «catastrophe majeure» (en millions d'EUR)</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1 064,928</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3 312,242</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3 312,242</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101,412</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1 026,714</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3 312,242</w:t>
            </w:r>
          </w:p>
        </w:tc>
      </w:tr>
      <w:tr>
        <w:trPr>
          <w:trHeight w:val="300"/>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Montant total des dommages directs accepté</w:t>
            </w:r>
            <w:r>
              <w:rPr>
                <w:rFonts w:ascii="Times New Roman" w:eastAsia="Times New Roman" w:hAnsi="Times New Roman"/>
                <w:b/>
                <w:bCs/>
                <w:noProof/>
                <w:sz w:val="18"/>
                <w:szCs w:val="18"/>
              </w:rPr>
              <w:br/>
            </w:r>
            <w:r>
              <w:rPr>
                <w:rFonts w:ascii="Times New Roman" w:hAnsi="Times New Roman"/>
                <w:b/>
                <w:noProof/>
                <w:sz w:val="18"/>
              </w:rPr>
              <w:t>par la Commission (en millions d'EUR)</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66 073</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2 673,462</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1 259,005</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180,803</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157,000</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21 878,767</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Catégorie</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régionale</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régionale</w:t>
            </w:r>
          </w:p>
        </w:tc>
        <w:tc>
          <w:tcPr>
            <w:tcW w:w="1660" w:type="dxa"/>
            <w:vAlign w:val="center"/>
          </w:tcPr>
          <w:p>
            <w:pPr>
              <w:spacing w:after="0" w:line="240" w:lineRule="auto"/>
              <w:jc w:val="center"/>
              <w:rPr>
                <w:rFonts w:ascii="Times New Roman" w:eastAsia="Times New Roman" w:hAnsi="Times New Roman"/>
                <w:bCs/>
                <w:noProof/>
                <w:color w:val="000000"/>
                <w:sz w:val="20"/>
                <w:szCs w:val="20"/>
              </w:rPr>
            </w:pPr>
            <w:r>
              <w:rPr>
                <w:rFonts w:ascii="Times New Roman" w:hAnsi="Times New Roman"/>
                <w:noProof/>
                <w:color w:val="000000"/>
                <w:sz w:val="20"/>
              </w:rPr>
              <w:t>régionale</w:t>
            </w:r>
          </w:p>
        </w:tc>
        <w:tc>
          <w:tcPr>
            <w:tcW w:w="1660" w:type="dxa"/>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majeure</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régionale</w:t>
            </w:r>
          </w:p>
        </w:tc>
        <w:tc>
          <w:tcPr>
            <w:tcW w:w="2020" w:type="dxa"/>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majeure</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Dommages/seuil</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6,20 %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72,82 %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38,01 %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178,29 %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0,02 %</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660,54 %</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Dommages/RNB</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0,037 %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0,109 %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0,042 %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1,070 %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0,092 %</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1,356 %</w:t>
            </w:r>
          </w:p>
        </w:tc>
      </w:tr>
      <w:tr>
        <w:trPr>
          <w:trHeight w:val="28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Dommages aux infrastructures publiques (en millions d'EUR)</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54,698</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512,586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106,887</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150,579</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103,840</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10 154,494</w:t>
            </w:r>
          </w:p>
        </w:tc>
      </w:tr>
      <w:tr>
        <w:trPr>
          <w:trHeight w:val="28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Dommages aux infrastructures publiques/Total des dommages</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82,78 %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21,25 %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8,49 %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83,28 %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66,14 %</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46,41 %</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Coût des opérations éligibles (en millions d'EUR)</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52,374</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408,232</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94,196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49,000</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7,347</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2 149,363</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Coûts éligibles/Total des dommages</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79,27 %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16,92 %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7,48 %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27,10 %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4,68 %</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9,82 %</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Aide/coûts éligibles</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3,15 %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14,77 %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33,41 %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14,90 %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53,42 %</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55,68 %</w:t>
            </w:r>
          </w:p>
        </w:tc>
      </w:tr>
      <w:tr>
        <w:trPr>
          <w:trHeight w:val="255"/>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Taux de l’aide (% du montant total des dommages)</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2,50 %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2,50 %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2,50 %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4,04 %</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2,50 %</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5,47 %</w:t>
            </w:r>
          </w:p>
        </w:tc>
      </w:tr>
      <w:tr>
        <w:trPr>
          <w:trHeight w:val="488"/>
        </w:trPr>
        <w:tc>
          <w:tcPr>
            <w:tcW w:w="3120" w:type="dxa"/>
            <w:shd w:val="clear" w:color="auto" w:fill="D9D9D9"/>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Date de la décision d'avance</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18.3.2016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w:t>
            </w:r>
          </w:p>
        </w:tc>
        <w:tc>
          <w:tcPr>
            <w:tcW w:w="1660" w:type="dxa"/>
            <w:vAlign w:val="center"/>
          </w:tcPr>
          <w:p>
            <w:pPr>
              <w:spacing w:after="0" w:line="240" w:lineRule="auto"/>
              <w:jc w:val="center"/>
              <w:rPr>
                <w:rFonts w:ascii="Times New Roman" w:eastAsia="Times New Roman" w:hAnsi="Times New Roman"/>
                <w:bCs/>
                <w:noProof/>
                <w:color w:val="000000"/>
                <w:sz w:val="20"/>
                <w:szCs w:val="20"/>
              </w:rPr>
            </w:pPr>
            <w:r>
              <w:rPr>
                <w:rFonts w:ascii="Times New Roman" w:hAnsi="Times New Roman"/>
                <w:noProof/>
                <w:color w:val="000000"/>
                <w:sz w:val="20"/>
              </w:rPr>
              <w:t>~</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17.11.2016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9.11.2016</w:t>
            </w:r>
          </w:p>
        </w:tc>
        <w:tc>
          <w:tcPr>
            <w:tcW w:w="202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29.11.2016</w:t>
            </w:r>
          </w:p>
        </w:tc>
      </w:tr>
      <w:tr>
        <w:trPr>
          <w:trHeight w:val="278"/>
        </w:trPr>
        <w:tc>
          <w:tcPr>
            <w:tcW w:w="3120" w:type="dxa"/>
            <w:shd w:val="clear" w:color="auto" w:fill="D9D9D9"/>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Date de la communication</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21.6.2016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13.1.2017</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14.10.2016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24.1.2017</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24.1.2017</w:t>
            </w:r>
          </w:p>
        </w:tc>
        <w:tc>
          <w:tcPr>
            <w:tcW w:w="2020" w:type="dxa"/>
            <w:vAlign w:val="center"/>
          </w:tcPr>
          <w:p>
            <w:pPr>
              <w:spacing w:after="0" w:line="240" w:lineRule="auto"/>
              <w:jc w:val="center"/>
              <w:rPr>
                <w:rFonts w:ascii="Times New Roman" w:eastAsia="Times New Roman" w:hAnsi="Times New Roman"/>
                <w:bCs/>
                <w:noProof/>
                <w:color w:val="000000"/>
                <w:sz w:val="20"/>
                <w:szCs w:val="20"/>
              </w:rPr>
            </w:pPr>
            <w:r>
              <w:rPr>
                <w:rFonts w:ascii="Times New Roman" w:hAnsi="Times New Roman"/>
                <w:noProof/>
                <w:color w:val="000000"/>
                <w:sz w:val="20"/>
              </w:rPr>
              <w:t>21.6.2017</w:t>
            </w:r>
          </w:p>
        </w:tc>
      </w:tr>
      <w:tr>
        <w:trPr>
          <w:trHeight w:val="278"/>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Date de la décision d’octroi</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24.10.2016</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4.7.2017</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7.3.2017</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26.4.2017</w:t>
            </w:r>
          </w:p>
        </w:tc>
        <w:tc>
          <w:tcPr>
            <w:tcW w:w="1660" w:type="dxa"/>
            <w:vAlign w:val="center"/>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26.4.2017</w:t>
            </w:r>
          </w:p>
        </w:tc>
        <w:tc>
          <w:tcPr>
            <w:tcW w:w="2020" w:type="dxa"/>
            <w:vMerge w:val="restart"/>
            <w:shd w:val="clear" w:color="auto" w:fill="auto"/>
            <w:vAlign w:val="center"/>
          </w:tcPr>
          <w:p>
            <w:pPr>
              <w:spacing w:after="0" w:line="240" w:lineRule="auto"/>
              <w:jc w:val="center"/>
              <w:rPr>
                <w:rFonts w:ascii="Times New Roman" w:eastAsia="Times New Roman" w:hAnsi="Times New Roman"/>
                <w:bCs/>
                <w:i/>
                <w:noProof/>
                <w:sz w:val="20"/>
                <w:szCs w:val="20"/>
              </w:rPr>
            </w:pPr>
            <w:r>
              <w:rPr>
                <w:rFonts w:ascii="Times New Roman" w:hAnsi="Times New Roman"/>
                <w:i/>
                <w:noProof/>
                <w:sz w:val="20"/>
              </w:rPr>
              <w:t>[1 196 797 579</w:t>
            </w:r>
            <w:r>
              <w:rPr>
                <w:rStyle w:val="FootnoteReference"/>
                <w:rFonts w:ascii="Times New Roman" w:hAnsi="Times New Roman"/>
                <w:i/>
                <w:noProof/>
                <w:sz w:val="20"/>
              </w:rPr>
              <w:footnoteReference w:id="2"/>
            </w:r>
            <w:r>
              <w:rPr>
                <w:rFonts w:ascii="Times New Roman" w:hAnsi="Times New Roman"/>
                <w:i/>
                <w:noProof/>
                <w:sz w:val="20"/>
              </w:rPr>
              <w:t>]</w:t>
            </w:r>
          </w:p>
        </w:tc>
      </w:tr>
      <w:tr>
        <w:trPr>
          <w:trHeight w:val="272"/>
        </w:trPr>
        <w:tc>
          <w:tcPr>
            <w:tcW w:w="3120" w:type="dxa"/>
            <w:shd w:val="clear" w:color="auto" w:fill="D9D9D9"/>
            <w:vAlign w:val="center"/>
            <w:hideMark/>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Contribution financière du Fonds de solidarité (en EUR)</w:t>
            </w:r>
          </w:p>
        </w:tc>
        <w:tc>
          <w:tcPr>
            <w:tcW w:w="1660" w:type="dxa"/>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1 651 834</w:t>
            </w:r>
          </w:p>
        </w:tc>
        <w:tc>
          <w:tcPr>
            <w:tcW w:w="1660" w:type="dxa"/>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60 301 050</w:t>
            </w:r>
          </w:p>
        </w:tc>
        <w:tc>
          <w:tcPr>
            <w:tcW w:w="1660" w:type="dxa"/>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31 475 125</w:t>
            </w:r>
          </w:p>
        </w:tc>
        <w:tc>
          <w:tcPr>
            <w:tcW w:w="1660" w:type="dxa"/>
            <w:vAlign w:val="center"/>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7 298 760</w:t>
            </w:r>
          </w:p>
        </w:tc>
        <w:tc>
          <w:tcPr>
            <w:tcW w:w="1660" w:type="dxa"/>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rPr>
              <w:t>3 925 000</w:t>
            </w:r>
          </w:p>
        </w:tc>
        <w:tc>
          <w:tcPr>
            <w:tcW w:w="2020" w:type="dxa"/>
            <w:vMerge/>
            <w:shd w:val="clear" w:color="auto" w:fill="auto"/>
            <w:vAlign w:val="center"/>
          </w:tcPr>
          <w:p>
            <w:pPr>
              <w:spacing w:after="0" w:line="240" w:lineRule="auto"/>
              <w:jc w:val="center"/>
              <w:rPr>
                <w:rFonts w:ascii="Times New Roman" w:eastAsia="Times New Roman" w:hAnsi="Times New Roman"/>
                <w:b/>
                <w:bCs/>
                <w:noProof/>
                <w:color w:val="0070C0"/>
                <w:sz w:val="20"/>
                <w:szCs w:val="20"/>
              </w:rPr>
            </w:pPr>
          </w:p>
        </w:tc>
      </w:tr>
    </w:tbl>
    <w:p>
      <w:pPr>
        <w:spacing w:after="0" w:line="240" w:lineRule="auto"/>
        <w:ind w:right="-191"/>
        <w:jc w:val="center"/>
        <w:rPr>
          <w:rFonts w:ascii="Times New Roman" w:eastAsia="Times New Roman" w:hAnsi="Times New Roman"/>
          <w:noProof/>
          <w:sz w:val="20"/>
          <w:szCs w:val="20"/>
        </w:rPr>
      </w:pPr>
      <w:bookmarkStart w:id="4" w:name="_CopyToNewDocument_"/>
      <w:bookmarkEnd w:id="4"/>
    </w:p>
    <w:p>
      <w:pPr>
        <w:spacing w:before="120" w:after="0" w:line="240" w:lineRule="auto"/>
        <w:ind w:right="-191"/>
        <w:jc w:val="both"/>
        <w:rPr>
          <w:rFonts w:ascii="Times New Roman" w:eastAsia="Times New Roman" w:hAnsi="Times New Roman"/>
          <w:noProof/>
          <w:szCs w:val="20"/>
        </w:rPr>
      </w:pPr>
      <w:r>
        <w:rPr>
          <w:rFonts w:ascii="Times New Roman" w:hAnsi="Times New Roman"/>
          <w:b/>
          <w:noProof/>
        </w:rPr>
        <w:t>Un aperçu de tous les cas couverts par le Fonds de solidarité de l’Union européenne depuis 2002 est disponible à l’adresse suivante:</w:t>
      </w:r>
      <w:r>
        <w:rPr>
          <w:noProof/>
        </w:rPr>
        <w:tab/>
      </w:r>
      <w:r>
        <w:rPr>
          <w:rFonts w:ascii="Times New Roman" w:eastAsia="Times New Roman" w:hAnsi="Times New Roman"/>
          <w:noProof/>
          <w:szCs w:val="20"/>
        </w:rPr>
        <w:br/>
      </w:r>
      <w:hyperlink r:id="rId21">
        <w:r>
          <w:rPr>
            <w:rStyle w:val="Hyperlink"/>
            <w:rFonts w:ascii="Times New Roman" w:hAnsi="Times New Roman"/>
            <w:noProof/>
          </w:rPr>
          <w:t>http://ec.europa.eu/regional_policy/fr/funding/solidarity-fund/</w:t>
        </w:r>
      </w:hyperlink>
    </w:p>
    <w:sectPr>
      <w:headerReference w:type="even" r:id="rId22"/>
      <w:headerReference w:type="default" r:id="rId23"/>
      <w:footerReference w:type="even" r:id="rId24"/>
      <w:footerReference w:type="default" r:id="rId25"/>
      <w:headerReference w:type="first" r:id="rId26"/>
      <w:footerReference w:type="first" r:id="rId27"/>
      <w:pgSz w:w="16839" w:h="11907" w:orient="landscape"/>
      <w:pgMar w:top="990" w:right="1134" w:bottom="960" w:left="1920" w:header="4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rPr>
          <w:sz w:val="18"/>
        </w:rPr>
      </w:pPr>
      <w:r>
        <w:rPr>
          <w:rStyle w:val="FootnoteReference"/>
        </w:rPr>
        <w:footnoteRef/>
      </w:r>
      <w:r>
        <w:tab/>
      </w:r>
      <w:r>
        <w:rPr>
          <w:sz w:val="18"/>
        </w:rPr>
        <w:t>Règlement (CE) nº 2012/2002 du Conseil instituant le Fonds de solidarité de l’Union européenne, tel que modifié par le règlement (UE) nº 661/2014 du Parlement européen et du Conseil du 15 mai 2014 (JO L 189 du 27.6.2014, p. 143).</w:t>
      </w:r>
    </w:p>
    <w:p>
      <w:pPr>
        <w:pStyle w:val="FootnoteText"/>
        <w:ind w:left="240" w:hanging="240"/>
      </w:pPr>
    </w:p>
  </w:footnote>
  <w:footnote w:id="2">
    <w:p>
      <w:pPr>
        <w:pStyle w:val="FootnoteText"/>
        <w:ind w:left="240" w:hanging="240"/>
        <w:rPr>
          <w:sz w:val="16"/>
          <w:lang w:val="fr-BE"/>
        </w:rPr>
      </w:pPr>
      <w:r>
        <w:rPr>
          <w:rStyle w:val="FootnoteReference"/>
          <w:sz w:val="16"/>
        </w:rPr>
        <w:footnoteRef/>
      </w:r>
      <w:r>
        <w:rPr>
          <w:sz w:val="16"/>
        </w:rPr>
        <w:t xml:space="preserve"> </w:t>
      </w:r>
      <w:r>
        <w:tab/>
      </w:r>
      <w:r>
        <w:rPr>
          <w:sz w:val="16"/>
        </w:rPr>
        <w:t>Décision en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color w:val="00B05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2"/>
    <w:docVar w:name="LW_ANNEX_UNIQUE" w:val="0"/>
    <w:docVar w:name="LW_CORRIGENDUM" w:val="&lt;UNUSED&gt;"/>
    <w:docVar w:name="LW_COVERPAGE_EXISTS" w:val="True"/>
    <w:docVar w:name="LW_COVERPAGE_GUID" w:val="FA240C2A-2ED4-4B69-A568-B8DA2C486A4E"/>
    <w:docVar w:name="LW_COVERPAGE_TYPE" w:val="1"/>
    <w:docVar w:name="LW_CROSSREFERENCE" w:val="&lt;UNUSED&gt;"/>
    <w:docVar w:name="LW_DATE.ADOPT.CP_ISODATE" w:val="&lt;EMPTY&gt;"/>
    <w:docVar w:name="LW_DocType" w:val="NORMAL"/>
    <w:docVar w:name="LW_EMISSION" w:val="18.12.2017"/>
    <w:docVar w:name="LW_EMISSION_ISODATE" w:val="2017-12-18"/>
    <w:docVar w:name="LW_EMISSION_LOCATION" w:val="BRX"/>
    <w:docVar w:name="LW_EMISSION_PREFIX" w:val="Bruxelles, le "/>
    <w:docVar w:name="LW_EMISSION_SUFFIX" w:val="&lt;EMPTY&gt;"/>
    <w:docVar w:name="LW_ID_DOCTYPE_NONLW" w:val="CP-039"/>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Rapport annuel 2016 du Fonds de solidarité de l'Union européenne"/>
    <w:docVar w:name="LW_PART_NBR" w:val="&lt;UNUSED&gt;"/>
    <w:docVar w:name="LW_PART_NBR_TOTAL" w:val="&lt;UNUSED&gt;"/>
    <w:docVar w:name="LW_REF.II.NEW.CP" w:val="&lt;UNUSED&gt;"/>
    <w:docVar w:name="LW_REF.II.NEW.CP_NUMBER" w:val="&lt;UNUSED&gt;"/>
    <w:docVar w:name="LW_REF.II.NEW.CP_YEAR" w:val="2017"/>
    <w:docVar w:name="LW_REF.INST.NEW" w:val="COM"/>
    <w:docVar w:name="LW_REF.INST.NEW_ADOPTED" w:val="final"/>
    <w:docVar w:name="LW_REF.INST.NEW_TEXT" w:val="(2017)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styleId="FootnoteReference">
    <w:name w:val="footnote reference"/>
    <w:semiHidden/>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ManualHeading1Char">
    <w:name w:val="Manual Heading 1 Char"/>
    <w:link w:val="ManualHeading1"/>
    <w:rPr>
      <w:rFonts w:ascii="Times New Roman" w:eastAsia="Times New Roman" w:hAnsi="Times New Roman"/>
      <w:b/>
      <w:smallCaps/>
      <w:sz w:val="24"/>
      <w:szCs w:val="24"/>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Footnote">
    <w:name w:val="Footnote"/>
    <w:basedOn w:val="FootnoteText"/>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styleId="FootnoteReference">
    <w:name w:val="footnote reference"/>
    <w:semiHidden/>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ManualHeading1Char">
    <w:name w:val="Manual Heading 1 Char"/>
    <w:link w:val="ManualHeading1"/>
    <w:rPr>
      <w:rFonts w:ascii="Times New Roman" w:eastAsia="Times New Roman" w:hAnsi="Times New Roman"/>
      <w:b/>
      <w:smallCaps/>
      <w:sz w:val="24"/>
      <w:szCs w:val="24"/>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Footnote">
    <w:name w:val="Footnote"/>
    <w:basedOn w:val="FootnoteText"/>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461">
      <w:bodyDiv w:val="1"/>
      <w:marLeft w:val="0"/>
      <w:marRight w:val="0"/>
      <w:marTop w:val="0"/>
      <w:marBottom w:val="0"/>
      <w:divBdr>
        <w:top w:val="none" w:sz="0" w:space="0" w:color="auto"/>
        <w:left w:val="none" w:sz="0" w:space="0" w:color="auto"/>
        <w:bottom w:val="none" w:sz="0" w:space="0" w:color="auto"/>
        <w:right w:val="none" w:sz="0" w:space="0" w:color="auto"/>
      </w:divBdr>
    </w:div>
    <w:div w:id="199129577">
      <w:bodyDiv w:val="1"/>
      <w:marLeft w:val="0"/>
      <w:marRight w:val="0"/>
      <w:marTop w:val="0"/>
      <w:marBottom w:val="0"/>
      <w:divBdr>
        <w:top w:val="none" w:sz="0" w:space="0" w:color="auto"/>
        <w:left w:val="none" w:sz="0" w:space="0" w:color="auto"/>
        <w:bottom w:val="none" w:sz="0" w:space="0" w:color="auto"/>
        <w:right w:val="none" w:sz="0" w:space="0" w:color="auto"/>
      </w:divBdr>
    </w:div>
    <w:div w:id="346642873">
      <w:bodyDiv w:val="1"/>
      <w:marLeft w:val="0"/>
      <w:marRight w:val="0"/>
      <w:marTop w:val="0"/>
      <w:marBottom w:val="0"/>
      <w:divBdr>
        <w:top w:val="none" w:sz="0" w:space="0" w:color="auto"/>
        <w:left w:val="none" w:sz="0" w:space="0" w:color="auto"/>
        <w:bottom w:val="none" w:sz="0" w:space="0" w:color="auto"/>
        <w:right w:val="none" w:sz="0" w:space="0" w:color="auto"/>
      </w:divBdr>
    </w:div>
    <w:div w:id="416557794">
      <w:bodyDiv w:val="1"/>
      <w:marLeft w:val="0"/>
      <w:marRight w:val="0"/>
      <w:marTop w:val="0"/>
      <w:marBottom w:val="0"/>
      <w:divBdr>
        <w:top w:val="none" w:sz="0" w:space="0" w:color="auto"/>
        <w:left w:val="none" w:sz="0" w:space="0" w:color="auto"/>
        <w:bottom w:val="none" w:sz="0" w:space="0" w:color="auto"/>
        <w:right w:val="none" w:sz="0" w:space="0" w:color="auto"/>
      </w:divBdr>
    </w:div>
    <w:div w:id="418986877">
      <w:bodyDiv w:val="1"/>
      <w:marLeft w:val="0"/>
      <w:marRight w:val="0"/>
      <w:marTop w:val="0"/>
      <w:marBottom w:val="0"/>
      <w:divBdr>
        <w:top w:val="none" w:sz="0" w:space="0" w:color="auto"/>
        <w:left w:val="none" w:sz="0" w:space="0" w:color="auto"/>
        <w:bottom w:val="none" w:sz="0" w:space="0" w:color="auto"/>
        <w:right w:val="none" w:sz="0" w:space="0" w:color="auto"/>
      </w:divBdr>
    </w:div>
    <w:div w:id="502739657">
      <w:bodyDiv w:val="1"/>
      <w:marLeft w:val="0"/>
      <w:marRight w:val="0"/>
      <w:marTop w:val="0"/>
      <w:marBottom w:val="0"/>
      <w:divBdr>
        <w:top w:val="none" w:sz="0" w:space="0" w:color="auto"/>
        <w:left w:val="none" w:sz="0" w:space="0" w:color="auto"/>
        <w:bottom w:val="none" w:sz="0" w:space="0" w:color="auto"/>
        <w:right w:val="none" w:sz="0" w:space="0" w:color="auto"/>
      </w:divBdr>
    </w:div>
    <w:div w:id="667634646">
      <w:bodyDiv w:val="1"/>
      <w:marLeft w:val="0"/>
      <w:marRight w:val="0"/>
      <w:marTop w:val="0"/>
      <w:marBottom w:val="0"/>
      <w:divBdr>
        <w:top w:val="none" w:sz="0" w:space="0" w:color="auto"/>
        <w:left w:val="none" w:sz="0" w:space="0" w:color="auto"/>
        <w:bottom w:val="none" w:sz="0" w:space="0" w:color="auto"/>
        <w:right w:val="none" w:sz="0" w:space="0" w:color="auto"/>
      </w:divBdr>
    </w:div>
    <w:div w:id="845170017">
      <w:bodyDiv w:val="1"/>
      <w:marLeft w:val="0"/>
      <w:marRight w:val="0"/>
      <w:marTop w:val="0"/>
      <w:marBottom w:val="0"/>
      <w:divBdr>
        <w:top w:val="none" w:sz="0" w:space="0" w:color="auto"/>
        <w:left w:val="none" w:sz="0" w:space="0" w:color="auto"/>
        <w:bottom w:val="none" w:sz="0" w:space="0" w:color="auto"/>
        <w:right w:val="none" w:sz="0" w:space="0" w:color="auto"/>
      </w:divBdr>
    </w:div>
    <w:div w:id="1063406432">
      <w:bodyDiv w:val="1"/>
      <w:marLeft w:val="0"/>
      <w:marRight w:val="0"/>
      <w:marTop w:val="0"/>
      <w:marBottom w:val="0"/>
      <w:divBdr>
        <w:top w:val="none" w:sz="0" w:space="0" w:color="auto"/>
        <w:left w:val="none" w:sz="0" w:space="0" w:color="auto"/>
        <w:bottom w:val="none" w:sz="0" w:space="0" w:color="auto"/>
        <w:right w:val="none" w:sz="0" w:space="0" w:color="auto"/>
      </w:divBdr>
    </w:div>
    <w:div w:id="1347636680">
      <w:bodyDiv w:val="1"/>
      <w:marLeft w:val="0"/>
      <w:marRight w:val="0"/>
      <w:marTop w:val="0"/>
      <w:marBottom w:val="0"/>
      <w:divBdr>
        <w:top w:val="none" w:sz="0" w:space="0" w:color="auto"/>
        <w:left w:val="none" w:sz="0" w:space="0" w:color="auto"/>
        <w:bottom w:val="none" w:sz="0" w:space="0" w:color="auto"/>
        <w:right w:val="none" w:sz="0" w:space="0" w:color="auto"/>
      </w:divBdr>
    </w:div>
    <w:div w:id="1362702408">
      <w:bodyDiv w:val="1"/>
      <w:marLeft w:val="0"/>
      <w:marRight w:val="0"/>
      <w:marTop w:val="0"/>
      <w:marBottom w:val="0"/>
      <w:divBdr>
        <w:top w:val="none" w:sz="0" w:space="0" w:color="auto"/>
        <w:left w:val="none" w:sz="0" w:space="0" w:color="auto"/>
        <w:bottom w:val="none" w:sz="0" w:space="0" w:color="auto"/>
        <w:right w:val="none" w:sz="0" w:space="0" w:color="auto"/>
      </w:divBdr>
    </w:div>
    <w:div w:id="1377119720">
      <w:bodyDiv w:val="1"/>
      <w:marLeft w:val="0"/>
      <w:marRight w:val="0"/>
      <w:marTop w:val="0"/>
      <w:marBottom w:val="0"/>
      <w:divBdr>
        <w:top w:val="none" w:sz="0" w:space="0" w:color="auto"/>
        <w:left w:val="none" w:sz="0" w:space="0" w:color="auto"/>
        <w:bottom w:val="none" w:sz="0" w:space="0" w:color="auto"/>
        <w:right w:val="none" w:sz="0" w:space="0" w:color="auto"/>
      </w:divBdr>
    </w:div>
    <w:div w:id="1403679691">
      <w:bodyDiv w:val="1"/>
      <w:marLeft w:val="0"/>
      <w:marRight w:val="0"/>
      <w:marTop w:val="0"/>
      <w:marBottom w:val="0"/>
      <w:divBdr>
        <w:top w:val="none" w:sz="0" w:space="0" w:color="auto"/>
        <w:left w:val="none" w:sz="0" w:space="0" w:color="auto"/>
        <w:bottom w:val="none" w:sz="0" w:space="0" w:color="auto"/>
        <w:right w:val="none" w:sz="0" w:space="0" w:color="auto"/>
      </w:divBdr>
    </w:div>
    <w:div w:id="1557617454">
      <w:bodyDiv w:val="1"/>
      <w:marLeft w:val="0"/>
      <w:marRight w:val="0"/>
      <w:marTop w:val="0"/>
      <w:marBottom w:val="0"/>
      <w:divBdr>
        <w:top w:val="none" w:sz="0" w:space="0" w:color="auto"/>
        <w:left w:val="none" w:sz="0" w:space="0" w:color="auto"/>
        <w:bottom w:val="none" w:sz="0" w:space="0" w:color="auto"/>
        <w:right w:val="none" w:sz="0" w:space="0" w:color="auto"/>
      </w:divBdr>
    </w:div>
    <w:div w:id="1661300940">
      <w:bodyDiv w:val="1"/>
      <w:marLeft w:val="0"/>
      <w:marRight w:val="0"/>
      <w:marTop w:val="0"/>
      <w:marBottom w:val="0"/>
      <w:divBdr>
        <w:top w:val="none" w:sz="0" w:space="0" w:color="auto"/>
        <w:left w:val="none" w:sz="0" w:space="0" w:color="auto"/>
        <w:bottom w:val="none" w:sz="0" w:space="0" w:color="auto"/>
        <w:right w:val="none" w:sz="0" w:space="0" w:color="auto"/>
      </w:divBdr>
    </w:div>
    <w:div w:id="17501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yperlink" Target="http://ec.europa.eu/regional_policy/fr/funding/solidarity-fun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8B4C-D50F-40C6-B947-5BD07597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774</Words>
  <Characters>3926</Characters>
  <Application>Microsoft Office Word</Application>
  <DocSecurity>0</DocSecurity>
  <Lines>392</Lines>
  <Paragraphs>361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4339</CharactersWithSpaces>
  <SharedDoc>false</SharedDoc>
  <HLinks>
    <vt:vector size="6" baseType="variant">
      <vt:variant>
        <vt:i4>4849779</vt:i4>
      </vt:variant>
      <vt:variant>
        <vt:i4>0</vt:i4>
      </vt:variant>
      <vt:variant>
        <vt:i4>0</vt:i4>
      </vt:variant>
      <vt:variant>
        <vt:i4>5</vt:i4>
      </vt:variant>
      <vt:variant>
        <vt:lpwstr>http://ec.europa.eu/regional_policy/index.cfm/en/funding/solidarity-fund/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 Ioana (REGIO)</dc:creator>
  <cp:lastModifiedBy>DIGIT/A3</cp:lastModifiedBy>
  <cp:revision>12</cp:revision>
  <cp:lastPrinted>2017-10-17T10:16:00Z</cp:lastPrinted>
  <dcterms:created xsi:type="dcterms:W3CDTF">2017-12-04T12:10:00Z</dcterms:created>
  <dcterms:modified xsi:type="dcterms:W3CDTF">2017-12-07T07:19:00Z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