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83857C-4CE8-4074-9220-7FBB2FD302AE" style="width:450.4pt;height:444.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Heading1"/>
        <w:rPr>
          <w:noProof/>
        </w:rPr>
      </w:pPr>
      <w:bookmarkStart w:id="1" w:name="_GoBack"/>
      <w:bookmarkEnd w:id="1"/>
      <w:r>
        <w:rPr>
          <w:noProof/>
        </w:rPr>
        <w:lastRenderedPageBreak/>
        <w:t>1. EXECUTIVE SUMMARY</w:t>
      </w:r>
    </w:p>
    <w:p>
      <w:pPr>
        <w:rPr>
          <w:noProof/>
        </w:rPr>
      </w:pP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staff working document on the evaluation of the use of the EU framework for tax recovery assistance accompanies the Commission's report to the European Parliament and the Council, presented in accordance with Article 27 of Directive 2010/24. It examines to which extent the overall objective of this Directive, to better safeguard the financial interests of the Member States and of the EU, has been met (points 2 and 3).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questions relate to the effectiveness, the efficiency, the relevance, the coherence and the EU added-value of this EU framework (point 4.1.).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is based on the comments and responses provided by the Member States' tax authorities, the responses provided in a public consultation, the yearly statistics on the use of this EU framework, questions raised in the Recovery Expert Group meetings and in Fiscalis 2020 activities and on some external reports (point 4.2.). The nature of the Directive - providing the legal base and technical tools allowing Member States to assist each other in the recovery of claims, without setting the national recovery rules – makes it difficult to quantify the burden linked to the recovery assistance. This burden is largely influenced by the costs and the workload involved in national recovery processes. Moreover, each recovery case is different and depends on the particular circumstances of the claim. The evaluation therefore only gathered (some) evidence on the costs and burdens within the limitations of the Directive's application and reflecting individual experiences of the recovery officials. That information is duly analysed in the present report. However, any extrapolation allowing an EU-level statement on the regulatory costs related to the Directive is not possible.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this Directive had to be implemented by 31 December 2011, many Member States were late in transposing the Directive (point 5).</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amounts recovered on the basis of the EU Directive continued to increase (point 6.1.1.1.).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statistical data that are made available to the Commission do not permit to draw clear conclusions with regard to the recovery ratio. However, an approximative estimation shows that the differences in the Member States' recovery results are considerable (point 6.1.1.2.).</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 factors are influencing the recovered amounts: the increase of recovery assistance requests; the reported lack of resources and efforts for recovery assistance; and loopholes in the national means for tax recovery (point 6.1.1.3.).</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is generally considered that the Directive has helped Member States to create a deterrent effect towards non-compliance. However, this effect cannot really be measured (point 6.1.2.1.).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uniform procedural tools (i.e. the electronic request forms, the uniform instrument permitting enforcement in the requested Member State (UIPE) and the uniform notification form (UNF) are appreciated by the Member States as well as by the few respondents to the public consultation. It is considered that these tools improve the efficiency and effectiveness of recovery assistance for both the applicant and the requested authority. The use of these e-forms and uniform instruments is also generally considered to have a positive effect on reducing the workload and administrative costs for the Member States concerned (points 6.2.1. – 6.2.2.), notwithstanding the increase of assistance requests (requests for information, requests for notification and requests for recovery or precautionary measures) (point 6.2.3.1. – 6.2.3.2.).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So far, Member States did not make use of the possibilities for officials of the applicant Member State to be present during administrative enquiries – or to participate in such enquiries – or to assist during court proceedings in the requested Member State (point 6.2.3.3.).</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Fiscalis 2020</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activities facilitated the cooperation, as they enabled direct contacts between competent authorities. The discussions in these activities also permitted to develop the electronic forms, to provide training to the national officials and to discuss problems and suggestions for improving tax recovery and tax recovery assistance (point 6.2.3.4.).</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2010/24 helps to achieve the main priorities of Member States: to improve the revenue collection, reducing tax fraud and evasion, and reducing the administrative burden and costs related to recovery assistance. The mechanism of the EU Directive is considered to permit a much more efficient recovery assistance than other agreements. Given the priority of the Directive and its broad material scope, there is only little use of other agreements for recovery assistance between Member States (points 6.3.1.1. – 6.3.1.3.).</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broadening of the scope of this Directive – to all taxes and duties levied by or in the Member States – was appreciated by the Member States, although most requests still relate to the main categories of VAT and income taxes (point 6.3.1.4.). Several suggestions have been made to further extend the scope of the Directive to other claims; to reinforce the possibilities with regard to requests for information, automated and spontaneous exchange of information and access to databases in other Member States; to clarify some notification issues; to further facilitate the use of precautionary measures; to simplify conditions with regard to the obligation to provide assistance; to permit the use of the electronic request forms and the communication network in relations with third countries, etc. (points 6.3.2.1. – 6.3.2.2.).</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 providing recovery assistance, Member States have to respect the legal protection of the debtor (point 6.3.3.1.).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uniform instruments (UIPE and UNF) are considered to provide sufficient information to the debtors in the phase of recovery assistance. In order to ensure that the debtor is properly informed in a language that he understands, the Commission services also put other common forms at the disposal of the Member States (point 6.3.3.2.).</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services provide guidance on the functioning of the EU recovery assistance framework, through information published on the Commission website (point 6.3.3.3.).</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Tax recovery assistance is considered to be in the interest of all Member States, despite the unequal use and unequal workload (point 6.4.1.1.).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general, the competent authorities respect the principle of loyal cooperation between EU Member States (point 6.4.1.2.).</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 tax recovery assistance appears to be indispensable for the proper functioning of the internal market, and Member States are encouraged to make sure that the recovery assistance framework is effectively used (point 6.4.2.1.).</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considered that the joint EU approach in tax recovery presents many advantages over individual Member States' actions to conclude bilateral or multilateral assistance agreements. The harmonised arrangements, the common request forms and the uniform instruments (UIPE and UNF) considerably facilitate the work for the competent authorities (point 6.4.2.2.).</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Finally, it is pointed out that the EU tax recovery assistance is coherent with the global strategy of the EU to develop and improve cooperation between Member States (point 6.4.2.3.).</w:t>
      </w:r>
    </w:p>
    <w:p>
      <w:pPr>
        <w:spacing w:before="120" w:after="120" w:line="240" w:lineRule="auto"/>
        <w:jc w:val="both"/>
        <w:rPr>
          <w:rFonts w:ascii="Times New Roman" w:hAnsi="Times New Roman" w:cs="Times New Roman"/>
          <w:noProof/>
          <w:sz w:val="24"/>
          <w:szCs w:val="24"/>
        </w:rPr>
      </w:pPr>
    </w:p>
    <w:p>
      <w:pPr>
        <w:pStyle w:val="Heading1"/>
        <w:rPr>
          <w:noProof/>
        </w:rPr>
      </w:pPr>
      <w:r>
        <w:rPr>
          <w:noProof/>
        </w:rPr>
        <w:t>2. INTRODUCTION</w:t>
      </w:r>
    </w:p>
    <w:p>
      <w:pPr>
        <w:rPr>
          <w:noProof/>
        </w:rPr>
      </w:pP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7 April 2016, the Commission presented a Communication to the European Parliament, the Council and the European Economic and Social Committee on an action plan on VAT (document COM(2016)148; Towards a single EU VAT Area – Time to decide). In this action plan, the Commission observed that tackling the VAT gap calls for urgent actions on three fronts: enhancing administrative cooperation, collectively improving the performance of European tax administrations and improving voluntary compliance. These actions also imply a need to use and strengthen mutual assistance for the recovery of tax debts, as effective collection of VAT is a cornerstone of the fight against fraud. Therefore, the Commission announced an evaluation of the use of the current provisions on mutual recovery assistance, which relate to VAT but also to all other types of taxes.</w:t>
      </w:r>
      <w:r>
        <w:rPr>
          <w:rStyle w:val="FootnoteReference"/>
          <w:rFonts w:ascii="Times New Roman" w:hAnsi="Times New Roman" w:cs="Times New Roman"/>
          <w:noProof/>
          <w:sz w:val="20"/>
          <w:szCs w:val="20"/>
        </w:rPr>
        <w:footnoteReference w:id="2"/>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current framework for recovery assistance with regard to VAT, and with regard to all other taxes and duties of any kind levied by or on behalf of a Member State or its territorial or administrative subdivisions, or on behalf of the Union, is laid down in Council Directive 2010/24/EU of 16 March 2010.</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purpose of this evaluation is to assess whether and to what extent Council Directive 2010/24/EU of 16 March 2010 concerning mutual assistance for the recovery of claims relating to taxes, duties and other measures, and its implementation by the EU Member States have made the recovery assistance more efficient and effective. </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It will also assess to what extent this recovery assistance needs to/can be improved, and make recommendations to take account of the current needs of the Member States and the internal market in a quickly changing economic and political environment.</w:t>
      </w:r>
    </w:p>
    <w:p>
      <w:pPr>
        <w:spacing w:before="120" w:after="120" w:line="240" w:lineRule="auto"/>
        <w:jc w:val="both"/>
        <w:rPr>
          <w:rFonts w:ascii="Times New Roman" w:hAnsi="Times New Roman" w:cs="Times New Roman"/>
          <w:noProof/>
          <w:sz w:val="24"/>
          <w:szCs w:val="24"/>
          <w:lang w:eastAsia="en-GB"/>
        </w:rPr>
      </w:pPr>
    </w:p>
    <w:p>
      <w:pPr>
        <w:spacing w:before="120" w:after="120" w:line="240" w:lineRule="auto"/>
        <w:rPr>
          <w:noProof/>
        </w:rPr>
      </w:pPr>
    </w:p>
    <w:p>
      <w:pPr>
        <w:pStyle w:val="Heading1"/>
        <w:spacing w:before="120" w:after="120" w:line="240" w:lineRule="auto"/>
        <w:rPr>
          <w:noProof/>
        </w:rPr>
      </w:pPr>
      <w:r>
        <w:rPr>
          <w:noProof/>
        </w:rPr>
        <w:t>3. BACKGROUND TO THE INITIATIVE</w:t>
      </w:r>
    </w:p>
    <w:p>
      <w:pPr>
        <w:spacing w:before="120" w:after="120" w:line="240" w:lineRule="auto"/>
        <w:jc w:val="both"/>
        <w:rPr>
          <w:rFonts w:ascii="Times New Roman" w:hAnsi="Times New Roman" w:cs="Times New Roman"/>
          <w:b/>
          <w:noProof/>
          <w:sz w:val="24"/>
          <w:szCs w:val="24"/>
          <w:u w:val="single"/>
        </w:rPr>
      </w:pPr>
    </w:p>
    <w:p>
      <w:pPr>
        <w:pStyle w:val="Heading2"/>
        <w:rPr>
          <w:noProof/>
        </w:rPr>
      </w:pPr>
      <w:r>
        <w:rPr>
          <w:noProof/>
        </w:rPr>
        <w:t>3.1. Situation prior to Council Directive 2010/24/EU</w:t>
      </w:r>
    </w:p>
    <w:p>
      <w:pPr>
        <w:rPr>
          <w:noProof/>
        </w:rPr>
      </w:pP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Arrangements for mutual recovery assistance were first set out in Council Directive 76/308/EEC of 15 March 1976 on mutual assistance for the </w:t>
      </w:r>
      <w:r>
        <w:rPr>
          <w:rFonts w:ascii="Times New Roman" w:hAnsi="Times New Roman" w:cs="Times New Roman"/>
          <w:noProof/>
          <w:color w:val="000000"/>
          <w:sz w:val="24"/>
          <w:szCs w:val="24"/>
        </w:rPr>
        <w:t>recovery of claims resulting from operations forming part of the system of financing the European Agricultural Guidance and Guarantee Fund, and of the agricultural levies and customs duties. The scope of this assistance framework was gradually extended to VAT, excise duties, income taxes and taxes on insurance premiums.</w:t>
      </w:r>
      <w:r>
        <w:rPr>
          <w:rStyle w:val="FootnoteReference"/>
          <w:rFonts w:ascii="Times New Roman" w:hAnsi="Times New Roman" w:cs="Times New Roman"/>
          <w:noProof/>
          <w:color w:val="000000"/>
          <w:sz w:val="24"/>
          <w:szCs w:val="24"/>
        </w:rPr>
        <w:footnoteReference w:id="3"/>
      </w:r>
      <w:r>
        <w:rPr>
          <w:rFonts w:ascii="Times New Roman" w:hAnsi="Times New Roman" w:cs="Times New Roman"/>
          <w:noProof/>
          <w:color w:val="000000"/>
          <w:sz w:val="24"/>
          <w:szCs w:val="24"/>
        </w:rPr>
        <w:t xml:space="preserve"> All other taxes and duties, levied by or on behalf of a Member State or its territorial or administrative subdivisions were still outside the scope. This was at the detriment of the financial interests of the Member States and the neutrality of the internal market.</w:t>
      </w:r>
    </w:p>
    <w:p>
      <w:pPr>
        <w:spacing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execution of a continuously increasing number of assistance requests under the former Directive entailed a considerable burden for the requested Member States, as the efficiency and effectiveness of the former framework was not optimal.</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 xml:space="preserve">In the past, there were no </w:t>
      </w:r>
      <w:r>
        <w:rPr>
          <w:rFonts w:ascii="Times New Roman" w:hAnsi="Times New Roman" w:cs="Times New Roman"/>
          <w:noProof/>
          <w:sz w:val="24"/>
          <w:szCs w:val="24"/>
        </w:rPr>
        <w:t xml:space="preserve">electronic request forms with automatic translation of pre-defined text fields. </w:t>
      </w:r>
      <w:r>
        <w:rPr>
          <w:rFonts w:ascii="Times New Roman" w:eastAsia="Times New Roman" w:hAnsi="Times New Roman" w:cs="Times New Roman"/>
          <w:noProof/>
          <w:color w:val="000000"/>
          <w:sz w:val="24"/>
          <w:szCs w:val="24"/>
          <w:lang w:eastAsia="en-GB"/>
        </w:rPr>
        <w:t>There were also problems with regard to the recognition and translation of instruments emanating from another Member State, which constituted a major cause of the inefficiency of the former arrangements for assistance.</w:t>
      </w:r>
      <w:r>
        <w:rPr>
          <w:rFonts w:ascii="Times New Roman" w:hAnsi="Times New Roman" w:cs="Times New Roman"/>
          <w:noProof/>
          <w:sz w:val="24"/>
          <w:szCs w:val="24"/>
        </w:rPr>
        <w:t xml:space="preserve"> This caused delays in both the applicant and the requested Member State.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no provision for direct information exchange between services, which could have made assistance fast and efficient, and there was no legal basis for exchange of information without prior request.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conditions for requesting recovery assistance were strict: a request for recovery assistance could only be sent if the domestic means of recovery had been fully exhausted, i.e. if the applicant authority had applied appropriate recovery procedures and the measures taken would not result in the payment in full of the claim (Article 7(2)(b) of Directive 2008/55/EC). </w:t>
      </w:r>
    </w:p>
    <w:p>
      <w:pPr>
        <w:spacing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Finally, the requested Member State was entitled to recover its costs related to the recovery from the debtor, but these costs could not be deducted from the recovered amounts if a full recovery from the debtor was not possible. This did not encourage Member States to devote sufficient resources to the recovery of other Member States' claims as the costs of the procedure would effectively be borne by the requested Member State if they could not be recovered from the debtor.</w:t>
      </w:r>
    </w:p>
    <w:p>
      <w:pPr>
        <w:pStyle w:val="Heading2"/>
        <w:spacing w:before="120" w:after="120" w:line="240" w:lineRule="auto"/>
        <w:rPr>
          <w:noProof/>
          <w:lang w:eastAsia="en-GB"/>
        </w:rPr>
      </w:pPr>
    </w:p>
    <w:p>
      <w:pPr>
        <w:pStyle w:val="Heading2"/>
        <w:spacing w:before="120" w:after="120" w:line="240" w:lineRule="auto"/>
        <w:rPr>
          <w:noProof/>
          <w:lang w:eastAsia="en-GB"/>
        </w:rPr>
      </w:pPr>
      <w:r>
        <w:rPr>
          <w:noProof/>
          <w:lang w:eastAsia="en-GB"/>
        </w:rPr>
        <w:t>3.2. Council Directive 2010/24/EU and its objectives</w:t>
      </w:r>
    </w:p>
    <w:p>
      <w:pPr>
        <w:spacing w:before="120" w:after="120" w:line="240" w:lineRule="auto"/>
        <w:rPr>
          <w:noProof/>
          <w:lang w:eastAsia="en-GB"/>
        </w:rPr>
      </w:pPr>
    </w:p>
    <w:p>
      <w:pPr>
        <w:pStyle w:val="ListParagraph"/>
        <w:spacing w:before="120" w:after="120" w:line="240" w:lineRule="auto"/>
        <w:ind w:left="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overall objective of Council Directive 2010/24/EU was to better safeguard the financial interests of the Member States, including their territorial or regional subdivisions and the neutrality of the internal market. In particular, it provided for an extended scope of the recovery assistance and it introduced a range of measures to facilitate cooperation between the EU Member States: it introduced uniform instruments for notification and for recovery in other Member States; it introduced a legal basis for exchange of information without prior request on specific tax refunds; it made it possible for tax officials of a Member State to attend or to participate in administrative enquiries in another Member State; it made it possible to send a request for recovery assistance, even though the domestic means of recovery were not yet fully exhausted, </w:t>
      </w:r>
      <w:r>
        <w:rPr>
          <w:rFonts w:ascii="Times New Roman" w:hAnsi="Times New Roman" w:cs="Times New Roman"/>
          <w:i/>
          <w:noProof/>
          <w:sz w:val="24"/>
          <w:szCs w:val="24"/>
          <w:lang w:eastAsia="en-GB"/>
        </w:rPr>
        <w:t>inter alia</w:t>
      </w:r>
      <w:r>
        <w:rPr>
          <w:rFonts w:ascii="Times New Roman" w:hAnsi="Times New Roman" w:cs="Times New Roman"/>
          <w:noProof/>
          <w:sz w:val="24"/>
          <w:szCs w:val="24"/>
          <w:lang w:eastAsia="en-GB"/>
        </w:rPr>
        <w:t xml:space="preserve">, where recourse to such procedures in the applicant Member State would give rise to disproportionate difficulty; it provided for clearer and more precise rules where necessary, and it allowed the requested Member State to retain the costs linked to the recovery that it had incurred. </w:t>
      </w:r>
    </w:p>
    <w:p>
      <w:pPr>
        <w:pStyle w:val="Heading1"/>
        <w:rPr>
          <w:noProof/>
          <w:lang w:eastAsia="en-GB"/>
        </w:rPr>
      </w:pPr>
      <w:r>
        <w:rPr>
          <w:noProof/>
          <w:lang w:eastAsia="en-GB"/>
        </w:rPr>
        <w:t>4. EVALUATION QUESTIONS AND METHOD</w:t>
      </w:r>
    </w:p>
    <w:p>
      <w:pPr>
        <w:spacing w:after="120" w:line="240" w:lineRule="auto"/>
        <w:jc w:val="both"/>
        <w:rPr>
          <w:rFonts w:ascii="Times New Roman" w:hAnsi="Times New Roman" w:cs="Times New Roman"/>
          <w:noProof/>
          <w:sz w:val="24"/>
          <w:szCs w:val="24"/>
          <w:lang w:eastAsia="en-GB"/>
        </w:rPr>
      </w:pPr>
    </w:p>
    <w:p>
      <w:pPr>
        <w:pStyle w:val="Heading2"/>
        <w:rPr>
          <w:noProof/>
          <w:lang w:eastAsia="en-GB"/>
        </w:rPr>
      </w:pPr>
      <w:r>
        <w:rPr>
          <w:noProof/>
          <w:lang w:eastAsia="en-GB"/>
        </w:rPr>
        <w:t>4.1. Evaluation questions</w:t>
      </w:r>
    </w:p>
    <w:p>
      <w:pPr>
        <w:rPr>
          <w:noProof/>
          <w:lang w:eastAsia="en-GB"/>
        </w:rPr>
      </w:pP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evaluation is based on the following questions:</w:t>
      </w:r>
    </w:p>
    <w:p>
      <w:pPr>
        <w:pStyle w:val="ListParagraph"/>
        <w:numPr>
          <w:ilvl w:val="0"/>
          <w:numId w:val="11"/>
        </w:numPr>
        <w:spacing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to what extent has the Directive contributed to safeguarding financial interests of the Member States and of the EU? (effectiveness)</w:t>
      </w:r>
    </w:p>
    <w:p>
      <w:pPr>
        <w:pStyle w:val="ListParagraph"/>
        <w:numPr>
          <w:ilvl w:val="0"/>
          <w:numId w:val="11"/>
        </w:numPr>
        <w:spacing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to what extent have the standardisation provisions of the Directive (e.g. adoption of a uniform instrument permitting enforcement in the requested Member State (UIPE); uniform notification form (UNF); obligation to communicate electronically; rules on the use of language, etc.) improved the efficiency and effectiveness of assistance? (uniformity/efficiency/effectiveness)</w:t>
      </w:r>
    </w:p>
    <w:p>
      <w:pPr>
        <w:pStyle w:val="ListParagraph"/>
        <w:numPr>
          <w:ilvl w:val="0"/>
          <w:numId w:val="11"/>
        </w:numPr>
        <w:spacing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to what extent the provisions of the Directive are relevant to the needs of the Member States? (relevance)</w:t>
      </w:r>
    </w:p>
    <w:p>
      <w:pPr>
        <w:pStyle w:val="ListParagraph"/>
        <w:numPr>
          <w:ilvl w:val="0"/>
          <w:numId w:val="11"/>
        </w:numPr>
        <w:spacing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could Member States achieve similar results without acting at the EU level and is the EU approach coherent? (EU added value/coherence)</w:t>
      </w:r>
    </w:p>
    <w:p>
      <w:pPr>
        <w:spacing w:before="120" w:after="120" w:line="240" w:lineRule="auto"/>
        <w:rPr>
          <w:noProof/>
          <w:lang w:eastAsia="en-GB"/>
        </w:rPr>
      </w:pPr>
    </w:p>
    <w:p>
      <w:pPr>
        <w:pStyle w:val="Heading2"/>
        <w:rPr>
          <w:noProof/>
          <w:lang w:eastAsia="en-GB"/>
        </w:rPr>
      </w:pPr>
      <w:r>
        <w:rPr>
          <w:noProof/>
          <w:lang w:eastAsia="en-GB"/>
        </w:rPr>
        <w:t>4.2. Evaluation materials</w:t>
      </w:r>
    </w:p>
    <w:p>
      <w:pPr>
        <w:pStyle w:val="ListParagraph"/>
        <w:spacing w:before="120" w:after="120" w:line="240" w:lineRule="auto"/>
        <w:ind w:left="360" w:hanging="360"/>
        <w:jc w:val="both"/>
        <w:rPr>
          <w:rFonts w:ascii="Times New Roman" w:hAnsi="Times New Roman" w:cs="Times New Roman"/>
          <w:noProof/>
          <w:sz w:val="24"/>
          <w:szCs w:val="24"/>
          <w:lang w:eastAsia="en-GB"/>
        </w:rPr>
      </w:pPr>
    </w:p>
    <w:p>
      <w:pPr>
        <w:pStyle w:val="Heading4"/>
        <w:rPr>
          <w:noProof/>
          <w:lang w:eastAsia="en-GB"/>
        </w:rPr>
      </w:pPr>
      <w:r>
        <w:rPr>
          <w:noProof/>
          <w:lang w:eastAsia="en-GB"/>
        </w:rPr>
        <w:t>4.2.1. Questionnaire to the tax authorities</w:t>
      </w:r>
    </w:p>
    <w:p>
      <w:pPr>
        <w:pStyle w:val="ListParagraph"/>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w:t>
      </w:r>
      <w:r>
        <w:rPr>
          <w:rFonts w:ascii="Times New Roman" w:hAnsi="Times New Roman" w:cs="Times New Roman"/>
          <w:noProof/>
          <w:sz w:val="24"/>
          <w:szCs w:val="24"/>
          <w:lang w:eastAsia="en-GB"/>
        </w:rPr>
        <w:tab/>
        <w:t xml:space="preserve">In order to gather the information necessary for the preparation of this report, the Commission has asked for the opinion of the tax authorities dealing with recovery assistance. All Member States have replied to an evaluation questionnaire, which was sent to them in 2015. It was prepared by the Commission and submitted for discussion and approval of the Recovery Expert Group who also served as the Commission's contact point for distribution of the questionnaire. One set of replies was received per Member State and all Member States took part in the questionnaire. Overall quality and completeness of replies were satisfactory. </w:t>
      </w:r>
    </w:p>
    <w:p>
      <w:pPr>
        <w:pStyle w:val="ListParagraph"/>
        <w:spacing w:before="120" w:after="120" w:line="240" w:lineRule="auto"/>
        <w:ind w:left="360" w:hanging="360"/>
        <w:jc w:val="both"/>
        <w:rPr>
          <w:rFonts w:ascii="Times New Roman" w:hAnsi="Times New Roman" w:cs="Times New Roman"/>
          <w:noProof/>
          <w:sz w:val="24"/>
          <w:szCs w:val="24"/>
          <w:lang w:eastAsia="en-GB"/>
        </w:rPr>
      </w:pPr>
    </w:p>
    <w:p>
      <w:pPr>
        <w:pStyle w:val="ListParagraph"/>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w:t>
      </w:r>
      <w:r>
        <w:rPr>
          <w:rFonts w:ascii="Times New Roman" w:hAnsi="Times New Roman" w:cs="Times New Roman"/>
          <w:noProof/>
          <w:sz w:val="24"/>
          <w:szCs w:val="24"/>
          <w:lang w:eastAsia="en-GB"/>
        </w:rPr>
        <w:tab/>
        <w:t xml:space="preserve">The overview of the Member States' answers to the questionnaire has been published on the Commission's website. </w:t>
      </w:r>
    </w:p>
    <w:p>
      <w:pPr>
        <w:pStyle w:val="ListParagraph"/>
        <w:spacing w:before="120" w:after="120" w:line="240" w:lineRule="auto"/>
        <w:ind w:left="360" w:hanging="360"/>
        <w:jc w:val="both"/>
        <w:rPr>
          <w:rFonts w:ascii="Times New Roman" w:hAnsi="Times New Roman" w:cs="Times New Roman"/>
          <w:noProof/>
          <w:sz w:val="24"/>
          <w:szCs w:val="24"/>
          <w:lang w:eastAsia="en-GB"/>
        </w:rPr>
      </w:pPr>
    </w:p>
    <w:p>
      <w:pPr>
        <w:pStyle w:val="Heading4"/>
        <w:rPr>
          <w:noProof/>
          <w:lang w:eastAsia="en-GB"/>
        </w:rPr>
      </w:pPr>
      <w:r>
        <w:rPr>
          <w:noProof/>
          <w:lang w:eastAsia="en-GB"/>
        </w:rPr>
        <w:t>4.2.2. Public consultation</w:t>
      </w:r>
    </w:p>
    <w:p>
      <w:pPr>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w:t>
      </w:r>
      <w:r>
        <w:rPr>
          <w:rFonts w:ascii="Times New Roman" w:hAnsi="Times New Roman" w:cs="Times New Roman"/>
          <w:noProof/>
          <w:sz w:val="24"/>
          <w:szCs w:val="24"/>
          <w:lang w:eastAsia="en-GB"/>
        </w:rPr>
        <w:tab/>
        <w:t>An open public consultation took place from 30 November 2016 till 8 March 2017. This was prepared by a Commission inter-service steering group.</w:t>
      </w:r>
    </w:p>
    <w:p>
      <w:pPr>
        <w:spacing w:before="120"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Though the public consultation was announced at several fora and repeated at several occasions, there were only a limited number of responses to this public consultation. In this regard, it should be noted that:</w:t>
      </w:r>
    </w:p>
    <w:p>
      <w:pPr>
        <w:spacing w:before="120" w:after="120" w:line="240" w:lineRule="auto"/>
        <w:ind w:left="72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ab/>
        <w:t>the Directive deals with the cooperation between tax authorities. The execution of a request (= the relationship between the tax authority and the tax debtor) is a matter of national law;</w:t>
      </w:r>
    </w:p>
    <w:p>
      <w:pPr>
        <w:spacing w:before="120" w:after="120" w:line="240" w:lineRule="auto"/>
        <w:ind w:left="72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ab/>
        <w:t xml:space="preserve">citizens and companies paying their tax debts never have anything to do with the use of this Directive. Recovery assistance is generally only requested in cases where tax debtors deliberately refuse to pay their tax debts. </w:t>
      </w:r>
    </w:p>
    <w:p>
      <w:pPr>
        <w:pStyle w:val="ListParagraph"/>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w:t>
      </w:r>
      <w:r>
        <w:rPr>
          <w:rFonts w:ascii="Times New Roman" w:hAnsi="Times New Roman" w:cs="Times New Roman"/>
          <w:noProof/>
          <w:sz w:val="24"/>
          <w:szCs w:val="24"/>
          <w:lang w:eastAsia="en-GB"/>
        </w:rPr>
        <w:tab/>
        <w:t>A summary report of the responses to this public consultation has been published on the Commission's website.</w:t>
      </w:r>
    </w:p>
    <w:p>
      <w:pPr>
        <w:pStyle w:val="ListParagraph"/>
        <w:spacing w:before="120" w:after="120" w:line="240" w:lineRule="auto"/>
        <w:ind w:left="360" w:hanging="360"/>
        <w:jc w:val="both"/>
        <w:rPr>
          <w:rFonts w:ascii="Times New Roman" w:hAnsi="Times New Roman" w:cs="Times New Roman"/>
          <w:noProof/>
          <w:sz w:val="24"/>
          <w:szCs w:val="24"/>
          <w:lang w:eastAsia="en-GB"/>
        </w:rPr>
      </w:pPr>
    </w:p>
    <w:p>
      <w:pPr>
        <w:pStyle w:val="Heading4"/>
        <w:rPr>
          <w:noProof/>
          <w:lang w:eastAsia="en-GB"/>
        </w:rPr>
      </w:pPr>
      <w:r>
        <w:rPr>
          <w:noProof/>
          <w:lang w:eastAsia="en-GB"/>
        </w:rPr>
        <w:t>4.2.3. Yearly statistics</w:t>
      </w:r>
    </w:p>
    <w:p>
      <w:pPr>
        <w:pStyle w:val="ListParagraph"/>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w:t>
      </w:r>
      <w:r>
        <w:rPr>
          <w:rFonts w:ascii="Times New Roman" w:hAnsi="Times New Roman" w:cs="Times New Roman"/>
          <w:noProof/>
          <w:sz w:val="24"/>
          <w:szCs w:val="24"/>
          <w:lang w:eastAsia="en-GB"/>
        </w:rPr>
        <w:tab/>
        <w:t xml:space="preserve">The replies to the above consultations completed the information already available from the yearly statistics, which Member States have to provide in accordance with Article 27 of the Directive. The statistics cover the number of assistance requests and the amounts requested and recovered. </w:t>
      </w:r>
    </w:p>
    <w:p>
      <w:pPr>
        <w:spacing w:before="120"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Recovery Committee adopted a number of detailed guidelines with regard to the calculation of the statistical data. Nevertheless, the statistical data provided by the Member States do not fully match. Differences can be noted, to some extent, in the numbers of the requests sent and received, and, to a large extent, in the requested and recovered amounts reported by the applicant and the requested Member States.</w:t>
      </w:r>
    </w:p>
    <w:p>
      <w:pPr>
        <w:spacing w:before="120"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differences in the reported amounts can be partially explained by several factors: assistance requests may lead to payments directly made to the applicant authority, which are not always or not immediately reported to the requested authority; the recovered amounts may be imputed in a different way in case of requests concerning multiple (types of) claims; transfers of recovered amounts by the requested authority at the end of a year may be received by the applicant authority in the next year; the currency exchange may involve some cost; the effects of payment instalment plans is not taken into account in the statistics; and since 2012, the requested Member State is allowed to retain the amount of its costs which are not recovered from the debtor. However, this last element did not apply before 2012, while the statistics of the amounts before 2012 also showed large discrepancies.  </w:t>
      </w:r>
    </w:p>
    <w:p>
      <w:pPr>
        <w:spacing w:before="120"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Under these circumstances, the statistics give an estimation but their accuracy is not fully guaranteed. </w:t>
      </w:r>
    </w:p>
    <w:p>
      <w:pPr>
        <w:pStyle w:val="ListParagraph"/>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w:t>
      </w:r>
      <w:r>
        <w:rPr>
          <w:rFonts w:ascii="Times New Roman" w:hAnsi="Times New Roman" w:cs="Times New Roman"/>
          <w:noProof/>
          <w:sz w:val="24"/>
          <w:szCs w:val="24"/>
          <w:lang w:eastAsia="en-GB"/>
        </w:rPr>
        <w:tab/>
        <w:t>The usefulness of the statistics could be improved if more statistical information would be collected and if the reliability of the statistics could be controlled. However, here the Commission is confronted with several obstacles:</w:t>
      </w:r>
    </w:p>
    <w:p>
      <w:pPr>
        <w:pStyle w:val="ListParagraph"/>
        <w:spacing w:before="120" w:after="120" w:line="240" w:lineRule="auto"/>
        <w:ind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ab/>
        <w:t xml:space="preserve">the statistical information that Member States have to provide annually is listed in Article 27(1) of Council Directive 2010/24; Member States may provide any other information that may be useful for evaluating the provision of mutual assistance under this Directive (Article 27(2) of the Directive); </w:t>
      </w:r>
    </w:p>
    <w:p>
      <w:pPr>
        <w:pStyle w:val="ListParagraph"/>
        <w:spacing w:before="120" w:after="120" w:line="240" w:lineRule="auto"/>
        <w:ind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ab/>
        <w:t>in practice, Member States are reluctant to provide more statistics. They consider this would entail a considerable administrative burden. At present, the only additional statistical information provided by 27 Member States relates to the nature of the claims for which recovery assistance is requested. Additional statistical information may consist of data related to the recovery of customs duties which are own resources for the EU budget;</w:t>
      </w:r>
    </w:p>
    <w:p>
      <w:pPr>
        <w:pStyle w:val="ListParagraph"/>
        <w:spacing w:before="120" w:after="120" w:line="240" w:lineRule="auto"/>
        <w:ind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ab/>
        <w:t>a complete assessment of the use and the results of this recovery assistance would require information about the amounts effectively paid or recovered (not only in the year of the request itself), about the outcome of contestations of the claims, and about the reasons for non-recovery in specific cases. In principle, the Commission itself does not have access to this additional information.</w:t>
      </w:r>
      <w:r>
        <w:rPr>
          <w:rStyle w:val="FootnoteReference"/>
          <w:rFonts w:ascii="Times New Roman" w:hAnsi="Times New Roman" w:cs="Times New Roman"/>
          <w:noProof/>
          <w:sz w:val="24"/>
          <w:szCs w:val="24"/>
          <w:lang w:eastAsia="en-GB"/>
        </w:rPr>
        <w:footnoteReference w:id="4"/>
      </w:r>
      <w:r>
        <w:rPr>
          <w:rFonts w:ascii="Times New Roman" w:hAnsi="Times New Roman" w:cs="Times New Roman"/>
          <w:noProof/>
          <w:sz w:val="24"/>
          <w:szCs w:val="24"/>
          <w:lang w:eastAsia="en-GB"/>
        </w:rPr>
        <w:t xml:space="preserve">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The question about the extent of the statistical reporting obligations could be rediscussed with the Member States, taking into account the administrative burden involved.</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On this point, it should be noted that a precise estimation of the recovery ratio is extremely difficult, not only because the recovery process extends over several years. It should also be taken into account:</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that the amounts mentioned in recovery requests may be amended at a later stage, following a successful contestation of the claim or a remittance of administrative penalties;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that the amounts effectively recovered do not only depend on the recovery efforts of the requested Member State, but also – and perhaps more – on the willingness and the ability of the debtor to pay the claims;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that the requested Member State may receive a request while it is not in the possibility (anymore) to take any recovery measure with regard to the debtor concerned. This is illustrated by the following (negative) example: in 2012, DK sent a request for recovery assistance to BE, relating to a claim dating from 2007, concerning a tax due for the year 2001. In 2012, the debtor concerned was not living in BE anymore, and BE could not recover anything anymore. This sole claim of about 2.500.000 EUR represented about 85 % of all amounts for which DK requested BE's assistance in 2012.</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 recovery ratio that does not take account of such particularities of individual situations does not give a clear image of the efforts and success of the requested Member State in providing recovery assistance;</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that errors in the requests or in the collection of the statistics may affect the results reported.</w:t>
      </w:r>
    </w:p>
    <w:p>
      <w:pPr>
        <w:spacing w:before="120" w:after="120" w:line="240" w:lineRule="auto"/>
        <w:jc w:val="both"/>
        <w:rPr>
          <w:rFonts w:ascii="Times New Roman" w:hAnsi="Times New Roman" w:cs="Times New Roman"/>
          <w:noProof/>
          <w:sz w:val="24"/>
          <w:szCs w:val="24"/>
          <w:lang w:eastAsia="en-GB"/>
        </w:rPr>
      </w:pPr>
    </w:p>
    <w:p>
      <w:pPr>
        <w:pStyle w:val="Heading4"/>
        <w:rPr>
          <w:noProof/>
          <w:lang w:eastAsia="en-GB"/>
        </w:rPr>
      </w:pPr>
      <w:r>
        <w:rPr>
          <w:noProof/>
          <w:lang w:eastAsia="en-GB"/>
        </w:rPr>
        <w:t>4.2.4. Other sources</w:t>
      </w:r>
    </w:p>
    <w:p>
      <w:pPr>
        <w:pStyle w:val="ListParagraph"/>
        <w:spacing w:before="120" w:after="120" w:line="240" w:lineRule="auto"/>
        <w:ind w:left="360" w:hanging="360"/>
        <w:jc w:val="both"/>
        <w:rPr>
          <w:rFonts w:ascii="Times New Roman" w:hAnsi="Times New Roman" w:cs="Times New Roman"/>
          <w:noProof/>
          <w:sz w:val="24"/>
          <w:szCs w:val="24"/>
          <w:lang w:eastAsia="en-GB"/>
        </w:rPr>
      </w:pPr>
    </w:p>
    <w:p>
      <w:pPr>
        <w:pStyle w:val="ListParagraph"/>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w:t>
      </w:r>
      <w:r>
        <w:rPr>
          <w:rFonts w:ascii="Times New Roman" w:hAnsi="Times New Roman" w:cs="Times New Roman"/>
          <w:noProof/>
          <w:sz w:val="24"/>
          <w:szCs w:val="24"/>
          <w:lang w:eastAsia="en-GB"/>
        </w:rPr>
        <w:tab/>
        <w:t>Discussions on specific questions were held within the Recovery Expert Group meetings.</w:t>
      </w:r>
      <w:r>
        <w:rPr>
          <w:rStyle w:val="FootnoteReference"/>
          <w:rFonts w:ascii="Times New Roman" w:hAnsi="Times New Roman" w:cs="Times New Roman"/>
          <w:noProof/>
          <w:sz w:val="24"/>
          <w:szCs w:val="24"/>
          <w:lang w:eastAsia="en-GB"/>
        </w:rPr>
        <w:footnoteReference w:id="7"/>
      </w:r>
      <w:r>
        <w:rPr>
          <w:rFonts w:ascii="Times New Roman" w:hAnsi="Times New Roman" w:cs="Times New Roman"/>
          <w:noProof/>
          <w:sz w:val="24"/>
          <w:szCs w:val="24"/>
          <w:lang w:eastAsia="en-GB"/>
        </w:rPr>
        <w:t xml:space="preserve"> </w:t>
      </w:r>
    </w:p>
    <w:p>
      <w:pPr>
        <w:pStyle w:val="ListParagraph"/>
        <w:spacing w:before="120" w:after="120" w:line="240" w:lineRule="auto"/>
        <w:ind w:left="360" w:hanging="360"/>
        <w:jc w:val="both"/>
        <w:rPr>
          <w:rFonts w:ascii="Times New Roman" w:hAnsi="Times New Roman" w:cs="Times New Roman"/>
          <w:noProof/>
          <w:sz w:val="24"/>
          <w:szCs w:val="24"/>
          <w:lang w:eastAsia="en-GB"/>
        </w:rPr>
      </w:pPr>
    </w:p>
    <w:p>
      <w:pPr>
        <w:pStyle w:val="ListParagraph"/>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w:t>
      </w:r>
      <w:r>
        <w:rPr>
          <w:rFonts w:ascii="Times New Roman" w:hAnsi="Times New Roman" w:cs="Times New Roman"/>
          <w:noProof/>
          <w:sz w:val="24"/>
          <w:szCs w:val="24"/>
          <w:lang w:eastAsia="en-GB"/>
        </w:rPr>
        <w:tab/>
        <w:t xml:space="preserve">The evaluation also took account of ideas and comments expressed in several Fiscalis 2020 project groups and workshops.  </w:t>
      </w:r>
    </w:p>
    <w:p>
      <w:pPr>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w:t>
      </w:r>
      <w:r>
        <w:rPr>
          <w:rFonts w:ascii="Times New Roman" w:hAnsi="Times New Roman" w:cs="Times New Roman"/>
          <w:noProof/>
          <w:sz w:val="24"/>
          <w:szCs w:val="24"/>
          <w:lang w:eastAsia="en-GB"/>
        </w:rPr>
        <w:tab/>
        <w:t>The evaluation also took account of external reports, including the following:</w:t>
      </w:r>
    </w:p>
    <w:p>
      <w:pPr>
        <w:pStyle w:val="ListParagraph"/>
        <w:numPr>
          <w:ilvl w:val="0"/>
          <w:numId w:val="47"/>
        </w:numPr>
        <w:spacing w:before="100" w:beforeAutospacing="1" w:after="100" w:afterAutospacing="1"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October 2014, the Belgian Court of Audit submitted to the Belgian parliament (Chamber of representatives) the results of its audit on international mutual assistance for tax recovery. The Court examined whether the Belgian fiscal administration has sufficient legal means at its disposal and is efficiently organised to optimise the international assistance for tax recovery.</w:t>
      </w:r>
      <w:r>
        <w:rPr>
          <w:rStyle w:val="FootnoteReference"/>
          <w:rFonts w:ascii="Times New Roman" w:eastAsia="Times New Roman" w:hAnsi="Times New Roman" w:cs="Times New Roman"/>
          <w:noProof/>
          <w:sz w:val="24"/>
          <w:szCs w:val="24"/>
          <w:lang w:eastAsia="en-GB"/>
        </w:rPr>
        <w:footnoteReference w:id="8"/>
      </w:r>
    </w:p>
    <w:p>
      <w:pPr>
        <w:pStyle w:val="ListParagraph"/>
        <w:numPr>
          <w:ilvl w:val="0"/>
          <w:numId w:val="47"/>
        </w:numPr>
        <w:spacing w:before="100" w:beforeAutospacing="1" w:after="100" w:afterAutospacing="1" w:line="240" w:lineRule="auto"/>
        <w:ind w:left="72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On 4-6 June 2009, the European Association of Tax Law Professors held its annual congress in Santiago de Compostela, dealing with "mutual assistance and information exchange". Attention was paid to administrative cooperation in general and also to mutual recovery assistance. The congress report also includes academic reports of 13 EU Member States (</w:t>
      </w:r>
      <w:r>
        <w:rPr>
          <w:rFonts w:ascii="Times New Roman" w:hAnsi="Times New Roman" w:cs="Times New Roman"/>
          <w:noProof/>
          <w:sz w:val="24"/>
          <w:szCs w:val="24"/>
          <w:lang w:val="en"/>
        </w:rPr>
        <w:t>Austria</w:t>
      </w:r>
      <w:r>
        <w:rPr>
          <w:rFonts w:ascii="Times New Roman" w:hAnsi="Times New Roman" w:cs="Times New Roman"/>
          <w:noProof/>
          <w:sz w:val="24"/>
          <w:szCs w:val="24"/>
        </w:rPr>
        <w:t>, Belgium, Finland, Germany, Hungary, Italy, Luxemburg, the Netherlands, Poland, Portugal, Spain, Sweden, United Kingdom). Although this conference took place before the current Directive of 2010 was adopted, the provisions of the former Directive which were analysed in these national reports are still in force today.</w:t>
      </w:r>
      <w:r>
        <w:rPr>
          <w:rStyle w:val="FootnoteReference"/>
          <w:rFonts w:ascii="Times New Roman" w:hAnsi="Times New Roman" w:cs="Times New Roman"/>
          <w:noProof/>
          <w:sz w:val="24"/>
          <w:szCs w:val="24"/>
        </w:rPr>
        <w:footnoteReference w:id="9"/>
      </w:r>
    </w:p>
    <w:p>
      <w:pPr>
        <w:pStyle w:val="ListParagraph"/>
        <w:spacing w:before="120" w:after="120" w:line="240" w:lineRule="auto"/>
        <w:ind w:left="360" w:hanging="360"/>
        <w:jc w:val="both"/>
        <w:rPr>
          <w:rFonts w:ascii="Times New Roman" w:hAnsi="Times New Roman" w:cs="Times New Roman"/>
          <w:noProof/>
          <w:sz w:val="24"/>
          <w:szCs w:val="24"/>
          <w:lang w:eastAsia="en-GB"/>
        </w:rPr>
      </w:pPr>
    </w:p>
    <w:p>
      <w:pPr>
        <w:pStyle w:val="Heading2"/>
        <w:rPr>
          <w:noProof/>
          <w:lang w:eastAsia="en-GB"/>
        </w:rPr>
      </w:pPr>
      <w:r>
        <w:rPr>
          <w:noProof/>
          <w:lang w:eastAsia="en-GB"/>
        </w:rPr>
        <w:t>4.3. Evaluation process and matrix</w:t>
      </w:r>
    </w:p>
    <w:p>
      <w:pPr>
        <w:pStyle w:val="ListParagraph"/>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w:t>
      </w:r>
      <w:r>
        <w:rPr>
          <w:rFonts w:ascii="Times New Roman" w:hAnsi="Times New Roman" w:cs="Times New Roman"/>
          <w:noProof/>
          <w:sz w:val="24"/>
          <w:szCs w:val="24"/>
          <w:lang w:eastAsia="en-GB"/>
        </w:rPr>
        <w:tab/>
        <w:t>The evaluation process was managed by a Commission inter-service Steering group on the evaluation of Council Directive 2010/24/EU.</w:t>
      </w:r>
      <w:r>
        <w:rPr>
          <w:rStyle w:val="FootnoteReference"/>
          <w:rFonts w:ascii="Times New Roman" w:hAnsi="Times New Roman" w:cs="Times New Roman"/>
          <w:noProof/>
          <w:sz w:val="24"/>
          <w:szCs w:val="24"/>
          <w:lang w:eastAsia="en-GB"/>
        </w:rPr>
        <w:footnoteReference w:id="10"/>
      </w:r>
      <w:r>
        <w:rPr>
          <w:rFonts w:ascii="Times New Roman" w:hAnsi="Times New Roman" w:cs="Times New Roman"/>
          <w:noProof/>
          <w:sz w:val="24"/>
          <w:szCs w:val="24"/>
          <w:lang w:eastAsia="en-GB"/>
        </w:rPr>
        <w:t xml:space="preserve"> </w:t>
      </w:r>
    </w:p>
    <w:p>
      <w:pPr>
        <w:pStyle w:val="ListParagraph"/>
        <w:spacing w:before="120" w:after="120" w:line="240" w:lineRule="auto"/>
        <w:ind w:left="360" w:hanging="360"/>
        <w:jc w:val="both"/>
        <w:rPr>
          <w:rFonts w:ascii="Times New Roman" w:hAnsi="Times New Roman" w:cs="Times New Roman"/>
          <w:noProof/>
          <w:sz w:val="24"/>
          <w:szCs w:val="24"/>
          <w:lang w:eastAsia="en-GB"/>
        </w:rPr>
      </w:pPr>
    </w:p>
    <w:p>
      <w:pPr>
        <w:pStyle w:val="ListParagraph"/>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w:t>
      </w:r>
      <w:r>
        <w:rPr>
          <w:rFonts w:ascii="Times New Roman" w:hAnsi="Times New Roman" w:cs="Times New Roman"/>
          <w:noProof/>
          <w:sz w:val="24"/>
          <w:szCs w:val="24"/>
          <w:lang w:eastAsia="en-GB"/>
        </w:rPr>
        <w:tab/>
        <w:t>The evaluation covered all Member States for the entire period from the date from which the provisions of the Directive had to be applied in the Member States (1 January 2012).</w:t>
      </w:r>
      <w:r>
        <w:rPr>
          <w:rStyle w:val="FootnoteReference"/>
          <w:rFonts w:ascii="Times New Roman" w:hAnsi="Times New Roman" w:cs="Times New Roman"/>
          <w:noProof/>
          <w:sz w:val="24"/>
          <w:szCs w:val="24"/>
          <w:lang w:eastAsia="en-GB"/>
        </w:rPr>
        <w:footnoteReference w:id="11"/>
      </w:r>
      <w:r>
        <w:rPr>
          <w:rFonts w:ascii="Times New Roman" w:hAnsi="Times New Roman" w:cs="Times New Roman"/>
          <w:noProof/>
          <w:sz w:val="24"/>
          <w:szCs w:val="24"/>
          <w:lang w:eastAsia="en-GB"/>
        </w:rPr>
        <w:t xml:space="preserve">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The following evaluation matrix has been used:</w:t>
      </w:r>
    </w:p>
    <w:p>
      <w:pPr>
        <w:spacing w:before="120" w:after="120" w:line="240" w:lineRule="auto"/>
        <w:ind w:left="360" w:hanging="360"/>
        <w:jc w:val="both"/>
        <w:rPr>
          <w:rFonts w:ascii="Times New Roman" w:hAnsi="Times New Roman" w:cs="Times New Roman"/>
          <w:noProof/>
          <w:sz w:val="24"/>
          <w:szCs w:val="24"/>
        </w:rPr>
      </w:pPr>
    </w:p>
    <w:tbl>
      <w:tblPr>
        <w:tblStyle w:val="TableGrid"/>
        <w:tblW w:w="0" w:type="auto"/>
        <w:tblInd w:w="360" w:type="dxa"/>
        <w:tblLook w:val="04A0" w:firstRow="1" w:lastRow="0" w:firstColumn="1" w:lastColumn="0" w:noHBand="0" w:noVBand="1"/>
      </w:tblPr>
      <w:tblGrid>
        <w:gridCol w:w="2148"/>
        <w:gridCol w:w="2160"/>
        <w:gridCol w:w="2280"/>
        <w:gridCol w:w="2340"/>
      </w:tblGrid>
      <w:tr>
        <w:tc>
          <w:tcPr>
            <w:tcW w:w="2148" w:type="dxa"/>
            <w:shd w:val="clear" w:color="auto" w:fill="D9D9D9" w:themeFill="background1" w:themeFillShade="D9"/>
            <w:vAlign w:val="center"/>
          </w:tcPr>
          <w:p>
            <w:pPr>
              <w:keepNext/>
              <w:spacing w:before="120" w:after="120"/>
              <w:jc w:val="center"/>
              <w:rPr>
                <w:rFonts w:ascii="Times New Roman" w:hAnsi="Times New Roman" w:cs="Times New Roman"/>
                <w:noProof/>
              </w:rPr>
            </w:pPr>
            <w:r>
              <w:rPr>
                <w:rFonts w:ascii="Times New Roman" w:hAnsi="Times New Roman" w:cs="Times New Roman"/>
                <w:noProof/>
              </w:rPr>
              <w:t>Evaluation question</w:t>
            </w:r>
          </w:p>
        </w:tc>
        <w:tc>
          <w:tcPr>
            <w:tcW w:w="2160" w:type="dxa"/>
            <w:shd w:val="clear" w:color="auto" w:fill="D9D9D9" w:themeFill="background1" w:themeFillShade="D9"/>
            <w:vAlign w:val="center"/>
          </w:tcPr>
          <w:p>
            <w:pPr>
              <w:keepNext/>
              <w:spacing w:before="120" w:after="120"/>
              <w:jc w:val="center"/>
              <w:rPr>
                <w:rFonts w:ascii="Times New Roman" w:hAnsi="Times New Roman" w:cs="Times New Roman"/>
                <w:noProof/>
              </w:rPr>
            </w:pPr>
            <w:r>
              <w:rPr>
                <w:rFonts w:ascii="Times New Roman" w:hAnsi="Times New Roman" w:cs="Times New Roman"/>
                <w:noProof/>
              </w:rPr>
              <w:t>Judgment criteria</w:t>
            </w:r>
          </w:p>
        </w:tc>
        <w:tc>
          <w:tcPr>
            <w:tcW w:w="2280" w:type="dxa"/>
            <w:shd w:val="clear" w:color="auto" w:fill="D9D9D9" w:themeFill="background1" w:themeFillShade="D9"/>
            <w:vAlign w:val="center"/>
          </w:tcPr>
          <w:p>
            <w:pPr>
              <w:keepNext/>
              <w:spacing w:before="120" w:after="120"/>
              <w:jc w:val="center"/>
              <w:rPr>
                <w:rFonts w:ascii="Times New Roman" w:hAnsi="Times New Roman" w:cs="Times New Roman"/>
                <w:noProof/>
              </w:rPr>
            </w:pPr>
            <w:r>
              <w:rPr>
                <w:rFonts w:ascii="Times New Roman" w:hAnsi="Times New Roman" w:cs="Times New Roman"/>
                <w:noProof/>
              </w:rPr>
              <w:t>Indicators</w:t>
            </w:r>
          </w:p>
        </w:tc>
        <w:tc>
          <w:tcPr>
            <w:tcW w:w="2340" w:type="dxa"/>
            <w:shd w:val="clear" w:color="auto" w:fill="D9D9D9" w:themeFill="background1" w:themeFillShade="D9"/>
            <w:vAlign w:val="center"/>
          </w:tcPr>
          <w:p>
            <w:pPr>
              <w:keepNext/>
              <w:spacing w:before="120" w:after="120"/>
              <w:jc w:val="center"/>
              <w:rPr>
                <w:rFonts w:ascii="Times New Roman" w:hAnsi="Times New Roman" w:cs="Times New Roman"/>
                <w:noProof/>
              </w:rPr>
            </w:pPr>
            <w:r>
              <w:rPr>
                <w:rFonts w:ascii="Times New Roman" w:hAnsi="Times New Roman" w:cs="Times New Roman"/>
                <w:noProof/>
              </w:rPr>
              <w:t>Data sources</w:t>
            </w:r>
          </w:p>
        </w:tc>
      </w:tr>
      <w:tr>
        <w:tc>
          <w:tcPr>
            <w:tcW w:w="2148" w:type="dxa"/>
          </w:tcPr>
          <w:p>
            <w:pPr>
              <w:keepNext/>
              <w:spacing w:before="120" w:after="120"/>
              <w:rPr>
                <w:rFonts w:ascii="Times New Roman" w:hAnsi="Times New Roman" w:cs="Times New Roman"/>
                <w:noProof/>
              </w:rPr>
            </w:pPr>
            <w:r>
              <w:rPr>
                <w:rFonts w:ascii="Times New Roman" w:hAnsi="Times New Roman" w:cs="Times New Roman"/>
                <w:noProof/>
              </w:rPr>
              <w:t>6.1. To what extent has the Directive contributed to safeguarding financial interests of the Member States and of the EU? (EFFECTIVENESS)</w:t>
            </w:r>
          </w:p>
        </w:tc>
        <w:tc>
          <w:tcPr>
            <w:tcW w:w="2160" w:type="dxa"/>
          </w:tcPr>
          <w:p>
            <w:pPr>
              <w:keepNext/>
              <w:spacing w:before="120" w:after="120"/>
              <w:rPr>
                <w:rFonts w:ascii="Times New Roman" w:hAnsi="Times New Roman" w:cs="Times New Roman"/>
                <w:noProof/>
              </w:rPr>
            </w:pPr>
            <w:r>
              <w:rPr>
                <w:rFonts w:ascii="Times New Roman" w:hAnsi="Times New Roman" w:cs="Times New Roman"/>
                <w:noProof/>
              </w:rPr>
              <w:t>6.1.1. Did the Directive help Member States to recover more taxes?</w:t>
            </w:r>
          </w:p>
        </w:tc>
        <w:tc>
          <w:tcPr>
            <w:tcW w:w="2280" w:type="dxa"/>
          </w:tcPr>
          <w:p>
            <w:pPr>
              <w:keepNext/>
              <w:spacing w:before="120" w:after="120"/>
              <w:rPr>
                <w:rFonts w:ascii="Times New Roman" w:hAnsi="Times New Roman" w:cs="Times New Roman"/>
                <w:noProof/>
              </w:rPr>
            </w:pPr>
            <w:r>
              <w:rPr>
                <w:rFonts w:ascii="Times New Roman" w:hAnsi="Times New Roman" w:cs="Times New Roman"/>
                <w:noProof/>
              </w:rPr>
              <w:t>6.1.1.1. Amounts recovered on the basis of the EU Directive</w:t>
            </w:r>
          </w:p>
          <w:p>
            <w:pPr>
              <w:keepNext/>
              <w:spacing w:before="120" w:after="120"/>
              <w:rPr>
                <w:rFonts w:ascii="Times New Roman" w:hAnsi="Times New Roman" w:cs="Times New Roman"/>
                <w:noProof/>
              </w:rPr>
            </w:pPr>
          </w:p>
          <w:p>
            <w:pPr>
              <w:keepNext/>
              <w:spacing w:before="120" w:after="120"/>
              <w:rPr>
                <w:rFonts w:ascii="Times New Roman" w:hAnsi="Times New Roman" w:cs="Times New Roman"/>
                <w:noProof/>
              </w:rPr>
            </w:pPr>
          </w:p>
        </w:tc>
        <w:tc>
          <w:tcPr>
            <w:tcW w:w="2340" w:type="dxa"/>
          </w:tcPr>
          <w:p>
            <w:pPr>
              <w:keepNext/>
              <w:spacing w:before="120" w:after="120"/>
              <w:rPr>
                <w:rFonts w:ascii="Times New Roman" w:hAnsi="Times New Roman" w:cs="Times New Roman"/>
                <w:noProof/>
              </w:rPr>
            </w:pPr>
            <w:r>
              <w:rPr>
                <w:rFonts w:ascii="Times New Roman" w:hAnsi="Times New Roman" w:cs="Times New Roman"/>
                <w:noProof/>
              </w:rPr>
              <w:t>statistics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6.1.1.2. Recovery ratio</w:t>
            </w:r>
          </w:p>
        </w:tc>
        <w:tc>
          <w:tcPr>
            <w:tcW w:w="2340" w:type="dxa"/>
          </w:tcPr>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xml:space="preserve">- statistics </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questionnaire Member States</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reports Member States</w:t>
            </w:r>
          </w:p>
        </w:tc>
      </w:tr>
      <w:tr>
        <w:tc>
          <w:tcPr>
            <w:tcW w:w="2148" w:type="dxa"/>
          </w:tcPr>
          <w:p>
            <w:pPr>
              <w:spacing w:before="120" w:after="120"/>
              <w:rPr>
                <w:rFonts w:ascii="Times New Roman" w:hAnsi="Times New Roman" w:cs="Times New Roman"/>
                <w:noProof/>
                <w:lang w:val="fr-BE"/>
              </w:rPr>
            </w:pPr>
          </w:p>
        </w:tc>
        <w:tc>
          <w:tcPr>
            <w:tcW w:w="2160" w:type="dxa"/>
          </w:tcPr>
          <w:p>
            <w:pPr>
              <w:spacing w:before="120" w:after="120"/>
              <w:rPr>
                <w:rFonts w:ascii="Times New Roman" w:hAnsi="Times New Roman" w:cs="Times New Roman"/>
                <w:noProof/>
                <w:lang w:val="fr-BE"/>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 xml:space="preserve">6.1.1.3. Factors influencing the recovered amounts </w:t>
            </w:r>
          </w:p>
        </w:tc>
        <w:tc>
          <w:tcPr>
            <w:tcW w:w="2340" w:type="dxa"/>
          </w:tcPr>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statistics</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questionnaire Member States</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Fiscalis activities</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reports Member States</w:t>
            </w:r>
          </w:p>
        </w:tc>
      </w:tr>
      <w:tr>
        <w:tc>
          <w:tcPr>
            <w:tcW w:w="2148" w:type="dxa"/>
          </w:tcPr>
          <w:p>
            <w:pPr>
              <w:spacing w:before="120" w:after="120"/>
              <w:rPr>
                <w:rFonts w:ascii="Times New Roman" w:hAnsi="Times New Roman" w:cs="Times New Roman"/>
                <w:noProof/>
                <w:lang w:val="fr-BE"/>
              </w:rPr>
            </w:pPr>
          </w:p>
        </w:tc>
        <w:tc>
          <w:tcPr>
            <w:tcW w:w="2160" w:type="dxa"/>
          </w:tcPr>
          <w:p>
            <w:pPr>
              <w:spacing w:before="120" w:after="120"/>
              <w:rPr>
                <w:rFonts w:ascii="Times New Roman" w:hAnsi="Times New Roman" w:cs="Times New Roman"/>
                <w:noProof/>
                <w:lang w:val="fr-BE"/>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6.1.1.4. Other use of information provided under the Directive (unintended impact)</w:t>
            </w:r>
          </w:p>
        </w:tc>
        <w:tc>
          <w:tcPr>
            <w:tcW w:w="2340" w:type="dxa"/>
          </w:tcPr>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questionnaire Member States</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xml:space="preserve">- Commission services </w:t>
            </w:r>
          </w:p>
        </w:tc>
      </w:tr>
      <w:tr>
        <w:tc>
          <w:tcPr>
            <w:tcW w:w="2148" w:type="dxa"/>
          </w:tcPr>
          <w:p>
            <w:pPr>
              <w:spacing w:before="120" w:after="120"/>
              <w:rPr>
                <w:rFonts w:ascii="Times New Roman" w:hAnsi="Times New Roman" w:cs="Times New Roman"/>
                <w:noProof/>
                <w:lang w:val="fr-BE"/>
              </w:rPr>
            </w:pPr>
          </w:p>
        </w:tc>
        <w:tc>
          <w:tcPr>
            <w:tcW w:w="2160" w:type="dxa"/>
          </w:tcPr>
          <w:p>
            <w:pPr>
              <w:spacing w:before="120" w:after="120"/>
              <w:rPr>
                <w:rFonts w:ascii="Times New Roman" w:hAnsi="Times New Roman" w:cs="Times New Roman"/>
                <w:noProof/>
              </w:rPr>
            </w:pPr>
            <w:r>
              <w:rPr>
                <w:rFonts w:ascii="Times New Roman" w:hAnsi="Times New Roman" w:cs="Times New Roman"/>
                <w:noProof/>
              </w:rPr>
              <w:t>6.1.2. Did the Directive help Member States to create a deterrent effect towards non-compliance?</w:t>
            </w:r>
          </w:p>
        </w:tc>
        <w:tc>
          <w:tcPr>
            <w:tcW w:w="2280" w:type="dxa"/>
          </w:tcPr>
          <w:p>
            <w:pPr>
              <w:spacing w:before="120" w:after="120"/>
              <w:rPr>
                <w:rFonts w:ascii="Times New Roman" w:hAnsi="Times New Roman" w:cs="Times New Roman"/>
                <w:noProof/>
              </w:rPr>
            </w:pPr>
            <w:r>
              <w:rPr>
                <w:rFonts w:ascii="Times New Roman" w:hAnsi="Times New Roman" w:cs="Times New Roman"/>
                <w:noProof/>
              </w:rPr>
              <w:t>6.1.2.1. Member States' view on the 'compliance effect' created by the Directive</w:t>
            </w:r>
          </w:p>
        </w:tc>
        <w:tc>
          <w:tcPr>
            <w:tcW w:w="2340" w:type="dxa"/>
          </w:tcPr>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questionnaire Member States</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public consultation</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external sources (tax reviews and magazines, etc.)</w:t>
            </w:r>
          </w:p>
        </w:tc>
      </w:tr>
      <w:tr>
        <w:tc>
          <w:tcPr>
            <w:tcW w:w="2148" w:type="dxa"/>
          </w:tcPr>
          <w:p>
            <w:pPr>
              <w:spacing w:before="120" w:after="120"/>
              <w:rPr>
                <w:rFonts w:ascii="Times New Roman" w:hAnsi="Times New Roman" w:cs="Times New Roman"/>
                <w:noProof/>
                <w:lang w:val="fr-BE"/>
              </w:rPr>
            </w:pPr>
          </w:p>
        </w:tc>
        <w:tc>
          <w:tcPr>
            <w:tcW w:w="2160" w:type="dxa"/>
          </w:tcPr>
          <w:p>
            <w:pPr>
              <w:spacing w:before="120" w:after="120"/>
              <w:rPr>
                <w:rFonts w:ascii="Times New Roman" w:hAnsi="Times New Roman" w:cs="Times New Roman"/>
                <w:noProof/>
                <w:lang w:val="fr-BE"/>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6.1.2.2. Exchange of best practices to improve tax compliance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Fiscalis activities</w:t>
            </w:r>
          </w:p>
        </w:tc>
      </w:tr>
      <w:tr>
        <w:tc>
          <w:tcPr>
            <w:tcW w:w="2148" w:type="dxa"/>
          </w:tcPr>
          <w:p>
            <w:pPr>
              <w:spacing w:before="120" w:after="120"/>
              <w:rPr>
                <w:rFonts w:ascii="Times New Roman" w:hAnsi="Times New Roman" w:cs="Times New Roman"/>
                <w:noProof/>
              </w:rPr>
            </w:pPr>
            <w:r>
              <w:rPr>
                <w:rFonts w:ascii="Times New Roman" w:hAnsi="Times New Roman" w:cs="Times New Roman"/>
                <w:noProof/>
              </w:rPr>
              <w:t>6.2. Did the uniform procedural tools improve the efficiency and effectiveness of recovery assistance? (UNIFORMITY, EFFICIENCY, EFFECTIVENESS)</w:t>
            </w:r>
          </w:p>
        </w:tc>
        <w:tc>
          <w:tcPr>
            <w:tcW w:w="2160" w:type="dxa"/>
          </w:tcPr>
          <w:p>
            <w:pPr>
              <w:spacing w:before="120" w:after="120"/>
              <w:rPr>
                <w:rFonts w:ascii="Times New Roman" w:hAnsi="Times New Roman" w:cs="Times New Roman"/>
                <w:noProof/>
              </w:rPr>
            </w:pPr>
            <w:r>
              <w:rPr>
                <w:rFonts w:ascii="Times New Roman" w:hAnsi="Times New Roman" w:cs="Times New Roman"/>
                <w:noProof/>
              </w:rPr>
              <w:t>6.2.1. Is requesting assistance easier than before? (situation of the applicant Member State)</w:t>
            </w:r>
          </w:p>
        </w:tc>
        <w:tc>
          <w:tcPr>
            <w:tcW w:w="2280" w:type="dxa"/>
          </w:tcPr>
          <w:p>
            <w:pPr>
              <w:spacing w:before="120" w:after="120"/>
              <w:rPr>
                <w:rFonts w:ascii="Times New Roman" w:hAnsi="Times New Roman" w:cs="Times New Roman"/>
                <w:noProof/>
              </w:rPr>
            </w:pPr>
            <w:r>
              <w:rPr>
                <w:rFonts w:ascii="Times New Roman" w:hAnsi="Times New Roman" w:cs="Times New Roman"/>
                <w:noProof/>
              </w:rPr>
              <w:t>6.2.1.1. Use of the electronic request forms by the applicant authority</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p>
            <w:pPr>
              <w:spacing w:before="120" w:after="120"/>
              <w:ind w:left="138" w:hanging="138"/>
              <w:rPr>
                <w:rFonts w:ascii="Times New Roman" w:hAnsi="Times New Roman" w:cs="Times New Roman"/>
                <w:noProof/>
              </w:rPr>
            </w:pPr>
            <w:r>
              <w:rPr>
                <w:rFonts w:ascii="Times New Roman" w:hAnsi="Times New Roman" w:cs="Times New Roman"/>
                <w:noProof/>
              </w:rPr>
              <w:t>- evaluation report Belgian Court of Audit</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6.2.1.2. Effect of the adoption of the UIPE for the applicant Member State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6.2.1.3. Effect of the adoption of the UNF for the applicant Member State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6.2.1.4. Effect of the extension of the scope on the workload</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r>
              <w:rPr>
                <w:rFonts w:ascii="Times New Roman" w:hAnsi="Times New Roman" w:cs="Times New Roman"/>
                <w:noProof/>
              </w:rPr>
              <w:t>6.2.2</w:t>
            </w:r>
            <w:r>
              <w:rPr>
                <w:rFonts w:ascii="Times New Roman" w:hAnsi="Times New Roman" w:cs="Times New Roman"/>
                <w:noProof/>
                <w:spacing w:val="-12"/>
              </w:rPr>
              <w:t>. Is providing assistance for recovery of claims easier than before? (situation of the requested Member State)</w:t>
            </w:r>
          </w:p>
        </w:tc>
        <w:tc>
          <w:tcPr>
            <w:tcW w:w="2280" w:type="dxa"/>
          </w:tcPr>
          <w:p>
            <w:pPr>
              <w:spacing w:before="120" w:after="120"/>
              <w:rPr>
                <w:rFonts w:ascii="Times New Roman" w:hAnsi="Times New Roman" w:cs="Times New Roman"/>
                <w:noProof/>
              </w:rPr>
            </w:pPr>
            <w:r>
              <w:rPr>
                <w:rFonts w:ascii="Times New Roman" w:hAnsi="Times New Roman" w:cs="Times New Roman"/>
                <w:noProof/>
              </w:rPr>
              <w:t>6.2.2.1. Effect of the adoption of the UIPE for the requested Member State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6.2.2.2. Effect of the adoption of the UNF for the requested Member State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6.2.2.3. Workload to handle  incoming requests for assistance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p>
            <w:pPr>
              <w:spacing w:before="120" w:after="120"/>
              <w:ind w:left="138" w:hanging="138"/>
              <w:rPr>
                <w:rFonts w:ascii="Times New Roman" w:hAnsi="Times New Roman" w:cs="Times New Roman"/>
                <w:noProof/>
              </w:rPr>
            </w:pPr>
            <w:r>
              <w:rPr>
                <w:rFonts w:ascii="Times New Roman" w:hAnsi="Times New Roman" w:cs="Times New Roman"/>
                <w:noProof/>
              </w:rPr>
              <w:t>- reports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6.2.2.4. Administrative cost for the requested Member States</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r>
              <w:rPr>
                <w:rFonts w:ascii="Times New Roman" w:hAnsi="Times New Roman" w:cs="Times New Roman"/>
                <w:noProof/>
              </w:rPr>
              <w:t>6.2.3. Did mutual assistance between the Member States increase?</w:t>
            </w:r>
          </w:p>
        </w:tc>
        <w:tc>
          <w:tcPr>
            <w:tcW w:w="2280" w:type="dxa"/>
          </w:tcPr>
          <w:p>
            <w:pPr>
              <w:spacing w:before="120" w:after="120"/>
              <w:rPr>
                <w:rFonts w:ascii="Times New Roman" w:hAnsi="Times New Roman" w:cs="Times New Roman"/>
                <w:noProof/>
              </w:rPr>
            </w:pPr>
            <w:r>
              <w:rPr>
                <w:rFonts w:ascii="Times New Roman" w:hAnsi="Times New Roman" w:cs="Times New Roman"/>
                <w:noProof/>
              </w:rPr>
              <w:t xml:space="preserve">6.2.3.1. </w:t>
            </w:r>
            <w:r>
              <w:rPr>
                <w:rFonts w:ascii="Times New Roman" w:hAnsi="Times New Roman" w:cs="Times New Roman"/>
                <w:noProof/>
                <w:spacing w:val="-6"/>
              </w:rPr>
              <w:t>Evolution of the total numbers of requests for mutual assistance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statistics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 xml:space="preserve">6.2.3.2. </w:t>
            </w:r>
            <w:r>
              <w:rPr>
                <w:rFonts w:ascii="Times New Roman" w:hAnsi="Times New Roman" w:cs="Times New Roman"/>
                <w:noProof/>
                <w:spacing w:val="-6"/>
              </w:rPr>
              <w:t>Total number and size of all communications relating to assistance requests</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statistics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6.2.3.3. Presence and assistance of officials of the applicant Member State in the territory of the requested Member State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statistics</w:t>
            </w:r>
          </w:p>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6.2.3.4. Impact of the Fiscalis activities</w:t>
            </w:r>
          </w:p>
        </w:tc>
        <w:tc>
          <w:tcPr>
            <w:tcW w:w="2340" w:type="dxa"/>
          </w:tcPr>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questionnaire Member States</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Fiscalis activities</w:t>
            </w:r>
          </w:p>
        </w:tc>
      </w:tr>
      <w:tr>
        <w:tc>
          <w:tcPr>
            <w:tcW w:w="2148" w:type="dxa"/>
          </w:tcPr>
          <w:p>
            <w:pPr>
              <w:spacing w:before="120" w:after="120"/>
              <w:rPr>
                <w:rFonts w:ascii="Times New Roman" w:hAnsi="Times New Roman" w:cs="Times New Roman"/>
                <w:noProof/>
              </w:rPr>
            </w:pPr>
            <w:r>
              <w:rPr>
                <w:rFonts w:ascii="Times New Roman" w:hAnsi="Times New Roman" w:cs="Times New Roman"/>
                <w:noProof/>
              </w:rPr>
              <w:t>6.3. To what extent the provisions of the Directive are relevant to the needs of the Member States? (RELEVANCE)</w:t>
            </w:r>
          </w:p>
        </w:tc>
        <w:tc>
          <w:tcPr>
            <w:tcW w:w="2160" w:type="dxa"/>
          </w:tcPr>
          <w:p>
            <w:pPr>
              <w:spacing w:before="120" w:after="120"/>
              <w:rPr>
                <w:rFonts w:ascii="Times New Roman" w:hAnsi="Times New Roman" w:cs="Times New Roman"/>
                <w:noProof/>
              </w:rPr>
            </w:pPr>
            <w:r>
              <w:rPr>
                <w:rFonts w:ascii="Times New Roman" w:hAnsi="Times New Roman" w:cs="Times New Roman"/>
                <w:noProof/>
              </w:rPr>
              <w:t>6.3.1. Did the Directive meet the needs for which it was adopted?</w:t>
            </w:r>
          </w:p>
        </w:tc>
        <w:tc>
          <w:tcPr>
            <w:tcW w:w="2280" w:type="dxa"/>
          </w:tcPr>
          <w:p>
            <w:pPr>
              <w:spacing w:before="120" w:after="120"/>
              <w:rPr>
                <w:rFonts w:ascii="Times New Roman" w:hAnsi="Times New Roman" w:cs="Times New Roman"/>
                <w:noProof/>
              </w:rPr>
            </w:pPr>
            <w:r>
              <w:rPr>
                <w:rFonts w:ascii="Times New Roman" w:hAnsi="Times New Roman" w:cs="Times New Roman"/>
                <w:noProof/>
              </w:rPr>
              <w:t>6.3.1.1. Main priorities of Member States with regard to mutual recovery assistance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6.3.1.2. Problems encountered with the Directive by applicant Member States</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p>
            <w:pPr>
              <w:spacing w:before="120" w:after="120"/>
              <w:ind w:left="138" w:hanging="138"/>
              <w:rPr>
                <w:rFonts w:ascii="Times New Roman" w:hAnsi="Times New Roman" w:cs="Times New Roman"/>
                <w:noProof/>
              </w:rPr>
            </w:pPr>
            <w:r>
              <w:rPr>
                <w:rFonts w:ascii="Times New Roman" w:hAnsi="Times New Roman" w:cs="Times New Roman"/>
                <w:noProof/>
              </w:rPr>
              <w:t xml:space="preserve">- Recovery Expert Group </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6.3.1.3. Problems encountered with the Directive by requested Member States</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p>
            <w:pPr>
              <w:spacing w:before="120" w:after="120"/>
              <w:ind w:left="138" w:hanging="138"/>
              <w:rPr>
                <w:rFonts w:ascii="Times New Roman" w:hAnsi="Times New Roman" w:cs="Times New Roman"/>
                <w:noProof/>
              </w:rPr>
            </w:pPr>
            <w:r>
              <w:rPr>
                <w:rFonts w:ascii="Times New Roman" w:hAnsi="Times New Roman" w:cs="Times New Roman"/>
                <w:noProof/>
              </w:rPr>
              <w:t>- Recovery Expert Group</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6.3.1.4. Effects of the broadening of the scope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p>
            <w:pPr>
              <w:spacing w:before="120" w:after="120"/>
              <w:ind w:left="138" w:hanging="138"/>
              <w:rPr>
                <w:rFonts w:ascii="Times New Roman" w:hAnsi="Times New Roman" w:cs="Times New Roman"/>
                <w:noProof/>
              </w:rPr>
            </w:pPr>
            <w:r>
              <w:rPr>
                <w:rFonts w:ascii="Times New Roman" w:hAnsi="Times New Roman" w:cs="Times New Roman"/>
                <w:noProof/>
              </w:rPr>
              <w:t>- reports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r>
              <w:rPr>
                <w:rFonts w:ascii="Times New Roman" w:hAnsi="Times New Roman" w:cs="Times New Roman"/>
                <w:noProof/>
              </w:rPr>
              <w:t>6.3.2. Are there other needs?</w:t>
            </w:r>
          </w:p>
        </w:tc>
        <w:tc>
          <w:tcPr>
            <w:tcW w:w="2280" w:type="dxa"/>
          </w:tcPr>
          <w:p>
            <w:pPr>
              <w:spacing w:before="120" w:after="120"/>
              <w:rPr>
                <w:rFonts w:ascii="Times New Roman" w:hAnsi="Times New Roman" w:cs="Times New Roman"/>
                <w:noProof/>
              </w:rPr>
            </w:pPr>
            <w:r>
              <w:rPr>
                <w:rFonts w:ascii="Times New Roman" w:hAnsi="Times New Roman" w:cs="Times New Roman"/>
                <w:noProof/>
              </w:rPr>
              <w:t>6.3.2.1. Need for a further extension of the scope?</w:t>
            </w:r>
          </w:p>
        </w:tc>
        <w:tc>
          <w:tcPr>
            <w:tcW w:w="2340" w:type="dxa"/>
          </w:tcPr>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questionnaire Member States</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public consultation</w:t>
            </w:r>
          </w:p>
        </w:tc>
      </w:tr>
      <w:tr>
        <w:tc>
          <w:tcPr>
            <w:tcW w:w="2148" w:type="dxa"/>
          </w:tcPr>
          <w:p>
            <w:pPr>
              <w:spacing w:before="120" w:after="120"/>
              <w:rPr>
                <w:rFonts w:ascii="Times New Roman" w:hAnsi="Times New Roman" w:cs="Times New Roman"/>
                <w:noProof/>
                <w:lang w:val="fr-BE"/>
              </w:rPr>
            </w:pPr>
          </w:p>
        </w:tc>
        <w:tc>
          <w:tcPr>
            <w:tcW w:w="2160" w:type="dxa"/>
          </w:tcPr>
          <w:p>
            <w:pPr>
              <w:spacing w:before="120" w:after="120"/>
              <w:rPr>
                <w:rFonts w:ascii="Times New Roman" w:hAnsi="Times New Roman" w:cs="Times New Roman"/>
                <w:noProof/>
                <w:lang w:val="fr-BE"/>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6.3.2.2. Other changes suggested</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p>
            <w:pPr>
              <w:spacing w:before="120" w:after="120"/>
              <w:ind w:left="138" w:hanging="138"/>
              <w:rPr>
                <w:rFonts w:ascii="Times New Roman" w:hAnsi="Times New Roman" w:cs="Times New Roman"/>
                <w:noProof/>
              </w:rPr>
            </w:pPr>
            <w:r>
              <w:rPr>
                <w:rFonts w:ascii="Times New Roman" w:hAnsi="Times New Roman" w:cs="Times New Roman"/>
                <w:noProof/>
              </w:rPr>
              <w:t>- public consultation</w:t>
            </w:r>
          </w:p>
          <w:p>
            <w:pPr>
              <w:spacing w:before="120" w:after="120"/>
              <w:ind w:left="138" w:hanging="138"/>
              <w:rPr>
                <w:rFonts w:ascii="Times New Roman" w:hAnsi="Times New Roman" w:cs="Times New Roman"/>
                <w:noProof/>
              </w:rPr>
            </w:pPr>
            <w:r>
              <w:rPr>
                <w:rFonts w:ascii="Times New Roman" w:hAnsi="Times New Roman" w:cs="Times New Roman"/>
                <w:noProof/>
              </w:rPr>
              <w:t xml:space="preserve">- </w:t>
            </w:r>
            <w:r>
              <w:rPr>
                <w:rFonts w:ascii="Times New Roman" w:hAnsi="Times New Roman" w:cs="Times New Roman"/>
                <w:noProof/>
                <w:spacing w:val="-6"/>
              </w:rPr>
              <w:t>Recovery Expert Group</w:t>
            </w:r>
          </w:p>
        </w:tc>
      </w:tr>
      <w:tr>
        <w:tc>
          <w:tcPr>
            <w:tcW w:w="2148" w:type="dxa"/>
          </w:tcPr>
          <w:p>
            <w:pPr>
              <w:keepNext/>
              <w:spacing w:before="120" w:after="120"/>
              <w:rPr>
                <w:rFonts w:ascii="Times New Roman" w:hAnsi="Times New Roman" w:cs="Times New Roman"/>
                <w:noProof/>
              </w:rPr>
            </w:pPr>
          </w:p>
        </w:tc>
        <w:tc>
          <w:tcPr>
            <w:tcW w:w="2160" w:type="dxa"/>
          </w:tcPr>
          <w:p>
            <w:pPr>
              <w:keepNext/>
              <w:spacing w:before="120" w:after="120"/>
              <w:rPr>
                <w:rFonts w:ascii="Times New Roman" w:hAnsi="Times New Roman" w:cs="Times New Roman"/>
                <w:noProof/>
              </w:rPr>
            </w:pPr>
            <w:r>
              <w:rPr>
                <w:rFonts w:ascii="Times New Roman" w:hAnsi="Times New Roman" w:cs="Times New Roman"/>
                <w:noProof/>
              </w:rPr>
              <w:t>6.3.3. Did the introduction of the Directive have an impact on the legal protection of the tax debtors in the Member state?</w:t>
            </w:r>
          </w:p>
        </w:tc>
        <w:tc>
          <w:tcPr>
            <w:tcW w:w="2280" w:type="dxa"/>
          </w:tcPr>
          <w:p>
            <w:pPr>
              <w:keepNext/>
              <w:spacing w:before="120" w:after="120"/>
              <w:rPr>
                <w:rFonts w:ascii="Times New Roman" w:hAnsi="Times New Roman" w:cs="Times New Roman"/>
                <w:noProof/>
              </w:rPr>
            </w:pPr>
            <w:r>
              <w:rPr>
                <w:rFonts w:ascii="Times New Roman" w:hAnsi="Times New Roman" w:cs="Times New Roman"/>
                <w:noProof/>
              </w:rPr>
              <w:t>6.3.3.1. The legal protection of the tax debtors</w:t>
            </w:r>
          </w:p>
        </w:tc>
        <w:tc>
          <w:tcPr>
            <w:tcW w:w="2340" w:type="dxa"/>
          </w:tcPr>
          <w:p>
            <w:pPr>
              <w:keepNext/>
              <w:spacing w:before="120" w:after="120"/>
              <w:ind w:left="138" w:hanging="138"/>
              <w:rPr>
                <w:rFonts w:ascii="Times New Roman" w:hAnsi="Times New Roman" w:cs="Times New Roman"/>
                <w:noProof/>
              </w:rPr>
            </w:pPr>
            <w:r>
              <w:rPr>
                <w:rFonts w:ascii="Times New Roman" w:hAnsi="Times New Roman" w:cs="Times New Roman"/>
                <w:noProof/>
              </w:rPr>
              <w:t xml:space="preserve">- questionnaire Member States </w:t>
            </w:r>
          </w:p>
          <w:p>
            <w:pPr>
              <w:keepNext/>
              <w:spacing w:before="120" w:after="120"/>
              <w:ind w:left="138" w:hanging="138"/>
              <w:rPr>
                <w:rFonts w:ascii="Times New Roman" w:hAnsi="Times New Roman" w:cs="Times New Roman"/>
                <w:noProof/>
              </w:rPr>
            </w:pPr>
            <w:r>
              <w:rPr>
                <w:rFonts w:ascii="Times New Roman" w:hAnsi="Times New Roman" w:cs="Times New Roman"/>
                <w:noProof/>
              </w:rPr>
              <w:t>- public consultation</w:t>
            </w:r>
          </w:p>
          <w:p>
            <w:pPr>
              <w:keepNext/>
              <w:spacing w:before="120" w:after="120"/>
              <w:ind w:left="138" w:hanging="138"/>
              <w:rPr>
                <w:rFonts w:ascii="Times New Roman" w:hAnsi="Times New Roman" w:cs="Times New Roman"/>
                <w:noProof/>
              </w:rPr>
            </w:pPr>
            <w:r>
              <w:rPr>
                <w:rFonts w:ascii="Times New Roman" w:hAnsi="Times New Roman" w:cs="Times New Roman"/>
                <w:noProof/>
              </w:rPr>
              <w:t>- other sources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6.3.3.2. Information about tax claims and assistance requests to the debtors</w:t>
            </w:r>
          </w:p>
        </w:tc>
        <w:tc>
          <w:tcPr>
            <w:tcW w:w="2340" w:type="dxa"/>
          </w:tcPr>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questionnaire Member States</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public consultation</w:t>
            </w:r>
          </w:p>
        </w:tc>
      </w:tr>
      <w:tr>
        <w:tc>
          <w:tcPr>
            <w:tcW w:w="2148" w:type="dxa"/>
          </w:tcPr>
          <w:p>
            <w:pPr>
              <w:spacing w:before="120" w:after="120"/>
              <w:rPr>
                <w:rFonts w:ascii="Times New Roman" w:hAnsi="Times New Roman" w:cs="Times New Roman"/>
                <w:noProof/>
                <w:lang w:val="fr-BE"/>
              </w:rPr>
            </w:pPr>
          </w:p>
        </w:tc>
        <w:tc>
          <w:tcPr>
            <w:tcW w:w="2160" w:type="dxa"/>
          </w:tcPr>
          <w:p>
            <w:pPr>
              <w:spacing w:before="120" w:after="120"/>
              <w:rPr>
                <w:rFonts w:ascii="Times New Roman" w:hAnsi="Times New Roman" w:cs="Times New Roman"/>
                <w:noProof/>
                <w:lang w:val="fr-BE"/>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6.3.3.3. Guidance on the functioning of the EU recovery assistance framework</w:t>
            </w:r>
          </w:p>
        </w:tc>
        <w:tc>
          <w:tcPr>
            <w:tcW w:w="2340" w:type="dxa"/>
          </w:tcPr>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questionnaire Member States</w:t>
            </w:r>
          </w:p>
          <w:p>
            <w:pPr>
              <w:spacing w:before="120" w:after="120"/>
              <w:ind w:left="138" w:hanging="138"/>
              <w:rPr>
                <w:rFonts w:ascii="Times New Roman" w:hAnsi="Times New Roman" w:cs="Times New Roman"/>
                <w:noProof/>
                <w:lang w:val="fr-BE"/>
              </w:rPr>
            </w:pPr>
            <w:r>
              <w:rPr>
                <w:rFonts w:ascii="Times New Roman" w:hAnsi="Times New Roman" w:cs="Times New Roman"/>
                <w:noProof/>
                <w:lang w:val="fr-BE"/>
              </w:rPr>
              <w:t>- public consultation</w:t>
            </w:r>
          </w:p>
        </w:tc>
      </w:tr>
      <w:tr>
        <w:tc>
          <w:tcPr>
            <w:tcW w:w="2148" w:type="dxa"/>
          </w:tcPr>
          <w:p>
            <w:pPr>
              <w:spacing w:before="120" w:after="120"/>
              <w:rPr>
                <w:rFonts w:ascii="Times New Roman" w:hAnsi="Times New Roman" w:cs="Times New Roman"/>
                <w:noProof/>
              </w:rPr>
            </w:pPr>
            <w:r>
              <w:rPr>
                <w:rFonts w:ascii="Times New Roman" w:hAnsi="Times New Roman" w:cs="Times New Roman"/>
                <w:noProof/>
              </w:rPr>
              <w:t>6.4. Could Member States achieve similar results without acting at the EU level? (EU ADDED VALUE, COHERENCE)</w:t>
            </w:r>
          </w:p>
        </w:tc>
        <w:tc>
          <w:tcPr>
            <w:tcW w:w="2160" w:type="dxa"/>
          </w:tcPr>
          <w:p>
            <w:pPr>
              <w:spacing w:before="120" w:after="120"/>
              <w:rPr>
                <w:rFonts w:ascii="Times New Roman" w:hAnsi="Times New Roman" w:cs="Times New Roman"/>
                <w:noProof/>
              </w:rPr>
            </w:pPr>
            <w:r>
              <w:rPr>
                <w:rFonts w:ascii="Times New Roman" w:hAnsi="Times New Roman" w:cs="Times New Roman"/>
                <w:noProof/>
              </w:rPr>
              <w:t>6.4.1. Is recovery assistance in the interest of all Member States?</w:t>
            </w:r>
          </w:p>
        </w:tc>
        <w:tc>
          <w:tcPr>
            <w:tcW w:w="2280" w:type="dxa"/>
          </w:tcPr>
          <w:p>
            <w:pPr>
              <w:spacing w:before="120" w:after="120"/>
              <w:rPr>
                <w:rFonts w:ascii="Times New Roman" w:hAnsi="Times New Roman" w:cs="Times New Roman"/>
                <w:noProof/>
              </w:rPr>
            </w:pPr>
            <w:r>
              <w:rPr>
                <w:rFonts w:ascii="Times New Roman" w:hAnsi="Times New Roman" w:cs="Times New Roman"/>
                <w:noProof/>
              </w:rPr>
              <w:t xml:space="preserve">6.4.1.1. Effective use of the Directive by all Member States </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statistics</w:t>
            </w:r>
          </w:p>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6.4.1.2. Loyal cooperation between EU Member States</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Member States' requests to the Commission services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r>
              <w:rPr>
                <w:rFonts w:ascii="Times New Roman" w:hAnsi="Times New Roman" w:cs="Times New Roman"/>
                <w:noProof/>
              </w:rPr>
              <w:t>6.4.2. Does the EU provide incentives to improve tax recovery assistance?</w:t>
            </w:r>
          </w:p>
        </w:tc>
        <w:tc>
          <w:tcPr>
            <w:tcW w:w="2280" w:type="dxa"/>
          </w:tcPr>
          <w:p>
            <w:pPr>
              <w:spacing w:before="120" w:after="120"/>
              <w:rPr>
                <w:rFonts w:ascii="Times New Roman" w:hAnsi="Times New Roman" w:cs="Times New Roman"/>
                <w:noProof/>
              </w:rPr>
            </w:pPr>
            <w:r>
              <w:rPr>
                <w:rFonts w:ascii="Times New Roman" w:hAnsi="Times New Roman" w:cs="Times New Roman"/>
                <w:noProof/>
              </w:rPr>
              <w:t>6.4.2.1. EU tax recovery assistance: a cornerstone for the proper functioning of the internal market</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external reports</w:t>
            </w:r>
          </w:p>
          <w:p>
            <w:pPr>
              <w:spacing w:before="120" w:after="120"/>
              <w:ind w:left="138" w:hanging="138"/>
              <w:rPr>
                <w:rFonts w:ascii="Times New Roman" w:hAnsi="Times New Roman" w:cs="Times New Roman"/>
                <w:noProof/>
              </w:rPr>
            </w:pPr>
            <w:r>
              <w:rPr>
                <w:rFonts w:ascii="Times New Roman" w:hAnsi="Times New Roman" w:cs="Times New Roman"/>
                <w:noProof/>
              </w:rPr>
              <w:t>- Recovery Expert Group</w:t>
            </w:r>
          </w:p>
          <w:p>
            <w:pPr>
              <w:spacing w:before="120" w:after="120"/>
              <w:ind w:left="138" w:hanging="138"/>
              <w:rPr>
                <w:rFonts w:ascii="Times New Roman" w:hAnsi="Times New Roman" w:cs="Times New Roman"/>
                <w:noProof/>
              </w:rPr>
            </w:pPr>
            <w:r>
              <w:rPr>
                <w:rFonts w:ascii="Times New Roman" w:hAnsi="Times New Roman" w:cs="Times New Roman"/>
                <w:noProof/>
              </w:rPr>
              <w:t>- Fiscalis activities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6.4.2.2. Advantage of a joint EU approach in recovery assistance</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questionnaire Member States</w:t>
            </w:r>
          </w:p>
          <w:p>
            <w:pPr>
              <w:spacing w:before="120" w:after="120"/>
              <w:ind w:left="138" w:hanging="138"/>
              <w:rPr>
                <w:rFonts w:ascii="Times New Roman" w:hAnsi="Times New Roman" w:cs="Times New Roman"/>
                <w:noProof/>
              </w:rPr>
            </w:pPr>
            <w:r>
              <w:rPr>
                <w:rFonts w:ascii="Times New Roman" w:hAnsi="Times New Roman" w:cs="Times New Roman"/>
                <w:noProof/>
              </w:rPr>
              <w:t xml:space="preserve">- </w:t>
            </w:r>
            <w:r>
              <w:rPr>
                <w:rFonts w:ascii="Times New Roman" w:hAnsi="Times New Roman" w:cs="Times New Roman"/>
                <w:noProof/>
                <w:spacing w:val="-6"/>
              </w:rPr>
              <w:t>Recovery Expert Group</w:t>
            </w:r>
          </w:p>
          <w:p>
            <w:pPr>
              <w:spacing w:before="120" w:after="120"/>
              <w:ind w:left="138" w:hanging="138"/>
              <w:rPr>
                <w:rFonts w:ascii="Times New Roman" w:hAnsi="Times New Roman" w:cs="Times New Roman"/>
                <w:noProof/>
              </w:rPr>
            </w:pPr>
            <w:r>
              <w:rPr>
                <w:rFonts w:ascii="Times New Roman" w:hAnsi="Times New Roman" w:cs="Times New Roman"/>
                <w:noProof/>
              </w:rPr>
              <w:t>- Member States reports</w:t>
            </w:r>
          </w:p>
        </w:tc>
      </w:tr>
      <w:tr>
        <w:tc>
          <w:tcPr>
            <w:tcW w:w="2148" w:type="dxa"/>
          </w:tcPr>
          <w:p>
            <w:pPr>
              <w:spacing w:before="120" w:after="120"/>
              <w:rPr>
                <w:rFonts w:ascii="Times New Roman" w:hAnsi="Times New Roman" w:cs="Times New Roman"/>
                <w:noProof/>
              </w:rPr>
            </w:pPr>
          </w:p>
        </w:tc>
        <w:tc>
          <w:tcPr>
            <w:tcW w:w="2160" w:type="dxa"/>
          </w:tcPr>
          <w:p>
            <w:pPr>
              <w:spacing w:before="120" w:after="120"/>
              <w:rPr>
                <w:rFonts w:ascii="Times New Roman" w:hAnsi="Times New Roman" w:cs="Times New Roman"/>
                <w:noProof/>
              </w:rPr>
            </w:pPr>
          </w:p>
        </w:tc>
        <w:tc>
          <w:tcPr>
            <w:tcW w:w="2280" w:type="dxa"/>
          </w:tcPr>
          <w:p>
            <w:pPr>
              <w:spacing w:before="120" w:after="120"/>
              <w:rPr>
                <w:rFonts w:ascii="Times New Roman" w:hAnsi="Times New Roman" w:cs="Times New Roman"/>
                <w:noProof/>
              </w:rPr>
            </w:pPr>
            <w:r>
              <w:rPr>
                <w:rFonts w:ascii="Times New Roman" w:hAnsi="Times New Roman" w:cs="Times New Roman"/>
                <w:noProof/>
              </w:rPr>
              <w:t>6.4.2.3. Coherence of the EU approach</w:t>
            </w:r>
          </w:p>
        </w:tc>
        <w:tc>
          <w:tcPr>
            <w:tcW w:w="2340" w:type="dxa"/>
          </w:tcPr>
          <w:p>
            <w:pPr>
              <w:spacing w:before="120" w:after="120"/>
              <w:ind w:left="138" w:hanging="138"/>
              <w:rPr>
                <w:rFonts w:ascii="Times New Roman" w:hAnsi="Times New Roman" w:cs="Times New Roman"/>
                <w:noProof/>
              </w:rPr>
            </w:pPr>
            <w:r>
              <w:rPr>
                <w:rFonts w:ascii="Times New Roman" w:hAnsi="Times New Roman" w:cs="Times New Roman"/>
                <w:noProof/>
              </w:rPr>
              <w:t>- other sources</w:t>
            </w:r>
          </w:p>
        </w:tc>
      </w:tr>
    </w:tbl>
    <w:p>
      <w:pPr>
        <w:spacing w:before="120" w:after="120" w:line="240" w:lineRule="auto"/>
        <w:ind w:left="360" w:hanging="360"/>
        <w:jc w:val="both"/>
        <w:rPr>
          <w:rFonts w:ascii="Times New Roman" w:hAnsi="Times New Roman" w:cs="Times New Roman"/>
          <w:noProof/>
          <w:sz w:val="18"/>
          <w:szCs w:val="18"/>
        </w:rPr>
      </w:pPr>
    </w:p>
    <w:p>
      <w:pPr>
        <w:spacing w:before="120" w:after="120" w:line="240" w:lineRule="auto"/>
        <w:ind w:left="360" w:hanging="360"/>
        <w:jc w:val="both"/>
        <w:rPr>
          <w:rFonts w:ascii="Times New Roman" w:hAnsi="Times New Roman" w:cs="Times New Roman"/>
          <w:noProof/>
          <w:sz w:val="18"/>
          <w:szCs w:val="18"/>
        </w:rPr>
      </w:pPr>
    </w:p>
    <w:p>
      <w:pPr>
        <w:pStyle w:val="Heading1"/>
        <w:rPr>
          <w:noProof/>
        </w:rPr>
      </w:pPr>
      <w:r>
        <w:rPr>
          <w:noProof/>
        </w:rPr>
        <w:t>5. TRANSPOSITION OF THE DIRECTIVE</w:t>
      </w:r>
    </w:p>
    <w:p>
      <w:pPr>
        <w:spacing w:after="120" w:line="240" w:lineRule="auto"/>
        <w:jc w:val="both"/>
        <w:rPr>
          <w:noProof/>
        </w:rPr>
      </w:pPr>
    </w:p>
    <w:p>
      <w:pPr>
        <w:spacing w:after="120" w:line="240" w:lineRule="auto"/>
        <w:ind w:left="360" w:hanging="360"/>
        <w:jc w:val="both"/>
        <w:rPr>
          <w:noProof/>
        </w:rPr>
      </w:pPr>
      <w:r>
        <w:rPr>
          <w:rFonts w:ascii="Times New Roman" w:hAnsi="Times New Roman" w:cs="Times New Roman"/>
          <w:noProof/>
          <w:sz w:val="24"/>
          <w:szCs w:val="24"/>
          <w:lang w:eastAsia="en-GB"/>
        </w:rPr>
        <w:tab/>
        <w:t xml:space="preserve">The Member States had to transpose Council Directive 2010/24/EU by 31 December 2011, and these new provisions had to apply from 1 January 2012 (Article 28 of this Directive). In many Member States, the transposition of this Directive was delayed.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i/>
          <w:noProof/>
          <w:sz w:val="24"/>
          <w:szCs w:val="24"/>
        </w:rPr>
        <w:t>Table 1: Overview of transposition of Directive 2010/24/EU in the national legislation of the EU Member States:</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12"/>
      </w:r>
    </w:p>
    <w:tbl>
      <w:tblPr>
        <w:tblStyle w:val="TableGrid"/>
        <w:tblW w:w="0" w:type="auto"/>
        <w:tblInd w:w="468" w:type="dxa"/>
        <w:tblLook w:val="04A0" w:firstRow="1" w:lastRow="0" w:firstColumn="1" w:lastColumn="0" w:noHBand="0" w:noVBand="1"/>
      </w:tblPr>
      <w:tblGrid>
        <w:gridCol w:w="960"/>
        <w:gridCol w:w="3000"/>
        <w:gridCol w:w="3000"/>
        <w:gridCol w:w="1860"/>
      </w:tblGrid>
      <w:tr>
        <w:tc>
          <w:tcPr>
            <w:tcW w:w="960" w:type="dxa"/>
            <w:vAlign w:val="center"/>
          </w:tcPr>
          <w:p>
            <w:pPr>
              <w:ind w:right="-876"/>
              <w:rPr>
                <w:rFonts w:ascii="Times New Roman" w:hAnsi="Times New Roman" w:cs="Times New Roman"/>
                <w:noProof/>
                <w:sz w:val="24"/>
                <w:szCs w:val="24"/>
              </w:rPr>
            </w:pP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adoption</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publication</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Entry into force</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BE</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09.01.2012 – 21.12.2012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26.01.2012 – 28.12.2012</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BG</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07.12.2011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16.12.2011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CZ</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20.12.2011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30.12.2011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DK</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07.02.2012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08.12.2012</w:t>
            </w:r>
          </w:p>
        </w:tc>
        <w:tc>
          <w:tcPr>
            <w:tcW w:w="186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15.02.2012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DE</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07.12.2011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13.12.2011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EE</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23.11.2011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13.12.2011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IE</w:t>
            </w:r>
          </w:p>
        </w:tc>
        <w:tc>
          <w:tcPr>
            <w:tcW w:w="3000" w:type="dxa"/>
            <w:vAlign w:val="center"/>
          </w:tcPr>
          <w:p>
            <w:pPr>
              <w:ind w:right="-876"/>
              <w:rPr>
                <w:rFonts w:ascii="Times New Roman" w:hAnsi="Times New Roman" w:cs="Times New Roman"/>
                <w:noProof/>
                <w:sz w:val="24"/>
                <w:szCs w:val="24"/>
              </w:rPr>
            </w:pP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16.12.2011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EM</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10.04.2012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11.04.2012</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ES</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30.12.2011</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31.01.2012</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FR</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25.01.2012 – 28.03.2012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27.01.2012 – 29.03.2012</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HR</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14.06.2013</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18.06.2013</w:t>
            </w:r>
          </w:p>
        </w:tc>
        <w:tc>
          <w:tcPr>
            <w:tcW w:w="186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01.07.2013</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IT</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14.08.2012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30.08.2012</w:t>
            </w:r>
          </w:p>
        </w:tc>
        <w:tc>
          <w:tcPr>
            <w:tcW w:w="186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14.09.2012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CY</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29.06.2012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29.06.2012</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LV</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15.03.2012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28.03.2012</w:t>
            </w:r>
          </w:p>
        </w:tc>
        <w:tc>
          <w:tcPr>
            <w:tcW w:w="186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01.04.2012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LT</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20.06.2011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05.07.2011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LU</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21.07.2012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26.07.2012</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HU</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08.04.2013</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18.04.2013</w:t>
            </w:r>
          </w:p>
        </w:tc>
        <w:tc>
          <w:tcPr>
            <w:tcW w:w="186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21.04.2013</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MT</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08.05.2012</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NL</w:t>
            </w:r>
          </w:p>
        </w:tc>
        <w:tc>
          <w:tcPr>
            <w:tcW w:w="3000" w:type="dxa"/>
            <w:vAlign w:val="center"/>
          </w:tcPr>
          <w:p>
            <w:pPr>
              <w:ind w:right="-876"/>
              <w:rPr>
                <w:rFonts w:ascii="Times New Roman" w:hAnsi="Times New Roman" w:cs="Times New Roman"/>
                <w:noProof/>
                <w:sz w:val="24"/>
                <w:szCs w:val="24"/>
                <w:highlight w:val="yellow"/>
              </w:rPr>
            </w:pPr>
            <w:r>
              <w:rPr>
                <w:rFonts w:ascii="Times New Roman" w:hAnsi="Times New Roman" w:cs="Times New Roman"/>
                <w:noProof/>
                <w:sz w:val="24"/>
                <w:szCs w:val="24"/>
              </w:rPr>
              <w:t>08.12.2011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21.12.2011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AT</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07.12.2011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07.12.2011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PL</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highlight w:val="yellow"/>
              </w:rPr>
            </w:pPr>
            <w:r>
              <w:rPr>
                <w:rFonts w:ascii="Times New Roman" w:hAnsi="Times New Roman" w:cs="Times New Roman"/>
                <w:noProof/>
                <w:sz w:val="24"/>
                <w:szCs w:val="24"/>
              </w:rPr>
              <w:t>11.10.2013 – 06.11.2013</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highlight w:val="yellow"/>
              </w:rPr>
            </w:pPr>
            <w:r>
              <w:rPr>
                <w:rFonts w:ascii="Times New Roman" w:hAnsi="Times New Roman" w:cs="Times New Roman"/>
                <w:noProof/>
                <w:sz w:val="24"/>
                <w:szCs w:val="24"/>
              </w:rPr>
              <w:t>06.11.2013 – 07.11.2013</w:t>
            </w:r>
          </w:p>
        </w:tc>
        <w:tc>
          <w:tcPr>
            <w:tcW w:w="186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21.11.2013</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PT</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20.12.2012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20.12.2012</w:t>
            </w:r>
          </w:p>
        </w:tc>
        <w:tc>
          <w:tcPr>
            <w:tcW w:w="186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21.12.2012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RO</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31.08.2011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02.09.2011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SI</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30.04.2012</w:t>
            </w:r>
          </w:p>
        </w:tc>
        <w:tc>
          <w:tcPr>
            <w:tcW w:w="300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24.05.2012</w:t>
            </w:r>
          </w:p>
        </w:tc>
        <w:tc>
          <w:tcPr>
            <w:tcW w:w="1860" w:type="dxa"/>
            <w:shd w:val="clear" w:color="auto" w:fill="BFBFBF" w:themeFill="background1" w:themeFillShade="BF"/>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25.05.2012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SK</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30.11.2011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30.12.2011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FI</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29.12.2011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30.12.2011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SE</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15.12.2011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23.12.2011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r>
        <w:tc>
          <w:tcPr>
            <w:tcW w:w="9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UK</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19.07.2011 – 09.12.2011</w:t>
            </w:r>
          </w:p>
        </w:tc>
        <w:tc>
          <w:tcPr>
            <w:tcW w:w="300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xx.07.2011 – xx.12.2011</w:t>
            </w:r>
          </w:p>
        </w:tc>
        <w:tc>
          <w:tcPr>
            <w:tcW w:w="1860" w:type="dxa"/>
            <w:vAlign w:val="center"/>
          </w:tcPr>
          <w:p>
            <w:pPr>
              <w:ind w:right="-876"/>
              <w:rPr>
                <w:rFonts w:ascii="Times New Roman" w:hAnsi="Times New Roman" w:cs="Times New Roman"/>
                <w:noProof/>
                <w:sz w:val="24"/>
                <w:szCs w:val="24"/>
              </w:rPr>
            </w:pPr>
            <w:r>
              <w:rPr>
                <w:rFonts w:ascii="Times New Roman" w:hAnsi="Times New Roman" w:cs="Times New Roman"/>
                <w:noProof/>
                <w:sz w:val="24"/>
                <w:szCs w:val="24"/>
              </w:rPr>
              <w:t>01.01.2012</w:t>
            </w:r>
          </w:p>
        </w:tc>
      </w:tr>
    </w:tbl>
    <w:p>
      <w:pPr>
        <w:pStyle w:val="Heading1"/>
        <w:rPr>
          <w:noProof/>
        </w:rPr>
      </w:pPr>
      <w:r>
        <w:rPr>
          <w:noProof/>
        </w:rPr>
        <w:t>6. ANALYSIS OF THE ANSWERS TO THE EVALUATION QUESTIONS</w:t>
      </w:r>
    </w:p>
    <w:p>
      <w:pPr>
        <w:spacing w:before="120" w:after="120" w:line="240" w:lineRule="auto"/>
        <w:ind w:left="480" w:hanging="480"/>
        <w:rPr>
          <w:rFonts w:ascii="Times New Roman" w:hAnsi="Times New Roman" w:cs="Times New Roman"/>
          <w:b/>
          <w:noProof/>
          <w:sz w:val="24"/>
          <w:szCs w:val="24"/>
        </w:rPr>
      </w:pPr>
    </w:p>
    <w:p>
      <w:pPr>
        <w:pStyle w:val="Heading2"/>
        <w:rPr>
          <w:rFonts w:ascii="Times New Roman" w:hAnsi="Times New Roman" w:cs="Times New Roman"/>
          <w:noProof/>
          <w:sz w:val="24"/>
          <w:szCs w:val="24"/>
        </w:rPr>
      </w:pPr>
      <w:r>
        <w:rPr>
          <w:noProof/>
        </w:rPr>
        <w:t>6.1. To what extent has the Directive contributed to safeguarding financial interests of the Member States and of the EU? (effectiveness)</w:t>
      </w:r>
    </w:p>
    <w:p>
      <w:pPr>
        <w:pStyle w:val="Heading4"/>
        <w:rPr>
          <w:noProof/>
        </w:rPr>
      </w:pPr>
    </w:p>
    <w:p>
      <w:pPr>
        <w:pStyle w:val="Heading4"/>
        <w:rPr>
          <w:noProof/>
          <w:sz w:val="24"/>
          <w:szCs w:val="24"/>
        </w:rPr>
      </w:pPr>
      <w:r>
        <w:rPr>
          <w:noProof/>
          <w:sz w:val="24"/>
          <w:szCs w:val="24"/>
        </w:rPr>
        <w:t>6.1.1.</w:t>
      </w:r>
      <w:r>
        <w:rPr>
          <w:noProof/>
          <w:sz w:val="24"/>
          <w:szCs w:val="24"/>
        </w:rPr>
        <w:tab/>
        <w:t>Did the Directive help Member States to recover more taxes?</w:t>
      </w:r>
    </w:p>
    <w:p>
      <w:pPr>
        <w:spacing w:before="120" w:after="120" w:line="240" w:lineRule="auto"/>
        <w:rPr>
          <w:rFonts w:ascii="Times New Roman" w:hAnsi="Times New Roman" w:cs="Times New Roman"/>
          <w:noProof/>
          <w:sz w:val="24"/>
          <w:szCs w:val="24"/>
          <w:lang w:eastAsia="en-GB"/>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lang w:eastAsia="en-GB"/>
        </w:rPr>
        <w:t xml:space="preserve">6.1.1.1. Amounts </w:t>
      </w:r>
      <w:r>
        <w:rPr>
          <w:rFonts w:ascii="Times New Roman" w:hAnsi="Times New Roman" w:cs="Times New Roman"/>
          <w:b/>
          <w:noProof/>
          <w:sz w:val="24"/>
          <w:szCs w:val="24"/>
        </w:rPr>
        <w:t>recovered on the basis of the EU Directive</w:t>
      </w:r>
    </w:p>
    <w:p>
      <w:pPr>
        <w:spacing w:before="120" w:after="120" w:line="240" w:lineRule="auto"/>
        <w:jc w:val="both"/>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A large majority of Member States (21 of 27</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reported that the mutual assistance provided under Directive 2010/24/EU has improved the collection and recovery of their tax claims. Almost all Member States (26 of 27) reported that the cooperation has improved under Directive 2010/24/EU in terms of simplification for national administrations to provide and receive assistance on recovery of claims from another Member State.</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One Member State (Lithuania) held that it did not have grounds to consider that the growth of the annual recovered amount was linked to changes of the legal framework. In the view of this Member State, the growth of the recovered amounts was caused by an increased number of requests sent to other Member States (see table 2 below). For 2015, the high increase of amounts recovered for Lithuania was caused by a very successful outcome in 3 cases (in which more than 410.000 € was recovered). </w:t>
      </w:r>
    </w:p>
    <w:p>
      <w:pPr>
        <w:spacing w:before="120" w:after="120" w:line="240" w:lineRule="auto"/>
        <w:ind w:left="360"/>
        <w:rPr>
          <w:rFonts w:ascii="Times New Roman" w:hAnsi="Times New Roman" w:cs="Times New Roman"/>
          <w:i/>
          <w:noProof/>
          <w:sz w:val="24"/>
          <w:szCs w:val="24"/>
        </w:rPr>
      </w:pPr>
      <w:r>
        <w:rPr>
          <w:rFonts w:ascii="Times New Roman" w:hAnsi="Times New Roman" w:cs="Times New Roman"/>
          <w:i/>
          <w:noProof/>
          <w:sz w:val="24"/>
          <w:szCs w:val="24"/>
        </w:rPr>
        <w:t xml:space="preserve">Table 2: </w:t>
      </w:r>
      <w:r>
        <w:rPr>
          <w:rFonts w:ascii="Times New Roman" w:hAnsi="Times New Roman" w:cs="Times New Roman"/>
          <w:i/>
          <w:noProof/>
          <w:sz w:val="24"/>
          <w:szCs w:val="24"/>
          <w:lang w:eastAsia="en-GB"/>
        </w:rPr>
        <w:t>evolution of the numbers of received r</w:t>
      </w:r>
      <w:r>
        <w:rPr>
          <w:rFonts w:ascii="Times New Roman" w:hAnsi="Times New Roman" w:cs="Times New Roman"/>
          <w:i/>
          <w:noProof/>
          <w:sz w:val="24"/>
          <w:szCs w:val="24"/>
        </w:rPr>
        <w:t>equests for recovery measures between EU Member States, on the basis of Directive 2010/24 (2011-2016):</w:t>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486400" cy="30099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can indeed be expected that the increased number of requests influenced the amounts recovered, but this effect could only be achieved if the Member States were able to cope with the increase of requests. Indirectly, the Lithuanian answer seems to confirm the feeling of other Member States that the new framework helped to facilitate recovery assistance.</w:t>
      </w:r>
    </w:p>
    <w:p>
      <w:pPr>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rPr>
        <w:t>b.</w:t>
      </w:r>
      <w:r>
        <w:rPr>
          <w:rFonts w:ascii="Times New Roman" w:hAnsi="Times New Roman" w:cs="Times New Roman"/>
          <w:noProof/>
          <w:sz w:val="24"/>
          <w:szCs w:val="24"/>
        </w:rPr>
        <w:tab/>
        <w:t>The following table presents an overview of the global evolution of the amounts recovered on the basis of mutual recovery assistance under the EU Directives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lang w:eastAsia="en-GB"/>
        </w:rPr>
        <w:t>, in the period 2005-2016:</w:t>
      </w:r>
    </w:p>
    <w:p>
      <w:pPr>
        <w:spacing w:before="120" w:after="120" w:line="240" w:lineRule="auto"/>
        <w:ind w:left="36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Table 3: total amounts recovered on the basis of the EU tax recovery assistance legislation:</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203200</wp:posOffset>
                </wp:positionH>
                <wp:positionV relativeFrom="paragraph">
                  <wp:posOffset>31115</wp:posOffset>
                </wp:positionV>
                <wp:extent cx="15240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14300"/>
                        </a:xfrm>
                        <a:prstGeom prst="rect">
                          <a:avLst/>
                        </a:prstGeom>
                        <a:solidFill>
                          <a:schemeClr val="accent5"/>
                        </a:solidFill>
                        <a:ln w="63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pt;margin-top:2.45pt;width:12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" fillcolor="#4bacc6 [3208]" strokecolor="#272727 [2749]" strokeweight=".5pt"/>
            </w:pict>
          </mc:Fallback>
        </mc:AlternateConten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   </w:t>
      </w:r>
      <w:r>
        <w:rPr>
          <w:rFonts w:ascii="Times New Roman" w:hAnsi="Times New Roman" w:cs="Times New Roman"/>
          <w:i/>
          <w:noProof/>
          <w:sz w:val="24"/>
          <w:szCs w:val="24"/>
        </w:rPr>
        <w:t>recovered by requested Member States at the request of other Member States (before deduction of the own costs relating to the recovery actions of the requested Member State) (in euro)</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203200</wp:posOffset>
                </wp:positionH>
                <wp:positionV relativeFrom="paragraph">
                  <wp:posOffset>42545</wp:posOffset>
                </wp:positionV>
                <wp:extent cx="1524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14300"/>
                        </a:xfrm>
                        <a:prstGeom prst="rect">
                          <a:avLst/>
                        </a:prstGeom>
                        <a:solidFill>
                          <a:srgbClr val="C00000"/>
                        </a:solidFill>
                        <a:ln w="63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6pt;margin-top:3.35pt;width:12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" fillcolor="#c00000" strokecolor="#272727 [2749]" strokeweight=".5pt"/>
            </w:pict>
          </mc:Fallback>
        </mc:AlternateConten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  </w:t>
      </w:r>
      <w:r>
        <w:rPr>
          <w:rFonts w:ascii="Times New Roman" w:hAnsi="Times New Roman" w:cs="Times New Roman"/>
          <w:i/>
          <w:noProof/>
          <w:sz w:val="24"/>
          <w:szCs w:val="24"/>
        </w:rPr>
        <w:t>recovered by applicant Member States via requests to other Member States (in euro)</w:t>
      </w:r>
    </w:p>
    <w:p>
      <w:pPr>
        <w:spacing w:before="120" w:after="120" w:line="240" w:lineRule="auto"/>
        <w:jc w:val="both"/>
        <w:rPr>
          <w:rFonts w:ascii="Times New Roman" w:hAnsi="Times New Roman" w:cs="Times New Roman"/>
          <w:i/>
          <w:noProof/>
          <w:sz w:val="24"/>
          <w:szCs w:val="24"/>
        </w:rPr>
      </w:pP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486400" cy="32004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120" w:after="120" w:line="240" w:lineRule="auto"/>
        <w:rPr>
          <w:rFonts w:ascii="Times New Roman" w:hAnsi="Times New Roman" w:cs="Times New Roman"/>
          <w:noProof/>
          <w:sz w:val="24"/>
          <w:szCs w:val="24"/>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4090"/>
        <w:gridCol w:w="3840"/>
      </w:tblGrid>
      <w:tr>
        <w:trPr>
          <w:trHeight w:val="268"/>
        </w:trPr>
        <w:tc>
          <w:tcPr>
            <w:tcW w:w="350" w:type="dxa"/>
            <w:shd w:val="clear" w:color="auto" w:fill="auto"/>
            <w:noWrap/>
            <w:vAlign w:val="bottom"/>
          </w:tcPr>
          <w:p>
            <w:pPr>
              <w:spacing w:after="0" w:line="240" w:lineRule="auto"/>
              <w:rPr>
                <w:rFonts w:ascii="Arial" w:hAnsi="Arial" w:cs="Arial"/>
                <w:noProof/>
                <w:sz w:val="20"/>
                <w:szCs w:val="20"/>
              </w:rPr>
            </w:pPr>
          </w:p>
        </w:tc>
        <w:tc>
          <w:tcPr>
            <w:tcW w:w="4090" w:type="dxa"/>
            <w:shd w:val="clear" w:color="auto" w:fill="auto"/>
            <w:noWrap/>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Recovered by requested Member States at the request of other Member States</w:t>
            </w:r>
          </w:p>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(before deduction of the own costs)</w:t>
            </w:r>
          </w:p>
        </w:tc>
        <w:tc>
          <w:tcPr>
            <w:tcW w:w="3840" w:type="dxa"/>
            <w:shd w:val="clear" w:color="auto" w:fill="auto"/>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Recovered by applicant Member States via requests to other Member States</w:t>
            </w:r>
          </w:p>
        </w:tc>
      </w:tr>
      <w:tr>
        <w:trPr>
          <w:trHeight w:val="268"/>
        </w:trPr>
        <w:tc>
          <w:tcPr>
            <w:tcW w:w="350" w:type="dxa"/>
            <w:shd w:val="clear" w:color="auto" w:fill="auto"/>
            <w:noWrap/>
            <w:vAlign w:val="bottom"/>
          </w:tcPr>
          <w:p>
            <w:pPr>
              <w:spacing w:after="0" w:line="240" w:lineRule="auto"/>
              <w:rPr>
                <w:rFonts w:ascii="Arial" w:hAnsi="Arial" w:cs="Arial"/>
                <w:noProof/>
                <w:sz w:val="20"/>
                <w:szCs w:val="20"/>
              </w:rPr>
            </w:pPr>
          </w:p>
        </w:tc>
        <w:tc>
          <w:tcPr>
            <w:tcW w:w="409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in €</w:t>
            </w:r>
          </w:p>
        </w:tc>
        <w:tc>
          <w:tcPr>
            <w:tcW w:w="384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in €</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2005</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17.027.300</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19.746.635</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2006</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33.879.553</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40.017.086</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2007</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24.953.432</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30.736.296</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2008</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32.413.847</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39.534.200</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2009</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42.345.612</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31.212.023</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2010</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44.320.323</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41.702.967</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2011</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54.031.822</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62.475.879</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2012</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30.641.451</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32.076.738</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2013</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35.580.763</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41.115.223</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2014</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42.839.876</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46.395.481</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2015</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81.402.061</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65.711.419</w:t>
            </w:r>
          </w:p>
        </w:tc>
      </w:tr>
      <w:tr>
        <w:trPr>
          <w:trHeight w:val="268"/>
        </w:trPr>
        <w:tc>
          <w:tcPr>
            <w:tcW w:w="35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2016</w:t>
            </w:r>
          </w:p>
        </w:tc>
        <w:tc>
          <w:tcPr>
            <w:tcW w:w="409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76.500.163</w:t>
            </w:r>
          </w:p>
        </w:tc>
        <w:tc>
          <w:tcPr>
            <w:tcW w:w="3840" w:type="dxa"/>
            <w:shd w:val="clear" w:color="auto" w:fill="auto"/>
            <w:noWrap/>
            <w:vAlign w:val="bottom"/>
          </w:tcPr>
          <w:p>
            <w:pPr>
              <w:spacing w:after="0" w:line="240" w:lineRule="auto"/>
              <w:jc w:val="center"/>
              <w:rPr>
                <w:rFonts w:ascii="Arial" w:hAnsi="Arial" w:cs="Arial"/>
                <w:noProof/>
                <w:sz w:val="20"/>
                <w:szCs w:val="20"/>
              </w:rPr>
            </w:pPr>
            <w:r>
              <w:rPr>
                <w:rFonts w:ascii="Arial" w:hAnsi="Arial" w:cs="Arial"/>
                <w:noProof/>
                <w:sz w:val="20"/>
                <w:szCs w:val="20"/>
              </w:rPr>
              <w:t>67.019.250</w:t>
            </w:r>
          </w:p>
        </w:tc>
      </w:tr>
    </w:tbl>
    <w:p>
      <w:pPr>
        <w:spacing w:before="120" w:after="120" w:line="240" w:lineRule="auto"/>
        <w:rPr>
          <w:rFonts w:ascii="Arial" w:hAnsi="Arial" w:cs="Arial"/>
          <w:noProof/>
          <w:sz w:val="28"/>
          <w:szCs w:val="28"/>
        </w:rPr>
      </w:pPr>
    </w:p>
    <w:p>
      <w:pPr>
        <w:spacing w:before="120" w:after="120" w:line="240" w:lineRule="auto"/>
        <w:ind w:left="360" w:hanging="360"/>
        <w:jc w:val="both"/>
        <w:rPr>
          <w:rFonts w:ascii="Times New Roman" w:hAnsi="Times New Roman" w:cs="Times New Roman"/>
          <w:i/>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Following the exceptionally high amounts of recovered claims in 2011, the decrease of the recovered amounts in 2012 can be explained – at least to some extent – by the late implementation of Directive 2010/24/EU in many Member States (see point 5) and the workload generated by the need for the competent authorities to get acquainted with the new legislation, the new procedures, the new request forms and the uniform instruments. The same reasons also caused a decrease in the recovery requests in the same year (see table 2 above). However, in 2013 and 2014 the amounts recovered were again in line with the amounts recovered in 2010, and a further increase followed in 2015 and 2016.</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In 2015, the amounts recovered on behalf of other Member States were considerably higher than the amounts received by the applicant Member States. This may be (partly</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due to the full application of Article 20(1) of Directive 2010/24/EU, which allows the requested Member States to deduct their own costs from the recovered amounts (insofar as these costs cannot be recovered from the debtors themselves) before transferring these amounts to the applicant Member State.</w:t>
      </w:r>
    </w:p>
    <w:p>
      <w:pPr>
        <w:spacing w:before="120" w:after="120" w:line="240" w:lineRule="auto"/>
        <w:jc w:val="both"/>
        <w:rPr>
          <w:rFonts w:ascii="Times New Roman" w:hAnsi="Times New Roman" w:cs="Times New Roman"/>
          <w:noProof/>
          <w:sz w:val="24"/>
          <w:szCs w:val="24"/>
        </w:rPr>
      </w:pPr>
    </w:p>
    <w:p>
      <w:pPr>
        <w:spacing w:before="120" w:after="120" w:line="240" w:lineRule="auto"/>
        <w:rPr>
          <w:rFonts w:ascii="Times New Roman" w:hAnsi="Times New Roman" w:cs="Times New Roman"/>
          <w:b/>
          <w:noProof/>
          <w:sz w:val="24"/>
          <w:szCs w:val="24"/>
        </w:rPr>
      </w:pPr>
      <w:r>
        <w:rPr>
          <w:rFonts w:ascii="Times New Roman" w:hAnsi="Times New Roman" w:cs="Times New Roman"/>
          <w:b/>
          <w:noProof/>
          <w:sz w:val="24"/>
          <w:szCs w:val="24"/>
        </w:rPr>
        <w:t>6.1.1.2. Recovery ratio</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A clear indication of the recovery ratio, showing the relation between the recovered amounts and the amounts for which recovery assistance is requested, is not possible.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previous reports to the Council and the European Parliament on the use of the former tax recovery assistance Directives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contained an estimation of the global recovery ratio. In the past, Member States indeed provided statistics indicating the link between the recovered amounts and the year in which the request concerned was made. This was important to assess the global recovery ratio, as the recovery measures taken in the execution of a request received in a certain year do not produce all their effects in the same year. The recovery ratio can indeed only be assessed over a longer period of time.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However, collecting these detailed statistics caused a high administrative burden for the Member States. Directive 2010/24/EU limited the categories of statistical information that Member States are obliged to provide, and it was agreed that the Member States should no longer provide the statistical information needed to assess the global recovery ratio.</w:t>
      </w:r>
      <w:r>
        <w:rPr>
          <w:rStyle w:val="FootnoteReference"/>
          <w:rFonts w:ascii="Times New Roman" w:hAnsi="Times New Roman" w:cs="Times New Roman"/>
          <w:noProof/>
          <w:sz w:val="24"/>
          <w:szCs w:val="24"/>
        </w:rPr>
        <w:footnoteReference w:id="17"/>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Some other elements shed some light on the real results of the recovery assistance.</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First of all, it appears that the evolution of the recovered amounts (2015-2016: x 4 since 2005) is in line with the increase of the amounts for which recovery assistance is requested (2015: x 3 since 2005; 2016: x 4 since 2005; see table 4 below):</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rPr>
        <w:t>Table 4: global evolution of the amounts for which recovery assistance was requested (in %, compared to 2005 = 100 %; based on the sent requests):</w:t>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486400" cy="2924355"/>
            <wp:effectExtent l="0" t="0" r="1905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120" w:after="120" w:line="240" w:lineRule="auto"/>
        <w:ind w:left="360" w:hanging="36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c. </w:t>
      </w:r>
      <w:r>
        <w:rPr>
          <w:rFonts w:ascii="Times New Roman" w:hAnsi="Times New Roman" w:cs="Times New Roman"/>
          <w:noProof/>
          <w:sz w:val="24"/>
          <w:szCs w:val="24"/>
          <w:lang w:eastAsia="en-GB"/>
        </w:rPr>
        <w:tab/>
        <w:t xml:space="preserve">One Member State (France) expressed the following opinion of its recovery results: </w:t>
      </w:r>
    </w:p>
    <w:p>
      <w:pPr>
        <w:spacing w:before="120" w:after="120" w:line="240" w:lineRule="auto"/>
        <w:ind w:left="36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 xml:space="preserve">"If we consider the </w:t>
      </w:r>
      <w:r>
        <w:rPr>
          <w:rFonts w:ascii="Times New Roman" w:hAnsi="Times New Roman" w:cs="Times New Roman"/>
          <w:b/>
          <w:i/>
          <w:noProof/>
          <w:sz w:val="24"/>
          <w:szCs w:val="24"/>
          <w:lang w:eastAsia="en-GB"/>
        </w:rPr>
        <w:t>number of requests</w:t>
      </w:r>
      <w:r>
        <w:rPr>
          <w:rFonts w:ascii="Times New Roman" w:hAnsi="Times New Roman" w:cs="Times New Roman"/>
          <w:i/>
          <w:noProof/>
          <w:sz w:val="24"/>
          <w:szCs w:val="24"/>
          <w:lang w:eastAsia="en-GB"/>
        </w:rPr>
        <w:t>: about 40 % of them have been followed 2 years later by payments of the debt (complete or partial payment), thanks to the assistance provided by the requested Member State.</w:t>
      </w:r>
    </w:p>
    <w:p>
      <w:pPr>
        <w:spacing w:before="120" w:after="120" w:line="240" w:lineRule="auto"/>
        <w:ind w:left="36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 xml:space="preserve">But if we consider the </w:t>
      </w:r>
      <w:r>
        <w:rPr>
          <w:rFonts w:ascii="Times New Roman" w:hAnsi="Times New Roman" w:cs="Times New Roman"/>
          <w:b/>
          <w:i/>
          <w:noProof/>
          <w:sz w:val="24"/>
          <w:szCs w:val="24"/>
          <w:lang w:eastAsia="en-GB"/>
        </w:rPr>
        <w:t>amount of the requests</w:t>
      </w:r>
      <w:r>
        <w:rPr>
          <w:rFonts w:ascii="Times New Roman" w:hAnsi="Times New Roman" w:cs="Times New Roman"/>
          <w:i/>
          <w:noProof/>
          <w:sz w:val="24"/>
          <w:szCs w:val="24"/>
          <w:lang w:eastAsia="en-GB"/>
        </w:rPr>
        <w:t>, the results are not so good. The rate of recovery is about 5 % two years later, sometimes 7 to 8 % (it may vary from year to year), because of high amounts concentrated on a small number of claims.</w:t>
      </w:r>
    </w:p>
    <w:p>
      <w:pPr>
        <w:spacing w:before="120" w:after="120" w:line="240" w:lineRule="auto"/>
        <w:ind w:left="36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The process works properly for the small amounts, generally concerning border workers. The mutual recovery assistance also has a dissuasive effect on the taxpayers' behaviour, but we are not able to appreciate it accurately.</w:t>
      </w:r>
    </w:p>
    <w:p>
      <w:pPr>
        <w:spacing w:before="120" w:after="120" w:line="240" w:lineRule="auto"/>
        <w:ind w:left="36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On the other hand, the recovery is difficult for the high amounts because of the disappearance or insolvency of the debtor, long disputes in a fraudulent context, older claims. These claims have often been assessed after a tax audit, with heavy penalties."</w:t>
      </w:r>
    </w:p>
    <w:p>
      <w:pPr>
        <w:spacing w:before="120"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French observation corresponds to the conclusions of the Belgian Court of Audit, which made a random survey of the recovery requests received and sent by the Belgian tax authorities: in general, mutual recovery assistance allows to recover the complete claim or nothing at all.</w:t>
      </w:r>
      <w:r>
        <w:rPr>
          <w:rStyle w:val="FootnoteReference"/>
          <w:rFonts w:ascii="Times New Roman" w:hAnsi="Times New Roman" w:cs="Times New Roman"/>
          <w:noProof/>
          <w:sz w:val="24"/>
          <w:szCs w:val="24"/>
          <w:lang w:eastAsia="en-GB"/>
        </w:rPr>
        <w:footnoteReference w:id="18"/>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It was further observed that these difficult cases (fraud, insolvency, etc.) also present major problems for national recovery. Therefore, it is not surprising that these cases also present difficulties for the international recovery assistance.</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e. </w:t>
      </w:r>
      <w:r>
        <w:rPr>
          <w:rFonts w:ascii="Times New Roman" w:hAnsi="Times New Roman" w:cs="Times New Roman"/>
          <w:noProof/>
          <w:sz w:val="24"/>
          <w:szCs w:val="24"/>
        </w:rPr>
        <w:tab/>
        <w:t>Moreover, it was held that very high amounts of taxes and heavy penalties could in some cases be the result of audits based on presumptions and (over)estimations which may not always correspond to the real tax eluded (in particular in situations of VAT fraud) or the real tax paying ability of the tax debtor concerned.</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f.</w:t>
      </w:r>
      <w:r>
        <w:rPr>
          <w:rFonts w:ascii="Times New Roman" w:hAnsi="Times New Roman" w:cs="Times New Roman"/>
          <w:noProof/>
          <w:sz w:val="24"/>
          <w:szCs w:val="24"/>
        </w:rPr>
        <w:tab/>
        <w:t>Although it is not possible to establish a precise recovery ratio, an approximative indication of the requested Member States' results and efforts can be induced from the statistics of the average yearly amount for which assistance requests were received in the period 2013-2016 (table 5a); the average yearly amount recovered by the requested Member State within the same period (table 5b); and the comparison between the preceding figures (table 5c):</w:t>
      </w:r>
    </w:p>
    <w:p>
      <w:pPr>
        <w:spacing w:after="120" w:line="240" w:lineRule="auto"/>
        <w:ind w:left="360"/>
        <w:rPr>
          <w:rFonts w:ascii="Times New Roman" w:hAnsi="Times New Roman" w:cs="Times New Roman"/>
          <w:i/>
          <w:noProof/>
          <w:sz w:val="24"/>
          <w:szCs w:val="24"/>
        </w:rPr>
      </w:pPr>
      <w:r>
        <w:rPr>
          <w:rFonts w:ascii="Times New Roman" w:hAnsi="Times New Roman" w:cs="Times New Roman"/>
          <w:i/>
          <w:noProof/>
          <w:sz w:val="24"/>
          <w:szCs w:val="24"/>
        </w:rPr>
        <w:t>Table 5a: average yearly amount (in €) for which recovery assistance requests were received in the period 2013-2016, as reported by the requested Member State:</w:t>
      </w:r>
    </w:p>
    <w:p>
      <w:pPr>
        <w:spacing w:after="120" w:line="240" w:lineRule="auto"/>
        <w:ind w:left="360"/>
        <w:rPr>
          <w:rFonts w:ascii="Times New Roman" w:hAnsi="Times New Roman" w:cs="Times New Roman"/>
          <w:i/>
          <w:noProof/>
          <w:sz w:val="24"/>
          <w:szCs w:val="24"/>
        </w:rPr>
      </w:pPr>
      <w:r>
        <w:rPr>
          <w:rFonts w:ascii="Times New Roman" w:hAnsi="Times New Roman" w:cs="Times New Roman"/>
          <w:i/>
          <w:noProof/>
          <w:sz w:val="24"/>
          <w:szCs w:val="24"/>
          <w:lang w:val="en-US"/>
        </w:rPr>
        <w:drawing>
          <wp:inline distT="0" distB="0" distL="0" distR="0">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rFonts w:ascii="Times New Roman" w:hAnsi="Times New Roman" w:cs="Times New Roman"/>
          <w:i/>
          <w:noProof/>
          <w:sz w:val="24"/>
          <w:szCs w:val="24"/>
        </w:rPr>
      </w:pPr>
      <w:r>
        <w:rPr>
          <w:rFonts w:ascii="Times New Roman" w:hAnsi="Times New Roman" w:cs="Times New Roman"/>
          <w:i/>
          <w:noProof/>
          <w:sz w:val="24"/>
          <w:szCs w:val="24"/>
        </w:rPr>
        <w:br w:type="page"/>
      </w:r>
    </w:p>
    <w:p>
      <w:pPr>
        <w:spacing w:after="120" w:line="240" w:lineRule="auto"/>
        <w:ind w:left="360"/>
        <w:rPr>
          <w:rFonts w:ascii="Times New Roman" w:hAnsi="Times New Roman" w:cs="Times New Roman"/>
          <w:i/>
          <w:noProof/>
          <w:sz w:val="24"/>
          <w:szCs w:val="24"/>
        </w:rPr>
      </w:pPr>
      <w:r>
        <w:rPr>
          <w:rFonts w:ascii="Times New Roman" w:hAnsi="Times New Roman" w:cs="Times New Roman"/>
          <w:i/>
          <w:noProof/>
          <w:sz w:val="24"/>
          <w:szCs w:val="24"/>
        </w:rPr>
        <w:t>Table 5b: average yearly amount (in €) recovered for other Member States, in the period 2013-2016, as reported by the requested Member State:</w:t>
      </w:r>
    </w:p>
    <w:p>
      <w:pPr>
        <w:spacing w:after="120" w:line="240" w:lineRule="auto"/>
        <w:ind w:left="360"/>
        <w:rPr>
          <w:rFonts w:ascii="Times New Roman" w:hAnsi="Times New Roman" w:cs="Times New Roman"/>
          <w:i/>
          <w:noProof/>
          <w:sz w:val="24"/>
          <w:szCs w:val="24"/>
        </w:rPr>
      </w:pPr>
      <w:r>
        <w:rPr>
          <w:rFonts w:ascii="Times New Roman" w:hAnsi="Times New Roman" w:cs="Times New Roman"/>
          <w:i/>
          <w:noProof/>
          <w:sz w:val="24"/>
          <w:szCs w:val="24"/>
          <w:lang w:val="en-US"/>
        </w:rPr>
        <w:drawing>
          <wp:inline distT="0" distB="0" distL="0" distR="0">
            <wp:extent cx="54864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after="120" w:line="240" w:lineRule="auto"/>
        <w:rPr>
          <w:rFonts w:ascii="Times New Roman" w:hAnsi="Times New Roman" w:cs="Times New Roman"/>
          <w:noProof/>
          <w:sz w:val="24"/>
          <w:szCs w:val="24"/>
        </w:rPr>
      </w:pPr>
    </w:p>
    <w:p>
      <w:pPr>
        <w:spacing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rPr>
        <w:t>Table 5c: Percentage of average yearly recovered amounts, compared to the average yearly amounts for which recovery assistance requests are received, both in the period 2013-2016, as reported by the requested Member State:</w:t>
      </w:r>
    </w:p>
    <w:p>
      <w:pPr>
        <w:spacing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lang w:val="en-US"/>
        </w:rPr>
        <w:drawing>
          <wp:inline distT="0" distB="0" distL="0" distR="0">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120" w:line="240" w:lineRule="auto"/>
        <w:rPr>
          <w:rFonts w:ascii="Times New Roman" w:hAnsi="Times New Roman" w:cs="Times New Roman"/>
          <w:noProof/>
          <w:sz w:val="24"/>
          <w:szCs w:val="24"/>
        </w:rPr>
      </w:pP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Table 5c clearly indicates that some Member States effectively recover tax claims on behalf of other Member States (Finland: 26,52 %; the Netherlands: 16,60 %; Sweden: 12,75 %; Ireland: 11,74 %), while 16 of the 28 requested Member States hardly obtain any recovery (Cyprus: 0,05 %; Romania: 0,19 %; Malta: 0,24 %; Bulgaria: 0,26 %; Latvia: 0,50 %; Slovak Republic: 0,51 %; Croatia: 0,63 %; Lithuania: 0,97 %; Hungary: 1,33 %; United Kingdom: 1,34 %; Estonia: 1,50 %; Greece: 1,76 %; Luxemburg: 1,91 %; Austria: 2,03 %; Spain: 2,12 %; Italy: 2,21 %).</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6.1.1.3. Specific factors influencing the recovered amounts</w:t>
      </w:r>
    </w:p>
    <w:p>
      <w:pPr>
        <w:spacing w:before="120" w:after="120" w:line="240" w:lineRule="auto"/>
        <w:jc w:val="both"/>
        <w:rPr>
          <w:rFonts w:ascii="Times New Roman" w:hAnsi="Times New Roman" w:cs="Times New Roman"/>
          <w:b/>
          <w:noProof/>
          <w:sz w:val="24"/>
          <w:szCs w:val="24"/>
        </w:rPr>
      </w:pPr>
    </w:p>
    <w:p>
      <w:pPr>
        <w:spacing w:before="120" w:after="120" w:line="240" w:lineRule="auto"/>
        <w:ind w:left="36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Increase of recovery assistance requests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According to Member States' responses, the high and still increasing number of requests for recovery assistance (see table 6) entails an administrative burden. </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rPr>
        <w:t>Table 6: total annual numbers of requests for recovery assistance on the basis of Directive 2010/24/EU:</w:t>
      </w:r>
    </w:p>
    <w:p>
      <w:pPr>
        <w:spacing w:before="120" w:after="120"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lang w:val="en-US"/>
        </w:rPr>
        <w:drawing>
          <wp:inline distT="0" distB="0" distL="0" distR="0">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120" w:after="120" w:line="240" w:lineRule="auto"/>
        <w:ind w:left="360"/>
        <w:jc w:val="both"/>
        <w:rPr>
          <w:rFonts w:ascii="Times New Roman" w:hAnsi="Times New Roman" w:cs="Times New Roman"/>
          <w:noProof/>
          <w:color w:val="000000"/>
          <w:sz w:val="24"/>
          <w:szCs w:val="24"/>
          <w:u w:val="single"/>
        </w:rPr>
      </w:pPr>
    </w:p>
    <w:p>
      <w:pPr>
        <w:spacing w:before="120" w:after="120" w:line="240" w:lineRule="auto"/>
        <w:ind w:left="360"/>
        <w:jc w:val="both"/>
        <w:rPr>
          <w:rFonts w:ascii="Times New Roman" w:hAnsi="Times New Roman" w:cs="Times New Roman"/>
          <w:noProof/>
          <w:color w:val="000000"/>
          <w:sz w:val="24"/>
          <w:szCs w:val="24"/>
          <w:u w:val="single"/>
        </w:rPr>
      </w:pPr>
      <w:r>
        <w:rPr>
          <w:rFonts w:ascii="Times New Roman" w:hAnsi="Times New Roman" w:cs="Times New Roman"/>
          <w:noProof/>
          <w:color w:val="000000"/>
          <w:sz w:val="24"/>
          <w:szCs w:val="24"/>
          <w:u w:val="single"/>
        </w:rPr>
        <w:t>Lack of resources and efforts for recovery assistance</w:t>
      </w:r>
    </w:p>
    <w:p>
      <w:pPr>
        <w:spacing w:before="120" w:after="120" w:line="240" w:lineRule="auto"/>
        <w:ind w:left="360" w:hanging="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b.</w:t>
      </w:r>
      <w:r>
        <w:rPr>
          <w:rFonts w:ascii="Times New Roman" w:hAnsi="Times New Roman" w:cs="Times New Roman"/>
          <w:noProof/>
          <w:color w:val="000000"/>
          <w:sz w:val="24"/>
          <w:szCs w:val="24"/>
        </w:rPr>
        <w:tab/>
        <w:t>The handling of tax recovery assistance requests thus needs sufficient human resources, just as the handling of internal recovery cases.</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color w:val="000000"/>
          <w:sz w:val="24"/>
          <w:szCs w:val="24"/>
        </w:rPr>
        <w:tab/>
      </w:r>
      <w:r>
        <w:rPr>
          <w:rFonts w:ascii="Times New Roman" w:hAnsi="Times New Roman" w:cs="Times New Roman"/>
          <w:noProof/>
          <w:sz w:val="24"/>
          <w:szCs w:val="24"/>
          <w:lang w:eastAsia="en-GB"/>
        </w:rPr>
        <w:t xml:space="preserve">In their replies to the evaluation questionnaire, 18 Member States observed that the number of requests for recovery from other Member States is very burdensome for them, and 17 Member States expressed their concerns about a lack of resources on the national level (see further under point 6.2.2.3. for an overview of the workload per Member State). </w:t>
      </w:r>
      <w:r>
        <w:rPr>
          <w:rFonts w:ascii="Times New Roman" w:hAnsi="Times New Roman" w:cs="Times New Roman"/>
          <w:noProof/>
          <w:sz w:val="24"/>
          <w:szCs w:val="24"/>
        </w:rPr>
        <w:t xml:space="preserve">Several delegates in Recovery Expert Group meetings or in Fiscalis events also expressed their concerns about the lack of human resources designated to deal with recovery requests from other Member States.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this regard, it is significant that one Member State (Malta) complained that the 1500 € threshold for requests for recovery or precautionary measures – which is imposed by the Directive in order to take account of the workload generated by such requests – is too low, although this Member State yearly received only about 22 requests for recovery (average for the reporting period 2013-2015).</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 xml:space="preserve">The very low recovery rates of several Member States (see table 5c; calculated on the basis of their own statistics) seem to indicate that their difficulties to provide recovery assistance are not only due to the problematic character of the debts and debtors, but also – at least partially – to the limitation of the efforts invested in providing tax recovery assistance. </w:t>
      </w:r>
    </w:p>
    <w:p>
      <w:pPr>
        <w:spacing w:after="120" w:line="240" w:lineRule="auto"/>
        <w:ind w:left="360" w:hanging="360"/>
        <w:jc w:val="both"/>
        <w:rPr>
          <w:rFonts w:ascii="Times New Roman" w:hAnsi="Times New Roman" w:cs="Times New Roman"/>
          <w:noProof/>
          <w:color w:val="000000"/>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The capacities to deal with assistance requests are linked to the willingness to provide recovery assistance. I</w:t>
      </w:r>
      <w:r>
        <w:rPr>
          <w:rFonts w:ascii="Times New Roman" w:hAnsi="Times New Roman" w:cs="Times New Roman"/>
          <w:noProof/>
          <w:color w:val="000000"/>
          <w:sz w:val="24"/>
          <w:szCs w:val="24"/>
        </w:rPr>
        <w:t>t seems that not all Member States spend sufficient efforts and attention to the assistance requests they receive from other Member States. In their replies to the questionnaire, 10 Member States express the feeling that cross-border recovery assistance is not a priority for tax administrations.</w:t>
      </w:r>
    </w:p>
    <w:p>
      <w:pPr>
        <w:spacing w:after="120" w:line="240" w:lineRule="auto"/>
        <w:ind w:left="360" w:hanging="360"/>
        <w:jc w:val="both"/>
        <w:rPr>
          <w:rFonts w:ascii="Times New Roman" w:hAnsi="Times New Roman" w:cs="Times New Roman"/>
          <w:noProof/>
          <w:color w:val="000000"/>
          <w:sz w:val="24"/>
          <w:szCs w:val="24"/>
          <w:u w:val="single"/>
        </w:rPr>
      </w:pPr>
      <w:r>
        <w:rPr>
          <w:rFonts w:ascii="Times New Roman" w:hAnsi="Times New Roman" w:cs="Times New Roman"/>
          <w:noProof/>
          <w:color w:val="000000"/>
          <w:sz w:val="24"/>
          <w:szCs w:val="24"/>
        </w:rPr>
        <w:tab/>
      </w:r>
      <w:r>
        <w:rPr>
          <w:rFonts w:ascii="Times New Roman" w:hAnsi="Times New Roman" w:cs="Times New Roman"/>
          <w:noProof/>
          <w:color w:val="000000"/>
          <w:sz w:val="24"/>
          <w:szCs w:val="24"/>
          <w:u w:val="single"/>
        </w:rPr>
        <w:t>Loopholes in the national means for tax recovery</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Another major concern is the availability of appropriate recovery and precautionary measures within the Member States. Articles 13 and 17 of Directive 2010/24/EU provide that the requested authority shall make use of the powers and procedures provided under the laws, regulations or administrative provisions of the requested Member State applying to claims concerning the same or a similar tax or duty. In their replies, a few Member States reported that since 2010 they have introduced legal or administrative amendments to the tax collection and recovery process, which are also relevant for mutual recovery assistance. However, it still appears that the existing powers and procedures do not always ensure an effective and efficient tax recovery, or that the rules concerned are not fit for the recovery of other Member States' claims.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 xml:space="preserve">In their replies to the questionnaire, several Member States underlined the need to improve tax recovery within the Member States. Specific concerns related to:  </w:t>
      </w:r>
    </w:p>
    <w:p>
      <w:pPr>
        <w:pStyle w:val="ListParagraph"/>
        <w:numPr>
          <w:ilvl w:val="0"/>
          <w:numId w:val="9"/>
        </w:numPr>
        <w:spacing w:before="120" w:after="120" w:line="240" w:lineRule="auto"/>
        <w:rPr>
          <w:noProof/>
        </w:rPr>
      </w:pPr>
      <w:r>
        <w:rPr>
          <w:rFonts w:ascii="Times New Roman" w:hAnsi="Times New Roman" w:cs="Times New Roman"/>
          <w:noProof/>
          <w:sz w:val="24"/>
          <w:szCs w:val="24"/>
        </w:rPr>
        <w:t>legally complex national rules (11 Member States);</w:t>
      </w:r>
      <w:r>
        <w:rPr>
          <w:noProof/>
        </w:rPr>
        <w:t xml:space="preserve"> </w:t>
      </w:r>
    </w:p>
    <w:p>
      <w:pPr>
        <w:pStyle w:val="ListParagraph"/>
        <w:numPr>
          <w:ilvl w:val="0"/>
          <w:numId w:val="9"/>
        </w:num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tax officials having no access to some national databases (8 Member States);</w:t>
      </w:r>
    </w:p>
    <w:p>
      <w:pPr>
        <w:pStyle w:val="ListParagraph"/>
        <w:numPr>
          <w:ilvl w:val="0"/>
          <w:numId w:val="9"/>
        </w:num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national requirements on notification of debtors (7 Member States). </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The following examples illustrate the concern about national tax recovery weaknesses: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in some Member States, the use of precautionary measures to guarantee recovery of a contested claim appears either not to be permitted or limited. If the tax authorities of the requested Member State do not dispose of (sufficient) precautionary measures to guarantee the recovery of their own contested claims, this implies that these Member States are simply unable to execute requests from other Member States for precautionary measures – although these are considered to be essential in the fight against fraudulent tax debtors;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one Member State observed that if it is requested to provide recovery assistance, the competent recovery agent is obliged to send a notice to the debtor, asking for the payment (irrespective of the notifications already made by the applicant Member State and the payment period already granted by the applicant Member State). Recovery measures can only be started after a (new) payment period which can go from 30 to 150 days;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following a request to seize money on a bank account, a Member State answered that it could not execute such a request unless the full details about the debtor's bank account were provided, i.e. not only IBAN (International Bank Account Number) and BIC (Bank Identifier Code) and name of the bank, but also the exact address of the local bank where this bank account was opened. Following a request for clarification by the Commission services, this Member State has indicated that it cannot guarantee that providing the IBAN and BIC code and the name of the bank is sufficient for the execution of a request to seize money on a bank account in that country;</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one Member State claims that requests for recovery should mention the name of the father of the debtor. Otherwise, the execution of the request is problematic. </w:t>
      </w:r>
    </w:p>
    <w:p>
      <w:pPr>
        <w:pStyle w:val="ListParagraph"/>
        <w:spacing w:before="120" w:after="120" w:line="240" w:lineRule="auto"/>
        <w:jc w:val="both"/>
        <w:rPr>
          <w:rFonts w:ascii="Times New Roman" w:hAnsi="Times New Roman" w:cs="Times New Roman"/>
          <w:strike/>
          <w:noProof/>
          <w:sz w:val="24"/>
          <w:szCs w:val="24"/>
        </w:rPr>
      </w:pPr>
    </w:p>
    <w:p>
      <w:pPr>
        <w:spacing w:before="120" w:after="120" w:line="240" w:lineRule="auto"/>
        <w:ind w:left="840" w:hanging="840"/>
        <w:jc w:val="both"/>
        <w:rPr>
          <w:rFonts w:ascii="Times New Roman" w:hAnsi="Times New Roman" w:cs="Times New Roman"/>
          <w:noProof/>
          <w:sz w:val="24"/>
          <w:szCs w:val="24"/>
        </w:rPr>
      </w:pPr>
      <w:r>
        <w:rPr>
          <w:rFonts w:ascii="Times New Roman" w:hAnsi="Times New Roman" w:cs="Times New Roman"/>
          <w:b/>
          <w:noProof/>
          <w:sz w:val="24"/>
          <w:szCs w:val="24"/>
        </w:rPr>
        <w:t>6.1.1.4. Other use of information provided under the Directive (unintended impact)</w:t>
      </w:r>
    </w:p>
    <w:p>
      <w:pPr>
        <w:spacing w:before="120" w:after="120" w:line="240" w:lineRule="auto"/>
        <w:jc w:val="both"/>
        <w:rPr>
          <w:rFonts w:ascii="Times New Roman" w:hAnsi="Times New Roman" w:cs="Times New Roman"/>
          <w:i/>
          <w:strike/>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Article 23(1) of the Directive states that the information communicated pursuant to this Directive may be used for the purpose of applying enforcement or precautionary measures with regard to claims covered by this Directive, but also:</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for assessment and enforcement of compulsory social security contributions;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for other purposes, in line with Article 23(3) of the Directive (i.e. if, under the legislation of the Member State providing the information, the information may be used for similar purposes).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A large majority of Member States reported that they do not use this information for other purposes.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however indicated that this information is or could be useful for other purposes: </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for risk analysis and to manage VAT refund cases (Latvia), or for income related regulations (the Netherlands);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for the recovery of non-fiscal debts. In this regard, Belgium observed that the recovery of a wide range of non-fiscal debts is entrusted to the Belgian tax authorities. Sweden observed that the Swedish Enforcement Agency handles both private and public claims regarding the same debtor, so that address information obtained under the tax recovery assistance Directive could also be useful for enforcement of private claims.</w:t>
      </w:r>
    </w:p>
    <w:p>
      <w:pPr>
        <w:spacing w:before="120" w:after="120" w:line="240" w:lineRule="auto"/>
        <w:jc w:val="both"/>
        <w:rPr>
          <w:rFonts w:ascii="Times New Roman" w:hAnsi="Times New Roman" w:cs="Times New Roman"/>
          <w:noProof/>
          <w:sz w:val="24"/>
          <w:szCs w:val="24"/>
        </w:rPr>
      </w:pPr>
    </w:p>
    <w:p>
      <w:pPr>
        <w:pStyle w:val="Heading4"/>
        <w:ind w:left="720" w:hanging="720"/>
        <w:rPr>
          <w:noProof/>
          <w:sz w:val="24"/>
          <w:szCs w:val="24"/>
        </w:rPr>
      </w:pPr>
      <w:r>
        <w:rPr>
          <w:noProof/>
          <w:sz w:val="24"/>
          <w:szCs w:val="24"/>
        </w:rPr>
        <w:t xml:space="preserve">6.1.2. </w:t>
      </w:r>
      <w:r>
        <w:rPr>
          <w:noProof/>
          <w:sz w:val="24"/>
          <w:szCs w:val="24"/>
        </w:rPr>
        <w:tab/>
        <w:t>Did the Directive help Member States to create a deterrent effect towards non-compliance?</w:t>
      </w:r>
    </w:p>
    <w:p>
      <w:pPr>
        <w:spacing w:before="120" w:after="120" w:line="240" w:lineRule="auto"/>
        <w:ind w:left="720" w:hanging="720"/>
        <w:jc w:val="both"/>
        <w:rPr>
          <w:rFonts w:ascii="Times New Roman" w:hAnsi="Times New Roman" w:cs="Times New Roman"/>
          <w:noProof/>
          <w:sz w:val="24"/>
          <w:szCs w:val="24"/>
        </w:rPr>
      </w:pPr>
    </w:p>
    <w:p>
      <w:pPr>
        <w:spacing w:before="120" w:after="120" w:line="240" w:lineRule="auto"/>
        <w:ind w:left="840" w:hanging="840"/>
        <w:jc w:val="both"/>
        <w:rPr>
          <w:rFonts w:ascii="Times New Roman" w:hAnsi="Times New Roman" w:cs="Times New Roman"/>
          <w:b/>
          <w:noProof/>
          <w:sz w:val="24"/>
          <w:szCs w:val="24"/>
        </w:rPr>
      </w:pPr>
      <w:r>
        <w:rPr>
          <w:rFonts w:ascii="Times New Roman" w:hAnsi="Times New Roman" w:cs="Times New Roman"/>
          <w:b/>
          <w:noProof/>
          <w:sz w:val="24"/>
          <w:szCs w:val="24"/>
        </w:rPr>
        <w:t>6.1.2.1. Member States' view on the 'compliance effect' created by the Directive</w:t>
      </w:r>
    </w:p>
    <w:p>
      <w:pPr>
        <w:spacing w:before="120" w:after="120" w:line="240" w:lineRule="auto"/>
        <w:ind w:left="840" w:hanging="840"/>
        <w:jc w:val="both"/>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Ten Member States consider that the existence of the recovery assistance possibilities offered by Directive 2010/24/EU also had a positive effect on the tax payment and tax compliance behaviour in their country. This opinion was also shared by the respondents to the public consultation. However, the deterrent effect of the recovery assistance Directive towards non-compliance cannot be measured exactly.</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The adoption of this Directive was commented in many tax reviews and magazines, and law firms organized seminars and sent notes to inform their clients about this new legislation. The Commission also noted that several web sites and public discussions on web forums paid attention to the adoption of Directive 2010/24/EU and raised awareness about the increasing tax recovery assistance between the Member States.</w:t>
      </w:r>
    </w:p>
    <w:p>
      <w:pPr>
        <w:pStyle w:val="NormalWeb"/>
        <w:ind w:left="360" w:hanging="360"/>
        <w:jc w:val="both"/>
        <w:rPr>
          <w:noProof/>
        </w:rPr>
      </w:pPr>
      <w:r>
        <w:rPr>
          <w:noProof/>
        </w:rPr>
        <w:t>c.</w:t>
      </w:r>
      <w:r>
        <w:rPr>
          <w:noProof/>
        </w:rPr>
        <w:tab/>
      </w:r>
      <w:r>
        <w:rPr>
          <w:noProof/>
          <w:spacing w:val="-2"/>
        </w:rPr>
        <w:t>It can be presumed that the compliance has also been influenced, at least to some extent, by the information on the growing exchange of information between tax authorities. The worldwide media attention for some bank information leaks, the actions of the EU</w:t>
      </w:r>
      <w:r>
        <w:rPr>
          <w:rStyle w:val="FootnoteReference"/>
          <w:noProof/>
          <w:spacing w:val="-2"/>
        </w:rPr>
        <w:footnoteReference w:id="20"/>
      </w:r>
      <w:r>
        <w:rPr>
          <w:noProof/>
          <w:spacing w:val="-2"/>
        </w:rPr>
        <w:t>, the OECD and the G-20 to improve the administrative cooperation between tax authorities, and the attention for voluntary disclosure schemes have contributed to tax compliance in general. It can be presumed that this also had a positive effect on the voluntary payment of taxes.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However, the response to the public consultation indicated that the awareness could – and should – be further increased by more information actions. The EU is expected to take more actions to explain the legislation on mutual tax recovery assistance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(cf.  infra, point 6.3.3.3.) and it was also suggested that the tax authorities of the Member States should publish more information about mutual tax recovery assistance on their local websites. More communication about the tools for tax recovery assistance is expected to have an indirect dissuasive effect.</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t xml:space="preserve">Finally, there is also a feeling that the existence of the recovery assistance framework does not deter fraudsters who deliberately evade their tax obligations. These debtors can hide assets outside the EU, where they cannot be retraced or seized, while these persons organise their insolvency in the EU Member States. Fraudsters effectively have time to do so, as tax authorities can only resort to tax recovery measures if taxes are not paid spontaneously. Moreover, they probably also count on weaknesses of the internal tax collection systems, which affect the mutual recovery assistance in a negative way. </w:t>
      </w:r>
    </w:p>
    <w:p>
      <w:pPr>
        <w:spacing w:before="120" w:after="120" w:line="240" w:lineRule="auto"/>
        <w:ind w:left="840" w:hanging="840"/>
        <w:jc w:val="both"/>
        <w:rPr>
          <w:rFonts w:ascii="Times New Roman" w:hAnsi="Times New Roman" w:cs="Times New Roman"/>
          <w:b/>
          <w:noProof/>
          <w:sz w:val="24"/>
          <w:szCs w:val="24"/>
        </w:rPr>
      </w:pPr>
    </w:p>
    <w:p>
      <w:pPr>
        <w:spacing w:before="120" w:after="120" w:line="240" w:lineRule="auto"/>
        <w:ind w:left="840" w:hanging="840"/>
        <w:jc w:val="both"/>
        <w:rPr>
          <w:rFonts w:ascii="Times New Roman" w:hAnsi="Times New Roman" w:cs="Times New Roman"/>
          <w:b/>
          <w:noProof/>
          <w:sz w:val="24"/>
          <w:szCs w:val="24"/>
        </w:rPr>
      </w:pPr>
      <w:r>
        <w:rPr>
          <w:rFonts w:ascii="Times New Roman" w:hAnsi="Times New Roman" w:cs="Times New Roman"/>
          <w:b/>
          <w:noProof/>
          <w:sz w:val="24"/>
          <w:szCs w:val="24"/>
        </w:rPr>
        <w:t>6.1.2.2. Exchange of best practices to improve tax compliance</w:t>
      </w:r>
    </w:p>
    <w:p>
      <w:pPr>
        <w:spacing w:before="120" w:after="120" w:line="240" w:lineRule="auto"/>
        <w:ind w:left="840" w:hanging="840"/>
        <w:jc w:val="both"/>
        <w:rPr>
          <w:rFonts w:ascii="Times New Roman" w:hAnsi="Times New Roman" w:cs="Times New Roman"/>
          <w:b/>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At several Fiscalis 2020 workshops, Member States have discussed specific questions on how to improve tax compliance. </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Examples: </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at the Fiscalis 2020 workshop in Lisbon on 27-28 October 2015, Member States reported and discussed about their experiences with regard to the use of e-services for instalment requests and about the possibilities to share information about disqualification orders, which are considered to have a deterrent effect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at the Fiscalis 2020 workshop in Brussels on 20-21 May 2017, Member States discussed best practices on the use of behavioural economics technics to increase tax compliance.</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Member States introducing new measures or practices are encouraged to inform other Member States. This information sharing has become a permanent element of Fiscalis 2020 workshops. Important ideas on how to create a deterrent effect towards non-compliance are given special attention in the newsletter that is published regularly.</w:t>
      </w:r>
      <w:r>
        <w:rPr>
          <w:rStyle w:val="FootnoteReference"/>
          <w:rFonts w:ascii="Times New Roman" w:hAnsi="Times New Roman" w:cs="Times New Roman"/>
          <w:noProof/>
          <w:sz w:val="24"/>
          <w:szCs w:val="24"/>
        </w:rPr>
        <w:footnoteReference w:id="23"/>
      </w:r>
    </w:p>
    <w:p>
      <w:pPr>
        <w:pStyle w:val="Heading2"/>
        <w:rPr>
          <w:noProof/>
        </w:rPr>
      </w:pPr>
      <w:r>
        <w:rPr>
          <w:noProof/>
        </w:rPr>
        <w:t>6.2. Did the uniform procedural tools improve the efficiency and effectiveness of recovery assistance?</w:t>
      </w:r>
    </w:p>
    <w:p>
      <w:pPr>
        <w:spacing w:before="120" w:after="12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Council Directive 2010/24/EU introduced the use of a uniform instrument permitting enforcement measures in the requested Member State (UIPE) and a uniform notification form (UNF) for notification of instruments and decisions relating to the tax claims falling within the scope of this Directive. These standardised forms are exchanged in an electronic way, with an automatic translation.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electronic communication also applies to the request forms that are used for sending – and replying to – requests for information, requests for notification, requests for precautionary measures and requests for recovery measures. These forms have also been standardised, allowing an automatic translation.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purpose was to resolve the problems of recognition and translation of instruments emanating from another Member State.</w:t>
      </w:r>
      <w:r>
        <w:rPr>
          <w:rStyle w:val="FootnoteReference"/>
          <w:rFonts w:ascii="Times New Roman" w:hAnsi="Times New Roman" w:cs="Times New Roman"/>
          <w:noProof/>
          <w:sz w:val="24"/>
          <w:szCs w:val="24"/>
        </w:rPr>
        <w:footnoteReference w:id="24"/>
      </w:r>
    </w:p>
    <w:p>
      <w:pPr>
        <w:spacing w:before="120" w:after="120" w:line="240" w:lineRule="auto"/>
        <w:ind w:left="360" w:hanging="360"/>
        <w:jc w:val="both"/>
        <w:rPr>
          <w:rFonts w:ascii="Times New Roman" w:hAnsi="Times New Roman" w:cs="Times New Roman"/>
          <w:noProof/>
          <w:color w:val="000000" w:themeColor="text1"/>
          <w:sz w:val="24"/>
          <w:szCs w:val="24"/>
        </w:rPr>
      </w:pPr>
    </w:p>
    <w:p>
      <w:pPr>
        <w:pStyle w:val="Heading4"/>
        <w:ind w:left="720" w:hanging="720"/>
        <w:rPr>
          <w:noProof/>
          <w:sz w:val="24"/>
          <w:szCs w:val="24"/>
        </w:rPr>
      </w:pPr>
      <w:r>
        <w:rPr>
          <w:noProof/>
          <w:sz w:val="24"/>
          <w:szCs w:val="24"/>
        </w:rPr>
        <w:t xml:space="preserve">6.2.1. </w:t>
      </w:r>
      <w:r>
        <w:rPr>
          <w:noProof/>
          <w:sz w:val="24"/>
          <w:szCs w:val="24"/>
        </w:rPr>
        <w:tab/>
        <w:t>Is requesting assistance easier than before? (situation of the applicant Member State)</w:t>
      </w:r>
    </w:p>
    <w:p>
      <w:pPr>
        <w:spacing w:before="120" w:after="120" w:line="240" w:lineRule="auto"/>
        <w:ind w:left="360" w:hanging="360"/>
        <w:jc w:val="both"/>
        <w:rPr>
          <w:rFonts w:ascii="Times New Roman" w:hAnsi="Times New Roman" w:cs="Times New Roman"/>
          <w:noProof/>
          <w:color w:val="000000" w:themeColor="text1"/>
          <w:sz w:val="24"/>
          <w:szCs w:val="24"/>
        </w:rPr>
      </w:pPr>
    </w:p>
    <w:p>
      <w:pPr>
        <w:spacing w:before="120" w:after="120" w:line="240" w:lineRule="auto"/>
        <w:ind w:left="360" w:hanging="36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6.2.1.1. Use of the electronic request forms by the applicant authority</w:t>
      </w:r>
    </w:p>
    <w:p>
      <w:pPr>
        <w:spacing w:before="120" w:after="120" w:line="240" w:lineRule="auto"/>
        <w:ind w:left="360" w:hanging="360"/>
        <w:jc w:val="both"/>
        <w:rPr>
          <w:rFonts w:ascii="Times New Roman" w:hAnsi="Times New Roman" w:cs="Times New Roman"/>
          <w:b/>
          <w:noProof/>
          <w:color w:val="000000" w:themeColor="text1"/>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A few Member States observed that the current e-forms are quite complex and long. This is the consequence of the Member States' choice to develop e-forms for all types of assistance requests, covering as many situations and standard information/replies as possible, in order to limit the translation needs. </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Each new release of the e-forms is discussed in advance in the Recovery Expert Group, where amendments and improvements are agreed. Moreover, for each new release, a Fiscalis 2020 workshop is organised in order to train the officials that are using the e-forms in practice. </w:t>
      </w:r>
    </w:p>
    <w:p>
      <w:pPr>
        <w:spacing w:before="120" w:after="120" w:line="240" w:lineRule="auto"/>
        <w:ind w:left="360" w:hanging="360"/>
        <w:jc w:val="both"/>
        <w:rPr>
          <w:rFonts w:ascii="Times New Roman" w:hAnsi="Times New Roman" w:cs="Times New Roman"/>
          <w:noProof/>
          <w:color w:val="000000" w:themeColor="text1"/>
          <w:sz w:val="24"/>
          <w:szCs w:val="24"/>
        </w:rPr>
      </w:pPr>
    </w:p>
    <w:p>
      <w:pPr>
        <w:spacing w:before="120" w:after="120" w:line="240" w:lineRule="auto"/>
        <w:ind w:left="360" w:hanging="360"/>
        <w:jc w:val="both"/>
        <w:rPr>
          <w:rFonts w:ascii="Times New Roman" w:hAnsi="Times New Roman" w:cs="Times New Roman"/>
          <w:noProof/>
          <w:color w:val="000000" w:themeColor="text1"/>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6.2.1.2. Effect of the adoption of the UIPE (Uniform Instrument Permitting Enforcement in the requested Member State) for the </w:t>
      </w:r>
      <w:r>
        <w:rPr>
          <w:rFonts w:ascii="Times New Roman" w:hAnsi="Times New Roman" w:cs="Times New Roman"/>
          <w:b/>
          <w:noProof/>
          <w:sz w:val="24"/>
          <w:szCs w:val="24"/>
          <w:u w:val="single"/>
        </w:rPr>
        <w:t>applicant</w:t>
      </w:r>
      <w:r>
        <w:rPr>
          <w:rFonts w:ascii="Times New Roman" w:hAnsi="Times New Roman" w:cs="Times New Roman"/>
          <w:b/>
          <w:noProof/>
          <w:sz w:val="24"/>
          <w:szCs w:val="24"/>
        </w:rPr>
        <w:t xml:space="preserve"> Member State</w:t>
      </w:r>
    </w:p>
    <w:p>
      <w:pPr>
        <w:spacing w:before="120" w:after="120" w:line="240" w:lineRule="auto"/>
        <w:jc w:val="both"/>
        <w:rPr>
          <w:rFonts w:ascii="Times New Roman" w:hAnsi="Times New Roman" w:cs="Times New Roman"/>
          <w:b/>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rPr>
        <w:tab/>
        <w:t>Almost all Member States explicitly confirm that the adoption of the UIPE had a positive impact on the work of national tax administrations, acting as applicant authority, as it made the preparation of assistance requests easier. For a large majority of Member States (21 of 28), the UIPE also makes preparation of requests for assistance less costly, although two Member States (United Kingdom and Sweden) disagree on this point (without offering further explanation).</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Almost all Member States also confirm that the UIPE form is complete (meaning that it contains sufficient information to inform the debtor and the requested authority) and that the level of detail in the UIPE form is optimal.</w:t>
      </w:r>
    </w:p>
    <w:p>
      <w:pPr>
        <w:autoSpaceDE w:val="0"/>
        <w:autoSpaceDN w:val="0"/>
        <w:adjustRightInd w:val="0"/>
        <w:spacing w:after="0" w:line="240" w:lineRule="auto"/>
        <w:ind w:left="360" w:hanging="360"/>
        <w:jc w:val="both"/>
        <w:rPr>
          <w:rFonts w:ascii="Times New Roman" w:hAnsi="Times New Roman" w:cs="Times New Roman"/>
          <w:noProof/>
          <w:color w:val="000000" w:themeColor="text1"/>
          <w:sz w:val="24"/>
          <w:szCs w:val="24"/>
        </w:rPr>
      </w:pPr>
      <w:r>
        <w:rPr>
          <w:rFonts w:ascii="Times New Roman" w:hAnsi="Times New Roman" w:cs="Times New Roman"/>
          <w:bCs/>
          <w:noProof/>
          <w:sz w:val="24"/>
          <w:szCs w:val="24"/>
        </w:rPr>
        <w:t>b.</w:t>
      </w:r>
      <w:r>
        <w:rPr>
          <w:rFonts w:ascii="Times New Roman" w:hAnsi="Times New Roman" w:cs="Times New Roman"/>
          <w:bCs/>
          <w:noProof/>
          <w:sz w:val="24"/>
          <w:szCs w:val="24"/>
        </w:rPr>
        <w:tab/>
      </w:r>
      <w:r>
        <w:rPr>
          <w:rFonts w:ascii="Times New Roman" w:hAnsi="Times New Roman" w:cs="Times New Roman"/>
          <w:noProof/>
          <w:sz w:val="24"/>
          <w:szCs w:val="24"/>
        </w:rPr>
        <w:t xml:space="preserve">For the applicant Member States, the biggest advantages of the UIPE over the old paper-based system experienced are: the absence of translation costs (25 of 28), the electronic exchange (24 of 28), the avoidance of recognition issues (17 of 28), the facilitation of the work for the requested Member State (16 of 28) and the use of pre-set fields (15 of 28). Half of the Member States (14 of 28) also consider that the UIPE is less prone to errors. One Member State (Belgium) drew the attention to some other advantages, which were not listed in the possibilities mentioned in the questionnaire: the </w:t>
      </w:r>
      <w:r>
        <w:rPr>
          <w:rFonts w:ascii="Times New Roman" w:hAnsi="Times New Roman" w:cs="Times New Roman"/>
          <w:noProof/>
          <w:color w:val="000000" w:themeColor="text1"/>
          <w:sz w:val="24"/>
          <w:szCs w:val="24"/>
        </w:rPr>
        <w:t>automatic addition of sums and conversion of currency; the fact that there are no separate attachments to be communicated, since the UIPE is integrated in the request form and automatically filled out from the request form.</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Some Member States observed that the lay-out of the request form and the UIPE could be further improved. This is indeed an on-going process since the start of the development of the electronic request forms. The latest version of the electronic request forms has been made available for use by the Member States from 1 June 2016. This new version takes account of recent Member States' suggestions to make the request forms more user-friendly.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d. </w:t>
      </w:r>
      <w:r>
        <w:rPr>
          <w:rFonts w:ascii="Times New Roman" w:hAnsi="Times New Roman" w:cs="Times New Roman"/>
          <w:noProof/>
          <w:sz w:val="24"/>
          <w:szCs w:val="24"/>
        </w:rPr>
        <w:tab/>
        <w:t>The opinions of the Member States are divided with regard to the question whether the use of the UIPE saves time. Some Member States (9 of 24 replying Member States) are of the opinion that less time is needed to prepare requests for recovery assistance under the new Directive. The other replying Member States consider that the time needed to prepare such requests is still in line with the time needed before. A number of Member States (6 Member States) did not reply to this question: one Member State could not compare with the previous situation as it only became a Member State after the entry into force of the new system (Croatia); others (Czech Republic, Denmark, Ireland, the Netherlands, Finland) considered that it was difficult to give a precise answer to this question. As observed by some other Member States (Latvia, Luxemburg, Sweden), the time needed indeed largely depends on the specific circumstances of each case: e.g. the number or the details of claims and UIPEs can be very different; there may be co-debtors, etc.</w:t>
      </w: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6.2.1.3.</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Effect of the UNF (uniform notification form) for the </w:t>
      </w:r>
      <w:r>
        <w:rPr>
          <w:rFonts w:ascii="Times New Roman" w:hAnsi="Times New Roman" w:cs="Times New Roman"/>
          <w:b/>
          <w:noProof/>
          <w:sz w:val="24"/>
          <w:szCs w:val="24"/>
          <w:u w:val="single"/>
        </w:rPr>
        <w:t>applicant</w:t>
      </w:r>
      <w:r>
        <w:rPr>
          <w:rFonts w:ascii="Times New Roman" w:hAnsi="Times New Roman" w:cs="Times New Roman"/>
          <w:b/>
          <w:noProof/>
          <w:sz w:val="24"/>
          <w:szCs w:val="24"/>
        </w:rPr>
        <w:t xml:space="preserve"> Member State</w:t>
      </w:r>
    </w:p>
    <w:p>
      <w:pPr>
        <w:spacing w:before="120" w:after="120" w:line="240" w:lineRule="auto"/>
        <w:jc w:val="both"/>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adoption of the UNF is generally considered to have a positive impact on the work of the tax authorities which request notification assistance. Most Member States are of the opinion that it makes the preparation of the request easier (22 of 28) and less costly (19 of 28) for the applicant authority. This UNF can be exchanged electronically (20 of 28) and it facilitates a smooth notification process (19 of 28). At the same time, it guarantees that the debtor is well informed (19 of 28), the UNF can be translated in all official languages without translation costs (18 of 28) and there is no need for the applicant authority to explain the purpose of the requested notification in a separate letter to the debtor.</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No disadvantages were reported.</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9 Member States reported that the average time needed for the preparation of a request for notification has been reduced, following the introduction of the UNF. These are mostly Member States who needed most time to prepare a notification request before the introduction of the UNF.</w:t>
      </w:r>
    </w:p>
    <w:p>
      <w:pPr>
        <w:spacing w:before="120" w:after="120" w:line="240" w:lineRule="auto"/>
        <w:ind w:left="360" w:hanging="360"/>
        <w:jc w:val="both"/>
        <w:rPr>
          <w:rFonts w:ascii="Times New Roman" w:hAnsi="Times New Roman" w:cs="Times New Roman"/>
          <w:noProof/>
          <w:color w:val="000000" w:themeColor="text1"/>
          <w:sz w:val="24"/>
          <w:szCs w:val="24"/>
        </w:rPr>
      </w:pPr>
    </w:p>
    <w:p>
      <w:pPr>
        <w:spacing w:before="120" w:after="120" w:line="240" w:lineRule="auto"/>
        <w:ind w:left="360" w:hanging="36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6.2.1.4. Effect of the extension of the scope on the workload</w:t>
      </w:r>
    </w:p>
    <w:p>
      <w:pPr>
        <w:spacing w:before="120" w:after="120" w:line="240" w:lineRule="auto"/>
        <w:ind w:left="360" w:hanging="360"/>
        <w:jc w:val="both"/>
        <w:rPr>
          <w:rFonts w:ascii="Times New Roman" w:hAnsi="Times New Roman" w:cs="Times New Roman"/>
          <w:b/>
          <w:noProof/>
          <w:color w:val="000000" w:themeColor="text1"/>
          <w:sz w:val="24"/>
          <w:szCs w:val="24"/>
        </w:rPr>
      </w:pPr>
    </w:p>
    <w:p>
      <w:pPr>
        <w:spacing w:before="120"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A majority of Member States reported that the broadening of the scope caused an increase of their workload as applicant Member States (16 of 27).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With regard to the effect on the complexity of the work for the applicant Member State, the Member States' opinions are divided. While some consider that the work has certainly become more complex for the applicant State (13 of 27), others have the feeling that the work has become less complex for the applicant State (8 of 27) and some Member States do not see any real difference on this point (6 of 27).</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unclear why so many Member States expressed an opposite view with regard to the question about the complexity resulting from the enlarged scope:</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these different views may be caused by differences in national factors (differences in national organisations, in the number of tax levying authorities within a Member State, and in the number of different procedures for the collection and recovery of different taxes and duties);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they may also relate to the need to use the correct mailboxes for sending assistance requests. In line with the decision of the Recovery Committee, the Commission has set up several mailboxes for the communication of assistance requests, depending on the categories of taxes for which assistance is requested. The purpose of these arrangements was to make sure that a request is directly sent to the mailbox which is managed by the requested authority which is competent to deal with that type of tax.</w:t>
      </w:r>
    </w:p>
    <w:p>
      <w:pPr>
        <w:spacing w:before="120" w:after="120" w:line="240" w:lineRule="auto"/>
        <w:ind w:left="360" w:hanging="360"/>
        <w:jc w:val="both"/>
        <w:rPr>
          <w:rFonts w:ascii="Times New Roman" w:hAnsi="Times New Roman" w:cs="Times New Roman"/>
          <w:b/>
          <w:noProof/>
          <w:color w:val="000000" w:themeColor="text1"/>
          <w:sz w:val="24"/>
          <w:szCs w:val="24"/>
          <w:u w:val="single"/>
        </w:rPr>
      </w:pPr>
    </w:p>
    <w:p>
      <w:pPr>
        <w:pStyle w:val="Heading4"/>
        <w:ind w:left="720" w:hanging="720"/>
        <w:rPr>
          <w:noProof/>
          <w:sz w:val="24"/>
          <w:szCs w:val="24"/>
        </w:rPr>
      </w:pPr>
      <w:r>
        <w:rPr>
          <w:noProof/>
          <w:sz w:val="24"/>
          <w:szCs w:val="24"/>
        </w:rPr>
        <w:t xml:space="preserve">6.2.2. </w:t>
      </w:r>
      <w:r>
        <w:rPr>
          <w:noProof/>
          <w:sz w:val="24"/>
          <w:szCs w:val="24"/>
        </w:rPr>
        <w:tab/>
      </w:r>
      <w:r>
        <w:rPr>
          <w:noProof/>
          <w:spacing w:val="-8"/>
          <w:sz w:val="24"/>
          <w:szCs w:val="24"/>
        </w:rPr>
        <w:t>Is providing assistance easier than before? (situation of the requested Member State)</w:t>
      </w: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color w:val="000000" w:themeColor="text1"/>
          <w:sz w:val="24"/>
          <w:szCs w:val="24"/>
        </w:rPr>
        <w:t>6.2.2.1.</w:t>
      </w:r>
      <w:r>
        <w:rPr>
          <w:rFonts w:ascii="Times New Roman" w:hAnsi="Times New Roman" w:cs="Times New Roman"/>
          <w:noProof/>
          <w:color w:val="000000" w:themeColor="text1"/>
          <w:sz w:val="24"/>
          <w:szCs w:val="24"/>
        </w:rPr>
        <w:t xml:space="preserve"> </w:t>
      </w:r>
      <w:r>
        <w:rPr>
          <w:rFonts w:ascii="Times New Roman" w:hAnsi="Times New Roman" w:cs="Times New Roman"/>
          <w:b/>
          <w:noProof/>
          <w:sz w:val="24"/>
          <w:szCs w:val="24"/>
        </w:rPr>
        <w:t xml:space="preserve">Effect of the UIPE (Uniform Instrument Permitting Enforcement in the requested Member State) for the </w:t>
      </w:r>
      <w:r>
        <w:rPr>
          <w:rFonts w:ascii="Times New Roman" w:hAnsi="Times New Roman" w:cs="Times New Roman"/>
          <w:b/>
          <w:noProof/>
          <w:sz w:val="24"/>
          <w:szCs w:val="24"/>
          <w:u w:val="single"/>
        </w:rPr>
        <w:t>requested</w:t>
      </w:r>
      <w:r>
        <w:rPr>
          <w:rFonts w:ascii="Times New Roman" w:hAnsi="Times New Roman" w:cs="Times New Roman"/>
          <w:b/>
          <w:noProof/>
          <w:sz w:val="24"/>
          <w:szCs w:val="24"/>
        </w:rPr>
        <w:t xml:space="preserve"> Member State</w:t>
      </w:r>
    </w:p>
    <w:p>
      <w:pPr>
        <w:spacing w:before="120" w:after="120" w:line="240" w:lineRule="auto"/>
        <w:ind w:left="360" w:hanging="360"/>
        <w:jc w:val="both"/>
        <w:rPr>
          <w:rFonts w:ascii="Times New Roman" w:hAnsi="Times New Roman" w:cs="Times New Roman"/>
          <w:noProof/>
          <w:color w:val="000000" w:themeColor="text1"/>
          <w:sz w:val="24"/>
          <w:szCs w:val="24"/>
        </w:rPr>
      </w:pPr>
    </w:p>
    <w:p>
      <w:pPr>
        <w:spacing w:before="120" w:after="120" w:line="240" w:lineRule="auto"/>
        <w:ind w:left="360" w:hanging="360"/>
        <w:jc w:val="both"/>
        <w:rPr>
          <w:rFonts w:ascii="Times New Roman" w:hAnsi="Times New Roman" w:cs="Times New Roman"/>
          <w:noProof/>
          <w:spacing w:val="-6"/>
          <w:sz w:val="24"/>
          <w:szCs w:val="24"/>
        </w:rPr>
      </w:pPr>
      <w:r>
        <w:rPr>
          <w:rFonts w:ascii="Times New Roman" w:hAnsi="Times New Roman" w:cs="Times New Roman"/>
          <w:noProof/>
          <w:color w:val="000000" w:themeColor="text1"/>
          <w:sz w:val="24"/>
          <w:szCs w:val="24"/>
        </w:rPr>
        <w:t>a.</w:t>
      </w:r>
      <w:r>
        <w:rPr>
          <w:rFonts w:ascii="Times New Roman" w:hAnsi="Times New Roman" w:cs="Times New Roman"/>
          <w:noProof/>
          <w:color w:val="000000" w:themeColor="text1"/>
          <w:sz w:val="24"/>
          <w:szCs w:val="24"/>
        </w:rPr>
        <w:tab/>
      </w:r>
      <w:r>
        <w:rPr>
          <w:rFonts w:ascii="Times New Roman" w:hAnsi="Times New Roman" w:cs="Times New Roman"/>
          <w:noProof/>
          <w:sz w:val="24"/>
          <w:szCs w:val="24"/>
        </w:rPr>
        <w:t xml:space="preserve">The Member States' reports largely confirm that the adoption of the UIPE had a positive impact on the work and the costs of the requested authorities. Almost all Member States (27 of 28) confirm that the UIPE makes processing of assistance requests from other Member States easier. In general, it is felt that the UIPE makes </w:t>
      </w:r>
      <w:r>
        <w:rPr>
          <w:rFonts w:ascii="Times New Roman" w:hAnsi="Times New Roman" w:cs="Times New Roman"/>
          <w:noProof/>
          <w:spacing w:val="-6"/>
          <w:sz w:val="24"/>
          <w:szCs w:val="24"/>
        </w:rPr>
        <w:t>processing of assistance requests from other Member States less costly, that the UIPE form is easy to read and complete, and that its level of detail is optimal.</w:t>
      </w:r>
    </w:p>
    <w:p>
      <w:pPr>
        <w:spacing w:before="120" w:after="120" w:line="240" w:lineRule="auto"/>
        <w:ind w:left="360" w:hanging="360"/>
        <w:jc w:val="both"/>
        <w:rPr>
          <w:rFonts w:ascii="Times New Roman" w:hAnsi="Times New Roman" w:cs="Times New Roman"/>
          <w:noProof/>
          <w:spacing w:val="-6"/>
          <w:sz w:val="24"/>
          <w:szCs w:val="24"/>
        </w:rPr>
      </w:pPr>
      <w:r>
        <w:rPr>
          <w:rFonts w:ascii="Times New Roman" w:hAnsi="Times New Roman" w:cs="Times New Roman"/>
          <w:noProof/>
          <w:spacing w:val="-6"/>
          <w:sz w:val="24"/>
          <w:szCs w:val="24"/>
        </w:rPr>
        <w:t>b.</w:t>
      </w:r>
      <w:r>
        <w:rPr>
          <w:rFonts w:ascii="Times New Roman" w:hAnsi="Times New Roman" w:cs="Times New Roman"/>
          <w:noProof/>
          <w:spacing w:val="-6"/>
          <w:sz w:val="24"/>
          <w:szCs w:val="24"/>
        </w:rPr>
        <w:tab/>
        <w:t>For the requested Member States, the biggest advantages of the UIPE over the old paper-based system are: the absence of translation costs (25 of 28); the avoidance of recognition issues (24 of 28); the electronic exchange (23 of 28); the facilitation of the work of the requested Member State (21 of 28), the use of pre-set fields (16 of 28) and the fact that the UIPE is less prone to errors (12 of 28).</w:t>
      </w:r>
    </w:p>
    <w:p>
      <w:pPr>
        <w:spacing w:before="120" w:after="120" w:line="240" w:lineRule="auto"/>
        <w:ind w:left="360" w:hanging="360"/>
        <w:jc w:val="both"/>
        <w:rPr>
          <w:rFonts w:ascii="Times New Roman" w:hAnsi="Times New Roman" w:cs="Times New Roman"/>
          <w:noProof/>
          <w:spacing w:val="-6"/>
          <w:sz w:val="24"/>
          <w:szCs w:val="24"/>
        </w:rPr>
      </w:pPr>
      <w:r>
        <w:rPr>
          <w:rFonts w:ascii="Times New Roman" w:hAnsi="Times New Roman" w:cs="Times New Roman"/>
          <w:noProof/>
          <w:spacing w:val="-6"/>
          <w:sz w:val="24"/>
          <w:szCs w:val="24"/>
        </w:rPr>
        <w:tab/>
        <w:t>Other advantages for the requested Member State, not listed in the evaluation questionnaire, were also reported:</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automatic addition of sums and conversion of currency (Belgium);</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no separate attachments to be communicated, since the UIPE is integrated in the request form and automatically filled out from the request form (Belgium);</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with the UIPE, the execution of a request for assistance can start quickly (Sweden).</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From their position as requested Member States, some Member States have made suggestions to further improve the lay-out of the UIPE, in particular in its printed form. Some suggestions have been taken into account in the 2016 revision of the e-forms. Other suggestions should be taken into account in a further stage of development of the e-forms.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any case, it is at the request of the Member States that the request form for recovery measures and the UIPE were developed in such a way that they can comprise many claims relating to all possible types of taxes and duties. This inevitably leads to a certain complexity.</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d. </w:t>
      </w:r>
      <w:r>
        <w:rPr>
          <w:rFonts w:ascii="Times New Roman" w:hAnsi="Times New Roman" w:cs="Times New Roman"/>
          <w:noProof/>
          <w:sz w:val="24"/>
          <w:szCs w:val="24"/>
        </w:rPr>
        <w:tab/>
        <w:t>It appears that a number of debtors still ask for the initial instrument permitting enforcement in the applicant Member State, as they hold that the UIPE does not contain sufficient details for making an appeal against the claim.</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should however be reminded that the UIPE is the legal basis for the recovery measures to be taken by the requested Member State. In principle, such a request for recovery assistance can only be sent after the enforcement measures of the applicant Member State. In this preceding stage, the applicant Member State should already have notified its initial instrument permitting enforcement, in accordance with its national law.</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Insofar as the applicant Member State cannot notify itself to debtors in other Member States, it can request assistance for the notification of any relevant documents. The availability of notification assistance, implying the use of a uniform notification form (and possibly of an accompanying note to the addressee; see point 6.3.3.2.c.), serves this purpose.</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As the UIPE is not the first document informing the debtors about the claim, it could not be accepted that the persons concerned just ignore the initial notification.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Furthermore, both the UNF and the UIPE contain fields allowing a clear indication of the authorities responsible and the authorities in the applicant Member State where further information about the claim and the contestation possibilities can be obtained if needed. It is up to the applicant Member States to make sure that these contact details are effectively made available to the addressees.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t>Eventually, it seems that the introduction of the UIPE did not have a significant impact on the average time that national administrations need to start the execution of a request for assistance. Six Member States reported a reduction of this time.</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f.</w:t>
      </w:r>
      <w:r>
        <w:rPr>
          <w:rFonts w:ascii="Times New Roman" w:hAnsi="Times New Roman" w:cs="Times New Roman"/>
          <w:noProof/>
          <w:sz w:val="24"/>
          <w:szCs w:val="24"/>
        </w:rPr>
        <w:tab/>
        <w:t>With regard to the overall time needed for the execution of a request for recovery assistance, the 2014 report of the Belgian Court of Audit made a quantitive evaluation of the impact of the new arrangements. It appears from this report that, before the introduction of the UIPE, incoming requests for recovery assistance were executed by the Belgian tax authorities within 441 days (on average); while incoming requests received since the implementation of the UIPE were executed within 85 days (on average).</w:t>
      </w:r>
      <w:r>
        <w:rPr>
          <w:rStyle w:val="FootnoteReference"/>
          <w:rFonts w:ascii="Times New Roman" w:hAnsi="Times New Roman" w:cs="Times New Roman"/>
          <w:noProof/>
          <w:sz w:val="24"/>
          <w:szCs w:val="24"/>
        </w:rPr>
        <w:footnoteReference w:id="26"/>
      </w: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6.2.2.2.</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Effect of the adoption of the UNF (Uniform Notification Form) for the </w:t>
      </w:r>
      <w:r>
        <w:rPr>
          <w:rFonts w:ascii="Times New Roman" w:hAnsi="Times New Roman" w:cs="Times New Roman"/>
          <w:b/>
          <w:noProof/>
          <w:sz w:val="24"/>
          <w:szCs w:val="24"/>
          <w:u w:val="single"/>
        </w:rPr>
        <w:t>requested</w:t>
      </w:r>
      <w:r>
        <w:rPr>
          <w:rFonts w:ascii="Times New Roman" w:hAnsi="Times New Roman" w:cs="Times New Roman"/>
          <w:b/>
          <w:noProof/>
          <w:sz w:val="24"/>
          <w:szCs w:val="24"/>
        </w:rPr>
        <w:t xml:space="preserve"> Member State</w:t>
      </w:r>
    </w:p>
    <w:p>
      <w:pPr>
        <w:spacing w:before="120" w:after="120" w:line="240" w:lineRule="auto"/>
        <w:jc w:val="both"/>
        <w:rPr>
          <w:rFonts w:ascii="Times New Roman" w:hAnsi="Times New Roman" w:cs="Times New Roman"/>
          <w:b/>
          <w:noProof/>
          <w:sz w:val="24"/>
          <w:szCs w:val="24"/>
          <w:u w:val="single"/>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A majority of Member States reported that the UNF makes processing of requests for notification coming from other Member States easier (21 of 28). The adoption of the UNF makes it now less costly to execute a notification process (18 of 28). The electronic communication is considered to be a big advantage (24 of 28), as well as the absence of translation costs (21 of 28). Moreover, it saves time to process the request (19 of 28), and the current system is less prone to errors (15 of 28).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No inconveniences were reported.</w:t>
      </w: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6.2.2.3. Workload to handle incoming requests for assistance</w:t>
      </w:r>
    </w:p>
    <w:p>
      <w:pPr>
        <w:spacing w:before="120" w:after="120" w:line="240" w:lineRule="auto"/>
        <w:jc w:val="both"/>
        <w:rPr>
          <w:rFonts w:ascii="Times New Roman" w:hAnsi="Times New Roman" w:cs="Times New Roman"/>
          <w:i/>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rPr>
        <w:tab/>
        <w:t>It has already been mentioned that a majority of Member States experience problems with the workload related to the execution of assistance requests, in particular requests for recovery measures (see point 6.1.1.3.). The administrative burden experienced by the requested Member States was different from Member State to Member State. This workload of course depends on the number of tax officials available for handling assistance requests (at the level of the Central Liaison Office and at local level), on the number of requests received by each Member State and on the complexity of the cases for which assistance is requested.</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In 15 Member States (Austria, Belgium, Germany, Greece, France, Hungary, Italy, Lithuania, Luxemburg, the Netherlands, Poland, Romania, Spain, Sweden and United Kingdom), 5 or more</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FTE (full time equivalent) were dealing at CLO (Central Liaison Office) level with tax recovery assistance for other Member States. In the other Member States, the numbers varied between 0,5 FTE and 3, 5 FTE (0,5 FTE in Estonia and Malta; 1,5 FTE in Denmark, Ireland, Latvia and Slovenia; 2,5 FTE in Portugal and Slovak Republic; 3,5 FTE in Bulgaria, Czech Republic, Cyprus and Finland).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With regard to the </w:t>
      </w:r>
      <w:r>
        <w:rPr>
          <w:rFonts w:ascii="Times New Roman" w:hAnsi="Times New Roman" w:cs="Times New Roman"/>
          <w:noProof/>
          <w:sz w:val="24"/>
          <w:szCs w:val="24"/>
          <w:u w:val="single"/>
        </w:rPr>
        <w:t>incoming requests for information</w:t>
      </w:r>
      <w:r>
        <w:rPr>
          <w:rFonts w:ascii="Times New Roman" w:hAnsi="Times New Roman" w:cs="Times New Roman"/>
          <w:noProof/>
          <w:sz w:val="24"/>
          <w:szCs w:val="24"/>
        </w:rPr>
        <w:t xml:space="preserve">, the opinions on the administrative burden related to these requests are divided: 11 of 27 consider this is burdensome or somewhat burdensome, while the same number (11 of 27) consider that it is not (very) burdensome.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i/>
          <w:noProof/>
          <w:sz w:val="24"/>
          <w:szCs w:val="24"/>
        </w:rPr>
        <w:t>Table 7: statistical information from the Member States about the number of incoming requests for information (2010  – 2016)</w:t>
      </w:r>
      <w:r>
        <w:rPr>
          <w:rFonts w:ascii="Times New Roman" w:hAnsi="Times New Roman" w:cs="Times New Roman"/>
          <w:noProof/>
          <w:sz w:val="24"/>
          <w:szCs w:val="24"/>
        </w:rPr>
        <w:t xml:space="preserve">: </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262255</wp:posOffset>
                </wp:positionH>
                <wp:positionV relativeFrom="paragraph">
                  <wp:posOffset>-4445</wp:posOffset>
                </wp:positionV>
                <wp:extent cx="304800" cy="180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04800" cy="180975"/>
                        </a:xfrm>
                        <a:prstGeom prst="rect">
                          <a:avLst/>
                        </a:prstGeom>
                        <a:solidFill>
                          <a:srgbClr val="FF2F2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0.65pt;margin-top:-.35pt;width:24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" fillcolor="#ff2f2f" strokecolor="black [3213]"/>
            </w:pict>
          </mc:Fallback>
        </mc:AlternateContent>
      </w:r>
      <w:r>
        <w:rPr>
          <w:rFonts w:ascii="Times New Roman" w:hAnsi="Times New Roman" w:cs="Times New Roman"/>
          <w:noProof/>
          <w:sz w:val="24"/>
          <w:szCs w:val="24"/>
        </w:rPr>
        <w:t xml:space="preserve">           </w:t>
      </w:r>
      <w:r>
        <w:rPr>
          <w:rFonts w:ascii="Times New Roman" w:hAnsi="Times New Roman" w:cs="Times New Roman"/>
          <w:i/>
          <w:noProof/>
          <w:sz w:val="24"/>
          <w:szCs w:val="24"/>
        </w:rPr>
        <w:t>Member State considering this number burdensome</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262255</wp:posOffset>
                </wp:positionH>
                <wp:positionV relativeFrom="paragraph">
                  <wp:posOffset>-4445</wp:posOffset>
                </wp:positionV>
                <wp:extent cx="304800" cy="18097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304800" cy="180975"/>
                        </a:xfrm>
                        <a:prstGeom prst="rect">
                          <a:avLst/>
                        </a:prstGeom>
                        <a:solidFill>
                          <a:srgbClr val="FFAC3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4" o:spid="_x0000_s1026" style="position:absolute;margin-left:20.65pt;margin-top:-.35pt;width:24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" fillcolor="#ffac33" strokecolor="black [3213]"/>
            </w:pict>
          </mc:Fallback>
        </mc:AlternateContent>
      </w:r>
      <w:r>
        <w:rPr>
          <w:rFonts w:ascii="Times New Roman" w:hAnsi="Times New Roman" w:cs="Times New Roman"/>
          <w:i/>
          <w:noProof/>
          <w:sz w:val="24"/>
          <w:szCs w:val="24"/>
        </w:rPr>
        <w:t xml:space="preserve">           Member State considering this number somewhat burdensome</w:t>
      </w:r>
    </w:p>
    <w:tbl>
      <w:tblPr>
        <w:tblW w:w="7680" w:type="dxa"/>
        <w:jc w:val="center"/>
        <w:tblInd w:w="93" w:type="dxa"/>
        <w:tblLook w:val="04A0" w:firstRow="1" w:lastRow="0" w:firstColumn="1" w:lastColumn="0" w:noHBand="0" w:noVBand="1"/>
      </w:tblPr>
      <w:tblGrid>
        <w:gridCol w:w="960"/>
        <w:gridCol w:w="960"/>
        <w:gridCol w:w="960"/>
        <w:gridCol w:w="960"/>
        <w:gridCol w:w="960"/>
        <w:gridCol w:w="960"/>
        <w:gridCol w:w="960"/>
        <w:gridCol w:w="960"/>
      </w:tblGrid>
      <w:tr>
        <w:trPr>
          <w:trHeight w:val="289"/>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single" w:sz="4" w:space="0" w:color="auto"/>
              <w:left w:val="nil"/>
              <w:bottom w:val="single" w:sz="4" w:space="0" w:color="auto"/>
              <w:right w:val="single" w:sz="4" w:space="0" w:color="auto"/>
            </w:tcBorders>
            <w:shd w:val="clear" w:color="000000" w:fill="E4DFEC"/>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2010</w:t>
            </w:r>
          </w:p>
        </w:tc>
        <w:tc>
          <w:tcPr>
            <w:tcW w:w="960" w:type="dxa"/>
            <w:tcBorders>
              <w:top w:val="single" w:sz="4" w:space="0" w:color="auto"/>
              <w:left w:val="nil"/>
              <w:bottom w:val="single" w:sz="4" w:space="0" w:color="auto"/>
              <w:right w:val="single" w:sz="4" w:space="0" w:color="auto"/>
            </w:tcBorders>
            <w:shd w:val="clear" w:color="000000" w:fill="E4DFEC"/>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2011</w:t>
            </w:r>
          </w:p>
        </w:tc>
        <w:tc>
          <w:tcPr>
            <w:tcW w:w="960" w:type="dxa"/>
            <w:tcBorders>
              <w:top w:val="single" w:sz="4" w:space="0" w:color="auto"/>
              <w:left w:val="nil"/>
              <w:bottom w:val="single" w:sz="4" w:space="0" w:color="auto"/>
              <w:right w:val="single" w:sz="4" w:space="0" w:color="auto"/>
            </w:tcBorders>
            <w:shd w:val="clear" w:color="000000" w:fill="E4DFEC"/>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2012</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2013</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2014</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2015</w:t>
            </w:r>
          </w:p>
        </w:tc>
        <w:tc>
          <w:tcPr>
            <w:tcW w:w="960" w:type="dxa"/>
            <w:tcBorders>
              <w:top w:val="single" w:sz="4" w:space="0" w:color="auto"/>
              <w:left w:val="nil"/>
              <w:bottom w:val="single" w:sz="4" w:space="0" w:color="auto"/>
              <w:right w:val="single" w:sz="4" w:space="0" w:color="auto"/>
            </w:tcBorders>
            <w:shd w:val="clear" w:color="000000" w:fill="D9D9D9"/>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2016</w:t>
            </w:r>
          </w:p>
        </w:tc>
      </w:tr>
      <w:tr>
        <w:trPr>
          <w:trHeight w:val="289"/>
          <w:jc w:val="center"/>
        </w:trPr>
        <w:tc>
          <w:tcPr>
            <w:tcW w:w="960" w:type="dxa"/>
            <w:tcBorders>
              <w:top w:val="single" w:sz="4" w:space="0" w:color="auto"/>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BE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496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505</w:t>
            </w:r>
          </w:p>
        </w:tc>
      </w:tr>
      <w:tr>
        <w:trPr>
          <w:trHeight w:val="289"/>
          <w:jc w:val="center"/>
        </w:trPr>
        <w:tc>
          <w:tcPr>
            <w:tcW w:w="960" w:type="dxa"/>
            <w:tcBorders>
              <w:top w:val="single" w:sz="4" w:space="0" w:color="969696"/>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BG</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464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300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364</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CZ</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99</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166</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DK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81</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DE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1283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1982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1899</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EE</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41</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43</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53</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IE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138</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224</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105</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156</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491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404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450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600</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FR</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987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1190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1276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1567</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HR</w:t>
            </w:r>
          </w:p>
        </w:tc>
        <w:tc>
          <w:tcPr>
            <w:tcW w:w="960" w:type="dxa"/>
            <w:tcBorders>
              <w:top w:val="nil"/>
              <w:left w:val="nil"/>
              <w:bottom w:val="single" w:sz="4" w:space="0" w:color="auto"/>
              <w:right w:val="single" w:sz="4" w:space="0" w:color="auto"/>
            </w:tcBorders>
            <w:shd w:val="clear" w:color="000000"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auto"/>
              <w:right w:val="single" w:sz="4" w:space="0" w:color="auto"/>
            </w:tcBorders>
            <w:shd w:val="clear" w:color="000000"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auto"/>
              <w:right w:val="single" w:sz="4" w:space="0" w:color="auto"/>
            </w:tcBorders>
            <w:shd w:val="clear" w:color="000000"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109</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IT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389</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544</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CY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86</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LV</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97</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129</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LU</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275</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HU</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461</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MT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NL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625</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773</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AT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261</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891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778</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830</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PT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328</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RO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534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571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861</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SI</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84</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133</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FI</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311</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186</w:t>
            </w:r>
          </w:p>
        </w:tc>
      </w:tr>
      <w:tr>
        <w:trPr>
          <w:trHeight w:val="300"/>
          <w:jc w:val="center"/>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UK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374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1714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2511</w:t>
            </w:r>
          </w:p>
        </w:tc>
      </w:tr>
    </w:tbl>
    <w:p>
      <w:pPr>
        <w:spacing w:before="120" w:after="120" w:line="240" w:lineRule="auto"/>
        <w:jc w:val="both"/>
        <w:rPr>
          <w:rFonts w:ascii="Times New Roman" w:hAnsi="Times New Roman" w:cs="Times New Roman"/>
          <w:i/>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d. </w:t>
      </w:r>
      <w:r>
        <w:rPr>
          <w:rFonts w:ascii="Times New Roman" w:hAnsi="Times New Roman" w:cs="Times New Roman"/>
          <w:noProof/>
          <w:sz w:val="24"/>
          <w:szCs w:val="24"/>
        </w:rPr>
        <w:tab/>
        <w:t xml:space="preserve">With regard to the </w:t>
      </w:r>
      <w:r>
        <w:rPr>
          <w:rFonts w:ascii="Times New Roman" w:hAnsi="Times New Roman" w:cs="Times New Roman"/>
          <w:noProof/>
          <w:sz w:val="24"/>
          <w:szCs w:val="24"/>
          <w:u w:val="single"/>
        </w:rPr>
        <w:t>incoming requests for notification</w:t>
      </w:r>
      <w:r>
        <w:rPr>
          <w:rFonts w:ascii="Times New Roman" w:hAnsi="Times New Roman" w:cs="Times New Roman"/>
          <w:noProof/>
          <w:sz w:val="24"/>
          <w:szCs w:val="24"/>
        </w:rPr>
        <w:t xml:space="preserve">, a minority of Member States stated that the number of incoming requests made it burdensome or somewhat burdensome for their administration to comply.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statistics on the incoming notification requests show that the feelings on this point do not always coincide with the actual number of requests received (see table 8 below). Cyprus reported that the number of incoming requests for notification is burdensome for its administration, although the number of such incoming requests is relatively low. Malta and Sweden reported that these incoming requests make it somewhat burdensome for their administration to comply, although they also receive a relatively low number of such requests.</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i/>
          <w:noProof/>
          <w:sz w:val="24"/>
          <w:szCs w:val="24"/>
        </w:rPr>
        <w:t>Table 8: statistical information from the Member States about the number of incoming requests for notification (2010 – 2016)</w:t>
      </w:r>
      <w:r>
        <w:rPr>
          <w:rFonts w:ascii="Times New Roman" w:hAnsi="Times New Roman" w:cs="Times New Roman"/>
          <w:noProof/>
          <w:sz w:val="24"/>
          <w:szCs w:val="24"/>
        </w:rPr>
        <w:t xml:space="preserve">: </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262255</wp:posOffset>
                </wp:positionH>
                <wp:positionV relativeFrom="paragraph">
                  <wp:posOffset>-4445</wp:posOffset>
                </wp:positionV>
                <wp:extent cx="304800" cy="18097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304800" cy="180975"/>
                        </a:xfrm>
                        <a:prstGeom prst="rect">
                          <a:avLst/>
                        </a:prstGeom>
                        <a:solidFill>
                          <a:srgbClr val="FF2F2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5" o:spid="_x0000_s1026" style="position:absolute;margin-left:20.65pt;margin-top:-.35pt;width:24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" fillcolor="#ff2f2f" strokecolor="black [3213]"/>
            </w:pict>
          </mc:Fallback>
        </mc:AlternateContent>
      </w:r>
      <w:r>
        <w:rPr>
          <w:rFonts w:ascii="Times New Roman" w:hAnsi="Times New Roman" w:cs="Times New Roman"/>
          <w:noProof/>
          <w:sz w:val="24"/>
          <w:szCs w:val="24"/>
        </w:rPr>
        <w:t xml:space="preserve">           </w:t>
      </w:r>
      <w:r>
        <w:rPr>
          <w:rFonts w:ascii="Times New Roman" w:hAnsi="Times New Roman" w:cs="Times New Roman"/>
          <w:i/>
          <w:noProof/>
          <w:sz w:val="24"/>
          <w:szCs w:val="24"/>
        </w:rPr>
        <w:t>Member State considering this number burdensome</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262255</wp:posOffset>
                </wp:positionH>
                <wp:positionV relativeFrom="paragraph">
                  <wp:posOffset>-4445</wp:posOffset>
                </wp:positionV>
                <wp:extent cx="304800" cy="18097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304800" cy="180975"/>
                        </a:xfrm>
                        <a:prstGeom prst="rect">
                          <a:avLst/>
                        </a:prstGeom>
                        <a:solidFill>
                          <a:srgbClr val="FFAC3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6" o:spid="_x0000_s1026" style="position:absolute;margin-left:20.65pt;margin-top:-.35pt;width:24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" fillcolor="#ffac33" strokecolor="black [3213]"/>
            </w:pict>
          </mc:Fallback>
        </mc:AlternateContent>
      </w:r>
      <w:r>
        <w:rPr>
          <w:rFonts w:ascii="Times New Roman" w:hAnsi="Times New Roman" w:cs="Times New Roman"/>
          <w:i/>
          <w:noProof/>
          <w:sz w:val="24"/>
          <w:szCs w:val="24"/>
        </w:rPr>
        <w:t xml:space="preserve">           Member State considering this number somewhat burdensome</w:t>
      </w:r>
    </w:p>
    <w:p>
      <w:pPr>
        <w:spacing w:before="120" w:after="120" w:line="240" w:lineRule="auto"/>
        <w:ind w:left="360"/>
        <w:jc w:val="both"/>
        <w:rPr>
          <w:rFonts w:ascii="Times New Roman" w:hAnsi="Times New Roman" w:cs="Times New Roman"/>
          <w:noProof/>
          <w:sz w:val="24"/>
          <w:szCs w:val="24"/>
        </w:rPr>
      </w:pPr>
    </w:p>
    <w:tbl>
      <w:tblPr>
        <w:tblW w:w="7480" w:type="dxa"/>
        <w:jc w:val="center"/>
        <w:tblInd w:w="93" w:type="dxa"/>
        <w:tblLook w:val="04A0" w:firstRow="1" w:lastRow="0" w:firstColumn="1" w:lastColumn="0" w:noHBand="0" w:noVBand="1"/>
      </w:tblPr>
      <w:tblGrid>
        <w:gridCol w:w="760"/>
        <w:gridCol w:w="960"/>
        <w:gridCol w:w="960"/>
        <w:gridCol w:w="960"/>
        <w:gridCol w:w="960"/>
        <w:gridCol w:w="960"/>
        <w:gridCol w:w="960"/>
        <w:gridCol w:w="960"/>
      </w:tblGrid>
      <w:tr>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single" w:sz="4" w:space="0" w:color="auto"/>
              <w:left w:val="nil"/>
              <w:bottom w:val="single" w:sz="4" w:space="0" w:color="auto"/>
              <w:right w:val="single" w:sz="4" w:space="0" w:color="auto"/>
            </w:tcBorders>
            <w:shd w:val="clear" w:color="000000" w:fill="E4DFEC"/>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2010</w:t>
            </w:r>
          </w:p>
        </w:tc>
        <w:tc>
          <w:tcPr>
            <w:tcW w:w="960" w:type="dxa"/>
            <w:tcBorders>
              <w:top w:val="single" w:sz="4" w:space="0" w:color="auto"/>
              <w:left w:val="nil"/>
              <w:bottom w:val="single" w:sz="4" w:space="0" w:color="auto"/>
              <w:right w:val="single" w:sz="4" w:space="0" w:color="auto"/>
            </w:tcBorders>
            <w:shd w:val="clear" w:color="000000" w:fill="E4DFEC"/>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2011</w:t>
            </w:r>
          </w:p>
        </w:tc>
        <w:tc>
          <w:tcPr>
            <w:tcW w:w="960" w:type="dxa"/>
            <w:tcBorders>
              <w:top w:val="single" w:sz="4" w:space="0" w:color="auto"/>
              <w:left w:val="nil"/>
              <w:bottom w:val="single" w:sz="4" w:space="0" w:color="auto"/>
              <w:right w:val="single" w:sz="4" w:space="0" w:color="auto"/>
            </w:tcBorders>
            <w:shd w:val="clear" w:color="000000" w:fill="E4DFEC"/>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2015</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2016</w:t>
            </w:r>
          </w:p>
        </w:tc>
      </w:tr>
      <w:tr>
        <w:trPr>
          <w:trHeight w:val="289"/>
          <w:jc w:val="center"/>
        </w:trPr>
        <w:tc>
          <w:tcPr>
            <w:tcW w:w="760" w:type="dxa"/>
            <w:tcBorders>
              <w:top w:val="single" w:sz="4" w:space="0" w:color="auto"/>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BE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94</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BG</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67</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CZ</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DK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DE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249</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w:t>
            </w:r>
            <w:r>
              <w:rPr>
                <w:rFonts w:ascii="Arial" w:hAnsi="Arial" w:cs="Arial"/>
                <w:b/>
                <w:noProof/>
                <w:sz w:val="20"/>
                <w:szCs w:val="20"/>
              </w:rPr>
              <w:t>E</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IE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46</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120</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FR</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60</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HR</w:t>
            </w:r>
          </w:p>
        </w:tc>
        <w:tc>
          <w:tcPr>
            <w:tcW w:w="960" w:type="dxa"/>
            <w:tcBorders>
              <w:top w:val="nil"/>
              <w:left w:val="nil"/>
              <w:bottom w:val="single" w:sz="4" w:space="0" w:color="auto"/>
              <w:right w:val="single" w:sz="4" w:space="0" w:color="auto"/>
            </w:tcBorders>
            <w:shd w:val="clear" w:color="000000"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auto"/>
              <w:right w:val="single" w:sz="4" w:space="0" w:color="auto"/>
            </w:tcBorders>
            <w:shd w:val="clear" w:color="000000"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auto"/>
              <w:right w:val="single" w:sz="4" w:space="0" w:color="auto"/>
            </w:tcBorders>
            <w:shd w:val="clear" w:color="000000"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IT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100</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CY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LV</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51</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45</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43</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LU</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70</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HU</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129</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113</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MT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NL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w:t>
            </w:r>
          </w:p>
        </w:tc>
      </w:tr>
      <w:tr>
        <w:trPr>
          <w:trHeight w:val="289"/>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AT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53</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57</w:t>
            </w:r>
          </w:p>
        </w:tc>
      </w:tr>
      <w:tr>
        <w:trPr>
          <w:trHeight w:val="300"/>
          <w:jc w:val="center"/>
        </w:trPr>
        <w:tc>
          <w:tcPr>
            <w:tcW w:w="760" w:type="dxa"/>
            <w:tcBorders>
              <w:top w:val="single" w:sz="4" w:space="0" w:color="969696"/>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302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595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301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280</w:t>
            </w:r>
          </w:p>
        </w:tc>
      </w:tr>
      <w:tr>
        <w:trPr>
          <w:trHeight w:val="300"/>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PT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r>
      <w:tr>
        <w:trPr>
          <w:trHeight w:val="300"/>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RO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w:t>
            </w:r>
          </w:p>
        </w:tc>
      </w:tr>
      <w:tr>
        <w:trPr>
          <w:trHeight w:val="300"/>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SI</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r>
      <w:tr>
        <w:trPr>
          <w:trHeight w:val="300"/>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35</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r>
      <w:tr>
        <w:trPr>
          <w:trHeight w:val="300"/>
          <w:jc w:val="center"/>
        </w:trPr>
        <w:tc>
          <w:tcPr>
            <w:tcW w:w="760" w:type="dxa"/>
            <w:tcBorders>
              <w:top w:val="single" w:sz="4" w:space="0" w:color="969696"/>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FI</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r>
      <w:tr>
        <w:trPr>
          <w:trHeight w:val="300"/>
          <w:jc w:val="center"/>
        </w:trPr>
        <w:tc>
          <w:tcPr>
            <w:tcW w:w="760" w:type="dxa"/>
            <w:tcBorders>
              <w:top w:val="single" w:sz="4" w:space="0" w:color="969696"/>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w:t>
            </w:r>
          </w:p>
        </w:tc>
      </w:tr>
      <w:tr>
        <w:trPr>
          <w:trHeight w:val="300"/>
          <w:jc w:val="center"/>
        </w:trPr>
        <w:tc>
          <w:tcPr>
            <w:tcW w:w="760" w:type="dxa"/>
            <w:tcBorders>
              <w:top w:val="single" w:sz="4" w:space="0" w:color="969696"/>
              <w:left w:val="single" w:sz="4" w:space="0" w:color="auto"/>
              <w:bottom w:val="single" w:sz="4" w:space="0" w:color="auto"/>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UK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439</w:t>
            </w:r>
          </w:p>
        </w:tc>
        <w:tc>
          <w:tcPr>
            <w:tcW w:w="960" w:type="dxa"/>
            <w:tcBorders>
              <w:top w:val="single" w:sz="4" w:space="0" w:color="auto"/>
              <w:left w:val="single" w:sz="4" w:space="0" w:color="auto"/>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518</w:t>
            </w:r>
          </w:p>
        </w:tc>
      </w:tr>
    </w:tbl>
    <w:p>
      <w:pPr>
        <w:spacing w:before="120" w:after="120" w:line="240" w:lineRule="auto"/>
        <w:jc w:val="both"/>
        <w:rPr>
          <w:rFonts w:ascii="Times New Roman" w:hAnsi="Times New Roman" w:cs="Times New Roman"/>
          <w:i/>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e. </w:t>
      </w:r>
      <w:r>
        <w:rPr>
          <w:rFonts w:ascii="Times New Roman" w:hAnsi="Times New Roman" w:cs="Times New Roman"/>
          <w:noProof/>
          <w:sz w:val="24"/>
          <w:szCs w:val="24"/>
        </w:rPr>
        <w:tab/>
        <w:t xml:space="preserve">With regard to the number of </w:t>
      </w:r>
      <w:r>
        <w:rPr>
          <w:rFonts w:ascii="Times New Roman" w:hAnsi="Times New Roman" w:cs="Times New Roman"/>
          <w:noProof/>
          <w:sz w:val="24"/>
          <w:szCs w:val="24"/>
          <w:u w:val="single"/>
        </w:rPr>
        <w:t>incoming requests for precautionary measures</w:t>
      </w:r>
      <w:r>
        <w:rPr>
          <w:rFonts w:ascii="Times New Roman" w:hAnsi="Times New Roman" w:cs="Times New Roman"/>
          <w:noProof/>
          <w:sz w:val="24"/>
          <w:szCs w:val="24"/>
        </w:rPr>
        <w:t xml:space="preserve">, a majority of Member States (15 of 27; 4 Member States did not express an opinion on this question) considers that the number of incoming requests did not make it burdensome for their administration to comply.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This opinion is not surprising, as the number of precautionary measures still remains low for almost all Member States. Only one Member State (France) received a considerable number of precautionary measures (see table 9 below).</w:t>
      </w:r>
      <w:r>
        <w:rPr>
          <w:rStyle w:val="FootnoteReference"/>
          <w:rFonts w:ascii="Times New Roman" w:hAnsi="Times New Roman" w:cs="Times New Roman"/>
          <w:noProof/>
          <w:sz w:val="24"/>
          <w:szCs w:val="24"/>
        </w:rPr>
        <w:footnoteReference w:id="28"/>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noProof/>
          <w:sz w:val="24"/>
          <w:szCs w:val="24"/>
        </w:rPr>
        <w:t xml:space="preserve">Four other Member States also stated that the number of incoming requests for precautionary measures made it burdensome (Bulgaria, Malta) or somewhat burdensome (Italy, Lithuania) for their administration to comply, although they received a very low number of such requests in the period 2013-2015: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i/>
          <w:noProof/>
          <w:sz w:val="24"/>
          <w:szCs w:val="24"/>
        </w:rPr>
        <w:t>Table 9: statistical information from the Member States about the number of incoming requests for precautionary measures (2013 – 2016)</w:t>
      </w:r>
      <w:r>
        <w:rPr>
          <w:rFonts w:ascii="Times New Roman" w:hAnsi="Times New Roman" w:cs="Times New Roman"/>
          <w:noProof/>
          <w:sz w:val="24"/>
          <w:szCs w:val="24"/>
        </w:rPr>
        <w:t xml:space="preserve">: </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262255</wp:posOffset>
                </wp:positionH>
                <wp:positionV relativeFrom="paragraph">
                  <wp:posOffset>-4445</wp:posOffset>
                </wp:positionV>
                <wp:extent cx="304800" cy="18097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304800" cy="180975"/>
                        </a:xfrm>
                        <a:prstGeom prst="rect">
                          <a:avLst/>
                        </a:prstGeom>
                        <a:solidFill>
                          <a:srgbClr val="FF2F2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7" o:spid="_x0000_s1026" style="position:absolute;margin-left:20.65pt;margin-top:-.35pt;width:24pt;height:14.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" fillcolor="#ff2f2f" strokecolor="black [3213]"/>
            </w:pict>
          </mc:Fallback>
        </mc:AlternateContent>
      </w:r>
      <w:r>
        <w:rPr>
          <w:rFonts w:ascii="Times New Roman" w:hAnsi="Times New Roman" w:cs="Times New Roman"/>
          <w:noProof/>
          <w:sz w:val="24"/>
          <w:szCs w:val="24"/>
        </w:rPr>
        <w:t xml:space="preserve">           </w:t>
      </w:r>
      <w:r>
        <w:rPr>
          <w:rFonts w:ascii="Times New Roman" w:hAnsi="Times New Roman" w:cs="Times New Roman"/>
          <w:i/>
          <w:noProof/>
          <w:sz w:val="24"/>
          <w:szCs w:val="24"/>
        </w:rPr>
        <w:t>Member State considering this number burdensome</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262255</wp:posOffset>
                </wp:positionH>
                <wp:positionV relativeFrom="paragraph">
                  <wp:posOffset>-4445</wp:posOffset>
                </wp:positionV>
                <wp:extent cx="304800" cy="18097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304800" cy="180975"/>
                        </a:xfrm>
                        <a:prstGeom prst="rect">
                          <a:avLst/>
                        </a:prstGeom>
                        <a:solidFill>
                          <a:srgbClr val="FFAC3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8" o:spid="_x0000_s1026" style="position:absolute;margin-left:20.65pt;margin-top:-.35pt;width:24pt;height:1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" fillcolor="#ffac33" strokecolor="black [3213]"/>
            </w:pict>
          </mc:Fallback>
        </mc:AlternateContent>
      </w:r>
      <w:r>
        <w:rPr>
          <w:rFonts w:ascii="Times New Roman" w:hAnsi="Times New Roman" w:cs="Times New Roman"/>
          <w:i/>
          <w:noProof/>
          <w:sz w:val="24"/>
          <w:szCs w:val="24"/>
        </w:rPr>
        <w:t xml:space="preserve">           Member State considering this number somewhat burdensome</w:t>
      </w:r>
    </w:p>
    <w:tbl>
      <w:tblPr>
        <w:tblW w:w="4800" w:type="dxa"/>
        <w:jc w:val="center"/>
        <w:tblInd w:w="2213" w:type="dxa"/>
        <w:tblLook w:val="04A0" w:firstRow="1" w:lastRow="0" w:firstColumn="1" w:lastColumn="0" w:noHBand="0" w:noVBand="1"/>
      </w:tblPr>
      <w:tblGrid>
        <w:gridCol w:w="960"/>
        <w:gridCol w:w="960"/>
        <w:gridCol w:w="960"/>
        <w:gridCol w:w="960"/>
        <w:gridCol w:w="960"/>
      </w:tblGrid>
      <w:tr>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2013</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2014</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2015</w:t>
            </w:r>
          </w:p>
        </w:tc>
        <w:tc>
          <w:tcPr>
            <w:tcW w:w="960" w:type="dxa"/>
            <w:tcBorders>
              <w:top w:val="single" w:sz="4" w:space="0" w:color="auto"/>
              <w:left w:val="nil"/>
              <w:bottom w:val="single" w:sz="4" w:space="0" w:color="auto"/>
              <w:right w:val="single" w:sz="4" w:space="0" w:color="auto"/>
            </w:tcBorders>
            <w:shd w:val="clear" w:color="000000" w:fill="D9D9D9"/>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2016</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BE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BG</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CZ</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DK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DE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IE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FR</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HR</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IT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CY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LV</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LU</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HU</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MT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NL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r>
      <w:tr>
        <w:trPr>
          <w:trHeight w:val="289"/>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AT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PT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RO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SI</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FI</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jc w:val="center"/>
        </w:trPr>
        <w:tc>
          <w:tcPr>
            <w:tcW w:w="96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jc w:val="center"/>
        </w:trPr>
        <w:tc>
          <w:tcPr>
            <w:tcW w:w="960" w:type="dxa"/>
            <w:tcBorders>
              <w:top w:val="nil"/>
              <w:left w:val="single" w:sz="4" w:space="0" w:color="auto"/>
              <w:bottom w:val="single" w:sz="4" w:space="0" w:color="auto"/>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UK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bl>
    <w:p>
      <w:pPr>
        <w:spacing w:before="120" w:after="120" w:line="240" w:lineRule="auto"/>
        <w:jc w:val="both"/>
        <w:rPr>
          <w:rFonts w:ascii="Times New Roman" w:hAnsi="Times New Roman" w:cs="Times New Roman"/>
          <w:i/>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f. </w:t>
      </w:r>
      <w:r>
        <w:rPr>
          <w:rFonts w:ascii="Times New Roman" w:hAnsi="Times New Roman" w:cs="Times New Roman"/>
          <w:noProof/>
          <w:sz w:val="24"/>
          <w:szCs w:val="24"/>
        </w:rPr>
        <w:tab/>
        <w:t xml:space="preserve">With regard to the </w:t>
      </w:r>
      <w:r>
        <w:rPr>
          <w:rFonts w:ascii="Times New Roman" w:hAnsi="Times New Roman" w:cs="Times New Roman"/>
          <w:noProof/>
          <w:sz w:val="24"/>
          <w:szCs w:val="24"/>
          <w:u w:val="single"/>
        </w:rPr>
        <w:t>incoming requests for recovery measures</w:t>
      </w:r>
      <w:r>
        <w:rPr>
          <w:rFonts w:ascii="Times New Roman" w:hAnsi="Times New Roman" w:cs="Times New Roman"/>
          <w:noProof/>
          <w:sz w:val="24"/>
          <w:szCs w:val="24"/>
        </w:rPr>
        <w:t xml:space="preserve">: 18 of 27 Member States reported that the number of incoming requests for recovery made it (at least somewhat) burdensome for their administration to comply.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i/>
          <w:noProof/>
          <w:sz w:val="24"/>
          <w:szCs w:val="24"/>
        </w:rPr>
        <w:t>Table 10: statistical information from the Member States about the number of incoming requests for recovery (2010 – 2016)</w:t>
      </w:r>
      <w:r>
        <w:rPr>
          <w:rFonts w:ascii="Times New Roman" w:hAnsi="Times New Roman" w:cs="Times New Roman"/>
          <w:noProof/>
          <w:sz w:val="24"/>
          <w:szCs w:val="24"/>
        </w:rPr>
        <w:t xml:space="preserve">: </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262255</wp:posOffset>
                </wp:positionH>
                <wp:positionV relativeFrom="paragraph">
                  <wp:posOffset>-4445</wp:posOffset>
                </wp:positionV>
                <wp:extent cx="304800" cy="18097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304800" cy="180975"/>
                        </a:xfrm>
                        <a:prstGeom prst="rect">
                          <a:avLst/>
                        </a:prstGeom>
                        <a:solidFill>
                          <a:srgbClr val="FF2F2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9" o:spid="_x0000_s1026" style="position:absolute;margin-left:20.65pt;margin-top:-.35pt;width:24pt;height:14.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" fillcolor="#ff2f2f" strokecolor="black [3213]"/>
            </w:pict>
          </mc:Fallback>
        </mc:AlternateContent>
      </w:r>
      <w:r>
        <w:rPr>
          <w:rFonts w:ascii="Times New Roman" w:hAnsi="Times New Roman" w:cs="Times New Roman"/>
          <w:noProof/>
          <w:sz w:val="24"/>
          <w:szCs w:val="24"/>
        </w:rPr>
        <w:t xml:space="preserve">           </w:t>
      </w:r>
      <w:r>
        <w:rPr>
          <w:rFonts w:ascii="Times New Roman" w:hAnsi="Times New Roman" w:cs="Times New Roman"/>
          <w:i/>
          <w:noProof/>
          <w:sz w:val="24"/>
          <w:szCs w:val="24"/>
        </w:rPr>
        <w:t>Member State considering this number burdensome</w:t>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695104" behindDoc="0" locked="0" layoutInCell="1" allowOverlap="1">
                <wp:simplePos x="0" y="0"/>
                <wp:positionH relativeFrom="column">
                  <wp:posOffset>262255</wp:posOffset>
                </wp:positionH>
                <wp:positionV relativeFrom="paragraph">
                  <wp:posOffset>-4445</wp:posOffset>
                </wp:positionV>
                <wp:extent cx="304800" cy="18097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304800" cy="180975"/>
                        </a:xfrm>
                        <a:prstGeom prst="rect">
                          <a:avLst/>
                        </a:prstGeom>
                        <a:solidFill>
                          <a:srgbClr val="FFAC3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0" o:spid="_x0000_s1026" style="position:absolute;margin-left:20.65pt;margin-top:-.35pt;width:24pt;height:14.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" fillcolor="#ffac33" strokecolor="black [3213]"/>
            </w:pict>
          </mc:Fallback>
        </mc:AlternateContent>
      </w:r>
      <w:r>
        <w:rPr>
          <w:rFonts w:ascii="Times New Roman" w:hAnsi="Times New Roman" w:cs="Times New Roman"/>
          <w:i/>
          <w:noProof/>
          <w:sz w:val="24"/>
          <w:szCs w:val="24"/>
        </w:rPr>
        <w:t xml:space="preserve">           Member State considering this number somewhat burdensome</w:t>
      </w:r>
    </w:p>
    <w:tbl>
      <w:tblPr>
        <w:tblW w:w="7420" w:type="dxa"/>
        <w:jc w:val="center"/>
        <w:tblInd w:w="93" w:type="dxa"/>
        <w:tblLook w:val="04A0" w:firstRow="1" w:lastRow="0" w:firstColumn="1" w:lastColumn="0" w:noHBand="0" w:noVBand="1"/>
      </w:tblPr>
      <w:tblGrid>
        <w:gridCol w:w="700"/>
        <w:gridCol w:w="960"/>
        <w:gridCol w:w="960"/>
        <w:gridCol w:w="960"/>
        <w:gridCol w:w="960"/>
        <w:gridCol w:w="960"/>
        <w:gridCol w:w="960"/>
        <w:gridCol w:w="960"/>
      </w:tblGrid>
      <w:tr>
        <w:trPr>
          <w:trHeight w:val="289"/>
          <w:jc w:val="center"/>
        </w:trPr>
        <w:tc>
          <w:tcPr>
            <w:tcW w:w="7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single" w:sz="4" w:space="0" w:color="auto"/>
              <w:left w:val="nil"/>
              <w:bottom w:val="single" w:sz="4" w:space="0" w:color="auto"/>
              <w:right w:val="single" w:sz="4" w:space="0" w:color="auto"/>
            </w:tcBorders>
            <w:shd w:val="clear" w:color="000000" w:fill="E4DFEC"/>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2010</w:t>
            </w:r>
          </w:p>
        </w:tc>
        <w:tc>
          <w:tcPr>
            <w:tcW w:w="960" w:type="dxa"/>
            <w:tcBorders>
              <w:top w:val="single" w:sz="4" w:space="0" w:color="auto"/>
              <w:left w:val="nil"/>
              <w:bottom w:val="single" w:sz="4" w:space="0" w:color="auto"/>
              <w:right w:val="single" w:sz="4" w:space="0" w:color="auto"/>
            </w:tcBorders>
            <w:shd w:val="clear" w:color="000000" w:fill="E4DFEC"/>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2011</w:t>
            </w:r>
          </w:p>
        </w:tc>
        <w:tc>
          <w:tcPr>
            <w:tcW w:w="960" w:type="dxa"/>
            <w:tcBorders>
              <w:top w:val="single" w:sz="4" w:space="0" w:color="auto"/>
              <w:left w:val="nil"/>
              <w:bottom w:val="single" w:sz="4" w:space="0" w:color="auto"/>
              <w:right w:val="single" w:sz="4" w:space="0" w:color="auto"/>
            </w:tcBorders>
            <w:shd w:val="clear" w:color="000000" w:fill="E4DFEC"/>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2012</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2013</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2014</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2015</w:t>
            </w:r>
          </w:p>
        </w:tc>
        <w:tc>
          <w:tcPr>
            <w:tcW w:w="960" w:type="dxa"/>
            <w:tcBorders>
              <w:top w:val="single" w:sz="4" w:space="0" w:color="auto"/>
              <w:left w:val="nil"/>
              <w:bottom w:val="single" w:sz="4" w:space="0" w:color="auto"/>
              <w:right w:val="single" w:sz="4" w:space="0" w:color="auto"/>
            </w:tcBorders>
            <w:shd w:val="clear" w:color="000000" w:fill="D9D9D9"/>
          </w:tcPr>
          <w:p>
            <w:pPr>
              <w:spacing w:after="0" w:line="240" w:lineRule="auto"/>
              <w:jc w:val="center"/>
              <w:rPr>
                <w:rFonts w:ascii="Calibri" w:eastAsia="Times New Roman" w:hAnsi="Calibri" w:cs="Times New Roman"/>
                <w:b/>
                <w:bCs/>
                <w:noProof/>
                <w:lang w:eastAsia="en-GB"/>
              </w:rPr>
            </w:pPr>
            <w:r>
              <w:rPr>
                <w:rFonts w:ascii="Calibri" w:eastAsia="Times New Roman" w:hAnsi="Calibri" w:cs="Times New Roman"/>
                <w:b/>
                <w:bCs/>
                <w:noProof/>
                <w:lang w:eastAsia="en-GB"/>
              </w:rPr>
              <w:t>2016</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BE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437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340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679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807</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BG</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263</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CZ</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238</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404</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DK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102</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DE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732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1840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1791</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EE</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197</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292</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350</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385</w:t>
            </w:r>
          </w:p>
        </w:tc>
        <w:tc>
          <w:tcPr>
            <w:tcW w:w="96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542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330</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IE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223</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69</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ES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556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681</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FR</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885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693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1232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1248</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1478</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HR</w:t>
            </w:r>
          </w:p>
        </w:tc>
        <w:tc>
          <w:tcPr>
            <w:tcW w:w="960" w:type="dxa"/>
            <w:tcBorders>
              <w:top w:val="nil"/>
              <w:left w:val="nil"/>
              <w:bottom w:val="single" w:sz="4" w:space="0" w:color="auto"/>
              <w:right w:val="single" w:sz="4" w:space="0" w:color="auto"/>
            </w:tcBorders>
            <w:shd w:val="clear" w:color="000000"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auto"/>
              <w:right w:val="single" w:sz="4" w:space="0" w:color="auto"/>
            </w:tcBorders>
            <w:shd w:val="clear" w:color="000000"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auto"/>
              <w:right w:val="single" w:sz="4" w:space="0" w:color="auto"/>
            </w:tcBorders>
            <w:shd w:val="clear" w:color="000000"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129</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IT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484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703</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596</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CY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97</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LV</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107</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291</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LU</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305</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521</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HU</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472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436</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MT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27</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NL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708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1081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1164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1087</w:t>
            </w:r>
          </w:p>
        </w:tc>
      </w:tr>
      <w:tr>
        <w:trPr>
          <w:trHeight w:val="289"/>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AT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607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770</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834</w:t>
            </w:r>
          </w:p>
        </w:tc>
      </w:tr>
      <w:tr>
        <w:trPr>
          <w:trHeight w:val="300"/>
          <w:jc w:val="center"/>
        </w:trPr>
        <w:tc>
          <w:tcPr>
            <w:tcW w:w="700" w:type="dxa"/>
            <w:tcBorders>
              <w:top w:val="nil"/>
              <w:left w:val="single" w:sz="4" w:space="0" w:color="auto"/>
              <w:bottom w:val="single" w:sz="4" w:space="0" w:color="969696"/>
              <w:right w:val="single" w:sz="4" w:space="0" w:color="auto"/>
            </w:tcBorders>
            <w:shd w:val="clear" w:color="auto" w:fill="FF2F2F"/>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2725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2525</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2509</w:t>
            </w:r>
          </w:p>
        </w:tc>
      </w:tr>
      <w:tr>
        <w:trPr>
          <w:trHeight w:val="300"/>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PT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192</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221</w:t>
            </w:r>
          </w:p>
        </w:tc>
      </w:tr>
      <w:tr>
        <w:trPr>
          <w:trHeight w:val="300"/>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RO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341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264</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768</w:t>
            </w:r>
          </w:p>
        </w:tc>
      </w:tr>
      <w:tr>
        <w:trPr>
          <w:trHeight w:val="300"/>
          <w:jc w:val="center"/>
        </w:trPr>
        <w:tc>
          <w:tcPr>
            <w:tcW w:w="70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SI</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99</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160</w:t>
            </w:r>
          </w:p>
        </w:tc>
      </w:tr>
      <w:tr>
        <w:trPr>
          <w:trHeight w:val="300"/>
          <w:jc w:val="center"/>
        </w:trPr>
        <w:tc>
          <w:tcPr>
            <w:tcW w:w="70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318</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242</w:t>
            </w:r>
          </w:p>
        </w:tc>
      </w:tr>
      <w:tr>
        <w:trPr>
          <w:trHeight w:val="300"/>
          <w:jc w:val="center"/>
        </w:trPr>
        <w:tc>
          <w:tcPr>
            <w:tcW w:w="700" w:type="dxa"/>
            <w:tcBorders>
              <w:top w:val="nil"/>
              <w:left w:val="single" w:sz="4" w:space="0" w:color="auto"/>
              <w:bottom w:val="single" w:sz="4" w:space="0" w:color="969696"/>
              <w:right w:val="single" w:sz="4" w:space="0" w:color="auto"/>
            </w:tcBorders>
            <w:shd w:val="clear" w:color="auto" w:fill="FFAC33"/>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FI</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68</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87</w:t>
            </w:r>
          </w:p>
        </w:tc>
      </w:tr>
      <w:tr>
        <w:trPr>
          <w:trHeight w:val="300"/>
          <w:jc w:val="center"/>
        </w:trPr>
        <w:tc>
          <w:tcPr>
            <w:tcW w:w="700" w:type="dxa"/>
            <w:tcBorders>
              <w:top w:val="nil"/>
              <w:left w:val="single" w:sz="4" w:space="0" w:color="auto"/>
              <w:bottom w:val="single" w:sz="4" w:space="0" w:color="969696"/>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SE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76</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116</w:t>
            </w:r>
          </w:p>
        </w:tc>
      </w:tr>
      <w:tr>
        <w:trPr>
          <w:trHeight w:val="300"/>
          <w:jc w:val="center"/>
        </w:trPr>
        <w:tc>
          <w:tcPr>
            <w:tcW w:w="700" w:type="dxa"/>
            <w:tcBorders>
              <w:top w:val="nil"/>
              <w:left w:val="single" w:sz="4" w:space="0" w:color="auto"/>
              <w:bottom w:val="single" w:sz="4" w:space="0" w:color="auto"/>
              <w:right w:val="single" w:sz="4" w:space="0" w:color="auto"/>
            </w:tcBorders>
            <w:shd w:val="clear" w:color="000000" w:fill="C0C0C0"/>
            <w:noWrap/>
            <w:vAlign w:val="center"/>
            <w:hideMark/>
          </w:tcPr>
          <w:p>
            <w:pPr>
              <w:spacing w:after="0" w:line="240" w:lineRule="auto"/>
              <w:jc w:val="center"/>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UK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702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799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807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1519</w:t>
            </w:r>
          </w:p>
        </w:tc>
        <w:tc>
          <w:tcPr>
            <w:tcW w:w="960" w:type="dxa"/>
            <w:tcBorders>
              <w:top w:val="nil"/>
              <w:left w:val="nil"/>
              <w:bottom w:val="single" w:sz="4" w:space="0" w:color="auto"/>
              <w:right w:val="single" w:sz="4" w:space="0" w:color="auto"/>
            </w:tcBorders>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2015</w:t>
            </w:r>
          </w:p>
        </w:tc>
      </w:tr>
    </w:tbl>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this regard, it should be noted that the execution of assistance requests, in particular requests for recovery, cannot be completed immediately. These requests generally require follow-up actions and communications during a longer period, and their complexity may be very different, depending on the specific circumstances of each case.  </w:t>
      </w:r>
    </w:p>
    <w:p>
      <w:pPr>
        <w:spacing w:before="120"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g.</w:t>
      </w:r>
      <w:r>
        <w:rPr>
          <w:rFonts w:ascii="Times New Roman" w:hAnsi="Times New Roman" w:cs="Times New Roman"/>
          <w:noProof/>
          <w:sz w:val="24"/>
          <w:szCs w:val="24"/>
        </w:rPr>
        <w:tab/>
        <w:t xml:space="preserve">A majority of Member States reported that the broadening of the scope caused an increase of their workload as requested Member States (17 of 27).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With regard to the effect on the complexity of the work for the requested State, the Member States' opinions are divided. While most Member States consider that the work has certainly become more complex (15 of 27), others consider that the work has become less complex (9 of 27) and some Member States do not notice a significant change (3 of 27).</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h.</w:t>
      </w:r>
      <w:r>
        <w:rPr>
          <w:rFonts w:ascii="Times New Roman" w:hAnsi="Times New Roman" w:cs="Times New Roman"/>
          <w:noProof/>
          <w:sz w:val="24"/>
          <w:szCs w:val="24"/>
        </w:rPr>
        <w:tab/>
        <w:t>Several Member States – in their capacity of requested Member State – also observe that (more) attention should be paid by the competent authorities when they fill out the request form. It seems that requests do not always provide sufficiently detailed information, which leads to additional work for the requested authority.</w:t>
      </w: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b/>
          <w:noProof/>
          <w:sz w:val="24"/>
          <w:szCs w:val="24"/>
        </w:rPr>
        <w:t>6.2.2.4. Administrative cost for the requested Member States</w:t>
      </w:r>
    </w:p>
    <w:p>
      <w:pPr>
        <w:spacing w:before="120" w:after="120" w:line="240" w:lineRule="auto"/>
        <w:jc w:val="both"/>
        <w:rPr>
          <w:rFonts w:ascii="Times New Roman" w:hAnsi="Times New Roman" w:cs="Times New Roman"/>
          <w:i/>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rPr>
        <w:tab/>
        <w:t>The administrative cost for the requested Member States is linked to the number of incoming requests, but also to the work that they generate. It seems logic to assume that requests for notification only involve a limited action and thus a rather limited cost, just as requests for information, while requests for precautionary or recovery measures may entail higher costs.</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For most Member States, the reported opinion on the administrative cost is in line with the number of requests actually received.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Some Member States however declare that the number of incoming requests makes it (somewhat) burdensome for their administration to comply, while the number of requests received by these Member States is (relatively) low (see tables 7 - 10 above).</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b. </w:t>
      </w:r>
      <w:r>
        <w:rPr>
          <w:rFonts w:ascii="Times New Roman" w:hAnsi="Times New Roman" w:cs="Times New Roman"/>
          <w:noProof/>
          <w:sz w:val="24"/>
          <w:szCs w:val="24"/>
        </w:rPr>
        <w:tab/>
        <w:t>In order to encourage Member States to devote sufficient resources to the recovery of other Member States' claims, Article 20(1) of Council Directive 2010/24/EU introduced the principle that the requested Member State is allowed to retain the costs related to recovery, which are recovered from the debtor.</w:t>
      </w:r>
      <w:r>
        <w:rPr>
          <w:rStyle w:val="FootnoteReference"/>
          <w:rFonts w:ascii="Times New Roman" w:hAnsi="Times New Roman" w:cs="Times New Roman"/>
          <w:noProof/>
          <w:sz w:val="24"/>
          <w:szCs w:val="24"/>
        </w:rPr>
        <w:footnoteReference w:id="29"/>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annual statistics about the recovered amounts show a difference between the amounts recovered by the requested Member States at the request of other Member States, before deduction of the own costs (left column in the table 11 below) and the amounts received by the applicant Member States (right column in the table 11 below). This difference can be explained to some extent by other factors: the statistics recorded by the requested Member State do not take into account the amounts which are directly paid by the debtor or a third party to the applicant Member State; and there may be a certain delay in the transfer of recovered amounts). However, the considerable difference in the statistics for 2015 and 2016 seems to imply that requested Member States effectively use their right to retain their own recovery costs before transferring recovered amounts (insofar as they cannot recover the full amount of outstanding tax claims and their own recovery costs).</w:t>
      </w:r>
      <w:r>
        <w:rPr>
          <w:rStyle w:val="FootnoteReference"/>
          <w:rFonts w:ascii="Times New Roman" w:hAnsi="Times New Roman" w:cs="Times New Roman"/>
          <w:noProof/>
          <w:sz w:val="24"/>
          <w:szCs w:val="24"/>
        </w:rPr>
        <w:footnoteReference w:id="30"/>
      </w: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rPr>
        <w:t>Table 11: overview of recovered amounts (2011-2016):</w:t>
      </w:r>
    </w:p>
    <w:tbl>
      <w:tblPr>
        <w:tblW w:w="7805"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3600"/>
        <w:gridCol w:w="3480"/>
      </w:tblGrid>
      <w:tr>
        <w:trPr>
          <w:trHeight w:val="268"/>
          <w:jc w:val="center"/>
        </w:trPr>
        <w:tc>
          <w:tcPr>
            <w:tcW w:w="725" w:type="dxa"/>
            <w:shd w:val="clear" w:color="auto" w:fill="auto"/>
            <w:noWrap/>
            <w:vAlign w:val="center"/>
          </w:tcPr>
          <w:p>
            <w:pPr>
              <w:spacing w:after="0" w:line="240" w:lineRule="auto"/>
              <w:jc w:val="center"/>
              <w:rPr>
                <w:rFonts w:ascii="Arial" w:hAnsi="Arial" w:cs="Arial"/>
                <w:noProof/>
                <w:sz w:val="20"/>
                <w:szCs w:val="20"/>
              </w:rPr>
            </w:pPr>
          </w:p>
        </w:tc>
        <w:tc>
          <w:tcPr>
            <w:tcW w:w="3600" w:type="dxa"/>
            <w:shd w:val="clear" w:color="auto" w:fill="auto"/>
            <w:noWrap/>
            <w:vAlign w:val="center"/>
          </w:tcPr>
          <w:p>
            <w:pPr>
              <w:spacing w:after="0" w:line="240" w:lineRule="auto"/>
              <w:jc w:val="center"/>
              <w:rPr>
                <w:rFonts w:ascii="Times New Roman" w:hAnsi="Times New Roman" w:cs="Times New Roman"/>
                <w:noProof/>
                <w:spacing w:val="-6"/>
              </w:rPr>
            </w:pPr>
            <w:r>
              <w:rPr>
                <w:rFonts w:ascii="Times New Roman" w:hAnsi="Times New Roman" w:cs="Times New Roman"/>
                <w:noProof/>
                <w:spacing w:val="-6"/>
              </w:rPr>
              <w:t>Recovered by requested Member States at the request of other Member States</w:t>
            </w:r>
          </w:p>
          <w:p>
            <w:pPr>
              <w:spacing w:after="0" w:line="240" w:lineRule="auto"/>
              <w:jc w:val="center"/>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u w:val="single"/>
              </w:rPr>
              <w:t>before deduction of the own costs</w:t>
            </w:r>
            <w:r>
              <w:rPr>
                <w:rFonts w:ascii="Times New Roman" w:hAnsi="Times New Roman" w:cs="Times New Roman"/>
                <w:noProof/>
              </w:rPr>
              <w:t>)</w:t>
            </w:r>
          </w:p>
        </w:tc>
        <w:tc>
          <w:tcPr>
            <w:tcW w:w="3480" w:type="dxa"/>
            <w:shd w:val="clear" w:color="auto" w:fill="auto"/>
            <w:vAlign w:val="center"/>
          </w:tcPr>
          <w:p>
            <w:pPr>
              <w:spacing w:after="0" w:line="240" w:lineRule="auto"/>
              <w:jc w:val="center"/>
              <w:rPr>
                <w:rFonts w:ascii="Times New Roman" w:hAnsi="Times New Roman" w:cs="Times New Roman"/>
                <w:noProof/>
                <w:spacing w:val="-6"/>
              </w:rPr>
            </w:pPr>
            <w:r>
              <w:rPr>
                <w:rFonts w:ascii="Times New Roman" w:hAnsi="Times New Roman" w:cs="Times New Roman"/>
                <w:noProof/>
                <w:spacing w:val="-6"/>
              </w:rPr>
              <w:t>Recovered by applicant Member States via requests to other Member States</w:t>
            </w:r>
          </w:p>
        </w:tc>
      </w:tr>
      <w:tr>
        <w:trPr>
          <w:trHeight w:val="268"/>
          <w:jc w:val="center"/>
        </w:trPr>
        <w:tc>
          <w:tcPr>
            <w:tcW w:w="725" w:type="dxa"/>
            <w:shd w:val="clear" w:color="auto" w:fill="auto"/>
            <w:noWrap/>
            <w:vAlign w:val="center"/>
          </w:tcPr>
          <w:p>
            <w:pPr>
              <w:spacing w:after="0" w:line="240" w:lineRule="auto"/>
              <w:jc w:val="center"/>
              <w:rPr>
                <w:rFonts w:ascii="Arial" w:hAnsi="Arial" w:cs="Arial"/>
                <w:noProof/>
                <w:sz w:val="20"/>
                <w:szCs w:val="20"/>
              </w:rPr>
            </w:pPr>
          </w:p>
        </w:tc>
        <w:tc>
          <w:tcPr>
            <w:tcW w:w="360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in €</w:t>
            </w:r>
          </w:p>
        </w:tc>
        <w:tc>
          <w:tcPr>
            <w:tcW w:w="348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in €</w:t>
            </w:r>
          </w:p>
        </w:tc>
      </w:tr>
      <w:tr>
        <w:trPr>
          <w:trHeight w:val="268"/>
          <w:jc w:val="center"/>
        </w:trPr>
        <w:tc>
          <w:tcPr>
            <w:tcW w:w="725"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2011</w:t>
            </w:r>
          </w:p>
        </w:tc>
        <w:tc>
          <w:tcPr>
            <w:tcW w:w="360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54.031.822</w:t>
            </w:r>
          </w:p>
        </w:tc>
        <w:tc>
          <w:tcPr>
            <w:tcW w:w="348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62.475.879</w:t>
            </w:r>
          </w:p>
        </w:tc>
      </w:tr>
      <w:tr>
        <w:trPr>
          <w:trHeight w:val="268"/>
          <w:jc w:val="center"/>
        </w:trPr>
        <w:tc>
          <w:tcPr>
            <w:tcW w:w="725"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2012</w:t>
            </w:r>
          </w:p>
        </w:tc>
        <w:tc>
          <w:tcPr>
            <w:tcW w:w="360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30.641.451</w:t>
            </w:r>
          </w:p>
        </w:tc>
        <w:tc>
          <w:tcPr>
            <w:tcW w:w="348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32.076.738</w:t>
            </w:r>
          </w:p>
        </w:tc>
      </w:tr>
      <w:tr>
        <w:trPr>
          <w:trHeight w:val="268"/>
          <w:jc w:val="center"/>
        </w:trPr>
        <w:tc>
          <w:tcPr>
            <w:tcW w:w="725"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2013</w:t>
            </w:r>
          </w:p>
        </w:tc>
        <w:tc>
          <w:tcPr>
            <w:tcW w:w="360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35.580.763</w:t>
            </w:r>
          </w:p>
        </w:tc>
        <w:tc>
          <w:tcPr>
            <w:tcW w:w="348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41.115.223</w:t>
            </w:r>
          </w:p>
        </w:tc>
      </w:tr>
      <w:tr>
        <w:trPr>
          <w:trHeight w:val="268"/>
          <w:jc w:val="center"/>
        </w:trPr>
        <w:tc>
          <w:tcPr>
            <w:tcW w:w="725"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2014</w:t>
            </w:r>
          </w:p>
        </w:tc>
        <w:tc>
          <w:tcPr>
            <w:tcW w:w="360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42.839.876</w:t>
            </w:r>
          </w:p>
        </w:tc>
        <w:tc>
          <w:tcPr>
            <w:tcW w:w="348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46.395.481</w:t>
            </w:r>
          </w:p>
        </w:tc>
      </w:tr>
      <w:tr>
        <w:trPr>
          <w:trHeight w:val="268"/>
          <w:jc w:val="center"/>
        </w:trPr>
        <w:tc>
          <w:tcPr>
            <w:tcW w:w="725"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2015</w:t>
            </w:r>
          </w:p>
        </w:tc>
        <w:tc>
          <w:tcPr>
            <w:tcW w:w="360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81.402.061</w:t>
            </w:r>
          </w:p>
        </w:tc>
        <w:tc>
          <w:tcPr>
            <w:tcW w:w="348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65.711.419</w:t>
            </w:r>
          </w:p>
        </w:tc>
      </w:tr>
      <w:tr>
        <w:trPr>
          <w:trHeight w:val="268"/>
          <w:jc w:val="center"/>
        </w:trPr>
        <w:tc>
          <w:tcPr>
            <w:tcW w:w="725"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2016</w:t>
            </w:r>
          </w:p>
        </w:tc>
        <w:tc>
          <w:tcPr>
            <w:tcW w:w="360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76.500.163</w:t>
            </w:r>
          </w:p>
        </w:tc>
        <w:tc>
          <w:tcPr>
            <w:tcW w:w="3480" w:type="dxa"/>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67.019.250</w:t>
            </w:r>
          </w:p>
        </w:tc>
      </w:tr>
    </w:tbl>
    <w:p>
      <w:pPr>
        <w:spacing w:before="120" w:after="120" w:line="240" w:lineRule="auto"/>
        <w:jc w:val="both"/>
        <w:rPr>
          <w:rFonts w:ascii="Times New Roman" w:hAnsi="Times New Roman" w:cs="Times New Roman"/>
          <w:noProof/>
          <w:sz w:val="24"/>
          <w:szCs w:val="24"/>
        </w:rPr>
      </w:pPr>
    </w:p>
    <w:p>
      <w:pPr>
        <w:pStyle w:val="Heading4"/>
        <w:rPr>
          <w:noProof/>
          <w:sz w:val="24"/>
          <w:szCs w:val="24"/>
        </w:rPr>
      </w:pPr>
      <w:r>
        <w:rPr>
          <w:noProof/>
          <w:sz w:val="24"/>
          <w:szCs w:val="24"/>
        </w:rPr>
        <w:t>6.2.3. Did mutual assistance between the Member States increase?</w:t>
      </w:r>
    </w:p>
    <w:p>
      <w:pPr>
        <w:spacing w:before="120" w:after="120" w:line="240" w:lineRule="auto"/>
        <w:jc w:val="both"/>
        <w:rPr>
          <w:rFonts w:ascii="Times New Roman" w:hAnsi="Times New Roman" w:cs="Times New Roman"/>
          <w:b/>
          <w:noProof/>
          <w:sz w:val="24"/>
          <w:szCs w:val="24"/>
        </w:rPr>
      </w:pPr>
    </w:p>
    <w:p>
      <w:pPr>
        <w:spacing w:before="120" w:after="120" w:line="240" w:lineRule="auto"/>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6.2.3.1. Evolution of the total numbers of requests for mutual assistance</w:t>
      </w:r>
    </w:p>
    <w:p>
      <w:pPr>
        <w:spacing w:before="120" w:after="120" w:line="240" w:lineRule="auto"/>
        <w:rPr>
          <w:rFonts w:ascii="Times New Roman" w:hAnsi="Times New Roman" w:cs="Times New Roman"/>
          <w:b/>
          <w:noProof/>
          <w:sz w:val="24"/>
          <w:szCs w:val="24"/>
          <w:lang w:eastAsia="en-GB"/>
        </w:rPr>
      </w:pPr>
    </w:p>
    <w:p>
      <w:pPr>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w:t>
      </w:r>
      <w:r>
        <w:rPr>
          <w:rFonts w:ascii="Times New Roman" w:hAnsi="Times New Roman" w:cs="Times New Roman"/>
          <w:noProof/>
          <w:sz w:val="24"/>
          <w:szCs w:val="24"/>
          <w:lang w:eastAsia="en-GB"/>
        </w:rPr>
        <w:tab/>
        <w:t>The total numbers of the different types of requests for assistance received by EU Member States from other Member States, on the basis of EU Directives 2008/55/EC and 2010/24/EU, in the period 2011-2016, were as follows:</w:t>
      </w:r>
    </w:p>
    <w:p>
      <w:pPr>
        <w:spacing w:before="120" w:after="120" w:line="240" w:lineRule="auto"/>
        <w:ind w:left="360"/>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Table 12: total numbers of requests received by all Member States in 2011-2016:</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1946"/>
        <w:gridCol w:w="1871"/>
        <w:gridCol w:w="1871"/>
        <w:gridCol w:w="1631"/>
      </w:tblGrid>
      <w:tr>
        <w:trPr>
          <w:trHeight w:val="255"/>
        </w:trPr>
        <w:tc>
          <w:tcPr>
            <w:tcW w:w="764" w:type="pct"/>
            <w:shd w:val="clear" w:color="auto" w:fill="auto"/>
            <w:noWrap/>
            <w:vAlign w:val="bottom"/>
          </w:tcPr>
          <w:p>
            <w:pPr>
              <w:spacing w:after="0" w:line="240" w:lineRule="auto"/>
              <w:rPr>
                <w:rFonts w:ascii="Times New Roman" w:hAnsi="Times New Roman" w:cs="Times New Roman"/>
                <w:noProof/>
                <w:sz w:val="24"/>
                <w:szCs w:val="24"/>
              </w:rPr>
            </w:pPr>
          </w:p>
        </w:tc>
        <w:tc>
          <w:tcPr>
            <w:tcW w:w="1126" w:type="pct"/>
            <w:tcBorders>
              <w:bottom w:val="single" w:sz="4" w:space="0" w:color="auto"/>
            </w:tcBorders>
            <w:shd w:val="clear" w:color="auto" w:fill="auto"/>
            <w:noWrap/>
            <w:vAlign w:val="bottom"/>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Requests for information</w:t>
            </w:r>
          </w:p>
          <w:p>
            <w:pPr>
              <w:spacing w:after="0" w:line="240" w:lineRule="auto"/>
              <w:jc w:val="center"/>
              <w:rPr>
                <w:rFonts w:ascii="Times New Roman" w:hAnsi="Times New Roman" w:cs="Times New Roman"/>
                <w:noProof/>
                <w:sz w:val="24"/>
                <w:szCs w:val="24"/>
              </w:rPr>
            </w:pPr>
          </w:p>
        </w:tc>
        <w:tc>
          <w:tcPr>
            <w:tcW w:w="1083" w:type="pct"/>
            <w:tcBorders>
              <w:bottom w:val="single" w:sz="4" w:space="0" w:color="auto"/>
            </w:tcBorders>
            <w:shd w:val="clear" w:color="auto" w:fill="auto"/>
            <w:noWrap/>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Requests for notification</w:t>
            </w:r>
          </w:p>
        </w:tc>
        <w:tc>
          <w:tcPr>
            <w:tcW w:w="1083" w:type="pct"/>
            <w:tcBorders>
              <w:bottom w:val="single" w:sz="4" w:space="0" w:color="auto"/>
            </w:tcBorders>
            <w:shd w:val="clear" w:color="auto" w:fill="auto"/>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Requests for precautionary measures</w:t>
            </w:r>
          </w:p>
        </w:tc>
        <w:tc>
          <w:tcPr>
            <w:tcW w:w="944" w:type="pct"/>
            <w:tcBorders>
              <w:bottom w:val="single" w:sz="4" w:space="0" w:color="auto"/>
            </w:tcBorders>
            <w:shd w:val="clear" w:color="auto" w:fill="auto"/>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Requests for recovery</w:t>
            </w:r>
          </w:p>
        </w:tc>
      </w:tr>
      <w:tr>
        <w:trPr>
          <w:trHeight w:val="255"/>
        </w:trPr>
        <w:tc>
          <w:tcPr>
            <w:tcW w:w="764" w:type="pct"/>
            <w:shd w:val="clear" w:color="auto" w:fill="auto"/>
            <w:noWrap/>
            <w:vAlign w:val="bottom"/>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2011</w:t>
            </w:r>
          </w:p>
        </w:tc>
        <w:tc>
          <w:tcPr>
            <w:tcW w:w="1126" w:type="pct"/>
            <w:shd w:val="clear" w:color="auto" w:fill="auto"/>
            <w:noWrap/>
            <w:vAlign w:val="bottom"/>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3218</w:t>
            </w:r>
          </w:p>
        </w:tc>
        <w:tc>
          <w:tcPr>
            <w:tcW w:w="1083" w:type="pct"/>
            <w:shd w:val="clear" w:color="auto" w:fill="auto"/>
            <w:noWrap/>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1284</w:t>
            </w:r>
          </w:p>
        </w:tc>
        <w:tc>
          <w:tcPr>
            <w:tcW w:w="1083" w:type="pct"/>
            <w:shd w:val="clear" w:color="auto" w:fill="BFBFBF" w:themeFill="background1" w:themeFillShade="BF"/>
          </w:tcPr>
          <w:p>
            <w:pPr>
              <w:spacing w:after="0" w:line="240" w:lineRule="auto"/>
              <w:ind w:left="-348" w:right="276"/>
              <w:jc w:val="right"/>
              <w:rPr>
                <w:rFonts w:ascii="Times New Roman" w:hAnsi="Times New Roman" w:cs="Times New Roman"/>
                <w:noProof/>
                <w:sz w:val="24"/>
                <w:szCs w:val="24"/>
                <w:highlight w:val="yellow"/>
              </w:rPr>
            </w:pPr>
          </w:p>
        </w:tc>
        <w:tc>
          <w:tcPr>
            <w:tcW w:w="944" w:type="pct"/>
            <w:shd w:val="clear" w:color="auto" w:fill="auto"/>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9566</w:t>
            </w:r>
          </w:p>
        </w:tc>
      </w:tr>
      <w:tr>
        <w:trPr>
          <w:trHeight w:val="255"/>
        </w:trPr>
        <w:tc>
          <w:tcPr>
            <w:tcW w:w="764" w:type="pct"/>
            <w:shd w:val="clear" w:color="auto" w:fill="auto"/>
            <w:noWrap/>
            <w:vAlign w:val="bottom"/>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2012</w:t>
            </w:r>
          </w:p>
        </w:tc>
        <w:tc>
          <w:tcPr>
            <w:tcW w:w="1126" w:type="pct"/>
            <w:shd w:val="clear" w:color="auto" w:fill="auto"/>
            <w:noWrap/>
            <w:vAlign w:val="bottom"/>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6081</w:t>
            </w:r>
          </w:p>
        </w:tc>
        <w:tc>
          <w:tcPr>
            <w:tcW w:w="1083" w:type="pct"/>
            <w:shd w:val="clear" w:color="auto" w:fill="auto"/>
            <w:noWrap/>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1323</w:t>
            </w:r>
          </w:p>
        </w:tc>
        <w:tc>
          <w:tcPr>
            <w:tcW w:w="1083" w:type="pct"/>
            <w:shd w:val="clear" w:color="auto" w:fill="BFBFBF" w:themeFill="background1" w:themeFillShade="BF"/>
          </w:tcPr>
          <w:p>
            <w:pPr>
              <w:spacing w:after="0" w:line="240" w:lineRule="auto"/>
              <w:ind w:left="-348" w:right="276"/>
              <w:jc w:val="right"/>
              <w:rPr>
                <w:rFonts w:ascii="Times New Roman" w:hAnsi="Times New Roman" w:cs="Times New Roman"/>
                <w:noProof/>
                <w:sz w:val="24"/>
                <w:szCs w:val="24"/>
              </w:rPr>
            </w:pPr>
          </w:p>
        </w:tc>
        <w:tc>
          <w:tcPr>
            <w:tcW w:w="944" w:type="pct"/>
            <w:shd w:val="clear" w:color="auto" w:fill="auto"/>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7661</w:t>
            </w:r>
          </w:p>
        </w:tc>
      </w:tr>
      <w:tr>
        <w:trPr>
          <w:trHeight w:val="255"/>
        </w:trPr>
        <w:tc>
          <w:tcPr>
            <w:tcW w:w="764" w:type="pct"/>
            <w:shd w:val="clear" w:color="auto" w:fill="auto"/>
            <w:noWrap/>
            <w:vAlign w:val="bottom"/>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2013</w:t>
            </w:r>
          </w:p>
        </w:tc>
        <w:tc>
          <w:tcPr>
            <w:tcW w:w="1126" w:type="pct"/>
            <w:shd w:val="clear" w:color="auto" w:fill="auto"/>
            <w:noWrap/>
            <w:vAlign w:val="bottom"/>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8250</w:t>
            </w:r>
          </w:p>
        </w:tc>
        <w:tc>
          <w:tcPr>
            <w:tcW w:w="1083" w:type="pct"/>
            <w:shd w:val="clear" w:color="auto" w:fill="auto"/>
            <w:noWrap/>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2066</w:t>
            </w:r>
          </w:p>
        </w:tc>
        <w:tc>
          <w:tcPr>
            <w:tcW w:w="1083" w:type="pct"/>
            <w:shd w:val="clear" w:color="auto" w:fill="auto"/>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102</w:t>
            </w:r>
          </w:p>
        </w:tc>
        <w:tc>
          <w:tcPr>
            <w:tcW w:w="944" w:type="pct"/>
            <w:shd w:val="clear" w:color="auto" w:fill="auto"/>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10391</w:t>
            </w:r>
          </w:p>
        </w:tc>
      </w:tr>
      <w:tr>
        <w:trPr>
          <w:trHeight w:val="255"/>
        </w:trPr>
        <w:tc>
          <w:tcPr>
            <w:tcW w:w="764" w:type="pct"/>
            <w:shd w:val="clear" w:color="auto" w:fill="auto"/>
            <w:noWrap/>
            <w:vAlign w:val="bottom"/>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2014</w:t>
            </w:r>
          </w:p>
        </w:tc>
        <w:tc>
          <w:tcPr>
            <w:tcW w:w="1126" w:type="pct"/>
            <w:shd w:val="clear" w:color="auto" w:fill="auto"/>
            <w:noWrap/>
            <w:vAlign w:val="bottom"/>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9988</w:t>
            </w:r>
          </w:p>
        </w:tc>
        <w:tc>
          <w:tcPr>
            <w:tcW w:w="1083" w:type="pct"/>
            <w:shd w:val="clear" w:color="auto" w:fill="auto"/>
            <w:noWrap/>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2195</w:t>
            </w:r>
          </w:p>
        </w:tc>
        <w:tc>
          <w:tcPr>
            <w:tcW w:w="1083" w:type="pct"/>
            <w:shd w:val="clear" w:color="auto" w:fill="auto"/>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80</w:t>
            </w:r>
          </w:p>
        </w:tc>
        <w:tc>
          <w:tcPr>
            <w:tcW w:w="944" w:type="pct"/>
            <w:shd w:val="clear" w:color="auto" w:fill="auto"/>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14123</w:t>
            </w:r>
          </w:p>
        </w:tc>
      </w:tr>
      <w:tr>
        <w:trPr>
          <w:trHeight w:val="255"/>
        </w:trPr>
        <w:tc>
          <w:tcPr>
            <w:tcW w:w="764" w:type="pct"/>
            <w:shd w:val="clear" w:color="auto" w:fill="auto"/>
            <w:noWrap/>
            <w:vAlign w:val="bottom"/>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2015</w:t>
            </w:r>
          </w:p>
        </w:tc>
        <w:tc>
          <w:tcPr>
            <w:tcW w:w="1126" w:type="pct"/>
            <w:shd w:val="clear" w:color="auto" w:fill="auto"/>
            <w:noWrap/>
            <w:vAlign w:val="bottom"/>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10733</w:t>
            </w:r>
          </w:p>
        </w:tc>
        <w:tc>
          <w:tcPr>
            <w:tcW w:w="1083" w:type="pct"/>
            <w:shd w:val="clear" w:color="auto" w:fill="auto"/>
            <w:noWrap/>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2168</w:t>
            </w:r>
          </w:p>
        </w:tc>
        <w:tc>
          <w:tcPr>
            <w:tcW w:w="1083" w:type="pct"/>
            <w:shd w:val="clear" w:color="auto" w:fill="auto"/>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123</w:t>
            </w:r>
          </w:p>
        </w:tc>
        <w:tc>
          <w:tcPr>
            <w:tcW w:w="944" w:type="pct"/>
            <w:shd w:val="clear" w:color="auto" w:fill="auto"/>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14769</w:t>
            </w:r>
          </w:p>
        </w:tc>
      </w:tr>
      <w:tr>
        <w:trPr>
          <w:trHeight w:val="255"/>
        </w:trPr>
        <w:tc>
          <w:tcPr>
            <w:tcW w:w="764" w:type="pct"/>
            <w:tcBorders>
              <w:bottom w:val="single" w:sz="4" w:space="0" w:color="auto"/>
            </w:tcBorders>
            <w:shd w:val="clear" w:color="auto" w:fill="auto"/>
            <w:noWrap/>
            <w:vAlign w:val="bottom"/>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2016</w:t>
            </w:r>
          </w:p>
        </w:tc>
        <w:tc>
          <w:tcPr>
            <w:tcW w:w="1126" w:type="pct"/>
            <w:tcBorders>
              <w:bottom w:val="single" w:sz="4" w:space="0" w:color="auto"/>
            </w:tcBorders>
            <w:shd w:val="clear" w:color="auto" w:fill="auto"/>
            <w:noWrap/>
            <w:vAlign w:val="bottom"/>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13630</w:t>
            </w:r>
          </w:p>
        </w:tc>
        <w:tc>
          <w:tcPr>
            <w:tcW w:w="1083" w:type="pct"/>
            <w:tcBorders>
              <w:bottom w:val="single" w:sz="4" w:space="0" w:color="auto"/>
            </w:tcBorders>
            <w:shd w:val="clear" w:color="auto" w:fill="auto"/>
            <w:noWrap/>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2205</w:t>
            </w:r>
          </w:p>
        </w:tc>
        <w:tc>
          <w:tcPr>
            <w:tcW w:w="1083" w:type="pct"/>
            <w:tcBorders>
              <w:bottom w:val="single" w:sz="4" w:space="0" w:color="auto"/>
            </w:tcBorders>
            <w:shd w:val="clear" w:color="auto" w:fill="auto"/>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76</w:t>
            </w:r>
          </w:p>
        </w:tc>
        <w:tc>
          <w:tcPr>
            <w:tcW w:w="944" w:type="pct"/>
            <w:tcBorders>
              <w:bottom w:val="single" w:sz="4" w:space="0" w:color="auto"/>
            </w:tcBorders>
            <w:shd w:val="clear" w:color="auto" w:fill="auto"/>
          </w:tcPr>
          <w:p>
            <w:pPr>
              <w:spacing w:after="0" w:line="240" w:lineRule="auto"/>
              <w:ind w:left="-348" w:right="276"/>
              <w:jc w:val="right"/>
              <w:rPr>
                <w:rFonts w:ascii="Times New Roman" w:hAnsi="Times New Roman" w:cs="Times New Roman"/>
                <w:noProof/>
                <w:sz w:val="24"/>
                <w:szCs w:val="24"/>
              </w:rPr>
            </w:pPr>
            <w:r>
              <w:rPr>
                <w:rFonts w:ascii="Times New Roman" w:hAnsi="Times New Roman" w:cs="Times New Roman"/>
                <w:noProof/>
                <w:sz w:val="24"/>
                <w:szCs w:val="24"/>
              </w:rPr>
              <w:t>16403</w:t>
            </w:r>
          </w:p>
        </w:tc>
      </w:tr>
    </w:tbl>
    <w:p>
      <w:pPr>
        <w:spacing w:before="120" w:after="120" w:line="240" w:lineRule="auto"/>
        <w:rPr>
          <w:rFonts w:ascii="Times New Roman" w:hAnsi="Times New Roman" w:cs="Times New Roman"/>
          <w:noProof/>
          <w:sz w:val="24"/>
          <w:szCs w:val="24"/>
          <w:lang w:eastAsia="en-GB"/>
        </w:rPr>
      </w:pPr>
    </w:p>
    <w:p>
      <w:pPr>
        <w:spacing w:before="120" w:after="120" w:line="240" w:lineRule="auto"/>
        <w:ind w:left="36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 xml:space="preserve">Table 12a: evolution of the numbers of </w:t>
      </w:r>
      <w:r>
        <w:rPr>
          <w:rFonts w:ascii="Times New Roman" w:hAnsi="Times New Roman" w:cs="Times New Roman"/>
          <w:i/>
          <w:noProof/>
          <w:sz w:val="24"/>
          <w:szCs w:val="24"/>
          <w:u w:val="single"/>
          <w:lang w:eastAsia="en-GB"/>
        </w:rPr>
        <w:t>requests for information</w:t>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486400" cy="2149434"/>
            <wp:effectExtent l="0" t="0" r="19050" b="2286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before="120" w:after="120" w:line="240" w:lineRule="auto"/>
        <w:rPr>
          <w:rFonts w:ascii="Times New Roman" w:hAnsi="Times New Roman" w:cs="Times New Roman"/>
          <w:i/>
          <w:noProof/>
          <w:sz w:val="24"/>
          <w:szCs w:val="24"/>
        </w:rPr>
      </w:pPr>
    </w:p>
    <w:p>
      <w:pPr>
        <w:rPr>
          <w:rFonts w:ascii="Times New Roman" w:hAnsi="Times New Roman" w:cs="Times New Roman"/>
          <w:i/>
          <w:noProof/>
          <w:sz w:val="24"/>
          <w:szCs w:val="24"/>
        </w:rPr>
      </w:pPr>
      <w:r>
        <w:rPr>
          <w:rFonts w:ascii="Times New Roman" w:hAnsi="Times New Roman" w:cs="Times New Roman"/>
          <w:i/>
          <w:noProof/>
          <w:sz w:val="24"/>
          <w:szCs w:val="24"/>
        </w:rPr>
        <w:br w:type="page"/>
      </w:r>
    </w:p>
    <w:p>
      <w:pPr>
        <w:spacing w:before="120" w:after="120" w:line="240" w:lineRule="auto"/>
        <w:rPr>
          <w:rFonts w:ascii="Times New Roman" w:hAnsi="Times New Roman" w:cs="Times New Roman"/>
          <w:i/>
          <w:noProof/>
          <w:sz w:val="24"/>
          <w:szCs w:val="24"/>
        </w:rPr>
      </w:pPr>
    </w:p>
    <w:p>
      <w:pPr>
        <w:spacing w:before="120" w:after="120" w:line="240" w:lineRule="auto"/>
        <w:ind w:left="360"/>
        <w:rPr>
          <w:rFonts w:ascii="Times New Roman" w:hAnsi="Times New Roman" w:cs="Times New Roman"/>
          <w:i/>
          <w:noProof/>
          <w:sz w:val="24"/>
          <w:szCs w:val="24"/>
        </w:rPr>
      </w:pPr>
      <w:r>
        <w:rPr>
          <w:rFonts w:ascii="Times New Roman" w:hAnsi="Times New Roman" w:cs="Times New Roman"/>
          <w:i/>
          <w:noProof/>
          <w:sz w:val="24"/>
          <w:szCs w:val="24"/>
        </w:rPr>
        <w:t xml:space="preserve">Table 12b: </w:t>
      </w:r>
      <w:r>
        <w:rPr>
          <w:rFonts w:ascii="Times New Roman" w:hAnsi="Times New Roman" w:cs="Times New Roman"/>
          <w:i/>
          <w:noProof/>
          <w:sz w:val="24"/>
          <w:szCs w:val="24"/>
          <w:lang w:eastAsia="en-GB"/>
        </w:rPr>
        <w:t xml:space="preserve">evolution of the numbers of </w:t>
      </w:r>
      <w:r>
        <w:rPr>
          <w:rFonts w:ascii="Times New Roman" w:hAnsi="Times New Roman" w:cs="Times New Roman"/>
          <w:i/>
          <w:noProof/>
          <w:sz w:val="24"/>
          <w:szCs w:val="24"/>
          <w:u w:val="single"/>
        </w:rPr>
        <w:t>requests for notification</w:t>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486400" cy="2113807"/>
            <wp:effectExtent l="0" t="0" r="19050" b="2032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before="120" w:after="120" w:line="240" w:lineRule="auto"/>
        <w:rPr>
          <w:rFonts w:ascii="Times New Roman" w:hAnsi="Times New Roman" w:cs="Times New Roman"/>
          <w:i/>
          <w:noProof/>
          <w:sz w:val="24"/>
          <w:szCs w:val="24"/>
        </w:rPr>
      </w:pPr>
    </w:p>
    <w:p>
      <w:pPr>
        <w:spacing w:before="120" w:after="120" w:line="240" w:lineRule="auto"/>
        <w:ind w:left="360"/>
        <w:rPr>
          <w:rFonts w:ascii="Times New Roman" w:hAnsi="Times New Roman" w:cs="Times New Roman"/>
          <w:i/>
          <w:noProof/>
          <w:sz w:val="24"/>
          <w:szCs w:val="24"/>
        </w:rPr>
      </w:pPr>
      <w:r>
        <w:rPr>
          <w:rFonts w:ascii="Times New Roman" w:hAnsi="Times New Roman" w:cs="Times New Roman"/>
          <w:i/>
          <w:noProof/>
          <w:sz w:val="24"/>
          <w:szCs w:val="24"/>
        </w:rPr>
        <w:t xml:space="preserve">Table 12c: </w:t>
      </w:r>
      <w:r>
        <w:rPr>
          <w:rFonts w:ascii="Times New Roman" w:hAnsi="Times New Roman" w:cs="Times New Roman"/>
          <w:i/>
          <w:noProof/>
          <w:sz w:val="24"/>
          <w:szCs w:val="24"/>
          <w:lang w:eastAsia="en-GB"/>
        </w:rPr>
        <w:t xml:space="preserve">evolution of the </w:t>
      </w:r>
      <w:r>
        <w:rPr>
          <w:rFonts w:ascii="Times New Roman" w:hAnsi="Times New Roman" w:cs="Times New Roman"/>
          <w:i/>
          <w:noProof/>
          <w:sz w:val="24"/>
          <w:szCs w:val="24"/>
          <w:u w:val="single"/>
          <w:lang w:eastAsia="en-GB"/>
        </w:rPr>
        <w:t>numbers of r</w:t>
      </w:r>
      <w:r>
        <w:rPr>
          <w:rFonts w:ascii="Times New Roman" w:hAnsi="Times New Roman" w:cs="Times New Roman"/>
          <w:i/>
          <w:noProof/>
          <w:sz w:val="24"/>
          <w:szCs w:val="24"/>
          <w:u w:val="single"/>
        </w:rPr>
        <w:t>equests for precautionary measures</w:t>
      </w:r>
      <w:r>
        <w:rPr>
          <w:rFonts w:ascii="Times New Roman" w:hAnsi="Times New Roman" w:cs="Times New Roman"/>
          <w:i/>
          <w:noProof/>
          <w:sz w:val="24"/>
          <w:szCs w:val="24"/>
        </w:rPr>
        <w:t xml:space="preserve"> (information available from 2013)</w:t>
      </w:r>
    </w:p>
    <w:p>
      <w:pPr>
        <w:spacing w:before="120" w:after="120" w:line="240" w:lineRule="auto"/>
        <w:ind w:left="360"/>
        <w:rPr>
          <w:rFonts w:ascii="Times New Roman" w:hAnsi="Times New Roman" w:cs="Times New Roman"/>
          <w:noProof/>
          <w:sz w:val="24"/>
          <w:szCs w:val="24"/>
          <w:lang w:eastAsia="en-GB"/>
        </w:rPr>
      </w:pPr>
      <w:r>
        <w:rPr>
          <w:rFonts w:ascii="Times New Roman" w:hAnsi="Times New Roman" w:cs="Times New Roman"/>
          <w:noProof/>
          <w:sz w:val="24"/>
          <w:szCs w:val="24"/>
          <w:lang w:val="en-US"/>
        </w:rPr>
        <w:drawing>
          <wp:inline distT="0" distB="0" distL="0" distR="0">
            <wp:extent cx="5438775" cy="2819400"/>
            <wp:effectExtent l="0" t="0" r="9525"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rFonts w:ascii="Times New Roman" w:hAnsi="Times New Roman" w:cs="Times New Roman"/>
          <w:i/>
          <w:noProof/>
          <w:sz w:val="24"/>
          <w:szCs w:val="24"/>
        </w:rPr>
      </w:pPr>
      <w:r>
        <w:rPr>
          <w:rFonts w:ascii="Times New Roman" w:hAnsi="Times New Roman" w:cs="Times New Roman"/>
          <w:i/>
          <w:noProof/>
          <w:sz w:val="24"/>
          <w:szCs w:val="24"/>
        </w:rPr>
        <w:br w:type="page"/>
      </w:r>
    </w:p>
    <w:p>
      <w:pPr>
        <w:spacing w:before="120" w:after="120" w:line="240" w:lineRule="auto"/>
        <w:rPr>
          <w:rFonts w:ascii="Times New Roman" w:hAnsi="Times New Roman" w:cs="Times New Roman"/>
          <w:i/>
          <w:noProof/>
          <w:sz w:val="24"/>
          <w:szCs w:val="24"/>
        </w:rPr>
      </w:pPr>
    </w:p>
    <w:p>
      <w:pPr>
        <w:spacing w:before="120" w:after="120" w:line="240" w:lineRule="auto"/>
        <w:ind w:left="360"/>
        <w:rPr>
          <w:rFonts w:ascii="Times New Roman" w:hAnsi="Times New Roman" w:cs="Times New Roman"/>
          <w:i/>
          <w:noProof/>
          <w:sz w:val="24"/>
          <w:szCs w:val="24"/>
        </w:rPr>
      </w:pPr>
      <w:r>
        <w:rPr>
          <w:rFonts w:ascii="Times New Roman" w:hAnsi="Times New Roman" w:cs="Times New Roman"/>
          <w:i/>
          <w:noProof/>
          <w:sz w:val="24"/>
          <w:szCs w:val="24"/>
        </w:rPr>
        <w:t xml:space="preserve">Table 12d: </w:t>
      </w:r>
      <w:r>
        <w:rPr>
          <w:rFonts w:ascii="Times New Roman" w:hAnsi="Times New Roman" w:cs="Times New Roman"/>
          <w:i/>
          <w:noProof/>
          <w:sz w:val="24"/>
          <w:szCs w:val="24"/>
          <w:lang w:eastAsia="en-GB"/>
        </w:rPr>
        <w:t xml:space="preserve">evolution of the </w:t>
      </w:r>
      <w:r>
        <w:rPr>
          <w:rFonts w:ascii="Times New Roman" w:hAnsi="Times New Roman" w:cs="Times New Roman"/>
          <w:i/>
          <w:noProof/>
          <w:sz w:val="24"/>
          <w:szCs w:val="24"/>
          <w:u w:val="single"/>
          <w:lang w:eastAsia="en-GB"/>
        </w:rPr>
        <w:t>numbers of r</w:t>
      </w:r>
      <w:r>
        <w:rPr>
          <w:rFonts w:ascii="Times New Roman" w:hAnsi="Times New Roman" w:cs="Times New Roman"/>
          <w:i/>
          <w:noProof/>
          <w:sz w:val="24"/>
          <w:szCs w:val="24"/>
          <w:u w:val="single"/>
        </w:rPr>
        <w:t>equests for recovery</w:t>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486400" cy="300990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The decrease of recovery requests in 2012 can be explained – at least to some extent – by the late implementation of Directive 2010/24/EU in many Member States (see point 5) and the extra time that the competent authorities needed to get acquainted with the new legislation, the new procedures, the new request forms and the uniform instruments.</w:t>
      </w: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b/>
          <w:noProof/>
          <w:sz w:val="24"/>
          <w:szCs w:val="24"/>
        </w:rPr>
      </w:pPr>
      <w:r>
        <w:rPr>
          <w:rFonts w:ascii="Times New Roman" w:hAnsi="Times New Roman" w:cs="Times New Roman"/>
          <w:b/>
          <w:noProof/>
          <w:sz w:val="24"/>
          <w:szCs w:val="24"/>
        </w:rPr>
        <w:t>6.2.3.2. Total number and size of all communications relating to assistance requests</w:t>
      </w:r>
    </w:p>
    <w:p>
      <w:pPr>
        <w:spacing w:before="60" w:after="60" w:line="240" w:lineRule="auto"/>
        <w:ind w:left="357" w:hanging="357"/>
        <w:jc w:val="both"/>
        <w:rPr>
          <w:rFonts w:ascii="Times New Roman" w:hAnsi="Times New Roman" w:cs="Times New Roman"/>
          <w:b/>
          <w:noProof/>
          <w:sz w:val="24"/>
          <w:szCs w:val="24"/>
        </w:rPr>
      </w:pPr>
    </w:p>
    <w:p>
      <w:pPr>
        <w:spacing w:before="120" w:after="120" w:line="240" w:lineRule="auto"/>
        <w:ind w:left="360"/>
        <w:jc w:val="both"/>
        <w:rPr>
          <w:rFonts w:ascii="Times New Roman" w:hAnsi="Times New Roman" w:cs="Times New Roman"/>
          <w:noProof/>
          <w:spacing w:val="-8"/>
          <w:sz w:val="24"/>
          <w:szCs w:val="24"/>
        </w:rPr>
      </w:pPr>
      <w:r>
        <w:rPr>
          <w:rFonts w:ascii="Times New Roman" w:hAnsi="Times New Roman" w:cs="Times New Roman"/>
          <w:noProof/>
          <w:spacing w:val="-8"/>
          <w:sz w:val="24"/>
          <w:szCs w:val="24"/>
        </w:rPr>
        <w:t>The table below shows a continuous increase of the communications relating to recovery assistance requests since 2013. The majority of these communications relates to income tax claims.</w:t>
      </w:r>
    </w:p>
    <w:p>
      <w:pPr>
        <w:spacing w:after="120" w:line="240" w:lineRule="auto"/>
        <w:ind w:left="360"/>
        <w:rPr>
          <w:rFonts w:ascii="Times New Roman" w:hAnsi="Times New Roman" w:cs="Times New Roman"/>
          <w:noProof/>
          <w:sz w:val="24"/>
          <w:szCs w:val="24"/>
        </w:rPr>
      </w:pPr>
      <w:r>
        <w:rPr>
          <w:rFonts w:ascii="Times New Roman" w:hAnsi="Times New Roman" w:cs="Times New Roman"/>
          <w:i/>
          <w:noProof/>
          <w:sz w:val="24"/>
          <w:szCs w:val="24"/>
        </w:rPr>
        <w:t>Table 13: total number and total size of all messages (requests and follow-up messages) sent by all Member States (2013-2016, and average)</w:t>
      </w:r>
      <w:r>
        <w:rPr>
          <w:rFonts w:ascii="Times New Roman" w:hAnsi="Times New Roman" w:cs="Times New Roman"/>
          <w:noProof/>
          <w:sz w:val="24"/>
          <w:szCs w:val="24"/>
        </w:rPr>
        <w:t>:</w:t>
      </w:r>
    </w:p>
    <w:tbl>
      <w:tblPr>
        <w:tblW w:w="7455" w:type="dxa"/>
        <w:jc w:val="center"/>
        <w:tblInd w:w="93" w:type="dxa"/>
        <w:tblLook w:val="04A0" w:firstRow="1" w:lastRow="0" w:firstColumn="1" w:lastColumn="0" w:noHBand="0" w:noVBand="1"/>
      </w:tblPr>
      <w:tblGrid>
        <w:gridCol w:w="3000"/>
        <w:gridCol w:w="1380"/>
        <w:gridCol w:w="1220"/>
        <w:gridCol w:w="1855"/>
      </w:tblGrid>
      <w:tr>
        <w:trPr>
          <w:trHeight w:val="600"/>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Recovery e-mails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Year</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Message number</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Total size (in MB)</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Customs duties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2012 </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18781 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3.886,24 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14590</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2.033,43</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17007</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2.380,85</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15819</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2.405,09</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15441</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2.240,99</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16328</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2.589,32</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Value added tax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2012</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26668 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4.227,83 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21322</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2.710,87</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33837</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3.577,28</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38058</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4.495,52</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46172</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5.145,13</w:t>
            </w:r>
          </w:p>
        </w:tc>
      </w:tr>
      <w:tr>
        <w:trPr>
          <w:trHeight w:val="300"/>
          <w:jc w:val="center"/>
        </w:trPr>
        <w:tc>
          <w:tcPr>
            <w:tcW w:w="300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33211</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4.031,33</w:t>
            </w:r>
          </w:p>
        </w:tc>
      </w:tr>
      <w:tr>
        <w:trPr>
          <w:trHeight w:val="300"/>
          <w:jc w:val="center"/>
        </w:trPr>
        <w:tc>
          <w:tcPr>
            <w:tcW w:w="3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Excise duties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4476 </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400,69 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4095</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774,86</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4663</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668,60</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3992</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492,00</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6237</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696,06</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4693</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606,44</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Tax on income or capital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2012 </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70043 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7.527,34</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51196</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4.994,15</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68877</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6.196,94</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68807</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6.310,61</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81522</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7.423,41</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68089</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6.490,49</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Tax on insurance premiums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268 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31,76 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279</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57,29</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465</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68,88</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263</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263,28</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316</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319,47</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318</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148,14</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Inheritance and gift taxes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2012</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605 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68,77 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568</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79,90</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1331</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131,46</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973</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364,22</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1305</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469,57</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956</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222,78</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National taxes and duties on immovable property, other than the above-mentioned ones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2012</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1704 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193,80 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1805</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156,73</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3528</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278,46</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2779</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560,15</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3047</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619,51</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2573</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361,73</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4"/>
                <w:sz w:val="20"/>
                <w:szCs w:val="20"/>
                <w:lang w:eastAsia="en-GB"/>
              </w:rPr>
            </w:pPr>
            <w:r>
              <w:rPr>
                <w:rFonts w:ascii="Times New Roman" w:eastAsia="Times New Roman" w:hAnsi="Times New Roman" w:cs="Times New Roman"/>
                <w:noProof/>
                <w:color w:val="000000"/>
                <w:spacing w:val="-4"/>
                <w:sz w:val="20"/>
                <w:szCs w:val="20"/>
                <w:lang w:eastAsia="en-GB"/>
              </w:rPr>
              <w:t xml:space="preserve">National taxes and duties on the use or ownership of means of transport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2012 </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801 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82,63 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1253</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95,01</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2122</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135,89</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2744</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362,97</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4471</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482,88</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2278</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231,88</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4"/>
                <w:sz w:val="20"/>
                <w:szCs w:val="20"/>
                <w:lang w:eastAsia="en-GB"/>
              </w:rPr>
            </w:pPr>
            <w:r>
              <w:rPr>
                <w:rFonts w:ascii="Times New Roman" w:eastAsia="Times New Roman" w:hAnsi="Times New Roman" w:cs="Times New Roman"/>
                <w:noProof/>
                <w:color w:val="000000"/>
                <w:spacing w:val="-4"/>
                <w:sz w:val="20"/>
                <w:szCs w:val="20"/>
                <w:lang w:eastAsia="en-GB"/>
              </w:rPr>
              <w:t xml:space="preserve">Other taxes and duties levied by or on behalf of the (applicant) State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2012 </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495 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63,34 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813</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122,40</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1339</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185,32</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980</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331,82</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1284</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529,84</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982</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246,54</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Taxes and duties levied by or on behalf of territorial or administrative subdivisions of the (applicant) State, excluding taxes and duties levied by local authorities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422 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28,60 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1031</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119,93</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2636</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240,20</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2794</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678,92</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3861</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733,45</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2149</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360,22</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Taxes and duties levied by or on behalf of local authorities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2012 </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215 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17,56 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834</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112,50</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1383</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105,12</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934</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302,53</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1392</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419,66</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952</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191,47</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Other tax-based claim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2012 </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435 </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10,79 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495</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60,12</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1097</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190,32</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893</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363,75</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988</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301,07</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782</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185,21</w:t>
            </w:r>
          </w:p>
        </w:tc>
      </w:tr>
      <w:tr>
        <w:trPr>
          <w:trHeight w:val="300"/>
          <w:jc w:val="center"/>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Refunds, interventions and other measures forming part of the system of total or partial financing of the European Agricultural Guarantee Fund (EAGF) and the European Agricultural Fund for Rural Development (EAFRD), including sums to be collected in connection with these actions, and levies and other duties provided for under the common organisation of the market for the sugar sector </w:t>
            </w: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2012 </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250</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26,59 </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2013</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212</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33,07</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2014</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343</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54,70</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2015</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366</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55,93</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tcPr>
          <w:p>
            <w:pPr>
              <w:spacing w:after="0" w:line="240" w:lineRule="auto"/>
              <w:rPr>
                <w:rFonts w:ascii="Calibri" w:eastAsia="Times New Roman" w:hAnsi="Calibri"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2016</w:t>
            </w:r>
          </w:p>
        </w:tc>
        <w:tc>
          <w:tcPr>
            <w:tcW w:w="1220"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421</w:t>
            </w:r>
          </w:p>
        </w:tc>
        <w:tc>
          <w:tcPr>
            <w:tcW w:w="1855" w:type="dxa"/>
            <w:tcBorders>
              <w:top w:val="nil"/>
              <w:left w:val="nil"/>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182,19</w:t>
            </w:r>
          </w:p>
        </w:tc>
      </w:tr>
      <w:tr>
        <w:trPr>
          <w:trHeight w:val="300"/>
          <w:jc w:val="center"/>
        </w:trPr>
        <w:tc>
          <w:tcPr>
            <w:tcW w:w="300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20"/>
                <w:szCs w:val="20"/>
                <w:lang w:eastAsia="en-GB"/>
              </w:rPr>
            </w:pPr>
          </w:p>
        </w:tc>
        <w:tc>
          <w:tcPr>
            <w:tcW w:w="13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Average</w:t>
            </w:r>
          </w:p>
        </w:tc>
        <w:tc>
          <w:tcPr>
            <w:tcW w:w="12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318</w:t>
            </w:r>
          </w:p>
        </w:tc>
        <w:tc>
          <w:tcPr>
            <w:tcW w:w="18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70,50</w:t>
            </w:r>
          </w:p>
        </w:tc>
      </w:tr>
    </w:tbl>
    <w:p>
      <w:pPr>
        <w:spacing w:after="120" w:line="240" w:lineRule="auto"/>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b/>
          <w:noProof/>
          <w:sz w:val="24"/>
          <w:szCs w:val="24"/>
        </w:rPr>
      </w:pPr>
      <w:r>
        <w:rPr>
          <w:rFonts w:ascii="Times New Roman" w:hAnsi="Times New Roman" w:cs="Times New Roman"/>
          <w:b/>
          <w:noProof/>
          <w:sz w:val="24"/>
          <w:szCs w:val="24"/>
        </w:rPr>
        <w:t>6.2.3.3. Presence and assistance of officials of the applicant Member State in the territory of the requested State</w:t>
      </w:r>
    </w:p>
    <w:p>
      <w:pPr>
        <w:spacing w:before="120" w:after="120" w:line="240" w:lineRule="auto"/>
        <w:ind w:left="360" w:hanging="360"/>
        <w:jc w:val="both"/>
        <w:rPr>
          <w:rFonts w:ascii="Times New Roman" w:hAnsi="Times New Roman" w:cs="Times New Roman"/>
          <w:b/>
          <w:noProof/>
          <w:sz w:val="24"/>
          <w:szCs w:val="24"/>
        </w:rPr>
      </w:pPr>
    </w:p>
    <w:p>
      <w:pPr>
        <w:autoSpaceDE w:val="0"/>
        <w:autoSpaceDN w:val="0"/>
        <w:adjustRightInd w:val="0"/>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Article 7 of Directive 2010/24/EU introduced a possibility for tax recovery officials of one Member State to go to another Member State and to be present during administrative enquiries – or even to participate in these enquiries by interviewing individuals and examining records – and to assist officials of the requested Member State during court proceedings in that State.</w:t>
      </w:r>
      <w:r>
        <w:rPr>
          <w:rStyle w:val="FootnoteReference"/>
          <w:rFonts w:ascii="Times New Roman" w:hAnsi="Times New Roman" w:cs="Times New Roman"/>
          <w:noProof/>
          <w:sz w:val="24"/>
          <w:szCs w:val="24"/>
        </w:rPr>
        <w:footnoteReference w:id="31"/>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 to the Directive’s preamble (point 9), this presence or assistance on the territory of another Member State has been rendered possible ‘for reasons of efficiency’. It was considered to be a step forward in recovery assistance, as it could lead to a more active role of the applicant Member State in the assistance process.</w:t>
      </w:r>
    </w:p>
    <w:p>
      <w:pPr>
        <w:autoSpaceDE w:val="0"/>
        <w:autoSpaceDN w:val="0"/>
        <w:adjustRightInd w:val="0"/>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However, it appears that none of these new possibilities has been used yet,</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for different reasons.</w:t>
      </w:r>
    </w:p>
    <w:p>
      <w:pPr>
        <w:pStyle w:val="ListParagraph"/>
        <w:numPr>
          <w:ilvl w:val="0"/>
          <w:numId w:val="4"/>
        </w:numPr>
        <w:tabs>
          <w:tab w:val="left" w:pos="2362"/>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Member States reported that they did not yet have a case justifying the application of this measure (18 of 28). A few Member States also invoke other reasons: a lack of budgetary resources (6 of 28) or human resources (3 of 28), the costs of the visit (1 of 28), the fact that officials are not yet aware of this possibility (1 of 28).</w:t>
      </w:r>
    </w:p>
    <w:p>
      <w:pPr>
        <w:pStyle w:val="ListParagraph"/>
        <w:numPr>
          <w:ilvl w:val="0"/>
          <w:numId w:val="4"/>
        </w:numPr>
        <w:tabs>
          <w:tab w:val="left" w:pos="2362"/>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(Finland, Czech Republic) pointed out that the implementation of this provision could be complicated, as this presence of national officials on the territory of another Member State requires an agreement between the applicant authority and the requested authority, in accordance with the arrangements laid down by the requested authority. </w:t>
      </w:r>
    </w:p>
    <w:p>
      <w:pPr>
        <w:pStyle w:val="ListParagraph"/>
        <w:numPr>
          <w:ilvl w:val="0"/>
          <w:numId w:val="4"/>
        </w:numPr>
        <w:tabs>
          <w:tab w:val="left" w:pos="2362"/>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Two Member States (Finland and Sweden) observe that the use of this measure is not necessary, as the requested Member State's recovery procedure is entrusted, and that it could even be sensitive for the applicant Member State to appear on the spot in order to secure the quality of the recovery in the requested State.</w:t>
      </w:r>
    </w:p>
    <w:p>
      <w:pPr>
        <w:spacing w:before="120" w:after="12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6.2.3.4. Impact of the Fiscalis 2020 activities</w:t>
      </w:r>
    </w:p>
    <w:p>
      <w:pPr>
        <w:spacing w:before="120" w:after="120" w:line="240" w:lineRule="auto"/>
        <w:jc w:val="both"/>
        <w:rPr>
          <w:rFonts w:ascii="Times New Roman" w:hAnsi="Times New Roman" w:cs="Times New Roman"/>
          <w:b/>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Fiscalis 2020 activities (project groups and workshops) enlarged and improved the network of the competent national authorities, facilitating subsequent direct contacts that permitted them to solve more easily particular problems or questions concerning specific requests for recovery assistance.</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The discussions in the Fiscalis 2020 activities resulted in a number of suggestions for improving mutual recovery assistance in practice, e.g.:</w:t>
      </w:r>
    </w:p>
    <w:p>
      <w:pPr>
        <w:spacing w:before="120" w:after="120" w:line="240" w:lineRule="auto"/>
        <w:ind w:left="720" w:hanging="36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Pr>
          <w:rFonts w:ascii="Times New Roman" w:hAnsi="Times New Roman" w:cs="Times New Roman"/>
          <w:bCs/>
          <w:noProof/>
          <w:sz w:val="24"/>
          <w:szCs w:val="24"/>
        </w:rPr>
        <w:tab/>
        <w:t>taxable persons may request refunds of VAT credits in other Member States, in accordance with Directive 2008/9/EU. These refund requests must be introduced in the Member State of establishment, which allows this Member State to check whether the request relates to a taxable person who has outstanding tax debts. A Fiscalis 2020 workshop has allowed to raise the awareness about this seizure and offsetting possibility, and to discuss practical arrangements for the communication between the Member States;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bCs/>
          <w:noProof/>
          <w:sz w:val="24"/>
          <w:szCs w:val="24"/>
        </w:rPr>
        <w:t xml:space="preserve">- </w:t>
      </w:r>
      <w:r>
        <w:rPr>
          <w:rFonts w:ascii="Times New Roman" w:hAnsi="Times New Roman" w:cs="Times New Roman"/>
          <w:bCs/>
          <w:noProof/>
          <w:sz w:val="24"/>
          <w:szCs w:val="24"/>
        </w:rPr>
        <w:tab/>
        <w:t xml:space="preserve">on </w:t>
      </w:r>
      <w:r>
        <w:rPr>
          <w:rFonts w:ascii="Times New Roman" w:hAnsi="Times New Roman" w:cs="Times New Roman"/>
          <w:noProof/>
          <w:sz w:val="24"/>
          <w:szCs w:val="24"/>
        </w:rPr>
        <w:t>11 and 12 September 2014, the Commission organised a Fiscalis 2020 workshop to discuss (1°) the exchange of information between tax enforcement authorities, social security authorities and other public authorities, and (2°) the access to information with regard to the registration of cars, boats and airplanes. It appeared that in most Member States, there was insufficient communication between these authorities, and a lack of access to/exchange of information between them. This also has negative repercussions on the mutual recovery assistance. Following this workshop, the exchange of information with regard to vehicles is currently being discussed within the Recovery Expert Group;</w:t>
      </w:r>
    </w:p>
    <w:p>
      <w:pPr>
        <w:spacing w:before="120" w:after="120" w:line="240" w:lineRule="auto"/>
        <w:ind w:left="720" w:hanging="360"/>
        <w:jc w:val="both"/>
        <w:rPr>
          <w:rFonts w:ascii="Times New Roman" w:hAnsi="Times New Roman" w:cs="Times New Roman"/>
          <w:bCs/>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bCs/>
          <w:noProof/>
          <w:sz w:val="24"/>
          <w:szCs w:val="24"/>
        </w:rPr>
        <w:t>the Fiscalis 2020 workshop discussions on 27-28 October 2015 in Lisbon, which dealt with the use of precautionary measures, finally led to a consensus to complement the electronic request form with information to facilitate precautionary measures in the requested Member State;</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at the Fiscalis 2020 workshop in Tallinn on 24-25 May 2016, Member States discussed best practices to retrace missing debtors.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As the exchange of information on the development of national recovery facilities and instruments is beneficial for all Member States, the Fiscalis 2020 workshops organised since October 2015 explicitly provide an opportunity for all Member States to report (in writing and orally) about new developments in their national tax collection and recovery legislation and practice.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The Fiscalis 2020 activities were also very useful to develop the electronic version of the request forms, and to provide training to the national officials who have to use these forms.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t xml:space="preserve">Despite the general positive evaluation of the Fiscalis 2020 activities, some concerns exist with regard the unequal level of participation of Member States.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Some participants in Fiscalis 2020 workshops assist in a passive way, limiting their contribution to the obligatory elements (a written reply to the questionnaires sent in advance and a (short) presentation of actual developments in their country). The same could be experienced in some Fiscalis 2020 project groups. Some participants also appeared to have serious problems to express themselves in the working language of these meetings. Member States should therefore pay sufficient attention to the selection of their participants in the workshops and their candidates for the project groups.</w:t>
      </w:r>
    </w:p>
    <w:p>
      <w:pPr>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w:t>
      </w:r>
      <w:r>
        <w:rPr>
          <w:rFonts w:ascii="Times New Roman" w:hAnsi="Times New Roman" w:cs="Times New Roman"/>
          <w:noProof/>
          <w:sz w:val="24"/>
          <w:szCs w:val="24"/>
          <w:lang w:eastAsia="en-GB"/>
        </w:rPr>
        <w:tab/>
        <w:t xml:space="preserve">The participation in the Fiscalis 2020 workshops is normally limited to one or two persons per Member State. Although participants are invited to report to their national administrations about the information exchanged and the outcome of the discussions in the Fiscalis 2020 activities, there is not always a clear evidence that this information is effectively disseminated and used within the national administrations. </w:t>
      </w:r>
      <w:r>
        <w:rPr>
          <w:rFonts w:ascii="Times New Roman" w:hAnsi="Times New Roman" w:cs="Times New Roman"/>
          <w:noProof/>
          <w:sz w:val="24"/>
          <w:szCs w:val="24"/>
        </w:rPr>
        <w:t>Therefore, the Commission services ensure that reports of these workshops (including all presentations, national contributions to questionnaires, and an overview of the conclusions) are put at the disposal of all tax authorities via the dedicated websites.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lang w:eastAsia="en-GB"/>
        </w:rPr>
        <w:t>g.</w:t>
      </w:r>
      <w:r>
        <w:rPr>
          <w:rFonts w:ascii="Times New Roman" w:hAnsi="Times New Roman" w:cs="Times New Roman"/>
          <w:noProof/>
          <w:sz w:val="24"/>
          <w:szCs w:val="24"/>
          <w:lang w:eastAsia="en-GB"/>
        </w:rPr>
        <w:tab/>
        <w:t>S</w:t>
      </w:r>
      <w:r>
        <w:rPr>
          <w:rFonts w:ascii="Times New Roman" w:hAnsi="Times New Roman" w:cs="Times New Roman"/>
          <w:noProof/>
          <w:sz w:val="24"/>
          <w:szCs w:val="24"/>
        </w:rPr>
        <w:t>everal Member States have expressed the wish to have more guidance on the interpretation and application of the EU rules in this field. It appears that not all tax officials are fully aware of the possibilities and requirements for requesting this assistance. Questions raised in the Recovery Expert Group and questions submitted to the Commission also confirm that the rules and possibilities for recovery assistance are not always clearly understood.</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Several actions have already been taken to better inform the national tax authorities (e.g. Fiscalis 2020 seminars and workshops, explanatory notes for the national tax authorities, a newsletter on national and international developments in the field of tax collection and recovery and recovery assistance). </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participation in Fiscalis 2020 events is somehow limited and specific training programs for national authorities could still be useful. </w:t>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before="120" w:after="120" w:line="240" w:lineRule="auto"/>
        <w:jc w:val="both"/>
        <w:rPr>
          <w:rFonts w:ascii="Times New Roman" w:hAnsi="Times New Roman" w:cs="Times New Roman"/>
          <w:b/>
          <w:noProof/>
          <w:sz w:val="24"/>
          <w:szCs w:val="24"/>
        </w:rPr>
      </w:pPr>
    </w:p>
    <w:p>
      <w:pPr>
        <w:pStyle w:val="Heading2"/>
        <w:rPr>
          <w:noProof/>
        </w:rPr>
      </w:pPr>
      <w:r>
        <w:rPr>
          <w:noProof/>
        </w:rPr>
        <w:t xml:space="preserve">6.3. To what extent the provisions are relevant to the needs of the Member States? </w:t>
      </w:r>
    </w:p>
    <w:p>
      <w:pPr>
        <w:rPr>
          <w:noProof/>
          <w:highlight w:val="yellow"/>
        </w:rPr>
      </w:pPr>
    </w:p>
    <w:p>
      <w:pPr>
        <w:pStyle w:val="Heading4"/>
        <w:rPr>
          <w:noProof/>
          <w:sz w:val="24"/>
          <w:szCs w:val="24"/>
        </w:rPr>
      </w:pPr>
      <w:r>
        <w:rPr>
          <w:noProof/>
          <w:sz w:val="24"/>
          <w:szCs w:val="24"/>
        </w:rPr>
        <w:t>6.3.1. Did the Directive meet the needs for which it was adopted?</w:t>
      </w:r>
    </w:p>
    <w:p>
      <w:pPr>
        <w:rPr>
          <w:noProof/>
        </w:rPr>
      </w:pPr>
    </w:p>
    <w:p>
      <w:pPr>
        <w:rPr>
          <w:rFonts w:ascii="Times New Roman" w:hAnsi="Times New Roman" w:cs="Times New Roman"/>
          <w:b/>
          <w:noProof/>
          <w:sz w:val="24"/>
          <w:szCs w:val="24"/>
        </w:rPr>
      </w:pPr>
      <w:r>
        <w:rPr>
          <w:rFonts w:ascii="Times New Roman" w:hAnsi="Times New Roman" w:cs="Times New Roman"/>
          <w:b/>
          <w:noProof/>
          <w:sz w:val="24"/>
          <w:szCs w:val="24"/>
        </w:rPr>
        <w:t>6.3.1.1. Main priorities of Member States with regard to mutual recovery assistance</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main priorities of Member States with regard to mutual recovery assistance are: improving the revenue collection, reducing tax fraud and evasion, and reducing the administrative burden and cost related to recovery assistance. Tax recovery assistance helps directly to achieve these goals, but also indirectly: the existence of recovery assistance has a preventive effect and stimulates tax compliance.</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The main difficulties reported by national administrations with regard to mutual tax recovery assistance fall into different categories: </w:t>
      </w:r>
    </w:p>
    <w:p>
      <w:pPr>
        <w:pStyle w:val="ListParagraph"/>
        <w:numPr>
          <w:ilvl w:val="0"/>
          <w:numId w:val="7"/>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are related to the cooperation between the tax authorities of different Member States. Many Member States report they face a lack of staff. The exchange between the countries involved is time-consuming and it may take a long time before replies to assistance requests are received. It is even stated that "some countries" are not really helpful (see point 6.1.1.3.);</w:t>
      </w:r>
    </w:p>
    <w:p>
      <w:pPr>
        <w:pStyle w:val="ListParagraph"/>
        <w:numPr>
          <w:ilvl w:val="0"/>
          <w:numId w:val="7"/>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other problems relate to the person of the debtor and the specific recovery possibilities. The assets found may be insufficient to recover the whole claim, or it may be difficult to find the debtor and his/her assets; </w:t>
      </w:r>
    </w:p>
    <w:p>
      <w:pPr>
        <w:pStyle w:val="ListParagraph"/>
        <w:numPr>
          <w:ilvl w:val="0"/>
          <w:numId w:val="7"/>
        </w:numPr>
        <w:tabs>
          <w:tab w:val="left" w:pos="2362"/>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assistance also seems to be negatively affected by differences in national legislations and administrative practices (different competences of tax authorities; different conditions for enforcement or precautionary measures; differences in available or accessible information, different limitation period arrangements, etc.). </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The Directive provides for the same types of recovery assistance as other bilateral or multilateral agreements for recovery assistance: requests for information, requests for notification, requests for recovery and precautionary measures. The main differences between the Directive and these other legal instruments relate to the broad scope of the Directive (which is much broader than all other agreements), the use of the uniform instruments and the detailed arrangements for the execution of requests and the communication between the authorities concerned.</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Several authors have observed that the mechanism of the EU Directive permits a much more efficient regime for assistance in tax recovery than other agreements.</w:t>
      </w:r>
      <w:r>
        <w:rPr>
          <w:rStyle w:val="FootnoteReference"/>
          <w:rFonts w:ascii="Times New Roman" w:hAnsi="Times New Roman" w:cs="Times New Roman"/>
          <w:noProof/>
          <w:sz w:val="24"/>
          <w:szCs w:val="24"/>
        </w:rPr>
        <w:footnoteReference w:id="33"/>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d. </w:t>
      </w:r>
      <w:r>
        <w:rPr>
          <w:rFonts w:ascii="Times New Roman" w:hAnsi="Times New Roman" w:cs="Times New Roman"/>
          <w:noProof/>
          <w:sz w:val="24"/>
          <w:szCs w:val="24"/>
        </w:rPr>
        <w:tab/>
        <w:t>Article 27(1) of Council Directive 2010/24/EU provides that the Directive is without prejudice to the fulfilment of any obligation to provide wider assistance ensuing from bilateral or multilateral agreements or arrangements, including for the notification of legal or extra-legal acts.</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practice, the very wide scope (Article 2), the rather broad conditions for assistance requests (Articles 5, 8, 11 and 16) and the priority rule (Article 27(1)) of the Directive have resulted in a situation where other bilateral or multilateral agreements are rarely used.</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In fact, most Member States (Austria, Bulgaria, Croatia, Cyprus, Czech Republic, Estonia, Hungary, Ireland, Italy, Lithuania, Malta, Portugal, Slovenia and Slovak Republic) (almost) never use any other legal instrument for tax recovery assistance with other Member States.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e. </w:t>
      </w:r>
      <w:r>
        <w:rPr>
          <w:rFonts w:ascii="Times New Roman" w:hAnsi="Times New Roman" w:cs="Times New Roman"/>
          <w:noProof/>
          <w:sz w:val="24"/>
          <w:szCs w:val="24"/>
        </w:rPr>
        <w:tab/>
        <w:t>Some Member States (Belgium, Germany, Greece, France, Italy, Luxemburg, the Netherlands, Poland) however reported that they sometimes use other legal instruments (normally bilateral conventions with specific other Member States; exceptionally the Council of Europe-OECD convention or the Benelux convention) for older claims or for claims below the threshold of 1500 €, as: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the Directive does not oblige Member States to grant assistance if the initial request for assistance is made in respect of claims which are more than 5 – or sometimes 10 years – old, dating from the due date of the claim in the applicant Member State to the date of the initial request for assistance (Article 18(2));</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the Directive does not oblige Member States to take recovery or precautionary measures at the request of other Member States if the total amount of the claims is less than 1500 € (Article 18(3)).</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This tendency of some Member States to request assistance for older and lower claims on the basis of other legal instruments also raises some concerns:</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an efficiency concern: the use of other legal instruments implies the application of other conditions and requirements and thus inevitably increases the complexity for the officials concerned;</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a legal concern: as Article 18 of the Directive does not forbid the requested Member State to provide recovery assistance for older or lower claims, Member States providing recovery assistance for such claims on the basis of a different legal instrument take the risk that tax debtors argue that this recovery assistance is invalid because it is violating the priority of the EU Directive.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f. </w:t>
      </w:r>
      <w:r>
        <w:rPr>
          <w:rFonts w:ascii="Times New Roman" w:hAnsi="Times New Roman" w:cs="Times New Roman"/>
          <w:noProof/>
          <w:sz w:val="24"/>
          <w:szCs w:val="24"/>
        </w:rPr>
        <w:tab/>
        <w:t>One Member State (the Netherlands) observed that the exchange of information without prior request (Article 6 of the Directive) is now limited to refunds of taxes or duties, other than VAT. This Member State exchanges other information without prior request on the basis of a bilateral tax agreement.</w:t>
      </w:r>
    </w:p>
    <w:p>
      <w:pPr>
        <w:tabs>
          <w:tab w:val="left" w:pos="2362"/>
        </w:tabs>
        <w:spacing w:before="120" w:after="120" w:line="240" w:lineRule="auto"/>
        <w:jc w:val="both"/>
        <w:rPr>
          <w:rFonts w:ascii="Times New Roman" w:hAnsi="Times New Roman" w:cs="Times New Roman"/>
          <w:noProof/>
          <w:sz w:val="24"/>
          <w:szCs w:val="24"/>
        </w:rPr>
      </w:pPr>
    </w:p>
    <w:p>
      <w:pPr>
        <w:pStyle w:val="Heading4"/>
        <w:rPr>
          <w:rFonts w:ascii="Times New Roman" w:hAnsi="Times New Roman" w:cs="Times New Roman"/>
          <w:i w:val="0"/>
          <w:noProof/>
          <w:color w:val="auto"/>
          <w:sz w:val="24"/>
          <w:szCs w:val="24"/>
        </w:rPr>
      </w:pPr>
      <w:r>
        <w:rPr>
          <w:rFonts w:ascii="Times New Roman" w:hAnsi="Times New Roman" w:cs="Times New Roman"/>
          <w:i w:val="0"/>
          <w:noProof/>
          <w:color w:val="auto"/>
          <w:sz w:val="24"/>
          <w:szCs w:val="24"/>
        </w:rPr>
        <w:t>6.3.1.2. Problems encountered with the Directive by applicant States</w:t>
      </w:r>
    </w:p>
    <w:p>
      <w:pPr>
        <w:spacing w:after="120" w:line="240" w:lineRule="auto"/>
        <w:ind w:left="360" w:hanging="360"/>
        <w:jc w:val="both"/>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No major problems were reported, but several suggestions have been made for further improvement of the EU legislation (see point 6.3.2.).</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Member States regularly make suggestions for the further development of the electronic request forms. These electronic request forms are indeed continuously improved. The latest version is applied by the Member States from 1 June 2016, and a new update has been launched in 2017. The next step should be the introduction of the Central Platform for the e-forms (foreseen for 1 January 2019).</w:t>
      </w:r>
    </w:p>
    <w:p>
      <w:pPr>
        <w:spacing w:after="120" w:line="240" w:lineRule="auto"/>
        <w:jc w:val="both"/>
        <w:rPr>
          <w:rFonts w:ascii="Times New Roman" w:hAnsi="Times New Roman" w:cs="Times New Roman"/>
          <w:b/>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6.3.1.3. Problems encountered with the Directive by requested States</w:t>
      </w:r>
    </w:p>
    <w:p>
      <w:pPr>
        <w:spacing w:after="120" w:line="240" w:lineRule="auto"/>
        <w:jc w:val="both"/>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13 Member States reported that, as requested States, they do not have major problems with the Directive.</w:t>
      </w:r>
      <w:r>
        <w:rPr>
          <w:rStyle w:val="FootnoteReference"/>
          <w:rFonts w:ascii="Times New Roman" w:hAnsi="Times New Roman" w:cs="Times New Roman"/>
          <w:noProof/>
          <w:sz w:val="24"/>
          <w:szCs w:val="24"/>
        </w:rPr>
        <w:t xml:space="preserve"> </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Other Member States reported that there are some differences in interpretation, and that the broad scope makes it sometimes difficult to define the competent authority.</w:t>
      </w:r>
    </w:p>
    <w:p>
      <w:pPr>
        <w:spacing w:after="120" w:line="240" w:lineRule="auto"/>
        <w:ind w:left="360" w:hanging="360"/>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6.3.1.4. Effects of the broadening of the scope</w:t>
      </w:r>
    </w:p>
    <w:p>
      <w:pPr>
        <w:spacing w:before="120" w:after="120" w:line="240" w:lineRule="auto"/>
        <w:jc w:val="both"/>
        <w:rPr>
          <w:rFonts w:ascii="Times New Roman" w:hAnsi="Times New Roman" w:cs="Times New Roman"/>
          <w:b/>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statistics communicated by the Member States make it clear that most recovery assistance cases still relate to VAT and income taxes, i.e. claims for which mutual assistance already existed under the former Directive:</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35"/>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i/>
          <w:noProof/>
          <w:sz w:val="24"/>
          <w:szCs w:val="24"/>
        </w:rPr>
        <w:t>Table 14: Nature of the claims for which recovery assistance is requested, on the basis of the amounts of the claims concerned:</w:t>
      </w:r>
    </w:p>
    <w:tbl>
      <w:tblPr>
        <w:tblW w:w="7695" w:type="dxa"/>
        <w:jc w:val="center"/>
        <w:tblInd w:w="93" w:type="dxa"/>
        <w:tblLayout w:type="fixed"/>
        <w:tblLook w:val="0000" w:firstRow="0" w:lastRow="0" w:firstColumn="0" w:lastColumn="0" w:noHBand="0" w:noVBand="0"/>
      </w:tblPr>
      <w:tblGrid>
        <w:gridCol w:w="1656"/>
        <w:gridCol w:w="1496"/>
        <w:gridCol w:w="1663"/>
        <w:gridCol w:w="1440"/>
        <w:gridCol w:w="1440"/>
      </w:tblGrid>
      <w:tr>
        <w:trPr>
          <w:trHeight w:val="212"/>
          <w:jc w:val="center"/>
        </w:trPr>
        <w:tc>
          <w:tcPr>
            <w:tcW w:w="1656"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p>
        </w:tc>
        <w:tc>
          <w:tcPr>
            <w:tcW w:w="1496" w:type="dxa"/>
            <w:tcBorders>
              <w:top w:val="single" w:sz="8" w:space="0" w:color="auto"/>
              <w:left w:val="single" w:sz="8" w:space="0" w:color="auto"/>
              <w:bottom w:val="single" w:sz="8" w:space="0" w:color="auto"/>
              <w:right w:val="single" w:sz="8" w:space="0" w:color="auto"/>
            </w:tcBorders>
            <w:shd w:val="clear" w:color="auto" w:fill="003E9A"/>
            <w:noWrap/>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VAT</w:t>
            </w:r>
          </w:p>
        </w:tc>
        <w:tc>
          <w:tcPr>
            <w:tcW w:w="1663" w:type="dxa"/>
            <w:tcBorders>
              <w:top w:val="single" w:sz="8" w:space="0" w:color="auto"/>
              <w:left w:val="single" w:sz="8" w:space="0" w:color="auto"/>
              <w:bottom w:val="single" w:sz="8" w:space="0" w:color="auto"/>
              <w:right w:val="single" w:sz="8" w:space="0" w:color="auto"/>
            </w:tcBorders>
            <w:shd w:val="clear" w:color="auto" w:fill="6B991F"/>
            <w:noWrap/>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income/capital taxes</w:t>
            </w:r>
          </w:p>
        </w:tc>
        <w:tc>
          <w:tcPr>
            <w:tcW w:w="1440" w:type="dxa"/>
            <w:tcBorders>
              <w:top w:val="single" w:sz="8" w:space="0" w:color="auto"/>
              <w:left w:val="single" w:sz="8" w:space="0" w:color="auto"/>
              <w:bottom w:val="single" w:sz="8" w:space="0" w:color="auto"/>
              <w:right w:val="single" w:sz="8" w:space="0" w:color="auto"/>
            </w:tcBorders>
            <w:shd w:val="clear" w:color="auto" w:fill="AFFFFF"/>
            <w:noWrap/>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customs</w:t>
            </w:r>
          </w:p>
        </w:tc>
        <w:tc>
          <w:tcPr>
            <w:tcW w:w="1440" w:type="dxa"/>
            <w:tcBorders>
              <w:top w:val="single" w:sz="8" w:space="0" w:color="auto"/>
              <w:left w:val="single" w:sz="8" w:space="0" w:color="auto"/>
              <w:bottom w:val="single" w:sz="8" w:space="0" w:color="auto"/>
              <w:right w:val="single" w:sz="8" w:space="0" w:color="auto"/>
            </w:tcBorders>
            <w:shd w:val="clear" w:color="auto" w:fill="009A96"/>
            <w:noWrap/>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other taxes and claims</w:t>
            </w:r>
            <w:r>
              <w:rPr>
                <w:rStyle w:val="FootnoteReference"/>
                <w:rFonts w:ascii="Times New Roman" w:hAnsi="Times New Roman" w:cs="Times New Roman"/>
                <w:noProof/>
                <w:sz w:val="24"/>
                <w:szCs w:val="24"/>
              </w:rPr>
              <w:footnoteReference w:id="36"/>
            </w:r>
          </w:p>
        </w:tc>
      </w:tr>
      <w:tr>
        <w:trPr>
          <w:trHeight w:val="212"/>
          <w:jc w:val="center"/>
        </w:trPr>
        <w:tc>
          <w:tcPr>
            <w:tcW w:w="1656"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after="0" w:line="240" w:lineRule="auto"/>
              <w:jc w:val="center"/>
              <w:rPr>
                <w:rFonts w:ascii="Times New Roman" w:hAnsi="Times New Roman" w:cs="Times New Roman"/>
                <w:noProof/>
              </w:rPr>
            </w:pPr>
            <w:r>
              <w:rPr>
                <w:rFonts w:ascii="Times New Roman" w:hAnsi="Times New Roman" w:cs="Times New Roman"/>
                <w:noProof/>
              </w:rPr>
              <w:t>2011 (26 MS)</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62,48 %</w:t>
            </w:r>
          </w:p>
        </w:tc>
        <w:tc>
          <w:tcPr>
            <w:tcW w:w="1663"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28,68 %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3,44 %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5,40 %</w:t>
            </w:r>
          </w:p>
        </w:tc>
      </w:tr>
      <w:tr>
        <w:trPr>
          <w:trHeight w:val="212"/>
          <w:jc w:val="center"/>
        </w:trPr>
        <w:tc>
          <w:tcPr>
            <w:tcW w:w="1656"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after="0" w:line="240" w:lineRule="auto"/>
              <w:jc w:val="center"/>
              <w:rPr>
                <w:rFonts w:ascii="Times New Roman" w:hAnsi="Times New Roman" w:cs="Times New Roman"/>
                <w:noProof/>
              </w:rPr>
            </w:pPr>
            <w:r>
              <w:rPr>
                <w:rFonts w:ascii="Times New Roman" w:hAnsi="Times New Roman" w:cs="Times New Roman"/>
                <w:noProof/>
              </w:rPr>
              <w:t>2012 (26 MS)</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42 %</w:t>
            </w:r>
          </w:p>
        </w:tc>
        <w:tc>
          <w:tcPr>
            <w:tcW w:w="1663"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20 %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14 %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24 %</w:t>
            </w:r>
          </w:p>
        </w:tc>
      </w:tr>
      <w:tr>
        <w:trPr>
          <w:trHeight w:val="212"/>
          <w:jc w:val="center"/>
        </w:trPr>
        <w:tc>
          <w:tcPr>
            <w:tcW w:w="1656"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after="0" w:line="240" w:lineRule="auto"/>
              <w:jc w:val="center"/>
              <w:rPr>
                <w:rFonts w:ascii="Times New Roman" w:hAnsi="Times New Roman" w:cs="Times New Roman"/>
                <w:noProof/>
              </w:rPr>
            </w:pPr>
            <w:r>
              <w:rPr>
                <w:rFonts w:ascii="Times New Roman" w:hAnsi="Times New Roman" w:cs="Times New Roman"/>
                <w:noProof/>
              </w:rPr>
              <w:t>2013 (26 MS)</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57,83 %</w:t>
            </w:r>
          </w:p>
        </w:tc>
        <w:tc>
          <w:tcPr>
            <w:tcW w:w="1663"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18,37 %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1,67 %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22,13 %</w:t>
            </w:r>
          </w:p>
        </w:tc>
      </w:tr>
      <w:tr>
        <w:trPr>
          <w:trHeight w:val="212"/>
          <w:jc w:val="center"/>
        </w:trPr>
        <w:tc>
          <w:tcPr>
            <w:tcW w:w="1656"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after="0" w:line="240" w:lineRule="auto"/>
              <w:jc w:val="center"/>
              <w:rPr>
                <w:rFonts w:ascii="Times New Roman" w:hAnsi="Times New Roman" w:cs="Times New Roman"/>
                <w:noProof/>
              </w:rPr>
            </w:pPr>
            <w:r>
              <w:rPr>
                <w:rFonts w:ascii="Times New Roman" w:hAnsi="Times New Roman" w:cs="Times New Roman"/>
                <w:noProof/>
              </w:rPr>
              <w:t>2014 (27 MS)</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26,06 %</w:t>
            </w:r>
          </w:p>
        </w:tc>
        <w:tc>
          <w:tcPr>
            <w:tcW w:w="1663"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41,62 %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7,15 %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25,17 %</w:t>
            </w:r>
          </w:p>
        </w:tc>
      </w:tr>
      <w:tr>
        <w:trPr>
          <w:trHeight w:val="111"/>
          <w:jc w:val="center"/>
        </w:trPr>
        <w:tc>
          <w:tcPr>
            <w:tcW w:w="1656"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after="0" w:line="240" w:lineRule="auto"/>
              <w:jc w:val="center"/>
              <w:rPr>
                <w:rFonts w:ascii="Times New Roman" w:hAnsi="Times New Roman" w:cs="Times New Roman"/>
                <w:noProof/>
              </w:rPr>
            </w:pPr>
            <w:r>
              <w:rPr>
                <w:rFonts w:ascii="Times New Roman" w:hAnsi="Times New Roman" w:cs="Times New Roman"/>
                <w:noProof/>
              </w:rPr>
              <w:t>2015 (27 MS)</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49,73 %</w:t>
            </w:r>
          </w:p>
        </w:tc>
        <w:tc>
          <w:tcPr>
            <w:tcW w:w="1663"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36,98 %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3,88 %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9,41 %</w:t>
            </w:r>
          </w:p>
        </w:tc>
      </w:tr>
      <w:tr>
        <w:trPr>
          <w:trHeight w:val="111"/>
          <w:jc w:val="center"/>
        </w:trPr>
        <w:tc>
          <w:tcPr>
            <w:tcW w:w="1656"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after="0" w:line="240" w:lineRule="auto"/>
              <w:jc w:val="center"/>
              <w:rPr>
                <w:rFonts w:ascii="Times New Roman" w:hAnsi="Times New Roman" w:cs="Times New Roman"/>
                <w:noProof/>
              </w:rPr>
            </w:pPr>
            <w:r>
              <w:rPr>
                <w:rFonts w:ascii="Times New Roman" w:hAnsi="Times New Roman" w:cs="Times New Roman"/>
                <w:noProof/>
              </w:rPr>
              <w:t>2016 (27 MS)</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40,16 %</w:t>
            </w:r>
          </w:p>
        </w:tc>
        <w:tc>
          <w:tcPr>
            <w:tcW w:w="1663"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24,64 %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6,16 %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after="0" w:line="240" w:lineRule="auto"/>
              <w:jc w:val="center"/>
              <w:rPr>
                <w:rFonts w:ascii="Arial" w:hAnsi="Arial" w:cs="Arial"/>
                <w:noProof/>
                <w:sz w:val="20"/>
                <w:szCs w:val="20"/>
              </w:rPr>
            </w:pPr>
            <w:r>
              <w:rPr>
                <w:rFonts w:ascii="Arial" w:hAnsi="Arial" w:cs="Arial"/>
                <w:noProof/>
                <w:sz w:val="20"/>
                <w:szCs w:val="20"/>
              </w:rPr>
              <w:t>29,04 %</w:t>
            </w:r>
          </w:p>
        </w:tc>
      </w:tr>
    </w:tbl>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2013, 2015 and 2016, the biggest amounts in recovery requests related to VAT; in 2014, direct taxes represented the biggest amount in recovery requests.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However, most messages are sent from the mailboxes set up for recovery assistance in the field of direct taxes (see table 15 below). On average, the number of messages sent from direct tax mailboxes in the period 2013-2016 was twice as high as the number of messages sent from VAT mailboxes.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120" w:after="120" w:line="240" w:lineRule="auto"/>
        <w:ind w:left="360" w:hanging="360"/>
        <w:jc w:val="both"/>
        <w:rPr>
          <w:rFonts w:ascii="Times New Roman" w:hAnsi="Times New Roman" w:cs="Times New Roman"/>
          <w:noProof/>
          <w:sz w:val="24"/>
          <w:szCs w:val="24"/>
        </w:rPr>
      </w:pPr>
    </w:p>
    <w:p>
      <w:pPr>
        <w:spacing w:after="120" w:line="240" w:lineRule="auto"/>
        <w:ind w:left="360"/>
        <w:rPr>
          <w:rFonts w:ascii="Times New Roman" w:hAnsi="Times New Roman" w:cs="Times New Roman"/>
          <w:noProof/>
          <w:sz w:val="24"/>
          <w:szCs w:val="24"/>
        </w:rPr>
      </w:pPr>
      <w:r>
        <w:rPr>
          <w:rFonts w:ascii="Times New Roman" w:hAnsi="Times New Roman" w:cs="Times New Roman"/>
          <w:i/>
          <w:noProof/>
          <w:sz w:val="24"/>
          <w:szCs w:val="24"/>
        </w:rPr>
        <w:t>Table 15: total number of all messages (requests and follow-up messages) sent by all Member States (2013-2016)</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37"/>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inline distT="0" distB="0" distL="0" distR="0">
                <wp:extent cx="159489" cy="109576"/>
                <wp:effectExtent l="0" t="0" r="12065" b="24130"/>
                <wp:docPr id="6" name="Rectangle 6"/>
                <wp:cNvGraphicFramePr/>
                <a:graphic xmlns:a="http://schemas.openxmlformats.org/drawingml/2006/main">
                  <a:graphicData uri="http://schemas.microsoft.com/office/word/2010/wordprocessingShape">
                    <wps:wsp>
                      <wps:cNvSpPr/>
                      <wps:spPr>
                        <a:xfrm>
                          <a:off x="0" y="0"/>
                          <a:ext cx="159489" cy="109576"/>
                        </a:xfrm>
                        <a:prstGeom prst="rect">
                          <a:avLst/>
                        </a:prstGeom>
                        <a:solidFill>
                          <a:srgbClr val="6B991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style="width:12.55pt;height: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" fillcolor="#6b991f" strokecolor="black [3213]" strokeweight=".5pt">
                <w10:anchorlock/>
              </v:rect>
            </w:pict>
          </mc:Fallback>
        </mc:AlternateContent>
      </w:r>
      <w:r>
        <w:rPr>
          <w:rFonts w:ascii="Times New Roman" w:hAnsi="Times New Roman" w:cs="Times New Roman"/>
          <w:i/>
          <w:noProof/>
          <w:sz w:val="24"/>
          <w:szCs w:val="24"/>
        </w:rPr>
        <w:t xml:space="preserve"> claims relating to taxes on income and capital</w:t>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159385" cy="1276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solidFill>
                      <a:srgbClr val="003E9A"/>
                    </a:solidFill>
                    <a:ln>
                      <a:noFill/>
                    </a:ln>
                  </pic:spPr>
                </pic:pic>
              </a:graphicData>
            </a:graphic>
          </wp:inline>
        </w:drawing>
      </w:r>
      <w:r>
        <w:rPr>
          <w:rFonts w:ascii="Times New Roman" w:hAnsi="Times New Roman" w:cs="Times New Roman"/>
          <w:i/>
          <w:noProof/>
          <w:sz w:val="24"/>
          <w:szCs w:val="24"/>
        </w:rPr>
        <w:t xml:space="preserve"> claims relating to VAT</w:t>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159385" cy="1276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Pr>
          <w:rFonts w:ascii="Times New Roman" w:hAnsi="Times New Roman" w:cs="Times New Roman"/>
          <w:i/>
          <w:noProof/>
          <w:sz w:val="24"/>
          <w:szCs w:val="24"/>
        </w:rPr>
        <w:t xml:space="preserve"> claims relating to customs duties</w:t>
      </w:r>
    </w:p>
    <w:p>
      <w:pPr>
        <w:spacing w:before="120" w:after="120" w:line="240" w:lineRule="auto"/>
        <w:ind w:left="360"/>
        <w:rPr>
          <w:rFonts w:ascii="Times New Roman" w:hAnsi="Times New Roman" w:cs="Times New Roman"/>
          <w:i/>
          <w:noProof/>
          <w:sz w:val="24"/>
          <w:szCs w:val="24"/>
        </w:rPr>
      </w:pPr>
      <w:r>
        <w:rPr>
          <w:rFonts w:ascii="Times New Roman" w:hAnsi="Times New Roman" w:cs="Times New Roman"/>
          <w:noProof/>
          <w:sz w:val="24"/>
          <w:szCs w:val="24"/>
          <w:lang w:val="en-US"/>
        </w:rPr>
        <w:drawing>
          <wp:inline distT="0" distB="0" distL="0" distR="0">
            <wp:extent cx="159385" cy="1276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Pr>
          <w:rFonts w:ascii="Times New Roman" w:hAnsi="Times New Roman" w:cs="Times New Roman"/>
          <w:i/>
          <w:noProof/>
          <w:sz w:val="24"/>
          <w:szCs w:val="24"/>
        </w:rPr>
        <w:t xml:space="preserve"> other claims</w:t>
      </w:r>
    </w:p>
    <w:p>
      <w:pPr>
        <w:spacing w:after="120" w:line="240" w:lineRule="auto"/>
        <w:rPr>
          <w:rFonts w:ascii="Times New Roman" w:hAnsi="Times New Roman" w:cs="Times New Roman"/>
          <w:noProof/>
          <w:sz w:val="24"/>
          <w:szCs w:val="24"/>
        </w:rPr>
      </w:pPr>
    </w:p>
    <w:p>
      <w:pPr>
        <w:spacing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486400" cy="3795622"/>
            <wp:effectExtent l="0" t="0" r="1905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pacing w:after="120" w:line="240" w:lineRule="auto"/>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Of course, the fact that VAT and income/capital taxes represent the biggest tax categories in mutual recovery assistance is not surprising: these taxes are the most important ones, involving the largest amounts.</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However, a majority of Member States confirmed that it is useful to have the scope of the Directive extended.  These Member States (16 of 27) consider that the broadening of the scope has improved the collection of tax revenue via mutual recovery assistance. A considerable number of Member States (10 of 27) also reported that creating the possibility to request recovery assistance for other taxes and duties than those falling within the pre-existing categories has had a positive effect on the payment and collection of these taxes in their own Member State. </w:t>
      </w:r>
    </w:p>
    <w:p>
      <w:pPr>
        <w:spacing w:before="120" w:after="120" w:line="240" w:lineRule="auto"/>
        <w:ind w:left="360"/>
        <w:jc w:val="both"/>
        <w:rPr>
          <w:rFonts w:ascii="Times New Roman" w:hAnsi="Times New Roman" w:cs="Times New Roman"/>
          <w:noProof/>
          <w:sz w:val="24"/>
          <w:szCs w:val="24"/>
        </w:rPr>
      </w:pPr>
    </w:p>
    <w:p>
      <w:pPr>
        <w:pStyle w:val="Heading4"/>
        <w:rPr>
          <w:noProof/>
          <w:sz w:val="24"/>
          <w:szCs w:val="24"/>
        </w:rPr>
      </w:pPr>
      <w:r>
        <w:rPr>
          <w:noProof/>
          <w:sz w:val="24"/>
          <w:szCs w:val="24"/>
        </w:rPr>
        <w:t>6.3.2. Are there other needs?</w:t>
      </w:r>
    </w:p>
    <w:p>
      <w:pPr>
        <w:spacing w:before="120" w:after="120" w:line="240" w:lineRule="auto"/>
        <w:ind w:left="360" w:hanging="360"/>
        <w:jc w:val="both"/>
        <w:rPr>
          <w:rFonts w:ascii="Times New Roman" w:hAnsi="Times New Roman" w:cs="Times New Roman"/>
          <w:b/>
          <w:noProof/>
          <w:sz w:val="24"/>
          <w:szCs w:val="24"/>
        </w:rPr>
      </w:pPr>
    </w:p>
    <w:p>
      <w:pPr>
        <w:spacing w:before="120" w:after="120" w:line="240" w:lineRule="auto"/>
        <w:ind w:left="360" w:hanging="360"/>
        <w:jc w:val="both"/>
        <w:rPr>
          <w:rFonts w:ascii="Times New Roman" w:hAnsi="Times New Roman" w:cs="Times New Roman"/>
          <w:b/>
          <w:noProof/>
          <w:sz w:val="24"/>
          <w:szCs w:val="24"/>
        </w:rPr>
      </w:pPr>
      <w:r>
        <w:rPr>
          <w:rFonts w:ascii="Times New Roman" w:hAnsi="Times New Roman" w:cs="Times New Roman"/>
          <w:b/>
          <w:noProof/>
          <w:sz w:val="24"/>
          <w:szCs w:val="24"/>
        </w:rPr>
        <w:t>6.3.2.1. Need for a further extension of the scope?</w:t>
      </w: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Several Member States have suggested a further extension of the scope of the recovery assistance Directive, in order to include other (public) claims for which there is no recovery assistance framework yet (Belgium, Estonia, France, the Netherlands, Portugal, Romania, Spain, Sweden).</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Several Member States also deplored the fact that recovery assistance for social security claims is organised differently. </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current rules concerning assistance for the recovery of social security claims are laid down in different legal instruments, adopted on a different legal basis (Regulations 883/2004 and 987/2009). This social security claims legislation follows the former legislation concerning tax recovery assistance (Directive 2008/55/EC). On 13 December 2016 the Commission has presented a proposal for a Regulation of the European Parliament and of the Council to amend Regulation 883/2004 on the coordination of social security systems and the implementing Regulation 987/2009. If adopted, this new legislation would align the recovery assistance provisions for social security claims to the current rules for tax recovery assistance.</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any case, it is considered to be a disadvantage that the communication network is different, which implies that it is not possible to send joint requests, covering tax and social security claims. The obligation to send two different requests for each type of these claims is an extra administrative burden for the Member States where recovery of taxes and social security claims is done by the same authorities.</w:t>
      </w:r>
      <w:r>
        <w:rPr>
          <w:rStyle w:val="FootnoteReference"/>
          <w:rFonts w:ascii="Times New Roman" w:hAnsi="Times New Roman" w:cs="Times New Roman"/>
          <w:noProof/>
          <w:sz w:val="24"/>
          <w:szCs w:val="24"/>
        </w:rPr>
        <w:footnoteReference w:id="38"/>
      </w:r>
      <w:r>
        <w:rPr>
          <w:rFonts w:ascii="Times New Roman" w:hAnsi="Times New Roman" w:cs="Times New Roman"/>
          <w:noProof/>
          <w:color w:val="FF0000"/>
          <w:sz w:val="24"/>
          <w:szCs w:val="24"/>
        </w:rPr>
        <w:t xml:space="preserve">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The Belgian Court of Audit in its report of October 2014 also recommended a further extension of the scope, e.g. to alimony payments (which in Belgium are recovered by the tax authorities if they are not paid spontaneously), and other claims linked to decisions in criminal matters, and social security claims.</w:t>
      </w:r>
      <w:r>
        <w:rPr>
          <w:rStyle w:val="FootnoteReference"/>
          <w:rFonts w:ascii="Times New Roman" w:hAnsi="Times New Roman" w:cs="Times New Roman"/>
          <w:noProof/>
          <w:sz w:val="24"/>
          <w:szCs w:val="24"/>
        </w:rPr>
        <w:footnoteReference w:id="39"/>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In the replies to the evaluation questionnaire, only 3 Member States (Italy, Luxemburg, Spain) consider that the scope is somewhat unclear.</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On this point, it can be noted that several questions have also been raised in the Recovery Expert Group, with regard to the possibility to use the Directive for recovery assistance with regard to the following claims: social security claims that are considered as taxes under the national legislation of the Member State concerned, road tolls and user charges, customs penalties, and recovery of illegal state aid consisting in tax exemptions. These questions have been discussed in the Recovery Expert Group and clarifications have been or will be provided in the explanatory notes.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120"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6.3.2.2. Other changes suggested </w:t>
      </w:r>
    </w:p>
    <w:p>
      <w:pPr>
        <w:spacing w:after="120" w:line="240" w:lineRule="auto"/>
        <w:jc w:val="both"/>
        <w:rPr>
          <w:rFonts w:ascii="Times New Roman" w:hAnsi="Times New Roman" w:cs="Times New Roman"/>
          <w:b/>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Other improvements or amendments of Directive 2010/24/EU have been suggested by Member States.</w:t>
      </w:r>
    </w:p>
    <w:p>
      <w:pPr>
        <w:spacing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u w:val="single"/>
        </w:rPr>
        <w:t>Requests for information, automated and spontaneous exchange of information and access to databases in other Member States</w:t>
      </w:r>
      <w:r>
        <w:rPr>
          <w:rFonts w:ascii="Times New Roman" w:hAnsi="Times New Roman" w:cs="Times New Roman"/>
          <w:noProof/>
          <w:sz w:val="24"/>
          <w:szCs w:val="24"/>
        </w:rPr>
        <w:t xml:space="preserve"> (requested by several Member States)</w:t>
      </w:r>
    </w:p>
    <w:p>
      <w:pPr>
        <w:spacing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At this moment, Directive 2010/24/EU mainly provides for exchange of information at request (Article 5). Exchange of information without prior request is limited to refunds of taxes other than VAT. Several Member States have asked to extend this legal basis offered by the Directive, in order to allow more spontaneous exchange of information. As Member States increasingly have to deal with tax debtors having assets in one or more other Member States, often in connection with fraudulent constructions to cloud them, several Member States expressed the wish to have more opportunities to exchange information.</w:t>
      </w:r>
    </w:p>
    <w:p>
      <w:pPr>
        <w:pStyle w:val="ListParagraph"/>
        <w:tabs>
          <w:tab w:val="left" w:pos="72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has also been suggested to introduce a specific provision on the handling of bulk information requests and to examine whether direct access can or should be granted to specific databases of other Member States, respecting the data protection rules, if these databases are relevant for tax recovery purposes.</w:t>
      </w:r>
    </w:p>
    <w:p>
      <w:pPr>
        <w:pStyle w:val="ListParagraph"/>
        <w:tabs>
          <w:tab w:val="left" w:pos="720"/>
        </w:tabs>
        <w:spacing w:after="120" w:line="240" w:lineRule="auto"/>
        <w:jc w:val="both"/>
        <w:rPr>
          <w:rFonts w:ascii="Times New Roman" w:hAnsi="Times New Roman" w:cs="Times New Roman"/>
          <w:noProof/>
          <w:sz w:val="24"/>
          <w:szCs w:val="24"/>
        </w:rPr>
      </w:pPr>
    </w:p>
    <w:p>
      <w:pPr>
        <w:pStyle w:val="ListParagraph"/>
        <w:tabs>
          <w:tab w:val="left" w:pos="72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debts over a specific value, it has been suggested to introduce a requirement that the applicant State must make a request for information to establish the assets and financial status of the taxpayer before a request for recovery is made.</w:t>
      </w:r>
    </w:p>
    <w:p>
      <w:pPr>
        <w:pStyle w:val="ListParagraph"/>
        <w:tabs>
          <w:tab w:val="left" w:pos="720"/>
        </w:tabs>
        <w:spacing w:after="120" w:line="240" w:lineRule="auto"/>
        <w:ind w:hanging="360"/>
        <w:jc w:val="both"/>
        <w:rPr>
          <w:rFonts w:ascii="Times New Roman" w:hAnsi="Times New Roman" w:cs="Times New Roman"/>
          <w:noProof/>
          <w:sz w:val="24"/>
          <w:szCs w:val="24"/>
        </w:rPr>
      </w:pPr>
    </w:p>
    <w:p>
      <w:pPr>
        <w:pStyle w:val="ListParagraph"/>
        <w:tabs>
          <w:tab w:val="left" w:pos="720"/>
        </w:tabs>
        <w:spacing w:after="120" w:line="240" w:lineRule="auto"/>
        <w:ind w:hanging="360"/>
        <w:jc w:val="both"/>
        <w:rPr>
          <w:rFonts w:ascii="Times New Roman" w:hAnsi="Times New Roman" w:cs="Times New Roman"/>
          <w:noProof/>
          <w:sz w:val="24"/>
          <w:szCs w:val="24"/>
          <w:u w:val="single"/>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4"/>
          <w:szCs w:val="24"/>
          <w:u w:val="single"/>
        </w:rPr>
        <w:t>Notification</w:t>
      </w:r>
    </w:p>
    <w:p>
      <w:pPr>
        <w:pStyle w:val="ListParagraph"/>
        <w:tabs>
          <w:tab w:val="left" w:pos="720"/>
        </w:tabs>
        <w:spacing w:after="120" w:line="240" w:lineRule="auto"/>
        <w:ind w:hanging="360"/>
        <w:jc w:val="both"/>
        <w:rPr>
          <w:rFonts w:ascii="Times New Roman" w:hAnsi="Times New Roman" w:cs="Times New Roman"/>
          <w:noProof/>
          <w:sz w:val="24"/>
          <w:szCs w:val="24"/>
          <w:u w:val="single"/>
        </w:rPr>
      </w:pP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ab/>
        <w:t>It has been suggested to confirm that renewed notifications in the phase of recovery or precautionary measures are not needed if the debtor was already notified before.</w:t>
      </w:r>
    </w:p>
    <w:p>
      <w:pPr>
        <w:pStyle w:val="ListParagraph"/>
        <w:tabs>
          <w:tab w:val="left" w:pos="720"/>
        </w:tabs>
        <w:spacing w:after="120" w:line="240" w:lineRule="auto"/>
        <w:ind w:hanging="360"/>
        <w:jc w:val="both"/>
        <w:rPr>
          <w:rFonts w:ascii="Times New Roman" w:hAnsi="Times New Roman" w:cs="Times New Roman"/>
          <w:noProof/>
          <w:sz w:val="24"/>
          <w:szCs w:val="24"/>
        </w:rPr>
      </w:pP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ab/>
        <w:t xml:space="preserve">It was also suggested to clarify the indication of third parties in the UIPE and the notification of claims to third parties. </w:t>
      </w:r>
    </w:p>
    <w:p>
      <w:pPr>
        <w:pStyle w:val="ListParagraph"/>
        <w:tabs>
          <w:tab w:val="left" w:pos="720"/>
        </w:tabs>
        <w:spacing w:after="120" w:line="240" w:lineRule="auto"/>
        <w:ind w:hanging="360"/>
        <w:jc w:val="both"/>
        <w:rPr>
          <w:rFonts w:ascii="Times New Roman" w:hAnsi="Times New Roman" w:cs="Times New Roman"/>
          <w:noProof/>
          <w:sz w:val="24"/>
          <w:szCs w:val="24"/>
        </w:rPr>
      </w:pP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4"/>
          <w:szCs w:val="24"/>
          <w:u w:val="single"/>
        </w:rPr>
        <w:t>Facilitating the use of precautionary measures</w:t>
      </w:r>
    </w:p>
    <w:p>
      <w:pPr>
        <w:pStyle w:val="ListParagraph"/>
        <w:tabs>
          <w:tab w:val="left" w:pos="720"/>
        </w:tabs>
        <w:spacing w:after="120" w:line="240" w:lineRule="auto"/>
        <w:ind w:hanging="360"/>
        <w:jc w:val="both"/>
        <w:rPr>
          <w:rFonts w:ascii="Times New Roman" w:hAnsi="Times New Roman" w:cs="Times New Roman"/>
          <w:noProof/>
          <w:sz w:val="24"/>
          <w:szCs w:val="24"/>
        </w:rPr>
      </w:pP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ab/>
        <w:t xml:space="preserve">The use of precautionary measures is important, in particular in view of the fight against fraud. At the same time, it is necessary to guarantee the rights of defence of the debtors. The use of precautionary measures should be justified (urgency, proportionality). At present, there is no simple answer to the question whether the justification of such measures can or should be checked by the administrative or judicial authorities of the applicant and/or requested Member State. Several Member States have asked to consider the introduction of a uniform instrument permitting precautionary measures. </w:t>
      </w:r>
    </w:p>
    <w:p>
      <w:pPr>
        <w:pStyle w:val="ListParagraph"/>
        <w:tabs>
          <w:tab w:val="left" w:pos="720"/>
        </w:tabs>
        <w:spacing w:after="120" w:line="240" w:lineRule="auto"/>
        <w:ind w:hanging="360"/>
        <w:jc w:val="both"/>
        <w:rPr>
          <w:rFonts w:ascii="Times New Roman" w:hAnsi="Times New Roman" w:cs="Times New Roman"/>
          <w:noProof/>
          <w:sz w:val="24"/>
          <w:szCs w:val="24"/>
        </w:rPr>
      </w:pP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ab/>
        <w:t>In this regard, one Member State also observed that decisions for precautionary measures should be executed, irrespective of whether the requested Member State's legislation would allow the same for its own claims.</w:t>
      </w: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ab/>
      </w: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ab/>
        <w:t xml:space="preserve">It was further suggested to provide for a swift procedure for freezing and preservation of bank accounts. </w:t>
      </w:r>
    </w:p>
    <w:p>
      <w:pPr>
        <w:pStyle w:val="ListParagraph"/>
        <w:tabs>
          <w:tab w:val="left" w:pos="720"/>
        </w:tabs>
        <w:spacing w:after="120" w:line="240" w:lineRule="auto"/>
        <w:ind w:hanging="360"/>
        <w:jc w:val="both"/>
        <w:rPr>
          <w:rFonts w:ascii="Times New Roman" w:hAnsi="Times New Roman" w:cs="Times New Roman"/>
          <w:noProof/>
          <w:sz w:val="24"/>
          <w:szCs w:val="24"/>
        </w:rPr>
      </w:pP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4"/>
          <w:szCs w:val="24"/>
          <w:u w:val="single"/>
        </w:rPr>
        <w:t>Conditions with regard to the obligation to provide assistance</w:t>
      </w:r>
    </w:p>
    <w:p>
      <w:pPr>
        <w:pStyle w:val="ListParagraph"/>
        <w:tabs>
          <w:tab w:val="left" w:pos="720"/>
        </w:tabs>
        <w:spacing w:after="120" w:line="240" w:lineRule="auto"/>
        <w:ind w:hanging="360"/>
        <w:jc w:val="both"/>
        <w:rPr>
          <w:rFonts w:ascii="Times New Roman" w:hAnsi="Times New Roman" w:cs="Times New Roman"/>
          <w:noProof/>
          <w:sz w:val="24"/>
          <w:szCs w:val="24"/>
        </w:rPr>
      </w:pP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ab/>
        <w:t>Clarifications and amendments have been requested with regard to the conditions relating to the age of the debt, as the current rules of Article 18(2) of the Directive (copied from the former Directive) are considered to be rather complex (suggestion concerning the calculation of the age period; suggestion to avoid the need for comparing national laws; suggestion to abolish this condition or to provide exceptions).</w:t>
      </w:r>
    </w:p>
    <w:p>
      <w:pPr>
        <w:pStyle w:val="ListParagraph"/>
        <w:tabs>
          <w:tab w:val="left" w:pos="720"/>
        </w:tabs>
        <w:spacing w:after="120" w:line="240" w:lineRule="auto"/>
        <w:ind w:hanging="360"/>
        <w:jc w:val="both"/>
        <w:rPr>
          <w:rFonts w:ascii="Times New Roman" w:hAnsi="Times New Roman" w:cs="Times New Roman"/>
          <w:noProof/>
          <w:sz w:val="24"/>
          <w:szCs w:val="24"/>
        </w:rPr>
      </w:pP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ab/>
        <w:t>Amendments have also been suggested with regard to the threshold, which now only exists for requests for recovery and precautionary measures (suggestion to extend the threshold to information or notification requests).</w:t>
      </w:r>
    </w:p>
    <w:p>
      <w:pPr>
        <w:pStyle w:val="ListParagraph"/>
        <w:tabs>
          <w:tab w:val="left" w:pos="720"/>
        </w:tabs>
        <w:spacing w:after="120" w:line="240" w:lineRule="auto"/>
        <w:ind w:hanging="360"/>
        <w:jc w:val="both"/>
        <w:rPr>
          <w:rFonts w:ascii="Times New Roman" w:hAnsi="Times New Roman" w:cs="Times New Roman"/>
          <w:noProof/>
          <w:sz w:val="24"/>
          <w:szCs w:val="24"/>
        </w:rPr>
      </w:pPr>
    </w:p>
    <w:p>
      <w:pPr>
        <w:pStyle w:val="ListParagraph"/>
        <w:tabs>
          <w:tab w:val="left" w:pos="720"/>
        </w:tabs>
        <w:spacing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4"/>
          <w:szCs w:val="24"/>
          <w:u w:val="single"/>
        </w:rPr>
        <w:t>Other suggestions for specific amendments</w:t>
      </w:r>
    </w:p>
    <w:p>
      <w:pPr>
        <w:pStyle w:val="ListParagraph"/>
        <w:spacing w:after="120" w:line="240" w:lineRule="auto"/>
        <w:ind w:left="1080"/>
        <w:jc w:val="both"/>
        <w:rPr>
          <w:rFonts w:ascii="Times New Roman" w:hAnsi="Times New Roman" w:cs="Times New Roman"/>
          <w:noProof/>
          <w:sz w:val="24"/>
          <w:szCs w:val="24"/>
        </w:rPr>
      </w:pPr>
    </w:p>
    <w:p>
      <w:pPr>
        <w:pStyle w:val="ListParagraph"/>
        <w:numPr>
          <w:ilvl w:val="0"/>
          <w:numId w:val="27"/>
        </w:numPr>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suggestion for a provision confirming that the debtor should not be informed about a request for information to another Member State;</w:t>
      </w:r>
      <w:r>
        <w:rPr>
          <w:rStyle w:val="FootnoteReference"/>
          <w:rFonts w:ascii="Times New Roman" w:hAnsi="Times New Roman" w:cs="Times New Roman"/>
          <w:noProof/>
          <w:sz w:val="24"/>
          <w:szCs w:val="24"/>
        </w:rPr>
        <w:footnoteReference w:id="40"/>
      </w:r>
    </w:p>
    <w:p>
      <w:pPr>
        <w:pStyle w:val="ListParagraph"/>
        <w:numPr>
          <w:ilvl w:val="0"/>
          <w:numId w:val="27"/>
        </w:numPr>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suggestion to amend Art. 23 of the Directive, extending the possibilities to use the information communicated pursuant to the Directive (e.g. by confirming explicitly that this information may also be used for the assessment of tax claims);</w:t>
      </w:r>
    </w:p>
    <w:p>
      <w:pPr>
        <w:pStyle w:val="ListParagraph"/>
        <w:numPr>
          <w:ilvl w:val="0"/>
          <w:numId w:val="27"/>
        </w:numPr>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suggestion to clarify the treatment of costs made by the applicant Member State after sending a request for assistance (which are not mentioned in the request for assistance nor in the UIPE of that request);</w:t>
      </w:r>
    </w:p>
    <w:p>
      <w:pPr>
        <w:pStyle w:val="ListParagraph"/>
        <w:numPr>
          <w:ilvl w:val="0"/>
          <w:numId w:val="27"/>
        </w:numPr>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suggestion to facilitate the recovery assistance for recovery of VAT refunds, which is now confronted with the problem that a request for assistance must be sent very quickly, in order to timely block the refund of the VAT in the other Member State (as some Member States execute requests for VAT refunds, made in accordance with Directive 2008/9/EC, within a short time period);</w:t>
      </w:r>
    </w:p>
    <w:p>
      <w:pPr>
        <w:pStyle w:val="ListParagraph"/>
        <w:numPr>
          <w:ilvl w:val="0"/>
          <w:numId w:val="27"/>
        </w:numPr>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suggestion to improve cooperation between tax authorities in cross-border insolvency procedures (e.g. by providing an obligation to represent tax authorities of other Member States in the insolvency proceedings opened in the own Member State; </w:t>
      </w:r>
    </w:p>
    <w:p>
      <w:pPr>
        <w:pStyle w:val="ListParagraph"/>
        <w:numPr>
          <w:ilvl w:val="0"/>
          <w:numId w:val="27"/>
        </w:numPr>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suggestions to improve the communication between the competent authorities, e.g. with regard to a reimbursement agreement if recovery measures imply large amounts of costs or in case of unfounded recovery requests (in line with Article 20(2), second subparagraph of the Directive) or with regard to situations where a payment agreement has been concluded between the applicant Member State and the debtor. Some Member States wish to have more precise rules on the communication and cooperation with regard to these matters. </w:t>
      </w:r>
    </w:p>
    <w:p>
      <w:pPr>
        <w:pStyle w:val="ListParagraph"/>
        <w:spacing w:after="120" w:line="240" w:lineRule="auto"/>
        <w:ind w:left="1080"/>
        <w:jc w:val="both"/>
        <w:rPr>
          <w:rFonts w:ascii="Times New Roman" w:hAnsi="Times New Roman" w:cs="Times New Roman"/>
          <w:noProof/>
          <w:sz w:val="24"/>
          <w:szCs w:val="24"/>
        </w:rPr>
      </w:pPr>
    </w:p>
    <w:p>
      <w:pPr>
        <w:pStyle w:val="ListParagraph"/>
        <w:numPr>
          <w:ilvl w:val="0"/>
          <w:numId w:val="27"/>
        </w:num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Use of the electronic request forms and the communication network in relations with third countries</w:t>
      </w:r>
    </w:p>
    <w:p>
      <w:pPr>
        <w:pStyle w:val="ListParagraph"/>
        <w:spacing w:after="120" w:line="240" w:lineRule="auto"/>
        <w:ind w:hanging="360"/>
        <w:jc w:val="both"/>
        <w:rPr>
          <w:rFonts w:ascii="Times New Roman" w:hAnsi="Times New Roman" w:cs="Times New Roman"/>
          <w:noProof/>
          <w:sz w:val="24"/>
          <w:szCs w:val="24"/>
        </w:rPr>
      </w:pPr>
    </w:p>
    <w:p>
      <w:pPr>
        <w:pStyle w:val="ListParagraph"/>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electronic request forms for recovery assistance are developed in such a way that they can not only be used for recovery assistance in accordance with Directive 2010/24/EU, but also for recovery assistance based on other legal instruments (bilateral agreements or multilateral agreements). For recovery assistance between EU Member States, this possibility is rarely used, given the broad scope of the Directive. Member States can only use other legal instruments for their recovery assistance in those situations where these other instruments permit them to have a wider recovery assistance than under the conditions of the Directive. </w:t>
      </w:r>
    </w:p>
    <w:p>
      <w:pPr>
        <w:pStyle w:val="ListParagraph"/>
        <w:spacing w:after="120" w:line="240" w:lineRule="auto"/>
        <w:ind w:hanging="360"/>
        <w:jc w:val="both"/>
        <w:rPr>
          <w:rFonts w:ascii="Times New Roman" w:hAnsi="Times New Roman" w:cs="Times New Roman"/>
          <w:noProof/>
          <w:sz w:val="24"/>
          <w:szCs w:val="24"/>
        </w:rPr>
      </w:pPr>
    </w:p>
    <w:p>
      <w:pPr>
        <w:pStyle w:val="ListParagraph"/>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this flexibility to use the electronic request forms for recovery assistance on the basis of other legal instruments implies that they could also be of use for such assistance with third countries. So far, this use of the electronic request forms is not possible because there is no legal basis for such an extended use of these forms. Several Member States have indicated that they would welcome the possibility to use the electronic request forms in their relations with third countries.</w:t>
      </w:r>
      <w:r>
        <w:rPr>
          <w:rStyle w:val="FootnoteReference"/>
          <w:rFonts w:ascii="Times New Roman" w:hAnsi="Times New Roman" w:cs="Times New Roman"/>
          <w:noProof/>
          <w:sz w:val="24"/>
          <w:szCs w:val="24"/>
        </w:rPr>
        <w:footnoteReference w:id="41"/>
      </w:r>
    </w:p>
    <w:p>
      <w:pPr>
        <w:pStyle w:val="ListParagraph"/>
        <w:spacing w:after="120" w:line="240" w:lineRule="auto"/>
        <w:ind w:hanging="360"/>
        <w:jc w:val="both"/>
        <w:rPr>
          <w:rFonts w:ascii="Times New Roman" w:hAnsi="Times New Roman" w:cs="Times New Roman"/>
          <w:noProof/>
          <w:sz w:val="24"/>
          <w:szCs w:val="24"/>
        </w:rPr>
      </w:pPr>
    </w:p>
    <w:p>
      <w:pPr>
        <w:pStyle w:val="ListParagraph"/>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regard, the recently negotiated agreement between the European Union and the Kingdom of Norway on administrative cooperation, combating fraud and recovery of claims in the field of VAT serves as an example. It provides that the recovery assistance request forms used within the EU will also be used with Norway for recovery assistance with regard to VAT claims. Moreover, the same electronic communication network and the standard forms may also be used for recovery assistance regarding other claims, if such recovery assistance is possible under other bilateral or multilateral legally binding instruments on administrative cooperation between a Member State and Norway (Article 40(4) of this Agreement).</w:t>
      </w:r>
    </w:p>
    <w:p>
      <w:pPr>
        <w:pStyle w:val="ListParagraph"/>
        <w:spacing w:after="120" w:line="240" w:lineRule="auto"/>
        <w:ind w:left="480"/>
        <w:rPr>
          <w:noProof/>
        </w:rPr>
      </w:pPr>
    </w:p>
    <w:p>
      <w:pPr>
        <w:pStyle w:val="ListParagraph"/>
        <w:tabs>
          <w:tab w:val="left" w:pos="360"/>
        </w:tabs>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The respondents to the public consultation also made a number of suggestions and comments with regard to possible amendments of the existing legislation.</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On the one hand, these responses emphasized the need to have an effective and efficient system of tax recovery assistance (e.g. with regard to the conditions governing requests for recovery assistance, relating to the recovery of contested claims or the threshold for providing assistance; the need to strengthen the use of precautionary measures in cross-border assistance; and the need to have a strict approach towards countries not providing such assistance). On the other hand, several respondents in the public consultation also observed the need to respect the taxpayers' rights. </w:t>
      </w:r>
    </w:p>
    <w:p>
      <w:pPr>
        <w:pStyle w:val="ListParagraph"/>
        <w:spacing w:after="120" w:line="240" w:lineRule="auto"/>
        <w:ind w:left="360" w:hanging="360"/>
        <w:jc w:val="both"/>
        <w:rPr>
          <w:rFonts w:ascii="Times New Roman" w:hAnsi="Times New Roman" w:cs="Times New Roman"/>
          <w:noProof/>
          <w:sz w:val="24"/>
          <w:szCs w:val="24"/>
        </w:rPr>
      </w:pPr>
    </w:p>
    <w:p>
      <w:pPr>
        <w:pStyle w:val="Heading4"/>
        <w:ind w:left="720" w:hanging="720"/>
        <w:rPr>
          <w:noProof/>
          <w:sz w:val="24"/>
          <w:szCs w:val="24"/>
        </w:rPr>
      </w:pPr>
      <w:r>
        <w:rPr>
          <w:noProof/>
          <w:sz w:val="24"/>
          <w:szCs w:val="24"/>
        </w:rPr>
        <w:t xml:space="preserve">6.3.3. </w:t>
      </w:r>
      <w:r>
        <w:rPr>
          <w:noProof/>
          <w:sz w:val="24"/>
          <w:szCs w:val="24"/>
        </w:rPr>
        <w:tab/>
        <w:t xml:space="preserve">Did the introduction of Directive 2010/24/EU have an impact on the legal protection of the tax debtors in the Member States? </w:t>
      </w:r>
    </w:p>
    <w:p>
      <w:pPr>
        <w:spacing w:before="120" w:after="12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6.3.3.1. The legal protection of the debtor</w:t>
      </w:r>
    </w:p>
    <w:p>
      <w:pPr>
        <w:spacing w:before="120" w:after="120" w:line="240" w:lineRule="auto"/>
        <w:ind w:left="360" w:hanging="360"/>
        <w:jc w:val="both"/>
        <w:rPr>
          <w:rFonts w:ascii="Times New Roman" w:hAnsi="Times New Roman" w:cs="Times New Roman"/>
          <w:bCs/>
          <w:noProof/>
          <w:sz w:val="24"/>
          <w:szCs w:val="24"/>
          <w:u w:val="single"/>
        </w:rPr>
      </w:pPr>
      <w:r>
        <w:rPr>
          <w:rFonts w:ascii="Times New Roman" w:hAnsi="Times New Roman" w:cs="Times New Roman"/>
          <w:bCs/>
          <w:noProof/>
          <w:sz w:val="24"/>
          <w:szCs w:val="24"/>
        </w:rPr>
        <w:t>a.</w:t>
      </w:r>
      <w:r>
        <w:rPr>
          <w:rFonts w:ascii="Times New Roman" w:hAnsi="Times New Roman" w:cs="Times New Roman"/>
          <w:bCs/>
          <w:noProof/>
          <w:sz w:val="24"/>
          <w:szCs w:val="24"/>
        </w:rPr>
        <w:tab/>
        <w:t>Information communicated pursuant to this Directive is covered by the obligation of official secrecy and enjoys the protection extended to similar information under the national law of the Member State which received it (Art. 23(1) of the Directive). No problem has ever been reported with regard to the obligation to respect the secrecy of the information exchanged on the basis of the recovery assistance Directive.</w:t>
      </w:r>
      <w:r>
        <w:rPr>
          <w:rStyle w:val="FootnoteReference"/>
          <w:rFonts w:ascii="Times New Roman" w:hAnsi="Times New Roman" w:cs="Times New Roman"/>
          <w:bCs/>
          <w:noProof/>
          <w:sz w:val="24"/>
          <w:szCs w:val="24"/>
        </w:rPr>
        <w:footnoteReference w:id="43"/>
      </w:r>
      <w:r>
        <w:rPr>
          <w:rFonts w:ascii="Times New Roman" w:hAnsi="Times New Roman" w:cs="Times New Roman"/>
          <w:bCs/>
          <w:noProof/>
          <w:sz w:val="24"/>
          <w:szCs w:val="24"/>
        </w:rPr>
        <w:tab/>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With regard to the execution of requests for recovery assistance, the requested authorities have to use the powers and procedures provided under their national laws (Art. 9, 13(1) and 17 of the Directive). When applying these national laws, the requested authorities have to respect the tax debtors' rights.</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As the Directive does not regulate the execution of the assistance requests, it does not have any effect on the legal protection of tax debtors or other persons liable for the taxes for which recovery assistance is requested. This view was also confirmed by the Member States' replies to the questionnaire.</w:t>
      </w:r>
      <w:r>
        <w:rPr>
          <w:rStyle w:val="FootnoteReference"/>
          <w:rFonts w:ascii="Times New Roman" w:hAnsi="Times New Roman" w:cs="Times New Roman"/>
          <w:noProof/>
          <w:sz w:val="24"/>
          <w:szCs w:val="24"/>
        </w:rPr>
        <w:footnoteReference w:id="44"/>
      </w:r>
    </w:p>
    <w:p>
      <w:pPr>
        <w:rPr>
          <w:rFonts w:ascii="Times New Roman" w:hAnsi="Times New Roman" w:cs="Times New Roman"/>
          <w:bCs/>
          <w:noProof/>
          <w:sz w:val="24"/>
          <w:szCs w:val="24"/>
        </w:rPr>
      </w:pPr>
      <w:r>
        <w:rPr>
          <w:rFonts w:ascii="Times New Roman" w:hAnsi="Times New Roman" w:cs="Times New Roman"/>
          <w:bCs/>
          <w:noProof/>
          <w:sz w:val="24"/>
          <w:szCs w:val="24"/>
        </w:rPr>
        <w:br w:type="page"/>
      </w:r>
    </w:p>
    <w:p>
      <w:pPr>
        <w:tabs>
          <w:tab w:val="left" w:pos="360"/>
        </w:tabs>
        <w:spacing w:before="120" w:after="120" w:line="240" w:lineRule="auto"/>
        <w:ind w:left="360" w:hanging="360"/>
        <w:jc w:val="both"/>
        <w:rPr>
          <w:rFonts w:ascii="Times New Roman" w:hAnsi="Times New Roman" w:cs="Times New Roman"/>
          <w:bCs/>
          <w:noProof/>
          <w:sz w:val="24"/>
          <w:szCs w:val="24"/>
        </w:rPr>
      </w:pPr>
    </w:p>
    <w:p>
      <w:pPr>
        <w:spacing w:before="120" w:after="120" w:line="240" w:lineRule="auto"/>
        <w:ind w:left="360" w:hanging="360"/>
        <w:jc w:val="both"/>
        <w:rPr>
          <w:rFonts w:ascii="Times New Roman" w:hAnsi="Times New Roman" w:cs="Times New Roman"/>
          <w:b/>
          <w:noProof/>
          <w:sz w:val="24"/>
          <w:szCs w:val="24"/>
        </w:rPr>
      </w:pPr>
      <w:r>
        <w:rPr>
          <w:rFonts w:ascii="Times New Roman" w:hAnsi="Times New Roman" w:cs="Times New Roman"/>
          <w:b/>
          <w:noProof/>
          <w:sz w:val="24"/>
          <w:szCs w:val="24"/>
        </w:rPr>
        <w:t>6.3.3.2. Information about tax claims and assistance requests to the debtors</w:t>
      </w:r>
    </w:p>
    <w:p>
      <w:pPr>
        <w:spacing w:before="120" w:after="120" w:line="240" w:lineRule="auto"/>
        <w:ind w:left="360" w:hanging="360"/>
        <w:jc w:val="both"/>
        <w:rPr>
          <w:rFonts w:ascii="Times New Roman" w:hAnsi="Times New Roman" w:cs="Times New Roman"/>
          <w:b/>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EU Court of Justice has stated that, in the framework of the mutual assistance introduced pursuant to the former mutual recovery assistance Directive 76/308/EEC, in order for the addressee of an instrument permitting enforcement to be placed in a position to enforce his rights, he must receive the notification of that instrument in an official language of the Member State in which the requested authority is situated. The notification should make it possible for the addressee to understand the subject-matter of the claim and the cause of action.</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The adoption of a uniform standard form for the notification of instruments and decisions relating to the claim (UNF; Article 8(1) of Directive 2010/24/EU</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which is to be used by the requested Member State when notifying such documents at the request of another Member State, and the uniform instrument permitting enforcement measures in the requested Member State (UIPE; Art. 12(1) of Directive 2010/24/EU</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have resolved the problems of recognition and translation of instruments emanating from another Member State: these documents can be translated automatically into all official languages of the EU Member States. The use of these instruments enables the Member States to ensure that the tax debtors are sufficiently informed about the request and about their rights and obligations, in an official language of the Member State in which the requested authority is situated.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explicitly emphasized these positive effects of the UNF and the UIPE for the debtors or other persons affected (Belgium, Finland, Spain). Their view was shared by the few respondents to the public consultation which reported about their personal experience with these uniform instruments: they confirmed that the UNF and the UIPE are indeed useful. </w:t>
      </w:r>
    </w:p>
    <w:p>
      <w:pPr>
        <w:spacing w:before="120" w:after="120" w:line="240" w:lineRule="auto"/>
        <w:ind w:left="360" w:hanging="360"/>
        <w:jc w:val="both"/>
        <w:rPr>
          <w:rFonts w:ascii="Times New Roman" w:hAnsi="Times New Roman" w:cs="Times New Roman"/>
          <w:bCs/>
          <w:noProof/>
          <w:sz w:val="24"/>
          <w:szCs w:val="24"/>
        </w:rPr>
      </w:pPr>
      <w:r>
        <w:rPr>
          <w:rFonts w:ascii="Times New Roman" w:hAnsi="Times New Roman" w:cs="Times New Roman"/>
          <w:bCs/>
          <w:noProof/>
          <w:sz w:val="24"/>
          <w:szCs w:val="24"/>
        </w:rPr>
        <w:t>c.</w:t>
      </w:r>
      <w:r>
        <w:rPr>
          <w:rFonts w:ascii="Times New Roman" w:hAnsi="Times New Roman" w:cs="Times New Roman"/>
          <w:bCs/>
          <w:noProof/>
          <w:sz w:val="24"/>
          <w:szCs w:val="24"/>
        </w:rPr>
        <w:tab/>
        <w:t>This possibility to translate these documents in all official languages allows the requested authorities to use the version of their official language. However, the debtor concerned may originally come from another Member State, so that his native language is still another one. The Recovery Expert Group therefore developed an additional document "note to the addressee", which the requested Member States can use if they want to explain to the addressee that he can ask for another language version of the UNF or the UIPE than the version in the official language of the requested Member State.</w:t>
      </w:r>
    </w:p>
    <w:p>
      <w:pPr>
        <w:spacing w:before="120" w:after="120" w:line="240" w:lineRule="auto"/>
        <w:ind w:left="360" w:hanging="360"/>
        <w:jc w:val="both"/>
        <w:rPr>
          <w:rFonts w:ascii="Times New Roman" w:hAnsi="Times New Roman" w:cs="Times New Roman"/>
          <w:bCs/>
          <w:noProof/>
          <w:sz w:val="24"/>
          <w:szCs w:val="24"/>
        </w:rPr>
      </w:pPr>
      <w:r>
        <w:rPr>
          <w:rFonts w:ascii="Times New Roman" w:hAnsi="Times New Roman" w:cs="Times New Roman"/>
          <w:bCs/>
          <w:noProof/>
          <w:sz w:val="24"/>
          <w:szCs w:val="24"/>
        </w:rPr>
        <w:tab/>
        <w:t>Although Member States are not obliged to use this additional document, several Member States reported that they use it on a regular or exceptional basis.</w:t>
      </w:r>
    </w:p>
    <w:p>
      <w:pPr>
        <w:spacing w:before="120" w:after="120" w:line="240" w:lineRule="auto"/>
        <w:ind w:left="360" w:hanging="360"/>
        <w:jc w:val="both"/>
        <w:rPr>
          <w:rFonts w:ascii="Times New Roman" w:hAnsi="Times New Roman" w:cs="Times New Roman"/>
          <w:bCs/>
          <w:noProof/>
          <w:sz w:val="24"/>
          <w:szCs w:val="24"/>
        </w:rPr>
      </w:pPr>
      <w:r>
        <w:rPr>
          <w:rFonts w:ascii="Times New Roman" w:hAnsi="Times New Roman" w:cs="Times New Roman"/>
          <w:bCs/>
          <w:noProof/>
          <w:sz w:val="24"/>
          <w:szCs w:val="24"/>
        </w:rPr>
        <w:t>d.</w:t>
      </w:r>
      <w:r>
        <w:rPr>
          <w:rFonts w:ascii="Times New Roman" w:hAnsi="Times New Roman" w:cs="Times New Roman"/>
          <w:bCs/>
          <w:noProof/>
          <w:sz w:val="24"/>
          <w:szCs w:val="24"/>
        </w:rPr>
        <w:tab/>
        <w:t>Following a Member State suggestion made at the Fiscalis workshop in Brussels in April 2015, the 2016 release of the electronic request forms also allows Member States to make a Direct Notification Form (DNF). This document may be used in case of direct notifications (as foreseen under Article 9(2) of the Directive</w:t>
      </w:r>
      <w:r>
        <w:rPr>
          <w:rStyle w:val="FootnoteReference"/>
          <w:rFonts w:ascii="Times New Roman" w:hAnsi="Times New Roman" w:cs="Times New Roman"/>
          <w:bCs/>
          <w:noProof/>
          <w:sz w:val="24"/>
          <w:szCs w:val="24"/>
        </w:rPr>
        <w:footnoteReference w:id="48"/>
      </w:r>
      <w:r>
        <w:rPr>
          <w:rFonts w:ascii="Times New Roman" w:hAnsi="Times New Roman" w:cs="Times New Roman"/>
          <w:bCs/>
          <w:noProof/>
          <w:sz w:val="24"/>
          <w:szCs w:val="24"/>
        </w:rPr>
        <w:t>). This DNF contains the same information as a UNF form, and it can also be translated in all official EU languages. Its function is to accompany the documents which are directly notified by the applicant Member State, so that the debtor can be easily informed in a language that he understands.</w:t>
      </w:r>
    </w:p>
    <w:p>
      <w:pPr>
        <w:spacing w:before="120" w:after="120" w:line="240" w:lineRule="auto"/>
        <w:ind w:left="360" w:hanging="360"/>
        <w:jc w:val="both"/>
        <w:rPr>
          <w:rFonts w:ascii="Times New Roman" w:hAnsi="Times New Roman" w:cs="Times New Roman"/>
          <w:bCs/>
          <w:noProof/>
          <w:sz w:val="24"/>
          <w:szCs w:val="24"/>
        </w:rPr>
      </w:pPr>
      <w:r>
        <w:rPr>
          <w:rFonts w:ascii="Times New Roman" w:hAnsi="Times New Roman" w:cs="Times New Roman"/>
          <w:bCs/>
          <w:noProof/>
          <w:sz w:val="24"/>
          <w:szCs w:val="24"/>
        </w:rPr>
        <w:t>e.</w:t>
      </w:r>
      <w:r>
        <w:rPr>
          <w:rFonts w:ascii="Times New Roman" w:hAnsi="Times New Roman" w:cs="Times New Roman"/>
          <w:bCs/>
          <w:noProof/>
          <w:sz w:val="24"/>
          <w:szCs w:val="24"/>
        </w:rPr>
        <w:tab/>
        <w:t xml:space="preserve">It appears from the case-law that debtors sometimes only react once recovery measures are launched in the requested Member State, claiming that they were never notified before. Such disputes are not related to the use of Directive 2010/24/EU; they concern the effectiveness of national notification procedures. Such disputes may be brought before the national courts of the Member State which effected the notification (applicant or requested Member State). It is up to these courts to check the factual circumstances and to guarantee the right of the debtor to be properly informed as well as the need to avoid abuse by debtors wrongly invoking such arguments to prevent or contest the enforcement of the claim. </w:t>
      </w:r>
    </w:p>
    <w:p>
      <w:pPr>
        <w:spacing w:after="120" w:line="240" w:lineRule="auto"/>
        <w:jc w:val="both"/>
        <w:rPr>
          <w:rFonts w:ascii="Times New Roman" w:hAnsi="Times New Roman" w:cs="Times New Roman"/>
          <w:b/>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6.3.3.3. Guidance on the functioning of the EU recovery assistance framework</w:t>
      </w:r>
    </w:p>
    <w:p>
      <w:pPr>
        <w:spacing w:after="120" w:line="240" w:lineRule="auto"/>
        <w:ind w:left="360" w:hanging="360"/>
        <w:jc w:val="both"/>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bCs/>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r>
      <w:r>
        <w:rPr>
          <w:rFonts w:ascii="Times New Roman" w:hAnsi="Times New Roman" w:cs="Times New Roman"/>
          <w:bCs/>
          <w:noProof/>
          <w:sz w:val="24"/>
          <w:szCs w:val="24"/>
        </w:rPr>
        <w:t xml:space="preserve">Several initiatives have been taken to improve the publicly available information concerning the EU tax recovery assistance framework: </w:t>
      </w:r>
    </w:p>
    <w:p>
      <w:pPr>
        <w:spacing w:after="120" w:line="240" w:lineRule="auto"/>
        <w:ind w:left="720" w:hanging="36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Pr>
          <w:rFonts w:ascii="Times New Roman" w:hAnsi="Times New Roman" w:cs="Times New Roman"/>
          <w:bCs/>
          <w:noProof/>
          <w:sz w:val="24"/>
          <w:szCs w:val="24"/>
        </w:rPr>
        <w:tab/>
        <w:t>the Commission services have published a number of questions and answers on the tax debtors' rights and obligations on the website of the European Commission;</w:t>
      </w:r>
      <w:r>
        <w:rPr>
          <w:rStyle w:val="FootnoteReference"/>
          <w:rFonts w:ascii="Times New Roman" w:hAnsi="Times New Roman" w:cs="Times New Roman"/>
          <w:bCs/>
          <w:noProof/>
          <w:sz w:val="24"/>
          <w:szCs w:val="24"/>
        </w:rPr>
        <w:footnoteReference w:id="49"/>
      </w:r>
      <w:r>
        <w:rPr>
          <w:rFonts w:ascii="Times New Roman" w:hAnsi="Times New Roman" w:cs="Times New Roman"/>
          <w:bCs/>
          <w:noProof/>
          <w:sz w:val="24"/>
          <w:szCs w:val="24"/>
        </w:rPr>
        <w:t xml:space="preserve"> </w:t>
      </w:r>
    </w:p>
    <w:p>
      <w:pPr>
        <w:spacing w:after="120" w:line="240" w:lineRule="auto"/>
        <w:ind w:left="720" w:hanging="36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Pr>
          <w:rFonts w:ascii="Times New Roman" w:hAnsi="Times New Roman" w:cs="Times New Roman"/>
          <w:bCs/>
          <w:noProof/>
          <w:sz w:val="24"/>
          <w:szCs w:val="24"/>
        </w:rPr>
        <w:tab/>
        <w:t>on this website, tax practitioners and other persons involved in tax recovery assistance proceedings also find information on national, EU and international developments in the field of tax collection and enforcement, in the newsletter "EU and International Tax Collection News".</w:t>
      </w:r>
    </w:p>
    <w:p>
      <w:pPr>
        <w:spacing w:after="120" w:line="240" w:lineRule="auto"/>
        <w:ind w:left="360" w:hanging="360"/>
        <w:jc w:val="both"/>
        <w:rPr>
          <w:rFonts w:ascii="Times New Roman" w:hAnsi="Times New Roman" w:cs="Times New Roman"/>
          <w:bCs/>
          <w:noProof/>
          <w:sz w:val="24"/>
          <w:szCs w:val="24"/>
        </w:rPr>
      </w:pPr>
      <w:r>
        <w:rPr>
          <w:rFonts w:ascii="Times New Roman" w:hAnsi="Times New Roman" w:cs="Times New Roman"/>
          <w:bCs/>
          <w:noProof/>
          <w:sz w:val="24"/>
          <w:szCs w:val="24"/>
        </w:rPr>
        <w:t>b.</w:t>
      </w:r>
      <w:r>
        <w:rPr>
          <w:rFonts w:ascii="Times New Roman" w:hAnsi="Times New Roman" w:cs="Times New Roman"/>
          <w:bCs/>
          <w:noProof/>
          <w:sz w:val="24"/>
          <w:szCs w:val="24"/>
        </w:rPr>
        <w:tab/>
        <w:t xml:space="preserve">Respondents to the public consultation clearly expressed the wish that the EU should take more actions to explain the legislation on mutual tax recovery assistance (although most of them at the same time admitted that they were not aware of the information already published on the Commission's website). </w:t>
      </w:r>
    </w:p>
    <w:p>
      <w:pPr>
        <w:spacing w:after="120" w:line="240" w:lineRule="auto"/>
        <w:ind w:left="360" w:hanging="360"/>
        <w:jc w:val="both"/>
        <w:rPr>
          <w:rFonts w:ascii="Times New Roman" w:hAnsi="Times New Roman" w:cs="Times New Roman"/>
          <w:bCs/>
          <w:noProof/>
          <w:sz w:val="24"/>
          <w:szCs w:val="24"/>
        </w:rPr>
      </w:pPr>
      <w:r>
        <w:rPr>
          <w:rFonts w:ascii="Times New Roman" w:hAnsi="Times New Roman" w:cs="Times New Roman"/>
          <w:bCs/>
          <w:noProof/>
          <w:sz w:val="24"/>
          <w:szCs w:val="24"/>
        </w:rPr>
        <w:tab/>
        <w:t>More explanation of this complex legislation would be beneficial. Following a suggestion of the Commission services, the Recovery Expert Group in its meeting of 22 February 2017 already agreed to publish the explanatory notes that it has adopted with regard to the interpretation of the EU legislation on tax recovery assistance. Moreover, the Commission services also consider organising training courses or seminars for practitioners dealing with tax recovery assistance issues.</w:t>
      </w:r>
    </w:p>
    <w:p>
      <w:pPr>
        <w:spacing w:after="120" w:line="240" w:lineRule="auto"/>
        <w:ind w:left="360" w:hanging="360"/>
        <w:jc w:val="both"/>
        <w:rPr>
          <w:rFonts w:ascii="Times New Roman" w:hAnsi="Times New Roman" w:cs="Times New Roman"/>
          <w:bCs/>
          <w:noProof/>
          <w:sz w:val="24"/>
          <w:szCs w:val="24"/>
        </w:rPr>
      </w:pPr>
    </w:p>
    <w:p>
      <w:pPr>
        <w:rPr>
          <w:rFonts w:ascii="Times New Roman" w:hAnsi="Times New Roman" w:cs="Times New Roman"/>
          <w:bCs/>
          <w:noProof/>
          <w:sz w:val="24"/>
          <w:szCs w:val="24"/>
        </w:rPr>
      </w:pPr>
      <w:r>
        <w:rPr>
          <w:rFonts w:ascii="Times New Roman" w:hAnsi="Times New Roman" w:cs="Times New Roman"/>
          <w:bCs/>
          <w:noProof/>
          <w:sz w:val="24"/>
          <w:szCs w:val="24"/>
        </w:rPr>
        <w:br w:type="page"/>
      </w:r>
    </w:p>
    <w:p>
      <w:pPr>
        <w:spacing w:after="120" w:line="240" w:lineRule="auto"/>
        <w:ind w:left="360" w:hanging="360"/>
        <w:jc w:val="both"/>
        <w:rPr>
          <w:rFonts w:ascii="Times New Roman" w:hAnsi="Times New Roman" w:cs="Times New Roman"/>
          <w:bCs/>
          <w:noProof/>
          <w:sz w:val="24"/>
          <w:szCs w:val="24"/>
        </w:rPr>
      </w:pPr>
    </w:p>
    <w:p>
      <w:pPr>
        <w:pStyle w:val="Heading2"/>
        <w:rPr>
          <w:noProof/>
        </w:rPr>
      </w:pPr>
      <w:r>
        <w:rPr>
          <w:noProof/>
        </w:rPr>
        <w:t>6.4. Could Member States achieve similar results without acting at the EU level?</w:t>
      </w:r>
    </w:p>
    <w:p>
      <w:pPr>
        <w:rPr>
          <w:noProof/>
        </w:rPr>
      </w:pPr>
    </w:p>
    <w:p>
      <w:pPr>
        <w:pStyle w:val="Heading4"/>
        <w:rPr>
          <w:noProof/>
          <w:sz w:val="24"/>
          <w:szCs w:val="24"/>
        </w:rPr>
      </w:pPr>
      <w:r>
        <w:rPr>
          <w:noProof/>
          <w:sz w:val="24"/>
          <w:szCs w:val="24"/>
        </w:rPr>
        <w:t>6.4.1. Is recovery assistance in the interest of all EU Member States?</w:t>
      </w:r>
    </w:p>
    <w:p>
      <w:pPr>
        <w:rPr>
          <w:noProof/>
        </w:rPr>
      </w:pPr>
    </w:p>
    <w:p>
      <w:pPr>
        <w:rPr>
          <w:rFonts w:ascii="Times New Roman" w:hAnsi="Times New Roman" w:cs="Times New Roman"/>
          <w:b/>
          <w:noProof/>
          <w:sz w:val="24"/>
          <w:szCs w:val="24"/>
        </w:rPr>
      </w:pPr>
      <w:r>
        <w:rPr>
          <w:rFonts w:ascii="Times New Roman" w:hAnsi="Times New Roman" w:cs="Times New Roman"/>
          <w:b/>
          <w:noProof/>
          <w:sz w:val="24"/>
          <w:szCs w:val="24"/>
        </w:rPr>
        <w:t>6.4.1.1. Effective use of the Directive by all Member States</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extent to which the EU tax recovery assistance framework is used, is very different from one Member State to another. Moreover, some Member States are more requested to provide assistance than others. These differences obviously relate to geographic, economic and socio-demographic situations and developments. However, all Member States send and receive assistance requests that are based on the EU Directive.</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following graphics present a comparison of the use of the EU recovery assistance framework by the individual Member States, in the period 2010-2011 (before the implementation of Directive 2010/24/EU) and in the period 2013-2016 (on the basis of Directive 2010/24/EU).</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It appears from these statistics that the numbers of requests are geographically spread: some Member States send or receive much more requests than other Member States. </w:t>
      </w:r>
    </w:p>
    <w:p>
      <w:pPr>
        <w:spacing w:before="120" w:after="120" w:line="240" w:lineRule="auto"/>
        <w:ind w:left="360"/>
        <w:rPr>
          <w:rFonts w:ascii="Times New Roman" w:hAnsi="Times New Roman" w:cs="Times New Roman"/>
          <w:i/>
          <w:noProof/>
          <w:sz w:val="24"/>
          <w:szCs w:val="24"/>
        </w:rPr>
      </w:pPr>
      <w:r>
        <w:rPr>
          <w:rFonts w:ascii="Times New Roman" w:hAnsi="Times New Roman" w:cs="Times New Roman"/>
          <w:i/>
          <w:noProof/>
          <w:sz w:val="24"/>
          <w:szCs w:val="24"/>
        </w:rPr>
        <w:t xml:space="preserve">Table 16: average yearly number of </w:t>
      </w:r>
      <w:r>
        <w:rPr>
          <w:rFonts w:ascii="Times New Roman" w:hAnsi="Times New Roman" w:cs="Times New Roman"/>
          <w:i/>
          <w:noProof/>
          <w:sz w:val="24"/>
          <w:szCs w:val="24"/>
          <w:u w:val="single"/>
        </w:rPr>
        <w:t>requests for information</w:t>
      </w:r>
      <w:r>
        <w:rPr>
          <w:rFonts w:ascii="Times New Roman" w:hAnsi="Times New Roman" w:cs="Times New Roman"/>
          <w:i/>
          <w:noProof/>
          <w:sz w:val="24"/>
          <w:szCs w:val="24"/>
        </w:rPr>
        <w:t xml:space="preserve"> </w:t>
      </w:r>
      <w:r>
        <w:rPr>
          <w:rFonts w:ascii="Times New Roman" w:hAnsi="Times New Roman" w:cs="Times New Roman"/>
          <w:i/>
          <w:noProof/>
          <w:sz w:val="24"/>
          <w:szCs w:val="24"/>
          <w:u w:val="single"/>
        </w:rPr>
        <w:t>sent</w:t>
      </w:r>
      <w:r>
        <w:rPr>
          <w:rFonts w:ascii="Times New Roman" w:hAnsi="Times New Roman" w:cs="Times New Roman"/>
          <w:i/>
          <w:noProof/>
          <w:sz w:val="24"/>
          <w:szCs w:val="24"/>
        </w:rPr>
        <w:t xml:space="preserve"> by each Member State</w:t>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i/>
          <w:noProof/>
          <w:sz w:val="24"/>
          <w:szCs w:val="24"/>
        </w:rPr>
        <w:t xml:space="preserve"> </w:t>
      </w: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32" name="Rectangle 32"/>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" fillcolor="#4f81bd [3204]"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 xml:space="preserve">average 2010-2011;    </w:t>
      </w: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42" name="Rectangle 42"/>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2"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" fillcolor="#c0504d [3205]"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average 2013-2016</w:t>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6410325" cy="3448050"/>
            <wp:effectExtent l="0" t="0" r="9525"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before="120" w:after="120" w:line="240" w:lineRule="auto"/>
        <w:rPr>
          <w:rFonts w:ascii="Times New Roman" w:hAnsi="Times New Roman" w:cs="Times New Roman"/>
          <w:i/>
          <w:noProof/>
          <w:sz w:val="24"/>
          <w:szCs w:val="24"/>
        </w:rPr>
      </w:pPr>
    </w:p>
    <w:p>
      <w:pPr>
        <w:spacing w:before="120" w:after="120" w:line="240" w:lineRule="auto"/>
        <w:rPr>
          <w:rFonts w:ascii="Times New Roman" w:hAnsi="Times New Roman" w:cs="Times New Roman"/>
          <w:i/>
          <w:noProof/>
          <w:sz w:val="24"/>
          <w:szCs w:val="24"/>
        </w:rPr>
      </w:pPr>
    </w:p>
    <w:p>
      <w:pPr>
        <w:spacing w:before="120" w:after="120" w:line="240" w:lineRule="auto"/>
        <w:rPr>
          <w:rFonts w:ascii="Times New Roman" w:hAnsi="Times New Roman" w:cs="Times New Roman"/>
          <w:i/>
          <w:noProof/>
          <w:sz w:val="24"/>
          <w:szCs w:val="24"/>
        </w:rPr>
      </w:pPr>
    </w:p>
    <w:p>
      <w:pPr>
        <w:spacing w:before="120" w:after="12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Table 17: average yearly number of </w:t>
      </w:r>
      <w:r>
        <w:rPr>
          <w:rFonts w:ascii="Times New Roman" w:hAnsi="Times New Roman" w:cs="Times New Roman"/>
          <w:i/>
          <w:noProof/>
          <w:sz w:val="24"/>
          <w:szCs w:val="24"/>
          <w:u w:val="single"/>
        </w:rPr>
        <w:t>requests for information</w:t>
      </w:r>
      <w:r>
        <w:rPr>
          <w:rFonts w:ascii="Times New Roman" w:hAnsi="Times New Roman" w:cs="Times New Roman"/>
          <w:i/>
          <w:noProof/>
          <w:sz w:val="24"/>
          <w:szCs w:val="24"/>
        </w:rPr>
        <w:t xml:space="preserve"> </w:t>
      </w:r>
      <w:r>
        <w:rPr>
          <w:rFonts w:ascii="Times New Roman" w:hAnsi="Times New Roman" w:cs="Times New Roman"/>
          <w:i/>
          <w:noProof/>
          <w:sz w:val="24"/>
          <w:szCs w:val="24"/>
          <w:u w:val="single"/>
        </w:rPr>
        <w:t>received</w:t>
      </w:r>
      <w:r>
        <w:rPr>
          <w:rFonts w:ascii="Times New Roman" w:hAnsi="Times New Roman" w:cs="Times New Roman"/>
          <w:i/>
          <w:noProof/>
          <w:sz w:val="24"/>
          <w:szCs w:val="24"/>
        </w:rPr>
        <w:t xml:space="preserve"> by each Member State</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4" name="Rectangle 4"/>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" fillcolor="#4f81bd [3204]"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 xml:space="preserve">average 2010-2011;    </w:t>
      </w: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5" name="Rectangle 5"/>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" fillcolor="#c0504d [3205]"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average 2013-2016</w:t>
      </w:r>
    </w:p>
    <w:p>
      <w:pPr>
        <w:spacing w:before="120"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6400800" cy="3486150"/>
            <wp:effectExtent l="0" t="0" r="19050" b="1905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before="120" w:after="120" w:line="240" w:lineRule="auto"/>
        <w:rPr>
          <w:rFonts w:ascii="Times New Roman" w:hAnsi="Times New Roman" w:cs="Times New Roman"/>
          <w:i/>
          <w:noProof/>
          <w:sz w:val="24"/>
          <w:szCs w:val="24"/>
        </w:rPr>
      </w:pPr>
    </w:p>
    <w:p>
      <w:pPr>
        <w:spacing w:before="120" w:after="12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Table 18: average yearly number of </w:t>
      </w:r>
      <w:r>
        <w:rPr>
          <w:rFonts w:ascii="Times New Roman" w:hAnsi="Times New Roman" w:cs="Times New Roman"/>
          <w:i/>
          <w:noProof/>
          <w:sz w:val="24"/>
          <w:szCs w:val="24"/>
          <w:u w:val="single"/>
        </w:rPr>
        <w:t>requests for notification</w:t>
      </w:r>
      <w:r>
        <w:rPr>
          <w:rFonts w:ascii="Times New Roman" w:hAnsi="Times New Roman" w:cs="Times New Roman"/>
          <w:i/>
          <w:noProof/>
          <w:sz w:val="24"/>
          <w:szCs w:val="24"/>
        </w:rPr>
        <w:t xml:space="preserve"> </w:t>
      </w:r>
      <w:r>
        <w:rPr>
          <w:rFonts w:ascii="Times New Roman" w:hAnsi="Times New Roman" w:cs="Times New Roman"/>
          <w:i/>
          <w:noProof/>
          <w:sz w:val="24"/>
          <w:szCs w:val="24"/>
          <w:u w:val="single"/>
        </w:rPr>
        <w:t>sent</w:t>
      </w:r>
      <w:r>
        <w:rPr>
          <w:rFonts w:ascii="Times New Roman" w:hAnsi="Times New Roman" w:cs="Times New Roman"/>
          <w:i/>
          <w:noProof/>
          <w:sz w:val="24"/>
          <w:szCs w:val="24"/>
        </w:rPr>
        <w:t xml:space="preserve"> by each Member State </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36" name="Rectangle 36"/>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" fillcolor="#4f81bd [3204]"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 xml:space="preserve">average 2010-2011;    </w:t>
      </w: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37" name="Rectangle 37"/>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7"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" fillcolor="#c0504d [3205]"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average 2013-2016</w:t>
      </w:r>
    </w:p>
    <w:p>
      <w:pPr>
        <w:spacing w:before="120" w:after="120" w:line="240" w:lineRule="auto"/>
        <w:ind w:left="-60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6553200" cy="3771900"/>
            <wp:effectExtent l="0" t="0" r="19050" b="1905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before="120" w:after="120" w:line="240" w:lineRule="auto"/>
        <w:rPr>
          <w:rFonts w:ascii="Times New Roman" w:hAnsi="Times New Roman" w:cs="Times New Roman"/>
          <w:i/>
          <w:noProof/>
          <w:sz w:val="24"/>
          <w:szCs w:val="24"/>
        </w:rPr>
      </w:pPr>
    </w:p>
    <w:p>
      <w:pPr>
        <w:spacing w:before="120" w:after="120" w:line="240" w:lineRule="auto"/>
        <w:rPr>
          <w:rFonts w:ascii="Times New Roman" w:hAnsi="Times New Roman" w:cs="Times New Roman"/>
          <w:i/>
          <w:noProof/>
          <w:sz w:val="24"/>
          <w:szCs w:val="24"/>
        </w:rPr>
      </w:pPr>
    </w:p>
    <w:p>
      <w:pPr>
        <w:spacing w:before="120" w:after="12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Table 19: average yearly number of </w:t>
      </w:r>
      <w:r>
        <w:rPr>
          <w:rFonts w:ascii="Times New Roman" w:hAnsi="Times New Roman" w:cs="Times New Roman"/>
          <w:i/>
          <w:noProof/>
          <w:sz w:val="24"/>
          <w:szCs w:val="24"/>
          <w:u w:val="single"/>
        </w:rPr>
        <w:t>requests for notification</w:t>
      </w:r>
      <w:r>
        <w:rPr>
          <w:rFonts w:ascii="Times New Roman" w:hAnsi="Times New Roman" w:cs="Times New Roman"/>
          <w:i/>
          <w:noProof/>
          <w:sz w:val="24"/>
          <w:szCs w:val="24"/>
        </w:rPr>
        <w:t xml:space="preserve"> </w:t>
      </w:r>
      <w:r>
        <w:rPr>
          <w:rFonts w:ascii="Times New Roman" w:hAnsi="Times New Roman" w:cs="Times New Roman"/>
          <w:i/>
          <w:noProof/>
          <w:sz w:val="24"/>
          <w:szCs w:val="24"/>
          <w:u w:val="single"/>
        </w:rPr>
        <w:t>received</w:t>
      </w:r>
      <w:r>
        <w:rPr>
          <w:rFonts w:ascii="Times New Roman" w:hAnsi="Times New Roman" w:cs="Times New Roman"/>
          <w:i/>
          <w:noProof/>
          <w:sz w:val="24"/>
          <w:szCs w:val="24"/>
        </w:rPr>
        <w:t xml:space="preserve"> by each Member State </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41" name="Rectangle 41"/>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" fillcolor="#4f81bd [3204]"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 xml:space="preserve">average 2010-2011;    </w:t>
      </w: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43" name="Rectangle 43"/>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" fillcolor="#c0504d [3205]"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average 2013-2016</w:t>
      </w:r>
    </w:p>
    <w:p>
      <w:pPr>
        <w:spacing w:before="120" w:after="120" w:line="240" w:lineRule="auto"/>
        <w:ind w:left="-60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6553200" cy="3581400"/>
            <wp:effectExtent l="0" t="0" r="19050" b="1905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spacing w:before="120" w:after="120" w:line="240" w:lineRule="auto"/>
        <w:rPr>
          <w:rFonts w:ascii="Times New Roman" w:hAnsi="Times New Roman" w:cs="Times New Roman"/>
          <w:b/>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Table 20: average yearly number of </w:t>
      </w:r>
      <w:r>
        <w:rPr>
          <w:rFonts w:ascii="Times New Roman" w:hAnsi="Times New Roman" w:cs="Times New Roman"/>
          <w:i/>
          <w:noProof/>
          <w:sz w:val="24"/>
          <w:szCs w:val="24"/>
          <w:u w:val="single"/>
        </w:rPr>
        <w:t>requests for precautionary measures</w:t>
      </w:r>
      <w:r>
        <w:rPr>
          <w:rFonts w:ascii="Times New Roman" w:hAnsi="Times New Roman" w:cs="Times New Roman"/>
          <w:i/>
          <w:noProof/>
          <w:sz w:val="24"/>
          <w:szCs w:val="24"/>
        </w:rPr>
        <w:t xml:space="preserve"> </w:t>
      </w:r>
      <w:r>
        <w:rPr>
          <w:rFonts w:ascii="Times New Roman" w:hAnsi="Times New Roman" w:cs="Times New Roman"/>
          <w:i/>
          <w:noProof/>
          <w:sz w:val="24"/>
          <w:szCs w:val="24"/>
          <w:u w:val="single"/>
        </w:rPr>
        <w:t>sent</w:t>
      </w:r>
      <w:r>
        <w:rPr>
          <w:rFonts w:ascii="Times New Roman" w:hAnsi="Times New Roman" w:cs="Times New Roman"/>
          <w:i/>
          <w:noProof/>
          <w:sz w:val="24"/>
          <w:szCs w:val="24"/>
        </w:rPr>
        <w:t xml:space="preserve"> by each Member State     </w:t>
      </w: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25" name="Rectangle 25"/>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5"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" fillcolor="#c0504d [3205]"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average 2013-2016</w:t>
      </w:r>
    </w:p>
    <w:p>
      <w:pPr>
        <w:spacing w:before="120" w:after="120" w:line="240" w:lineRule="auto"/>
        <w:rPr>
          <w:rFonts w:ascii="Times New Roman" w:hAnsi="Times New Roman" w:cs="Times New Roman"/>
          <w:b/>
          <w:noProof/>
          <w:sz w:val="24"/>
          <w:szCs w:val="24"/>
        </w:rPr>
      </w:pPr>
      <w:r>
        <w:rPr>
          <w:rFonts w:ascii="Times New Roman" w:hAnsi="Times New Roman" w:cs="Times New Roman"/>
          <w:noProof/>
          <w:sz w:val="24"/>
          <w:szCs w:val="24"/>
          <w:lang w:val="en-US"/>
        </w:rPr>
        <w:drawing>
          <wp:inline distT="0" distB="0" distL="0" distR="0">
            <wp:extent cx="5486400" cy="32004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before="120" w:after="120" w:line="240" w:lineRule="auto"/>
        <w:rPr>
          <w:rFonts w:ascii="Times New Roman" w:hAnsi="Times New Roman" w:cs="Times New Roman"/>
          <w:noProof/>
          <w:sz w:val="24"/>
          <w:szCs w:val="24"/>
        </w:rPr>
      </w:pPr>
    </w:p>
    <w:p>
      <w:pPr>
        <w:spacing w:before="120" w:after="120" w:line="240" w:lineRule="auto"/>
        <w:rPr>
          <w:rFonts w:ascii="Times New Roman" w:hAnsi="Times New Roman" w:cs="Times New Roman"/>
          <w:noProof/>
          <w:sz w:val="24"/>
          <w:szCs w:val="24"/>
        </w:rPr>
      </w:pPr>
      <w:r>
        <w:rPr>
          <w:rFonts w:ascii="Times New Roman" w:hAnsi="Times New Roman" w:cs="Times New Roman"/>
          <w:i/>
          <w:noProof/>
          <w:sz w:val="24"/>
          <w:szCs w:val="24"/>
        </w:rPr>
        <w:t xml:space="preserve">Table 21: average yearly number of </w:t>
      </w:r>
      <w:r>
        <w:rPr>
          <w:rFonts w:ascii="Times New Roman" w:hAnsi="Times New Roman" w:cs="Times New Roman"/>
          <w:i/>
          <w:noProof/>
          <w:sz w:val="24"/>
          <w:szCs w:val="24"/>
          <w:u w:val="single"/>
        </w:rPr>
        <w:t>requests for precautionary measures</w:t>
      </w:r>
      <w:r>
        <w:rPr>
          <w:rFonts w:ascii="Times New Roman" w:hAnsi="Times New Roman" w:cs="Times New Roman"/>
          <w:i/>
          <w:noProof/>
          <w:sz w:val="24"/>
          <w:szCs w:val="24"/>
        </w:rPr>
        <w:t xml:space="preserve"> </w:t>
      </w:r>
      <w:r>
        <w:rPr>
          <w:rFonts w:ascii="Times New Roman" w:hAnsi="Times New Roman" w:cs="Times New Roman"/>
          <w:i/>
          <w:noProof/>
          <w:sz w:val="24"/>
          <w:szCs w:val="24"/>
          <w:u w:val="single"/>
        </w:rPr>
        <w:t>received</w:t>
      </w:r>
      <w:r>
        <w:rPr>
          <w:rFonts w:ascii="Times New Roman" w:hAnsi="Times New Roman" w:cs="Times New Roman"/>
          <w:i/>
          <w:noProof/>
          <w:sz w:val="24"/>
          <w:szCs w:val="24"/>
        </w:rPr>
        <w:t xml:space="preserve"> by each Member State     </w:t>
      </w: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27" name="Rectangle 27"/>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7"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" fillcolor="#c0504d [3205]"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average 2013-2016</w:t>
      </w:r>
    </w:p>
    <w:p>
      <w:pPr>
        <w:spacing w:before="120" w:after="120" w:line="240" w:lineRule="auto"/>
        <w:rPr>
          <w:rFonts w:ascii="Times New Roman" w:hAnsi="Times New Roman" w:cs="Times New Roman"/>
          <w:noProof/>
          <w:sz w:val="24"/>
          <w:szCs w:val="24"/>
        </w:rPr>
      </w:pPr>
    </w:p>
    <w:p>
      <w:pPr>
        <w:spacing w:before="120" w:after="120" w:line="240" w:lineRule="auto"/>
        <w:rPr>
          <w:rFonts w:ascii="Times New Roman" w:hAnsi="Times New Roman" w:cs="Times New Roman"/>
          <w:b/>
          <w:noProof/>
          <w:sz w:val="24"/>
          <w:szCs w:val="24"/>
        </w:rPr>
      </w:pPr>
      <w:r>
        <w:rPr>
          <w:rFonts w:ascii="Times New Roman" w:hAnsi="Times New Roman" w:cs="Times New Roman"/>
          <w:noProof/>
          <w:sz w:val="24"/>
          <w:szCs w:val="24"/>
          <w:lang w:val="en-US"/>
        </w:rPr>
        <w:drawing>
          <wp:inline distT="0" distB="0" distL="0" distR="0">
            <wp:extent cx="5486400" cy="32004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spacing w:before="120" w:after="120" w:line="240" w:lineRule="auto"/>
        <w:rPr>
          <w:rFonts w:ascii="Times New Roman" w:hAnsi="Times New Roman" w:cs="Times New Roman"/>
          <w:b/>
          <w:noProof/>
          <w:sz w:val="24"/>
          <w:szCs w:val="24"/>
        </w:rPr>
      </w:pPr>
    </w:p>
    <w:p>
      <w:pPr>
        <w:spacing w:before="120" w:after="12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Table 22: average yearly number of </w:t>
      </w:r>
      <w:r>
        <w:rPr>
          <w:rFonts w:ascii="Times New Roman" w:hAnsi="Times New Roman" w:cs="Times New Roman"/>
          <w:i/>
          <w:noProof/>
          <w:sz w:val="24"/>
          <w:szCs w:val="24"/>
          <w:u w:val="single"/>
        </w:rPr>
        <w:t>requests for recovery</w:t>
      </w:r>
      <w:r>
        <w:rPr>
          <w:rFonts w:ascii="Times New Roman" w:hAnsi="Times New Roman" w:cs="Times New Roman"/>
          <w:i/>
          <w:noProof/>
          <w:sz w:val="24"/>
          <w:szCs w:val="24"/>
        </w:rPr>
        <w:t xml:space="preserve"> </w:t>
      </w:r>
      <w:r>
        <w:rPr>
          <w:rFonts w:ascii="Times New Roman" w:hAnsi="Times New Roman" w:cs="Times New Roman"/>
          <w:i/>
          <w:noProof/>
          <w:sz w:val="24"/>
          <w:szCs w:val="24"/>
          <w:u w:val="single"/>
        </w:rPr>
        <w:t>sent</w:t>
      </w:r>
      <w:r>
        <w:rPr>
          <w:rFonts w:ascii="Times New Roman" w:hAnsi="Times New Roman" w:cs="Times New Roman"/>
          <w:i/>
          <w:noProof/>
          <w:sz w:val="24"/>
          <w:szCs w:val="24"/>
        </w:rPr>
        <w:t xml:space="preserve"> by each Member State </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44" name="Rectangle 44"/>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" fillcolor="#4f81bd [3204]"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 xml:space="preserve">average 2010-2011;    </w:t>
      </w: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47" name="Rectangle 47"/>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7"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" fillcolor="#c0504d [3205]"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average 2013-2016</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486400" cy="320040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spacing w:before="120" w:after="120" w:line="240" w:lineRule="auto"/>
        <w:rPr>
          <w:rFonts w:ascii="Times New Roman" w:hAnsi="Times New Roman" w:cs="Times New Roman"/>
          <w:i/>
          <w:noProof/>
          <w:sz w:val="24"/>
          <w:szCs w:val="24"/>
        </w:rPr>
      </w:pPr>
    </w:p>
    <w:p>
      <w:pPr>
        <w:spacing w:before="120" w:after="120" w:line="240" w:lineRule="auto"/>
        <w:rPr>
          <w:rFonts w:ascii="Times New Roman" w:hAnsi="Times New Roman" w:cs="Times New Roman"/>
          <w:i/>
          <w:noProof/>
          <w:sz w:val="24"/>
          <w:szCs w:val="24"/>
        </w:rPr>
      </w:pPr>
    </w:p>
    <w:p>
      <w:pPr>
        <w:spacing w:before="120" w:after="120" w:line="240" w:lineRule="auto"/>
        <w:rPr>
          <w:rFonts w:ascii="Times New Roman" w:hAnsi="Times New Roman" w:cs="Times New Roman"/>
          <w:i/>
          <w:noProof/>
          <w:sz w:val="24"/>
          <w:szCs w:val="24"/>
        </w:rPr>
      </w:pPr>
    </w:p>
    <w:p>
      <w:pPr>
        <w:spacing w:before="120" w:after="12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Table 23: average yearly number of </w:t>
      </w:r>
      <w:r>
        <w:rPr>
          <w:rFonts w:ascii="Times New Roman" w:hAnsi="Times New Roman" w:cs="Times New Roman"/>
          <w:i/>
          <w:noProof/>
          <w:sz w:val="24"/>
          <w:szCs w:val="24"/>
          <w:u w:val="single"/>
        </w:rPr>
        <w:t>requests for recovery</w:t>
      </w:r>
      <w:r>
        <w:rPr>
          <w:rFonts w:ascii="Times New Roman" w:hAnsi="Times New Roman" w:cs="Times New Roman"/>
          <w:i/>
          <w:noProof/>
          <w:sz w:val="24"/>
          <w:szCs w:val="24"/>
        </w:rPr>
        <w:t xml:space="preserve"> </w:t>
      </w:r>
      <w:r>
        <w:rPr>
          <w:rFonts w:ascii="Times New Roman" w:hAnsi="Times New Roman" w:cs="Times New Roman"/>
          <w:i/>
          <w:noProof/>
          <w:sz w:val="24"/>
          <w:szCs w:val="24"/>
          <w:u w:val="single"/>
        </w:rPr>
        <w:t>received</w:t>
      </w:r>
      <w:r>
        <w:rPr>
          <w:rFonts w:ascii="Times New Roman" w:hAnsi="Times New Roman" w:cs="Times New Roman"/>
          <w:i/>
          <w:noProof/>
          <w:sz w:val="24"/>
          <w:szCs w:val="24"/>
        </w:rPr>
        <w:t xml:space="preserve"> by each Member State</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48" name="Rectangle 48"/>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" fillcolor="#4f81bd [3204]"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 xml:space="preserve">average 2010-2011;    </w:t>
      </w:r>
      <w:r>
        <w:rPr>
          <w:rFonts w:ascii="Times New Roman" w:hAnsi="Times New Roman" w:cs="Times New Roman"/>
          <w:noProof/>
          <w:sz w:val="24"/>
          <w:szCs w:val="24"/>
          <w:lang w:val="en-US"/>
        </w:rPr>
        <mc:AlternateContent>
          <mc:Choice Requires="wps">
            <w:drawing>
              <wp:inline distT="0" distB="0" distL="0" distR="0">
                <wp:extent cx="159489" cy="114300"/>
                <wp:effectExtent l="0" t="0" r="12065" b="19050"/>
                <wp:docPr id="50" name="Rectangle 50"/>
                <wp:cNvGraphicFramePr/>
                <a:graphic xmlns:a="http://schemas.openxmlformats.org/drawingml/2006/main">
                  <a:graphicData uri="http://schemas.microsoft.com/office/word/2010/wordprocessingShape">
                    <wps:wsp>
                      <wps:cNvSpPr/>
                      <wps:spPr>
                        <a:xfrm>
                          <a:off x="0" y="0"/>
                          <a:ext cx="159489" cy="114300"/>
                        </a:xfrm>
                        <a:prstGeom prst="rect">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0" o:spid="_x0000_s1026" style="width:12.5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" fillcolor="#c0504d [3205]" strokecolor="black [3213]" strokeweight=".5pt">
                <w10:anchorlock/>
              </v:rect>
            </w:pict>
          </mc:Fallback>
        </mc:AlternateContent>
      </w:r>
      <w:r>
        <w:rPr>
          <w:rFonts w:ascii="Times New Roman" w:hAnsi="Times New Roman" w:cs="Times New Roman"/>
          <w:noProof/>
          <w:sz w:val="24"/>
          <w:szCs w:val="24"/>
        </w:rPr>
        <w:t xml:space="preserve">  = </w:t>
      </w:r>
      <w:r>
        <w:rPr>
          <w:rFonts w:ascii="Times New Roman" w:hAnsi="Times New Roman" w:cs="Times New Roman"/>
          <w:i/>
          <w:noProof/>
          <w:sz w:val="24"/>
          <w:szCs w:val="24"/>
        </w:rPr>
        <w:t>average 2013-2016</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486400" cy="32004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spacing w:before="120" w:after="120" w:line="240" w:lineRule="auto"/>
        <w:rPr>
          <w:rFonts w:ascii="Times New Roman" w:hAnsi="Times New Roman" w:cs="Times New Roman"/>
          <w:noProof/>
          <w:sz w:val="24"/>
          <w:szCs w:val="24"/>
          <w:lang w:eastAsia="en-GB"/>
        </w:rPr>
      </w:pPr>
    </w:p>
    <w:p>
      <w:pPr>
        <w:spacing w:before="120" w:after="120" w:line="240" w:lineRule="auto"/>
        <w:rPr>
          <w:rFonts w:ascii="Times New Roman" w:hAnsi="Times New Roman" w:cs="Times New Roman"/>
          <w:noProof/>
          <w:sz w:val="24"/>
          <w:szCs w:val="24"/>
          <w:lang w:eastAsia="en-GB"/>
        </w:rPr>
      </w:pPr>
    </w:p>
    <w:p>
      <w:pPr>
        <w:spacing w:before="120" w:after="120" w:line="240" w:lineRule="auto"/>
        <w:rPr>
          <w:rFonts w:ascii="Times New Roman" w:hAnsi="Times New Roman" w:cs="Times New Roman"/>
          <w:noProof/>
          <w:sz w:val="24"/>
          <w:szCs w:val="24"/>
          <w:lang w:eastAsia="en-GB"/>
        </w:rPr>
      </w:pPr>
    </w:p>
    <w:p>
      <w:pPr>
        <w:spacing w:before="120" w:after="120" w:line="240" w:lineRule="auto"/>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6.4.1.2. Loyal cooperation between EU Member States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rPr>
        <w:tab/>
        <w:t xml:space="preserve">In their replies to the questionnaire, as well as in Fiscalis 2020 workshops, Member States generally expressed a positive opinion on the assistance provided by other Member States. Nevertheless, several delegates reported that the situation varies from country to country.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On several occasions, delegates expressed the feeling that the priority and preference which Member States give to the collection and recovery of their own tax claims,</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had a negative impact on their recovery assistance to other Member States. In their replies to the questionnaire, several Member States considered that the following elements constitute big external obstacles to the effective functioning of the Directive:</w:t>
      </w:r>
    </w:p>
    <w:p>
      <w:pPr>
        <w:pStyle w:val="ListParagraph"/>
        <w:numPr>
          <w:ilvl w:val="0"/>
          <w:numId w:val="9"/>
        </w:num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a lack of resources on the national level (17 Member States) (see point 6.1.1.3.);</w:t>
      </w:r>
    </w:p>
    <w:p>
      <w:pPr>
        <w:pStyle w:val="ListParagraph"/>
        <w:numPr>
          <w:ilvl w:val="0"/>
          <w:numId w:val="9"/>
        </w:num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cross-border recovery assistance is not a priority for tax administrations (10 Member States)</w:t>
      </w:r>
      <w:r>
        <w:rPr>
          <w:noProof/>
        </w:rPr>
        <w:t xml:space="preserve"> </w:t>
      </w:r>
      <w:r>
        <w:rPr>
          <w:rFonts w:ascii="Times New Roman" w:hAnsi="Times New Roman" w:cs="Times New Roman"/>
          <w:noProof/>
          <w:sz w:val="24"/>
          <w:szCs w:val="24"/>
        </w:rPr>
        <w:t>(see also point 6.1.1.3.);</w:t>
      </w:r>
    </w:p>
    <w:p>
      <w:pPr>
        <w:pStyle w:val="ListParagraph"/>
        <w:numPr>
          <w:ilvl w:val="0"/>
          <w:numId w:val="9"/>
        </w:num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reciprocity concerns (5 Member States).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It seems that Member States (first) try to solve cooperation problems at bilateral level, trying to maintain good relationships in view of future assistance needs. However, problems encountered in one bilateral relationship could also happen in other bilateral relationships. Sharing these experiences and information about bilateral discussions and solutions could thus also be of help to other Member States.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recent times, the Commission services are more frequently contacted for advice on specific questions, in particular when the Member States have a divergent view on the interpretation of the EU legislation concerned. In these situations, the Commission services also bring these questions to the attention of other Member States, in the meetings of the Recovery Expert Group.</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Since the entry into force of the recovery assistance framework set up under Directive 2010/24/EU, the Commission was asked 3 times to intervene in situations where Member States complained about a lack of information about the follow-up of assistance requests in other Member States.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One of these cases related to a specific case; the two others related to several cases.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this regard, the Commission understands that the requested authorities do not like to be "accused" by other Member States. (Each of the reported cases related to a requested Member State which receives several hundreds of recovery requests a year, and errors or failures in the follow-up or in the communication between the Member States on these cases may always occur.) However, problems which cannot be openly discussed lead to irritation and frustration on both sides, which in the long run affect the mutual recovery assistance in its entirety. Moreover, such complaints are useful, as the identification and analysis of the reported problems may also reveal possibilities to improve the assistance framework for all Member States. </w:t>
      </w:r>
    </w:p>
    <w:p>
      <w:pPr>
        <w:spacing w:before="120" w:after="120" w:line="240" w:lineRule="auto"/>
        <w:ind w:left="360" w:hanging="360"/>
        <w:jc w:val="both"/>
        <w:rPr>
          <w:rFonts w:ascii="Times New Roman" w:hAnsi="Times New Roman" w:cs="Times New Roman"/>
          <w:noProof/>
          <w:sz w:val="24"/>
          <w:szCs w:val="24"/>
        </w:rPr>
      </w:pPr>
    </w:p>
    <w:p>
      <w:pPr>
        <w:pStyle w:val="Heading4"/>
        <w:rPr>
          <w:noProof/>
          <w:sz w:val="24"/>
          <w:szCs w:val="24"/>
        </w:rPr>
      </w:pPr>
      <w:r>
        <w:rPr>
          <w:noProof/>
          <w:sz w:val="24"/>
          <w:szCs w:val="24"/>
        </w:rPr>
        <w:t xml:space="preserve">6.4.2. </w:t>
      </w:r>
      <w:r>
        <w:rPr>
          <w:noProof/>
          <w:sz w:val="24"/>
          <w:szCs w:val="24"/>
        </w:rPr>
        <w:tab/>
        <w:t>Does the EU provide incentives to improve tax recovery assistance?</w:t>
      </w:r>
    </w:p>
    <w:p>
      <w:pPr>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6.4.2.1. EU tax recovery assistance: a cornerstone for the proper functioning of the internal market</w:t>
      </w:r>
    </w:p>
    <w:p>
      <w:pPr>
        <w:spacing w:after="120" w:line="240" w:lineRule="auto"/>
        <w:jc w:val="both"/>
        <w:rPr>
          <w:rFonts w:ascii="Times New Roman" w:hAnsi="Times New Roman" w:cs="Times New Roman"/>
          <w:b/>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Traditionally, initiatives for mutual recovery assistance have always been based on considerations relating to the "mutual" interest of the contracting States. Recovery assistance was only provided to another State insofar as the State providing this assistance could also obtain a benefit (recovery assistance or other benefit) from the other State. Recovery assistance between EU Member States however also serves another goal: "it contributes to the proper functioning of the internal market. It ensures fiscal neutrality and has allowed Member States to remove discriminatory protective measures in cross-border transactions designed to prevent fraud and budgetary losses".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In this way, providing mutual recovery assistance is thus in the interest of all EU Member States (and of their citizens and companies), despite the unequal use of the assistance framework. This should be an incentive for all Member States to provide sufficient resources for this recovery assistance.</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i/>
          <w:noProof/>
          <w:sz w:val="24"/>
          <w:szCs w:val="24"/>
        </w:rPr>
        <w:tab/>
      </w:r>
      <w:r>
        <w:rPr>
          <w:rFonts w:ascii="Times New Roman" w:hAnsi="Times New Roman" w:cs="Times New Roman"/>
          <w:noProof/>
          <w:sz w:val="24"/>
          <w:szCs w:val="24"/>
        </w:rPr>
        <w:t>This single market is an important achievement of the EU and fundamental to its stability and prosperity. When levying taxes, Member States are thus expected to respect the freedom of establishment, the free movement of persons, goods and capital, as well as the basic principle of non-discrimination.</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In several cases before the EU Court of Justice, in particular concerning exit taxes,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Member States that were accused of violating these basic principles have tried to justify their national tax systems by underlining that the existence of the tax recovery assistance Directive did not guarantee an effective recovery of the tax at stake. The Court has always been reluctant to accept this argument.</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The Court of Justice has always reiterated that it is up to the Member States to make sure that the EU legal framework for tax recovery assistance is effectively used. Accordingly, the Commission has always emphasized that Member States should make full use of the possibilities offered by the mutual assistance Directive. </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 clear illustration can be found in the area of exit taxation, where the effective administrative cooperation is key to ensuring the effective protection of the exit State tax base.</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The case-law in this field resulted in Article 5(2) of Directive 2016/1164</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which confirms that a taxpayer shall be given the right to defer the payment of an exit tax by paying it in instalment over five years, if a taxpayer transfers assets or its tax residence to another Member State or to a third country that is party to the EEA Agreement, if that third country has concluded an agreement with the Member State of the taxpayer or with the Union on the mutual assistance for the recovery of tax claims, equivalent to the mutual assistance provided for in Council Directive 2010/24/EU. </w:t>
      </w:r>
    </w:p>
    <w:p>
      <w:pPr>
        <w:pStyle w:val="ListParagraph"/>
        <w:spacing w:before="120" w:after="120" w:line="240" w:lineRule="auto"/>
        <w:ind w:left="360"/>
        <w:jc w:val="both"/>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b/>
          <w:noProof/>
          <w:sz w:val="24"/>
          <w:szCs w:val="24"/>
        </w:rPr>
      </w:pPr>
      <w:r>
        <w:rPr>
          <w:rFonts w:ascii="Times New Roman" w:hAnsi="Times New Roman" w:cs="Times New Roman"/>
          <w:b/>
          <w:noProof/>
          <w:sz w:val="24"/>
          <w:szCs w:val="24"/>
        </w:rPr>
        <w:t>6.4.2.2. Advantage of a joint EU approach in recovery assistance</w:t>
      </w:r>
    </w:p>
    <w:p>
      <w:pPr>
        <w:spacing w:before="120" w:after="120" w:line="240" w:lineRule="auto"/>
        <w:ind w:left="360" w:hanging="360"/>
        <w:jc w:val="both"/>
        <w:rPr>
          <w:rFonts w:ascii="Times New Roman" w:hAnsi="Times New Roman" w:cs="Times New Roman"/>
          <w:b/>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szCs w:val="24"/>
        </w:rPr>
      </w:pPr>
      <w:r>
        <w:rPr>
          <w:rFonts w:ascii="Times New Roman" w:hAnsi="Times New Roman" w:cs="Times New Roman"/>
          <w:iCs/>
          <w:noProof/>
          <w:sz w:val="24"/>
          <w:szCs w:val="24"/>
        </w:rPr>
        <w:t>a.</w:t>
      </w:r>
      <w:r>
        <w:rPr>
          <w:rFonts w:ascii="Times New Roman" w:hAnsi="Times New Roman" w:cs="Times New Roman"/>
          <w:iCs/>
          <w:noProof/>
          <w:sz w:val="24"/>
          <w:szCs w:val="24"/>
        </w:rPr>
        <w:tab/>
      </w:r>
      <w:r>
        <w:rPr>
          <w:rFonts w:ascii="Times New Roman" w:hAnsi="Times New Roman" w:cs="Times New Roman"/>
          <w:noProof/>
          <w:sz w:val="24"/>
          <w:szCs w:val="24"/>
        </w:rPr>
        <w:t xml:space="preserve">The EU legislation on tax recovery assistance provides a harmonised set of assistance arrangements. </w:t>
      </w:r>
      <w:r>
        <w:rPr>
          <w:rFonts w:ascii="Times New Roman" w:hAnsi="Times New Roman" w:cs="Times New Roman"/>
          <w:iCs/>
          <w:noProof/>
          <w:sz w:val="24"/>
          <w:szCs w:val="24"/>
        </w:rPr>
        <w:t xml:space="preserve">The extension of the material scope to all taxes implies that administrative authorities do not need to have recourse to different sets of legislation, each with their own rules and conditions, depending on the type of claim for which they are requesting recovery assistance. Moreover, all authorities can </w:t>
      </w:r>
      <w:r>
        <w:rPr>
          <w:rFonts w:ascii="Times New Roman" w:hAnsi="Times New Roman" w:cs="Times New Roman"/>
          <w:noProof/>
          <w:sz w:val="24"/>
          <w:szCs w:val="24"/>
        </w:rPr>
        <w:t>use the common electronic request forms and uniform instruments (uniform notification form and uniform instrument permitting enforcement in the requested Member State).</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use of common rules and common forms – with an automated translation – considerably facilitates the work of the authorities dealing with international tax recovery assistance. This constitutes a major advantage for the cooperation between the Member States' tax authorities.</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Commission services are currently building a central application aimed at encompassing all electronic forms for all taxation domains. This central application will allow further streamlining and rationalisation of electronic forms, ensuring quick modification at Commission level, tackling new challenges in the field of exchange of information, while reducing drastically the deployment costs at EU and Member States levels. This development will allow to simplify the lay-out of the e-forms and to make them still more user-friendly. All Member States have been consulted on the development of the central platform design for the recovery request forms.</w:t>
      </w:r>
      <w:r>
        <w:rPr>
          <w:rStyle w:val="FootnoteReference"/>
          <w:rFonts w:ascii="Times New Roman" w:hAnsi="Times New Roman" w:cs="Times New Roman"/>
          <w:noProof/>
          <w:sz w:val="24"/>
          <w:szCs w:val="24"/>
        </w:rPr>
        <w:footnoteReference w:id="59"/>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Several Member States also expressed the wish to have the possibility to use these EU electronic request forms for their bilateral tax recovery assistance with other third countries (see point 6.3.2.2.).</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On the basis of a Council mandate, the Commission has negotiated an agreement on administrative cooperation in the field of VAT, including recovery assistance, between the EU and Norway. The intention with regard to the recovery assistance aspects is to agree on a recovery assistance framework that is as closely as possible to the EU acquis.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obvious that this joint EU negotiation approach has clear advantages over bilateral negotiations between individual States. The use of common rules, common request forms and a common communication network, in line with the rules of the EU Directive, will ensure that this extended assistance can be easily applied by the competent authorities of the Member States.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Finally, some respondents in the public consultation solicited a strict approach towards non-cooperating countries.</w:t>
      </w:r>
    </w:p>
    <w:p>
      <w:pPr>
        <w:spacing w:before="120" w:after="120" w:line="240" w:lineRule="auto"/>
        <w:ind w:left="360" w:hanging="360"/>
        <w:jc w:val="both"/>
        <w:rPr>
          <w:rFonts w:ascii="Times New Roman" w:hAnsi="Times New Roman" w:cs="Times New Roman"/>
          <w:b/>
          <w:noProof/>
          <w:sz w:val="24"/>
          <w:szCs w:val="24"/>
        </w:rPr>
      </w:pPr>
    </w:p>
    <w:p>
      <w:pPr>
        <w:spacing w:before="120" w:after="120" w:line="240" w:lineRule="auto"/>
        <w:ind w:left="360" w:hanging="360"/>
        <w:jc w:val="both"/>
        <w:rPr>
          <w:rFonts w:ascii="Times New Roman" w:hAnsi="Times New Roman" w:cs="Times New Roman"/>
          <w:b/>
          <w:noProof/>
          <w:sz w:val="24"/>
          <w:szCs w:val="24"/>
        </w:rPr>
      </w:pPr>
      <w:r>
        <w:rPr>
          <w:rFonts w:ascii="Times New Roman" w:hAnsi="Times New Roman" w:cs="Times New Roman"/>
          <w:b/>
          <w:noProof/>
          <w:sz w:val="24"/>
          <w:szCs w:val="24"/>
        </w:rPr>
        <w:t>6.4.2.3. Coherence of the EU approach</w:t>
      </w:r>
    </w:p>
    <w:p>
      <w:pPr>
        <w:spacing w:before="120" w:after="120" w:line="240" w:lineRule="auto"/>
        <w:ind w:left="360" w:hanging="360"/>
        <w:jc w:val="both"/>
        <w:rPr>
          <w:rFonts w:ascii="Times New Roman" w:hAnsi="Times New Roman" w:cs="Times New Roman"/>
          <w:b/>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iCs/>
          <w:noProof/>
          <w:sz w:val="24"/>
          <w:szCs w:val="24"/>
        </w:rPr>
        <w:t>a.</w:t>
      </w:r>
      <w:r>
        <w:rPr>
          <w:rFonts w:ascii="Times New Roman" w:hAnsi="Times New Roman" w:cs="Times New Roman"/>
          <w:iCs/>
          <w:noProof/>
          <w:sz w:val="24"/>
          <w:szCs w:val="24"/>
        </w:rPr>
        <w:tab/>
        <w:t xml:space="preserve">Since </w:t>
      </w:r>
      <w:r>
        <w:rPr>
          <w:rFonts w:ascii="Times New Roman" w:hAnsi="Times New Roman" w:cs="Times New Roman"/>
          <w:noProof/>
          <w:sz w:val="24"/>
          <w:szCs w:val="24"/>
        </w:rPr>
        <w:t>recovery assistance for taxes is part of a more global cooperation between the EU Member States and it is designed entirely to provide a harmonised set of assistance arrangements for the cross-border cases, it is difficult semantically to treat coherence in separation of the EU added value, without being repetitive. The recovery Directive works precisely because it sits firmly in the web of the arrangements of the administrative cooperation between the tax authorities. It is even difficult to imagine it not being coherent with the EU policies. This can be illustrated by the following recent examples:</w:t>
      </w:r>
    </w:p>
    <w:p>
      <w:pPr>
        <w:spacing w:before="120" w:after="120" w:line="240" w:lineRule="auto"/>
        <w:ind w:left="720" w:hanging="360"/>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 </w:t>
      </w:r>
      <w:r>
        <w:rPr>
          <w:rFonts w:ascii="Times New Roman" w:hAnsi="Times New Roman" w:cs="Times New Roman"/>
          <w:noProof/>
          <w:sz w:val="24"/>
          <w:szCs w:val="24"/>
        </w:rPr>
        <w:tab/>
        <w:t>o</w:t>
      </w:r>
      <w:r>
        <w:rPr>
          <w:rFonts w:ascii="Times New Roman" w:hAnsi="Times New Roman" w:cs="Times New Roman"/>
          <w:noProof/>
          <w:color w:val="000000"/>
          <w:sz w:val="24"/>
          <w:szCs w:val="24"/>
          <w:lang w:eastAsia="en-GB"/>
        </w:rPr>
        <w:t xml:space="preserve">n 21 December 2016, the Commission has adopted a package of measures to strengthen the EU's capacity to fight the financing of terrorism and organised crime. One of the elements of this package is a Commission proposal for a Regulation of the European Parliament and of the Council on the </w:t>
      </w:r>
      <w:r>
        <w:rPr>
          <w:rFonts w:ascii="Times New Roman" w:hAnsi="Times New Roman" w:cs="Times New Roman"/>
          <w:bCs/>
          <w:noProof/>
          <w:sz w:val="24"/>
          <w:szCs w:val="24"/>
          <w:lang w:eastAsia="en-GB"/>
        </w:rPr>
        <w:t xml:space="preserve">mutual recognition of freezing and confiscation orders (document </w:t>
      </w:r>
      <w:r>
        <w:rPr>
          <w:rFonts w:ascii="Times New Roman" w:hAnsi="Times New Roman" w:cs="Times New Roman"/>
          <w:noProof/>
          <w:sz w:val="24"/>
          <w:szCs w:val="24"/>
          <w:lang w:eastAsia="en-GB"/>
        </w:rPr>
        <w:t>COM(2016) 819 final). According to the Commission proposal, the rules for disposal of the confiscated property should give priority to the compensation and restitution of property to the victims. At the same time, this Commission proposal emphasizes that when disposing of the confiscated property, Member States should also take into account their obligations to assist in the recovery of tax claims from other Member States in accordance with Directive 2010/24/EU. In the Recovery Expert Group, some Member States have indicated that they have a positive experience with regard to this cooperation;</w:t>
      </w:r>
    </w:p>
    <w:p>
      <w:pPr>
        <w:spacing w:before="120"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ab/>
        <w:t>o</w:t>
      </w:r>
      <w:r>
        <w:rPr>
          <w:rFonts w:ascii="Times New Roman" w:hAnsi="Times New Roman" w:cs="Times New Roman"/>
          <w:noProof/>
          <w:sz w:val="24"/>
          <w:szCs w:val="24"/>
        </w:rPr>
        <w:t>n 13 December 2016 the Commission has presented a proposal for a Regulation of the European Parliament and of the Council to amend Regulation 883/2004 on the coordination of social security systems and the implementing Regulation 987/2009 (document COM(2016) 815 final). If adopted, this new legislation would align the recovery assistance provisions for social security claims to the current rules for tax recovery assistance</w:t>
      </w:r>
      <w:r>
        <w:rPr>
          <w:rFonts w:ascii="Times New Roman" w:hAnsi="Times New Roman" w:cs="Times New Roman"/>
          <w:noProof/>
          <w:sz w:val="24"/>
          <w:szCs w:val="24"/>
          <w:lang w:eastAsia="en-GB"/>
        </w:rPr>
        <w:t>.</w:t>
      </w:r>
      <w:r>
        <w:rPr>
          <w:rFonts w:ascii="Times New Roman" w:hAnsi="Times New Roman" w:cs="Times New Roman"/>
          <w:noProof/>
          <w:sz w:val="24"/>
          <w:szCs w:val="24"/>
        </w:rPr>
        <w:tab/>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Tax recovery assistance benefits from other recent improvements of information exchange between tax authorities. This can be illustrated by the following recent examples:</w:t>
      </w:r>
    </w:p>
    <w:p>
      <w:pPr>
        <w:spacing w:after="120" w:line="240" w:lineRule="auto"/>
        <w:ind w:left="720" w:hanging="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t>
      </w:r>
      <w:r>
        <w:rPr>
          <w:rFonts w:ascii="Times New Roman" w:hAnsi="Times New Roman" w:cs="Times New Roman"/>
          <w:noProof/>
          <w:color w:val="000000"/>
          <w:sz w:val="24"/>
          <w:szCs w:val="24"/>
        </w:rPr>
        <w:tab/>
        <w:t xml:space="preserve">article 8(1) of Directive 2011/16/EU </w:t>
      </w:r>
      <w:r>
        <w:rPr>
          <w:rFonts w:ascii="Times New Roman" w:hAnsi="Times New Roman" w:cs="Times New Roman"/>
          <w:noProof/>
          <w:sz w:val="24"/>
          <w:szCs w:val="24"/>
        </w:rPr>
        <w:t>on administrative cooperation in the field of taxation</w:t>
      </w:r>
      <w:r>
        <w:rPr>
          <w:rFonts w:ascii="Times New Roman" w:hAnsi="Times New Roman" w:cs="Times New Roman"/>
          <w:noProof/>
          <w:color w:val="000000"/>
          <w:sz w:val="24"/>
          <w:szCs w:val="24"/>
        </w:rPr>
        <w:t xml:space="preserve"> provides that the competent authorities of all Member States have to exchange automatically the following information concerning residents in other Member States, as from 1 January 2014:</w:t>
      </w:r>
    </w:p>
    <w:p>
      <w:pPr>
        <w:autoSpaceDE w:val="0"/>
        <w:autoSpaceDN w:val="0"/>
        <w:adjustRightInd w:val="0"/>
        <w:spacing w:after="120" w:line="240" w:lineRule="auto"/>
        <w:ind w:left="1080" w:hanging="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income from employment; </w:t>
      </w:r>
    </w:p>
    <w:p>
      <w:pPr>
        <w:autoSpaceDE w:val="0"/>
        <w:autoSpaceDN w:val="0"/>
        <w:adjustRightInd w:val="0"/>
        <w:spacing w:after="120" w:line="240" w:lineRule="auto"/>
        <w:ind w:left="1080" w:hanging="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(b) director’s fees; </w:t>
      </w:r>
    </w:p>
    <w:p>
      <w:pPr>
        <w:autoSpaceDE w:val="0"/>
        <w:autoSpaceDN w:val="0"/>
        <w:adjustRightInd w:val="0"/>
        <w:spacing w:after="120" w:line="240" w:lineRule="auto"/>
        <w:ind w:left="1080" w:hanging="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 life insurance products not covered by other Union legal instruments on exchange of information and other similar measures; </w:t>
      </w:r>
    </w:p>
    <w:p>
      <w:pPr>
        <w:autoSpaceDE w:val="0"/>
        <w:autoSpaceDN w:val="0"/>
        <w:adjustRightInd w:val="0"/>
        <w:spacing w:after="120" w:line="240" w:lineRule="auto"/>
        <w:ind w:left="1080" w:hanging="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(d) pensions; </w:t>
      </w:r>
    </w:p>
    <w:p>
      <w:pPr>
        <w:spacing w:after="120" w:line="240" w:lineRule="auto"/>
        <w:ind w:left="1080" w:hanging="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(e) ownership of and income from immovable property;</w:t>
      </w:r>
    </w:p>
    <w:p>
      <w:pPr>
        <w:tabs>
          <w:tab w:val="left" w:pos="360"/>
        </w:tabs>
        <w:spacing w:after="120" w:line="240" w:lineRule="auto"/>
        <w:ind w:left="720" w:hanging="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t>
      </w:r>
      <w:r>
        <w:rPr>
          <w:rFonts w:ascii="Times New Roman" w:hAnsi="Times New Roman" w:cs="Times New Roman"/>
          <w:noProof/>
          <w:color w:val="000000"/>
          <w:sz w:val="24"/>
          <w:szCs w:val="24"/>
        </w:rPr>
        <w:tab/>
        <w:t>moreover, Council Directive 2014/107/EU of 9 December 2014, amending Directive 2011/16/EU, introduced a system of automatic exchange of information about financial accounts in other Member States. This new measure applies from 1 January 2016.</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Article 16(1), first and second subparagraph of Directive 2011/16 explicitly allows that information communication pursuant to that Directive </w:t>
      </w:r>
      <w:r>
        <w:rPr>
          <w:rFonts w:ascii="Times New Roman" w:hAnsi="Times New Roman" w:cs="Times New Roman"/>
          <w:i/>
          <w:noProof/>
          <w:sz w:val="24"/>
          <w:szCs w:val="24"/>
        </w:rPr>
        <w:t xml:space="preserve">"(…) </w:t>
      </w:r>
      <w:r>
        <w:rPr>
          <w:rFonts w:ascii="Times New Roman" w:hAnsi="Times New Roman" w:cs="Times New Roman"/>
          <w:i/>
          <w:noProof/>
          <w:color w:val="000000"/>
          <w:sz w:val="24"/>
          <w:szCs w:val="24"/>
        </w:rPr>
        <w:t xml:space="preserve">may be used for the administration and enforcement of the domestic laws of the Member States concerning the taxes referred to in Article 2. Such information may also be used for the assessment and enforcement of other taxes and duties covered by Article 2 of Council Directive 2010/24/EU of 16 March 2010 concerning mutual assistance for the recovery of claims relating to taxes, duties and other measures". </w:t>
      </w:r>
      <w:r>
        <w:rPr>
          <w:rFonts w:ascii="Times New Roman" w:hAnsi="Times New Roman" w:cs="Times New Roman"/>
          <w:noProof/>
          <w:color w:val="000000"/>
          <w:sz w:val="24"/>
          <w:szCs w:val="24"/>
        </w:rPr>
        <w:t>Such information may indeed be useful for tax recovery purposes. The effective and efficient use of course depends on a good communication between the tax authorities receiving this information and the tax authorities dealing with recovery of tax claims.</w:t>
      </w:r>
    </w:p>
    <w:p>
      <w:pPr>
        <w:spacing w:before="120" w:after="120" w:line="240" w:lineRule="auto"/>
        <w:ind w:left="720" w:hanging="360"/>
        <w:jc w:val="both"/>
        <w:rPr>
          <w:rFonts w:ascii="Times New Roman" w:hAnsi="Times New Roman" w:cs="Times New Roman"/>
          <w:noProof/>
          <w:sz w:val="24"/>
          <w:szCs w:val="24"/>
        </w:rPr>
      </w:pPr>
    </w:p>
    <w:p>
      <w:pPr>
        <w:pStyle w:val="Heading1"/>
        <w:rPr>
          <w:noProof/>
        </w:rPr>
      </w:pPr>
      <w:r>
        <w:rPr>
          <w:noProof/>
        </w:rPr>
        <w:t>7. CONCLUSIONS</w:t>
      </w:r>
    </w:p>
    <w:p>
      <w:pPr>
        <w:rPr>
          <w:noProof/>
        </w:rPr>
      </w:pPr>
    </w:p>
    <w:p>
      <w:pPr>
        <w:pStyle w:val="ListParagraph"/>
        <w:numPr>
          <w:ilvl w:val="0"/>
          <w:numId w:val="18"/>
        </w:num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Council Directive 2010/24/EU intended "to make assistance more efficient and effective and to facilitate it in practice".</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The Member States almost unanimously confirm that this goal has been achieved. A</w:t>
      </w:r>
      <w:r>
        <w:rPr>
          <w:rFonts w:ascii="Times New Roman" w:hAnsi="Times New Roman" w:cs="Times New Roman"/>
          <w:noProof/>
          <w:sz w:val="24"/>
          <w:szCs w:val="24"/>
          <w:lang w:eastAsia="en-GB"/>
        </w:rPr>
        <w:t xml:space="preserve">ll Member States but one confirm that Directive 2010/24/EU has made it easier for them to provide and to receive mutual recovery assistance, compared to the situation which existed under the previous legal framework. </w:t>
      </w:r>
      <w:r>
        <w:rPr>
          <w:rFonts w:ascii="Times New Roman" w:hAnsi="Times New Roman" w:cs="Times New Roman"/>
          <w:noProof/>
          <w:sz w:val="24"/>
          <w:szCs w:val="24"/>
        </w:rPr>
        <w:t>The use of common assistance arrangements is a major advantage of the EU recovery assistance framework, as it facilitates the work of the tax authorities concerned.</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numPr>
          <w:ilvl w:val="0"/>
          <w:numId w:val="18"/>
        </w:num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use of the electronic request forms and the uniform instruments, with an automatic translation, have improved the efficiency and effectiveness of recovery assistance. </w:t>
      </w:r>
      <w:r>
        <w:rPr>
          <w:rFonts w:ascii="Times New Roman" w:hAnsi="Times New Roman" w:cs="Times New Roman"/>
          <w:noProof/>
          <w:sz w:val="24"/>
          <w:szCs w:val="24"/>
          <w:lang w:eastAsia="en-GB"/>
        </w:rPr>
        <w:t xml:space="preserve">Almost all Member States confirm that the use of uniform instruments permitting enforcement in the requested Member States (UIPE) facilitates the preparation of requests for assistance and makes processing of assistance requests from other Member States easier. The main advantages of the UIPE are the lack of translation costs, the avoidance of recognition issues and the electronic transmission. Most Member States also have a positive opinion about the use of the uniform notification forms (UNF) which accompany the documents for which notification assistance is requested. </w:t>
      </w:r>
      <w:r>
        <w:rPr>
          <w:rFonts w:ascii="Times New Roman" w:hAnsi="Times New Roman" w:cs="Times New Roman"/>
          <w:noProof/>
          <w:sz w:val="24"/>
          <w:szCs w:val="24"/>
        </w:rPr>
        <w:t xml:space="preserve">The few respondents to the public consultation also appreciated the introduction of these uniform instruments, which provide useful information to the debtors.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extension of the scope of the Directive did not substantially influence the types of taxes for which recovery assistance is requested. Most claims still relate to direct taxes and VAT. However, the extension of the scope is considered to be useful.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lang w:eastAsia="en-GB"/>
        </w:rPr>
        <w:t>4.</w:t>
      </w:r>
      <w:r>
        <w:rPr>
          <w:rFonts w:ascii="Times New Roman" w:hAnsi="Times New Roman" w:cs="Times New Roman"/>
          <w:noProof/>
          <w:sz w:val="24"/>
          <w:szCs w:val="24"/>
          <w:lang w:eastAsia="en-GB"/>
        </w:rPr>
        <w:tab/>
        <w:t xml:space="preserve">A large majority of Member States is of the opinion that the cooperation under the present Directive has improved the collection and recovery of their claims. </w:t>
      </w:r>
      <w:r>
        <w:rPr>
          <w:rFonts w:ascii="Times New Roman" w:hAnsi="Times New Roman" w:cs="Times New Roman"/>
          <w:noProof/>
          <w:sz w:val="24"/>
          <w:szCs w:val="24"/>
        </w:rPr>
        <w:t>The statistical information, although not entirely reliable, also indicates that the amounts recovered on the basis of the EU legislation have increased again, after an initial regression in 2012. The amounts recovered in 2013-2014 are in line with the amounts recovered in 2009-2010. The amounts further increased in 2015 and 2016. This evolution in the recovered amounts may to some extent be explained by the increasing number of assistance requests and the extension of the scope. However, it also appears that the Directive has really helped the Member States to send and deal with more requests, as it facilitated the work for the applicant and requested authorities.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The above considerations confirm the relevance and the EU added value of this Directive.</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situations where the non-collection is due to the fraudulent intention of the debtor, recovery assistance however remains difficult.</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In line with the increased number of requests for assistance, Member States also express concerns about the administrative burden linked to this assistance. Reliable quantitative information on this point is however not available. In this regard, it should be noted that the Commission services do not have access to individual files (in accordance with Article 23 of the Directive) and that national tax authorities are reluctant to provide more detailed quantitative statistical information than what is imposed by Article 27(1) of the Directive.</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 xml:space="preserve">The deterrent effect of the recovery assistance Directive towards non-compliance cannot be measured exactly. However, a considerable number of Member States and also respondents to the public consultation believe that general compliance has improved. This may also be due to the awareness of a generally improved administrative cooperation at international level. The growing recovery assistance is indeed part of a global evolution towards more international information exchange and administrative cooperation. The recovery assistance Directive is also coherent with other Commission initiatives to strengthen the fight against tax fraud and other crime.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 xml:space="preserve">All Member States are making use of the tax recovery assistance framework (although the use and the workload are not equal for all Member States) and the total number of assistance requests is continuously increasing.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However, Member States do not (yet) make use of the possibility for tax recovery officials of one Member State to go to another Member State and to be present during administrative enquiries – or even to participate in these enquiries by interviewing individuals and examining records – and to assist officials of the requested Member State during court proceedings in that State.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 xml:space="preserve">Questions or problems with regard to recovery assistance can be usefully discussed in the Recovery Expert Group and in Fiscalis 2020 activities. These platforms also provide possibilities to share information about national experiences and (best) practices with regard to tax enforcement. </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Member States can ask the Commission services to act as a mediator in case of problems concerning mutual assistance with other Member States, in particular cases or in general. It is indeed important to discuss such issues, in order to maintain the spirit of good cooperation between the Member States.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10.</w:t>
      </w:r>
      <w:r>
        <w:rPr>
          <w:rFonts w:ascii="Times New Roman" w:hAnsi="Times New Roman" w:cs="Times New Roman"/>
          <w:noProof/>
          <w:sz w:val="24"/>
          <w:szCs w:val="24"/>
        </w:rPr>
        <w:tab/>
        <w:t>The success of mutual recovery assistance is influenced by the strength or weakness of the internal tax recovery system within the requested Member States. The existence of the EU framework for recovery assistance does not take away the limitations and loopholes of internal tax recovery resources and procedures within the Member States, which may be exploited and abused by fraudsters. On this point, it appears that several Member States have to increase their efforts to provide sufficient legal, human and technical means to improve the effectiveness of their internal tax recovery system. This is needed to help safeguard the single market, in the interest of all Member States.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In the view of the Commission services, reinforcing the Member States' capacity to take effective and efficient recovery and precautionary measures is a top priority.</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At the same time, Member States should ensure that the rights of the tax payers and tax debtors are well respected.</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11.</w:t>
      </w:r>
      <w:r>
        <w:rPr>
          <w:rFonts w:ascii="Times New Roman" w:hAnsi="Times New Roman" w:cs="Times New Roman"/>
          <w:noProof/>
          <w:sz w:val="24"/>
          <w:szCs w:val="24"/>
        </w:rPr>
        <w:tab/>
        <w:t xml:space="preserve">Although the current EU legislation offers a very advanced framework for tax recovery assistance, several suggestions have been made to further develop recovery assistance within the EU. These suggestions will be the subject of further reflections. However, at this stage, the Commission services consider that the focus should first be on improving internal tax recovery within the Member States, in order to take full advantage of the potential of the existing EU framework on tax recovery assistance. </w:t>
      </w: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12.</w:t>
      </w:r>
      <w:r>
        <w:rPr>
          <w:rFonts w:ascii="Times New Roman" w:hAnsi="Times New Roman" w:cs="Times New Roman"/>
          <w:noProof/>
          <w:sz w:val="24"/>
          <w:szCs w:val="24"/>
        </w:rPr>
        <w:tab/>
        <w:t>The problem of missing debtors and assets is not only an intra-EU problem. Debtors also move to third countries and assets are spread worldwide, hindering the recovery of taxes within the EU.</w:t>
      </w:r>
    </w:p>
    <w:p>
      <w:pPr>
        <w:spacing w:before="120" w:after="120" w:line="240" w:lineRule="auto"/>
        <w:ind w:left="360" w:hanging="360"/>
        <w:jc w:val="both"/>
        <w:rPr>
          <w:noProof/>
        </w:rPr>
      </w:pPr>
      <w:r>
        <w:rPr>
          <w:rFonts w:ascii="Times New Roman" w:hAnsi="Times New Roman" w:cs="Times New Roman"/>
          <w:noProof/>
          <w:sz w:val="24"/>
          <w:szCs w:val="24"/>
        </w:rPr>
        <w:t>13.</w:t>
      </w:r>
      <w:r>
        <w:rPr>
          <w:rFonts w:ascii="Times New Roman" w:hAnsi="Times New Roman" w:cs="Times New Roman"/>
          <w:noProof/>
          <w:sz w:val="24"/>
          <w:szCs w:val="24"/>
        </w:rPr>
        <w:tab/>
        <w:t xml:space="preserve">In line with the requests from Member States and from respondents to the public consultation, the Commission services will also analyse if and how more explanation and training can be organised. </w:t>
      </w:r>
    </w:p>
    <w:sectPr>
      <w:headerReference w:type="even" r:id="rId39"/>
      <w:headerReference w:type="default" r:id="rId40"/>
      <w:footerReference w:type="even" r:id="rId41"/>
      <w:footerReference w:type="default" r:id="rId42"/>
      <w:headerReference w:type="first" r:id="rId43"/>
      <w:footerReference w:type="first" r:id="rId44"/>
      <w:pgSz w:w="11906" w:h="16838"/>
      <w:pgMar w:top="1417" w:right="1274"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9863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Fiscalis 2020 is an EU cooperation programme enabling national tax administrations to create and exchange information and expertise. See for more information: </w:t>
      </w:r>
      <w:hyperlink r:id="rId1" w:history="1">
        <w:r>
          <w:rPr>
            <w:rStyle w:val="Hyperlink"/>
            <w:rFonts w:ascii="Times New Roman" w:hAnsi="Times New Roman" w:cs="Times New Roman"/>
          </w:rPr>
          <w:t>https://ec.europa.eu/taxation_customs/fiscalis-programme/fiscalis-2020-programme_en</w:t>
        </w:r>
      </w:hyperlink>
      <w:r>
        <w:rPr>
          <w:rFonts w:ascii="Times New Roman" w:hAnsi="Times New Roman" w:cs="Times New Roman"/>
        </w:rPr>
        <w:t>.</w:t>
      </w:r>
    </w:p>
    <w:p>
      <w:pPr>
        <w:pStyle w:val="FootnoteText"/>
      </w:pPr>
    </w:p>
  </w:footnote>
  <w:footnote w:id="2">
    <w:p>
      <w:pPr>
        <w:pStyle w:val="FootnoteText"/>
        <w:ind w:left="360" w:hanging="3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Doc. COM(2016)148, p. 7, </w:t>
      </w:r>
      <w:hyperlink r:id="rId2" w:history="1">
        <w:r>
          <w:rPr>
            <w:rStyle w:val="Hyperlink"/>
            <w:rFonts w:ascii="Times New Roman" w:hAnsi="Times New Roman" w:cs="Times New Roman"/>
            <w:lang w:val="pt-PT"/>
          </w:rPr>
          <w:t>https://ec.europa.eu/taxation_customs/sites/taxation/files/com_2016_148_en.pdf</w:t>
        </w:r>
      </w:hyperlink>
      <w:r>
        <w:rPr>
          <w:rFonts w:ascii="Times New Roman" w:hAnsi="Times New Roman" w:cs="Times New Roman"/>
          <w:lang w:val="pt-PT"/>
        </w:rPr>
        <w:t>.</w:t>
      </w:r>
    </w:p>
    <w:p>
      <w:pPr>
        <w:pStyle w:val="FootnoteText"/>
        <w:ind w:left="360"/>
        <w:jc w:val="both"/>
        <w:rPr>
          <w:rFonts w:ascii="Times New Roman" w:hAnsi="Times New Roman" w:cs="Times New Roman"/>
        </w:rPr>
      </w:pPr>
      <w:r>
        <w:rPr>
          <w:rFonts w:ascii="Times New Roman" w:hAnsi="Times New Roman" w:cs="Times New Roman"/>
        </w:rPr>
        <w:t>See also point 7 of the 20 measures announced by the Commission in order to tackle the VAT gap,</w:t>
      </w:r>
    </w:p>
    <w:p>
      <w:pPr>
        <w:pStyle w:val="FootnoteText"/>
        <w:ind w:left="360"/>
        <w:jc w:val="both"/>
        <w:rPr>
          <w:rFonts w:ascii="Times New Roman" w:hAnsi="Times New Roman" w:cs="Times New Roman"/>
        </w:rPr>
      </w:pPr>
      <w:hyperlink r:id="rId3" w:history="1">
        <w:r>
          <w:rPr>
            <w:rStyle w:val="Hyperlink"/>
            <w:rFonts w:ascii="Times New Roman" w:hAnsi="Times New Roman" w:cs="Times New Roman"/>
          </w:rPr>
          <w:t>http://ec.europa.eu/taxation_customs/sites/taxation/files/resources/documents/taxation/tax_cooperation/vat_gap/2016-03_20_measures_en.pdf</w:t>
        </w:r>
      </w:hyperlink>
      <w:r>
        <w:rPr>
          <w:rFonts w:ascii="Times New Roman" w:hAnsi="Times New Roman" w:cs="Times New Roman"/>
        </w:rPr>
        <w:t>.</w:t>
      </w:r>
    </w:p>
  </w:footnote>
  <w:footnote w:id="3">
    <w:p>
      <w:pPr>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first EU legislation in this field was Directive 76/308, adopted on 15 March 1976. It provided for mutual assistance with regard to agricultural levies and customs duties. VAT claims were added by Directive 79/1071 of 6 December 1979); harmonized excise duties were added by Directive 92/108 of 14 December 1992, and taxes on income and capital and taxes on insurance premiums were added by Directive 2001/44 of 15 June 2001. Council Directive 76/308/EEC and the acts amending it were codified by Council Directive 2008/55/EC of 26 May 2008.</w:t>
      </w:r>
    </w:p>
  </w:footnote>
  <w:footnote w:id="4">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23(2) of Directive 2010/24.</w:t>
      </w:r>
    </w:p>
    <w:p>
      <w:pPr>
        <w:pStyle w:val="FootnoteText"/>
        <w:ind w:left="360" w:hanging="360"/>
        <w:jc w:val="both"/>
        <w:rPr>
          <w:rFonts w:ascii="Times New Roman" w:hAnsi="Times New Roman" w:cs="Times New Roman"/>
        </w:rPr>
      </w:pPr>
      <w:r>
        <w:rPr>
          <w:rFonts w:ascii="Times New Roman" w:hAnsi="Times New Roman" w:cs="Times New Roman"/>
        </w:rPr>
        <w:tab/>
        <w:t xml:space="preserve">It should however be noted that the Commission's responsibility to control EU own resources would justify its ability to check to which extent Member States request mutual assistance for customs duties, in view of assessing the Member States' responsibility for the non-recovery of customs duties in case debtors are located in another Member State. </w:t>
      </w:r>
    </w:p>
  </w:footnote>
  <w:footnote w:id="5">
    <w:p>
      <w:pPr>
        <w:pStyle w:val="ListParagraph"/>
        <w:spacing w:after="0" w:line="240" w:lineRule="auto"/>
        <w:ind w:left="360" w:hanging="360"/>
        <w:jc w:val="both"/>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w:t>
      </w:r>
      <w:r>
        <w:rPr>
          <w:rFonts w:ascii="Times New Roman" w:hAnsi="Times New Roman" w:cs="Times New Roman"/>
          <w:sz w:val="20"/>
          <w:szCs w:val="20"/>
          <w:lang w:eastAsia="en-GB"/>
        </w:rPr>
        <w:t>he Commission's intention is to integrate an automated collection of statistics in the central platform that is now being developed for the communication of the assistance requests. In the future, this development should reduce the administrative burden for the Member States and, at the same time, increase the accuracy of the statistics. However, this integration can only be achieved gradually and it may not be applied to all statistical data.</w:t>
      </w:r>
    </w:p>
  </w:footnote>
  <w:footnote w:id="6">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example is mentioned in the report of the Belgian Court of Audit (p. 39, nr. 4.4.1.) (see point 4.2.4.c.).</w:t>
      </w:r>
    </w:p>
  </w:footnote>
  <w:footnote w:id="7">
    <w:p>
      <w:pPr>
        <w:spacing w:after="0" w:line="240" w:lineRule="auto"/>
        <w:ind w:left="360" w:hanging="360"/>
        <w:jc w:val="both"/>
        <w:rPr>
          <w:sz w:val="20"/>
          <w:szCs w:val="20"/>
        </w:rPr>
      </w:pPr>
      <w:r>
        <w:rPr>
          <w:rStyle w:val="FootnoteReference"/>
        </w:rPr>
        <w:footnoteRef/>
      </w:r>
      <w:r>
        <w:t xml:space="preserve"> </w:t>
      </w:r>
      <w:r>
        <w:tab/>
      </w:r>
      <w:r>
        <w:rPr>
          <w:rFonts w:ascii="Times New Roman" w:hAnsi="Times New Roman" w:cs="Times New Roman"/>
          <w:sz w:val="20"/>
          <w:szCs w:val="20"/>
        </w:rPr>
        <w:t>The Recovery Committee assists in the adoption of the implementing provisions (in accordance with Article 26 of the Directive). The Recovery Expert Group has been set up by the Commission to discuss pertinent questions on the implementation and application of the Council Directive and the implementing provisions.</w:t>
      </w:r>
    </w:p>
  </w:footnote>
  <w:footnote w:id="8">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https://www.ccrek.be/EN/Publications/Fiche.html?id=d4a73b41-7692-4144-9ccf-a1767468018b.</w:t>
      </w:r>
    </w:p>
  </w:footnote>
  <w:footnote w:id="9">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 SEER and I. GABERT (ed.), Mutual assistance and information exchange (2009 EATLP Congress, Santiago de Compostela), 2010, ISBN 978-90-816475-2-6.</w:t>
      </w:r>
    </w:p>
  </w:footnote>
  <w:footnote w:id="10">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Commission inter-service Steering group was </w:t>
      </w:r>
      <w:r>
        <w:rPr>
          <w:rFonts w:ascii="Times New Roman" w:hAnsi="Times New Roman" w:cs="Times New Roman"/>
          <w:lang w:eastAsia="en-GB"/>
        </w:rPr>
        <w:t>composed of the following directorate generals: Taxation and customs union (TAXUD), Budget (BUDG), Employment and social affairs (EMPL) and the Secretariat General (SG).</w:t>
      </w:r>
    </w:p>
  </w:footnote>
  <w:footnote w:id="11">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Note: Croatia only joined the EU on 1 July 2013.</w:t>
      </w:r>
    </w:p>
  </w:footnote>
  <w:footnote w:id="12">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some Member States, different laws were adopted, sometimes at different levels. In these situations, multiple dates of adoption and publication of the national laws are mentioned.</w:t>
      </w:r>
    </w:p>
  </w:footnote>
  <w:footnote w:id="13">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Croatia did not reply to the questions that focused on the impact of Directive 2010/24/EU. Given the recent accession of this Member State, a comparison with the former EU framework could not be made in this Member State.</w:t>
      </w:r>
    </w:p>
  </w:footnote>
  <w:footnote w:id="14">
    <w:p>
      <w:pPr>
        <w:pStyle w:val="FootnoteText"/>
        <w:ind w:left="360" w:hanging="360"/>
      </w:pPr>
      <w:r>
        <w:rPr>
          <w:rStyle w:val="FootnoteReference"/>
        </w:rPr>
        <w:footnoteRef/>
      </w:r>
      <w:r>
        <w:t xml:space="preserve"> </w:t>
      </w:r>
      <w:r>
        <w:tab/>
      </w:r>
      <w:r>
        <w:rPr>
          <w:rFonts w:ascii="Times New Roman" w:hAnsi="Times New Roman" w:cs="Times New Roman"/>
          <w:noProof/>
          <w:lang w:eastAsia="en-GB"/>
        </w:rPr>
        <w:t>Directive 76/308/EEC; Directive 2008/55/EC; Directive 2010/24/EU.</w:t>
      </w:r>
    </w:p>
  </w:footnote>
  <w:footnote w:id="15">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already observed, the accuracy of the statistics is not completely guaranteed (see point 4.2.3.).</w:t>
      </w:r>
    </w:p>
  </w:footnote>
  <w:footnote w:id="16">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 COM(2009)451 of 4.9.2009, point 2.3.2.; Report COM(2012)58 of 15.2.2012, points 2.2.3. and 2.2.4.</w:t>
      </w:r>
    </w:p>
  </w:footnote>
  <w:footnote w:id="17">
    <w:p>
      <w:pPr>
        <w:pStyle w:val="FootnoteText"/>
        <w:ind w:left="360" w:hanging="360"/>
        <w:jc w:val="both"/>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the past, the statistical reporting obligation was laid down in the Commission Directive laying down the detailed rules for implementing the Council Directive (in Article 29 of the Commission Directive 2002/94/EC </w:t>
      </w:r>
      <w:r>
        <w:rPr>
          <w:rStyle w:val="Strong"/>
          <w:rFonts w:ascii="Times New Roman" w:hAnsi="Times New Roman" w:cs="Times New Roman"/>
          <w:b w:val="0"/>
          <w:lang w:val="en"/>
        </w:rPr>
        <w:t xml:space="preserve">of 9 December 2002 laying down detailed rules for implementing certain provisions of Council Directive 76/308/EEC on mutual assistance for the recovery of claims relating to certain levies, duties, taxes and other measures. Now the statistical reporting obligation is inserted in the Council Directive itself (Article 27(1)). </w:t>
      </w:r>
    </w:p>
  </w:footnote>
  <w:footnote w:id="18">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Belgian Court of Audit, October 2014, p. 39, nr. 4.4.1. (See point 4.2.4.c.).</w:t>
      </w:r>
    </w:p>
  </w:footnote>
  <w:footnote w:id="19">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It should be repeated that the above "scores" (see table 5c) are influenced by many factors which make it impossible to make an exact "ranking" of the performance of all requested Members States.</w:t>
      </w:r>
    </w:p>
  </w:footnote>
  <w:footnote w:id="20">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the amendment of Directive 2011/16/EU which provides an automatic information exchange about different categories of income obtained in other Member States, and the adoption of Directive 2014/107/EU imposing an automatic exchange of financial account information.</w:t>
      </w:r>
    </w:p>
  </w:footnote>
  <w:footnote w:id="21">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At the same time, most respondents in the public consultation (16 of 24) acknowledged that they were not aware of the existing information, published on the website of the European Commission.</w:t>
      </w:r>
    </w:p>
  </w:footnote>
  <w:footnote w:id="22">
    <w:p>
      <w:pPr>
        <w:pStyle w:val="FootnoteText"/>
        <w:ind w:left="360" w:hanging="360"/>
        <w:jc w:val="both"/>
        <w:rPr>
          <w:rFonts w:ascii="Times New Roman" w:hAnsi="Times New Roman" w:cs="Times New Roman"/>
        </w:rPr>
      </w:pPr>
      <w:r>
        <w:rPr>
          <w:rStyle w:val="FootnoteReference"/>
        </w:rPr>
        <w:footnoteRef/>
      </w:r>
      <w:r>
        <w:t xml:space="preserve"> </w:t>
      </w:r>
      <w:r>
        <w:rPr>
          <w:rFonts w:ascii="Times New Roman" w:hAnsi="Times New Roman" w:cs="Times New Roman"/>
        </w:rPr>
        <w:tab/>
        <w:t>A disqualification of a company director means that he is banned ('disqualified') from being a company director if he is responsible for the company not paying its tax debts.</w:t>
      </w:r>
    </w:p>
  </w:footnote>
  <w:footnote w:id="23">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Examples: the new tax clearance system introduced in Ireland was reported in the newsletter  2016-1, p. 4. (Any individual or business who seeks State grants or participates in a public procurement procedure is required to hold a valid tax clearance certificate. From 1 January 2016, a new procedure has been introduced, in order to avoid abuse of such tax clearance certificates.). The new rules on directors disqualification orders, introduced in the NL to fight bankruptcy fraud and the UK rules on accelerated payments imposed to those who have used a tax avoidance scheme, were reported in the newsletter 2017-1.</w:t>
      </w:r>
    </w:p>
  </w:footnote>
  <w:footnote w:id="24">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Preamble of Council Directive 2010/24/EU, point 8.</w:t>
      </w:r>
    </w:p>
  </w:footnote>
  <w:footnote w:id="25">
    <w:p>
      <w:pPr>
        <w:pStyle w:val="FootnoteText"/>
        <w:ind w:left="360" w:hanging="360"/>
        <w:jc w:val="both"/>
      </w:pPr>
      <w:r>
        <w:rPr>
          <w:rStyle w:val="FootnoteReference"/>
        </w:rPr>
        <w:footnoteRef/>
      </w:r>
      <w:r>
        <w:t xml:space="preserve"> </w:t>
      </w:r>
      <w:r>
        <w:tab/>
      </w:r>
      <w:r>
        <w:rPr>
          <w:rFonts w:ascii="Times New Roman" w:hAnsi="Times New Roman" w:cs="Times New Roman"/>
        </w:rPr>
        <w:t>In this regard, the use of the Direct Notification Form (DNF; see point 6.3.3.2.d.) to accompany documents notified directly to debtors in another Member States clearly has an added value, as this DNF can be translated automatically in the official language of the Member State of destination (or in another official EU language that can be understood by the addressee).</w:t>
      </w:r>
    </w:p>
  </w:footnote>
  <w:footnote w:id="26">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Belgian Court of Audit, report on international mutual assistance for the recovery of taxes, October 2014, point 4.4.4.</w:t>
      </w:r>
    </w:p>
  </w:footnote>
  <w:footnote w:id="27">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Note: Member States were not required to indicate a precise number if it was more than 5. However, some of these Member States provided an exact number (BE: 6 officials; ES: 8 officials; PL: 11 officials; RO: 8 officials).</w:t>
      </w:r>
    </w:p>
  </w:footnote>
  <w:footnote w:id="28">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At the same time, FR also sent out most requests for precautionary (see point 6.44.1.1., table 21).</w:t>
      </w:r>
    </w:p>
  </w:footnote>
  <w:footnote w:id="29">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Preamble of the Directive, point 13.</w:t>
      </w:r>
    </w:p>
  </w:footnote>
  <w:footnote w:id="30">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It should however be reminded that the accuracy and reliability of these statistics is not complete (see point 4.2.3.a.).</w:t>
      </w:r>
    </w:p>
  </w:footnote>
  <w:footnote w:id="31">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Similar provisions have been laid down in the recent EU legislation concerning administrative cooperation for the assessment and control of VAT (Article 28(2) of regulation 904/2010), excise duties (Article 12(2), 2nd subparagraph, of regulation 389/2012) and other taxes (Article 11(2) of directive 2011/16). There as well, these provisions appear to be used rarely or not at all.</w:t>
      </w:r>
    </w:p>
  </w:footnote>
  <w:footnote w:id="32">
    <w:p>
      <w:pPr>
        <w:pStyle w:val="FootnoteText"/>
        <w:ind w:left="360" w:hanging="360"/>
        <w:rPr>
          <w:rFonts w:ascii="Times New Roman" w:hAnsi="Times New Roman" w:cs="Times New Roman"/>
        </w:rPr>
      </w:pPr>
      <w:r>
        <w:rPr>
          <w:rStyle w:val="FootnoteReference"/>
        </w:rPr>
        <w:footnoteRef/>
      </w:r>
      <w:r>
        <w:t xml:space="preserve"> </w:t>
      </w:r>
      <w:r>
        <w:rPr>
          <w:rFonts w:ascii="Times New Roman" w:hAnsi="Times New Roman" w:cs="Times New Roman"/>
        </w:rPr>
        <w:tab/>
        <w:t>Apart from one presence of officials in the tax offices of another Member State in the period 2015-2016.</w:t>
      </w:r>
    </w:p>
  </w:footnote>
  <w:footnote w:id="33">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 BAL, "Extraterritorial enforcement of tax claims", </w:t>
      </w:r>
      <w:r>
        <w:rPr>
          <w:rFonts w:ascii="Times New Roman" w:hAnsi="Times New Roman" w:cs="Times New Roman"/>
          <w:i/>
        </w:rPr>
        <w:t>Bulletin for International Taxation</w:t>
      </w:r>
      <w:r>
        <w:rPr>
          <w:rFonts w:ascii="Times New Roman" w:hAnsi="Times New Roman" w:cs="Times New Roman"/>
        </w:rPr>
        <w:t xml:space="preserve">, 2011, (598), 602; F. CARRA RICHTER, "Exchange of information for the Assistance in the Collection of Taxes under Article 27 of the OECD Model", in GÜNTHER and TÜCHLER, </w:t>
      </w:r>
      <w:r>
        <w:rPr>
          <w:rFonts w:ascii="Times New Roman" w:hAnsi="Times New Roman" w:cs="Times New Roman"/>
          <w:i/>
        </w:rPr>
        <w:t>Exchange of Information for Tax Purposes</w:t>
      </w:r>
      <w:r>
        <w:rPr>
          <w:rFonts w:ascii="Times New Roman" w:hAnsi="Times New Roman" w:cs="Times New Roman"/>
        </w:rPr>
        <w:t xml:space="preserve">, (131), 138; I. DE TROYER, "Recovery assistance in the EU: Evaluation of Directive 2010/24/EU: Time for an Update?", </w:t>
      </w:r>
      <w:r>
        <w:rPr>
          <w:rFonts w:ascii="Times New Roman" w:hAnsi="Times New Roman" w:cs="Times New Roman"/>
          <w:i/>
        </w:rPr>
        <w:t>EC Tax Review</w:t>
      </w:r>
      <w:r>
        <w:rPr>
          <w:rFonts w:ascii="Times New Roman" w:hAnsi="Times New Roman" w:cs="Times New Roman"/>
        </w:rPr>
        <w:t xml:space="preserve"> 2014/5, (284), 292. </w:t>
      </w:r>
    </w:p>
  </w:footnote>
  <w:footnote w:id="34">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It seems that the Nordic Convention is still regularly applied between Denmark, Sweden and Finland.</w:t>
      </w:r>
    </w:p>
  </w:footnote>
  <w:footnote w:id="35">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Statistics based on the data reported by 27 Member States (average of requests received and sent).</w:t>
      </w:r>
    </w:p>
  </w:footnote>
  <w:footnote w:id="36">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It should be noted that this category also includes excise duties, which were already included in the scope of the EU legislation before the adoption of Directive 2010/24/EU. In the past, excise duties represented a considerable part of the recovery assistance requests (2008: 9,61 %; 2009: 6,62 %; 2010: 20,46 %) and it can be presumed that they still constitute a considerable part of the present category of "other taxes and claims". (Since the introduction of Directive 2010/24/EU, Member States do no longer provide separate statistics on the category of excise duties.)</w:t>
      </w:r>
    </w:p>
  </w:footnote>
  <w:footnote w:id="37">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also table 13 under point 6.2.3.2.</w:t>
      </w:r>
    </w:p>
  </w:footnote>
  <w:footnote w:id="38">
    <w:p>
      <w:pPr>
        <w:spacing w:after="0" w:line="240" w:lineRule="auto"/>
        <w:ind w:left="360" w:hanging="360"/>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lang w:val="en-US"/>
        </w:rPr>
        <w:t xml:space="preserve">The recovery of taxes and of all or part of the social security (or social benefits) claims is currently assigned to the same authorities in the following Member States:  </w:t>
      </w:r>
    </w:p>
    <w:p>
      <w:pPr>
        <w:spacing w:after="0" w:line="240" w:lineRule="auto"/>
        <w:ind w:left="720" w:hanging="360"/>
        <w:jc w:val="both"/>
        <w:rPr>
          <w:rFonts w:ascii="Times New Roman" w:hAnsi="Times New Roman" w:cs="Times New Roman"/>
          <w:sz w:val="20"/>
          <w:szCs w:val="20"/>
          <w:lang w:val="en-US"/>
        </w:rPr>
      </w:pPr>
      <w:r>
        <w:rPr>
          <w:rFonts w:ascii="Times New Roman" w:hAnsi="Times New Roman" w:cs="Times New Roman"/>
          <w:sz w:val="20"/>
          <w:szCs w:val="20"/>
          <w:lang w:val="en-US"/>
        </w:rPr>
        <w:t>- for all social security claims: DK, EE, HR, MT, NL, RO, SI, SE;</w:t>
      </w:r>
    </w:p>
    <w:p>
      <w:pPr>
        <w:spacing w:after="0" w:line="240" w:lineRule="auto"/>
        <w:ind w:left="720" w:hanging="360"/>
        <w:jc w:val="both"/>
        <w:rPr>
          <w:rFonts w:ascii="Times New Roman" w:hAnsi="Times New Roman" w:cs="Times New Roman"/>
          <w:sz w:val="20"/>
          <w:szCs w:val="20"/>
          <w:lang w:val="en-US"/>
        </w:rPr>
      </w:pPr>
      <w:r>
        <w:rPr>
          <w:rFonts w:ascii="Times New Roman" w:hAnsi="Times New Roman" w:cs="Times New Roman"/>
          <w:sz w:val="20"/>
          <w:szCs w:val="20"/>
          <w:lang w:val="en-US"/>
        </w:rPr>
        <w:t>- for some social security claims: BG, AT, FI, UK;</w:t>
      </w:r>
    </w:p>
    <w:p>
      <w:pPr>
        <w:spacing w:after="0" w:line="240" w:lineRule="auto"/>
        <w:ind w:left="720" w:hanging="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in IT, both types of claims are recovered by the same  recovery agent (but different authorities). </w:t>
      </w:r>
    </w:p>
  </w:footnote>
  <w:footnote w:id="39">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Belgian Court of audit, Recommendation 5.2.1. (p. 47 of the report).</w:t>
      </w:r>
    </w:p>
  </w:footnote>
  <w:footnote w:id="40">
    <w:p>
      <w:pPr>
        <w:pStyle w:val="FootnoteText"/>
        <w:ind w:left="360" w:hanging="360"/>
        <w:jc w:val="both"/>
        <w:rPr>
          <w:rFonts w:ascii="Times New Roman" w:hAnsi="Times New Roman" w:cs="Times New Roman"/>
        </w:rPr>
      </w:pPr>
      <w:r>
        <w:rPr>
          <w:rStyle w:val="FootnoteReference"/>
        </w:rPr>
        <w:footnoteRef/>
      </w:r>
      <w:r>
        <w:t xml:space="preserve"> </w:t>
      </w:r>
      <w:r>
        <w:rPr>
          <w:rFonts w:ascii="Times New Roman" w:hAnsi="Times New Roman" w:cs="Times New Roman"/>
        </w:rPr>
        <w:tab/>
        <w:t>In the meantime, this question has been the subject of a judgement of the EU Court of Justice, in a case relating to Council Directive 77/799/EEC of 19.12.1977 concerning mutual assistance by the competent authorities of the Member States in the field of direct taxation, which is now replaced by Council Directive 2011/16/EU (EUCJ 22.10.2013, C-276/12, Sabou).</w:t>
      </w:r>
    </w:p>
  </w:footnote>
  <w:footnote w:id="41">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legal basis for the extended use could also determine the financial arrangements concerning the third country's link (interface) to the communication network or concerning possible translation costs.</w:t>
      </w:r>
    </w:p>
  </w:footnote>
  <w:footnote w:id="42">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summary report of the public consultation for a complete overview.</w:t>
      </w:r>
    </w:p>
  </w:footnote>
  <w:footnote w:id="43">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also R. SEER and I. GABERT (ed.) Mutual assistance and information exchange (2009 EATLP Congress, Santiago de Compostela), 2010.</w:t>
      </w:r>
    </w:p>
  </w:footnote>
  <w:footnote w:id="44">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Half of the Member States explicitly stated that the introduction of the Directive 2010/24/EU didn't have any particular effect on the legal protection of tax debtors or other persons liable for the taxes. 11 Member States did not express any opinion on this point.</w:t>
      </w:r>
    </w:p>
  </w:footnote>
  <w:footnote w:id="45">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EUCJ 14 January 2010, C-233/08, Kyrian.</w:t>
      </w:r>
    </w:p>
  </w:footnote>
  <w:footnote w:id="46">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UNF indeed has  to contain the name, address and other contact details regarding the office responsible with regard to the notified document, and the office where further information can be obtained concerning the notified document or concerning the possibilities to contest the payment obligation (Article 8(1), 2</w:t>
      </w:r>
      <w:r>
        <w:rPr>
          <w:rFonts w:ascii="Times New Roman" w:hAnsi="Times New Roman" w:cs="Times New Roman"/>
          <w:vertAlign w:val="superscript"/>
        </w:rPr>
        <w:t>nd</w:t>
      </w:r>
      <w:r>
        <w:rPr>
          <w:rFonts w:ascii="Times New Roman" w:hAnsi="Times New Roman" w:cs="Times New Roman"/>
        </w:rPr>
        <w:t xml:space="preserve"> subparagraph, (d) of the Directive).</w:t>
      </w:r>
    </w:p>
  </w:footnote>
  <w:footnote w:id="47">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UIPE has to contain the name, address and other contact details regarding the office responsible for the assessment of the claim and the office where further information can be obtained concerning the claim or the possibilities for contesting the payment obligation (Article 12(1), third subparagraph, (c) of the Directive).</w:t>
      </w:r>
    </w:p>
  </w:footnote>
  <w:footnote w:id="48">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9(</w:t>
      </w:r>
      <w:r>
        <w:rPr>
          <w:rFonts w:ascii="Times New Roman" w:hAnsi="Times New Roman" w:cs="Times New Roman"/>
          <w:color w:val="000000"/>
        </w:rPr>
        <w:t>2) of Directive 2010/24 provides that: "The applicant authority shall make a request for notification pursuant to this article only when it is unable to notify in accordance with the rules governing the notification of the document concerned in the applicant Member State, or when such notification would give rise to disproportionate difficulties."</w:t>
      </w:r>
    </w:p>
  </w:footnote>
  <w:footnote w:id="49">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https://ec.europa.eu/taxation_customs/business/tax-cooperation-control/tax-recovery_en.</w:t>
      </w:r>
    </w:p>
  </w:footnote>
  <w:footnote w:id="50">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year 2012 was not taken into account here, as this was an atypical year, because of delays and difficulties related to the national implementation of the Directive (see point 5).</w:t>
      </w:r>
    </w:p>
  </w:footnote>
  <w:footnote w:id="51">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13(1), third subparagraph of Council Directive 2010/24/EU: "The requested Member State shall not be obliged to grant other Member States' claims preferences accorded to similar claims arising in that Member State, except where otherwise agreed between the Member States concerned or provided in the law of the requested Member State."</w:t>
      </w:r>
    </w:p>
  </w:footnote>
  <w:footnote w:id="52">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requested authority has to acknowledge receipt of the request for assistance. This has to be done "as soon as possible and in any event within seven calendar days of such receipt" (Art. 7, para. 1; Art. 12(1); Art. 19(1) of Commission implementing Regulation (EU) No 1189/2011). Art. 20(2) of Commission implementing Regulation (EU) No 1189/2011 provides that, not later than at the end of each six-month period following the date of acknowledgement of the receipt of the request, the requested authority shall inform the applicant authority of the state of progress or the outcome of the procedure for recovery or for precautionary measures.</w:t>
      </w:r>
    </w:p>
  </w:footnote>
  <w:footnote w:id="53">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Point 1 of the preamble of the Directive.</w:t>
      </w:r>
    </w:p>
  </w:footnote>
  <w:footnote w:id="54">
    <w:p>
      <w:pPr>
        <w:pStyle w:val="FootnoteText"/>
        <w:ind w:left="360" w:hanging="360"/>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 xml:space="preserve">See for instance EUCJ, 11.03.2004, C-9/02, </w:t>
      </w:r>
      <w:r>
        <w:rPr>
          <w:rFonts w:ascii="Times New Roman" w:hAnsi="Times New Roman" w:cs="Times New Roman"/>
          <w:bCs/>
          <w:lang w:val="fr-BE"/>
        </w:rPr>
        <w:t>Hughes de Lasteyrie du Saillant, point 51.</w:t>
      </w:r>
    </w:p>
  </w:footnote>
  <w:footnote w:id="55">
    <w:p>
      <w:pPr>
        <w:pStyle w:val="ListParagraph"/>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Exit taxes have the function of ensuring that where a taxpayer moves assets or its tax residence out of the tax jurisdiction of a State, that State taxes the economic value of any capital gain created in its territory even though that gain has not yet been realised at the time of the exit. (point 10 of the preamble of Council Directive 2016/1164).</w:t>
      </w:r>
    </w:p>
  </w:footnote>
  <w:footnote w:id="56">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instance case C-371/10, 29.11.2011 National Grid Indus, point 78, relating to the former tax recovery assistance Directive 2008/55/EC: </w:t>
      </w:r>
      <w:r>
        <w:rPr>
          <w:rFonts w:ascii="Times New Roman" w:hAnsi="Times New Roman" w:cs="Times New Roman"/>
          <w:i/>
        </w:rPr>
        <w:t>Next, (…) the existing machinery for mutual assistance between the authorities of the Member States is sufficient to enable the Member State of origin to check the truthfulness of the returns made by companies which have opted for deferred payment of the tax. Since the tax is definitively determined at the time when the company, because of the transfer of its place of effective management, ceases to obtain profits taxable in the Member State of origin, the assistance of the host Member State will concern not the correct ascertainment of the tax but only its recovery. Article 4(1) of Council Directive 2008/55/EC of 26 May 2008 on mutual assistance for the recovery of claims relating to certain levies, duties, taxes and other measures (OJ 2008 L 150, p. 28) provides that ‘[a]t the request of the applicant authority, the requested authority shall provide any information which would be useful to the applicant authority in the recovery of its claim’. That directive thus enables the Member State of origin to obtain information from the competent authority of the host Member State on whether or not certain assets of a company which has transferred its place of effective management to the latter Member State have been realised, in so far as the information is necessary to enable the Member State of origin to recover a tax debt which arose at the time of that transfer. Moreover, Directive 2008/55, in particular Articles 5 to 9, provides the authorities of the Member State of origin with a framework of cooperation and assistance allowing them actually to recover the tax debt in the host Member State."</w:t>
      </w:r>
      <w:r>
        <w:rPr>
          <w:rFonts w:ascii="Times New Roman" w:hAnsi="Times New Roman" w:cs="Times New Roman"/>
        </w:rPr>
        <w:t>.</w:t>
      </w:r>
    </w:p>
  </w:footnote>
  <w:footnote w:id="57">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Communication from the Commission to the Council, the European Parliament and the European Economic and Social Committee of 19.12.2006 on Exit taxation and the need for co-ordination of Member States' tax policies (COM(2006) 825 final).</w:t>
      </w:r>
    </w:p>
  </w:footnote>
  <w:footnote w:id="58">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Directive 2016/1164 of 12 July 2016 laying down rules against tax avoidance practices that directly affect the functioning of the internal market, OJ L </w:t>
      </w:r>
      <w:r>
        <w:rPr>
          <w:rFonts w:ascii="Times New Roman" w:hAnsi="Times New Roman" w:cs="Times New Roman"/>
          <w:lang w:val="en"/>
        </w:rPr>
        <w:t>193/1 of 19.7.2016.</w:t>
      </w:r>
    </w:p>
  </w:footnote>
  <w:footnote w:id="59">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Fiscalis 2020 workshop has been organised on 23-24 June 2016 and a specific Fiscalis 2020 project group (071) has been set up to prepare the work to make the electronic tax recovery assistance forms still more user-friendly.</w:t>
      </w:r>
    </w:p>
  </w:footnote>
  <w:footnote w:id="60">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Preamble of Council Directive 2010/24/EU, point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B47"/>
    <w:multiLevelType w:val="hybridMultilevel"/>
    <w:tmpl w:val="E5161B2A"/>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D10A8"/>
    <w:multiLevelType w:val="hybridMultilevel"/>
    <w:tmpl w:val="74FC7898"/>
    <w:lvl w:ilvl="0" w:tplc="08090001">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nsid w:val="03FF6B59"/>
    <w:multiLevelType w:val="hybridMultilevel"/>
    <w:tmpl w:val="08D8B59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477706B"/>
    <w:multiLevelType w:val="hybridMultilevel"/>
    <w:tmpl w:val="0134928E"/>
    <w:lvl w:ilvl="0" w:tplc="08090001">
      <w:start w:val="1"/>
      <w:numFmt w:val="bullet"/>
      <w:lvlText w:val=""/>
      <w:lvlJc w:val="left"/>
      <w:pPr>
        <w:ind w:left="1680" w:hanging="360"/>
      </w:pPr>
      <w:rPr>
        <w:rFonts w:ascii="Symbol" w:hAnsi="Symbol" w:hint="default"/>
      </w:rPr>
    </w:lvl>
    <w:lvl w:ilvl="1" w:tplc="08090001">
      <w:start w:val="1"/>
      <w:numFmt w:val="bullet"/>
      <w:lvlText w:val=""/>
      <w:lvlJc w:val="left"/>
      <w:pPr>
        <w:ind w:left="2400" w:hanging="360"/>
      </w:pPr>
      <w:rPr>
        <w:rFonts w:ascii="Symbol" w:hAnsi="Symbol"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
    <w:nsid w:val="056B7691"/>
    <w:multiLevelType w:val="hybridMultilevel"/>
    <w:tmpl w:val="E112F47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0D15BB"/>
    <w:multiLevelType w:val="hybridMultilevel"/>
    <w:tmpl w:val="A298451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2B7151"/>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AC3B67"/>
    <w:multiLevelType w:val="hybridMultilevel"/>
    <w:tmpl w:val="A38013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153B38"/>
    <w:multiLevelType w:val="hybridMultilevel"/>
    <w:tmpl w:val="47F05A0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nsid w:val="13421109"/>
    <w:multiLevelType w:val="hybridMultilevel"/>
    <w:tmpl w:val="79BE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ED6A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B52C0"/>
    <w:multiLevelType w:val="hybridMultilevel"/>
    <w:tmpl w:val="461E5CFE"/>
    <w:lvl w:ilvl="0" w:tplc="1EFE820A">
      <w:numFmt w:val="bullet"/>
      <w:lvlText w:val=""/>
      <w:lvlJc w:val="left"/>
      <w:pPr>
        <w:ind w:left="720" w:hanging="360"/>
      </w:pPr>
      <w:rPr>
        <w:rFonts w:ascii="Symbol" w:eastAsia="Calibri" w:hAnsi="Symbol" w:cs="Times New Roman"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757769F"/>
    <w:multiLevelType w:val="hybridMultilevel"/>
    <w:tmpl w:val="1F101CE2"/>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3">
    <w:nsid w:val="2EA52A69"/>
    <w:multiLevelType w:val="hybridMultilevel"/>
    <w:tmpl w:val="51CEE21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01D77DA"/>
    <w:multiLevelType w:val="hybridMultilevel"/>
    <w:tmpl w:val="ECB0B758"/>
    <w:lvl w:ilvl="0" w:tplc="8AD2117C">
      <w:start w:val="1"/>
      <w:numFmt w:val="bullet"/>
      <w:lvlText w:val=""/>
      <w:lvlJc w:val="left"/>
      <w:pPr>
        <w:ind w:left="1440" w:hanging="360"/>
      </w:pPr>
      <w:rPr>
        <w:rFonts w:ascii="Symbol" w:hAnsi="Symbol" w:hint="default"/>
      </w:rPr>
    </w:lvl>
    <w:lvl w:ilvl="1" w:tplc="8AD2117C">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2D37E67"/>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533B3B"/>
    <w:multiLevelType w:val="hybridMultilevel"/>
    <w:tmpl w:val="12C8E3F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7E4678"/>
    <w:multiLevelType w:val="hybridMultilevel"/>
    <w:tmpl w:val="C772EBD8"/>
    <w:lvl w:ilvl="0" w:tplc="4AD401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C344C03"/>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DA58C5"/>
    <w:multiLevelType w:val="hybridMultilevel"/>
    <w:tmpl w:val="613A6B6E"/>
    <w:lvl w:ilvl="0" w:tplc="8AD2117C">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0">
    <w:nsid w:val="43DC15CC"/>
    <w:multiLevelType w:val="hybridMultilevel"/>
    <w:tmpl w:val="BBB6E534"/>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4C062C"/>
    <w:multiLevelType w:val="hybridMultilevel"/>
    <w:tmpl w:val="F6BC563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371EC0"/>
    <w:multiLevelType w:val="hybridMultilevel"/>
    <w:tmpl w:val="AA96E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93236C6"/>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4D7B8E"/>
    <w:multiLevelType w:val="hybridMultilevel"/>
    <w:tmpl w:val="884E8D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BA40BAF"/>
    <w:multiLevelType w:val="hybridMultilevel"/>
    <w:tmpl w:val="D46A7F7C"/>
    <w:lvl w:ilvl="0" w:tplc="8AD2117C">
      <w:start w:val="1"/>
      <w:numFmt w:val="bullet"/>
      <w:lvlText w:val=""/>
      <w:lvlJc w:val="left"/>
      <w:pPr>
        <w:ind w:left="1440" w:hanging="360"/>
      </w:pPr>
      <w:rPr>
        <w:rFonts w:ascii="Symbol" w:hAnsi="Symbol" w:hint="default"/>
      </w:rPr>
    </w:lvl>
    <w:lvl w:ilvl="1" w:tplc="607A8D1C">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E0B426E"/>
    <w:multiLevelType w:val="hybridMultilevel"/>
    <w:tmpl w:val="7CB47866"/>
    <w:lvl w:ilvl="0" w:tplc="8AD2117C">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7">
    <w:nsid w:val="51E45307"/>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614B2C"/>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A94E6B"/>
    <w:multiLevelType w:val="hybridMultilevel"/>
    <w:tmpl w:val="2996A24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1543E5"/>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9427B3"/>
    <w:multiLevelType w:val="hybridMultilevel"/>
    <w:tmpl w:val="7F6E393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2">
    <w:nsid w:val="5EAB1814"/>
    <w:multiLevelType w:val="hybridMultilevel"/>
    <w:tmpl w:val="D306219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3428BA"/>
    <w:multiLevelType w:val="hybridMultilevel"/>
    <w:tmpl w:val="2B1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DA70C3"/>
    <w:multiLevelType w:val="hybridMultilevel"/>
    <w:tmpl w:val="593EF15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CC4B48"/>
    <w:multiLevelType w:val="hybridMultilevel"/>
    <w:tmpl w:val="885471B8"/>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9A699F"/>
    <w:multiLevelType w:val="hybridMultilevel"/>
    <w:tmpl w:val="B0B493D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2D0365"/>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A38413E"/>
    <w:multiLevelType w:val="hybridMultilevel"/>
    <w:tmpl w:val="312E2952"/>
    <w:lvl w:ilvl="0" w:tplc="8AD2117C">
      <w:start w:val="1"/>
      <w:numFmt w:val="bullet"/>
      <w:lvlText w:val=""/>
      <w:lvlJc w:val="left"/>
      <w:pPr>
        <w:ind w:left="1200" w:hanging="360"/>
      </w:pPr>
      <w:rPr>
        <w:rFonts w:ascii="Symbol" w:hAnsi="Symbol" w:hint="default"/>
      </w:rPr>
    </w:lvl>
    <w:lvl w:ilvl="1" w:tplc="8AD2117C">
      <w:start w:val="1"/>
      <w:numFmt w:val="bullet"/>
      <w:lvlText w:val=""/>
      <w:lvlJc w:val="left"/>
      <w:pPr>
        <w:ind w:left="1920" w:hanging="360"/>
      </w:pPr>
      <w:rPr>
        <w:rFonts w:ascii="Symbol" w:hAnsi="Symbol"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9">
    <w:nsid w:val="6FB24208"/>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997E8C"/>
    <w:multiLevelType w:val="hybridMultilevel"/>
    <w:tmpl w:val="0B9EEDF8"/>
    <w:lvl w:ilvl="0" w:tplc="8AD2117C">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1">
    <w:nsid w:val="756F69B9"/>
    <w:multiLevelType w:val="hybridMultilevel"/>
    <w:tmpl w:val="7F2E71BA"/>
    <w:lvl w:ilvl="0" w:tplc="08090001">
      <w:start w:val="1"/>
      <w:numFmt w:val="bullet"/>
      <w:lvlText w:val=""/>
      <w:lvlJc w:val="left"/>
      <w:pPr>
        <w:ind w:left="1440" w:hanging="360"/>
      </w:pPr>
      <w:rPr>
        <w:rFonts w:ascii="Symbol" w:hAnsi="Symbol" w:hint="default"/>
      </w:rPr>
    </w:lvl>
    <w:lvl w:ilvl="1" w:tplc="607A8D1C">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6FF58D5"/>
    <w:multiLevelType w:val="hybridMultilevel"/>
    <w:tmpl w:val="B87E6EF6"/>
    <w:lvl w:ilvl="0" w:tplc="1CBCCC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798404B9"/>
    <w:multiLevelType w:val="hybridMultilevel"/>
    <w:tmpl w:val="9830D8C6"/>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29245F"/>
    <w:multiLevelType w:val="hybridMultilevel"/>
    <w:tmpl w:val="2E6E7844"/>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3"/>
  </w:num>
  <w:num w:numId="4">
    <w:abstractNumId w:val="44"/>
  </w:num>
  <w:num w:numId="5">
    <w:abstractNumId w:val="0"/>
  </w:num>
  <w:num w:numId="6">
    <w:abstractNumId w:val="16"/>
  </w:num>
  <w:num w:numId="7">
    <w:abstractNumId w:val="29"/>
  </w:num>
  <w:num w:numId="8">
    <w:abstractNumId w:val="32"/>
  </w:num>
  <w:num w:numId="9">
    <w:abstractNumId w:val="4"/>
  </w:num>
  <w:num w:numId="10">
    <w:abstractNumId w:val="7"/>
  </w:num>
  <w:num w:numId="11">
    <w:abstractNumId w:val="35"/>
  </w:num>
  <w:num w:numId="12">
    <w:abstractNumId w:val="5"/>
  </w:num>
  <w:num w:numId="13">
    <w:abstractNumId w:val="21"/>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8"/>
  </w:num>
  <w:num w:numId="17">
    <w:abstractNumId w:val="23"/>
  </w:num>
  <w:num w:numId="18">
    <w:abstractNumId w:val="28"/>
  </w:num>
  <w:num w:numId="19">
    <w:abstractNumId w:val="6"/>
  </w:num>
  <w:num w:numId="20">
    <w:abstractNumId w:val="41"/>
  </w:num>
  <w:num w:numId="21">
    <w:abstractNumId w:val="31"/>
  </w:num>
  <w:num w:numId="22">
    <w:abstractNumId w:val="19"/>
  </w:num>
  <w:num w:numId="23">
    <w:abstractNumId w:val="3"/>
  </w:num>
  <w:num w:numId="24">
    <w:abstractNumId w:val="1"/>
  </w:num>
  <w:num w:numId="25">
    <w:abstractNumId w:val="40"/>
  </w:num>
  <w:num w:numId="26">
    <w:abstractNumId w:val="38"/>
  </w:num>
  <w:num w:numId="27">
    <w:abstractNumId w:val="20"/>
  </w:num>
  <w:num w:numId="28">
    <w:abstractNumId w:val="14"/>
  </w:num>
  <w:num w:numId="29">
    <w:abstractNumId w:val="8"/>
  </w:num>
  <w:num w:numId="30">
    <w:abstractNumId w:val="36"/>
  </w:num>
  <w:num w:numId="31">
    <w:abstractNumId w:val="26"/>
  </w:num>
  <w:num w:numId="32">
    <w:abstractNumId w:val="43"/>
  </w:num>
  <w:num w:numId="33">
    <w:abstractNumId w:val="12"/>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3"/>
  </w:num>
  <w:num w:numId="39">
    <w:abstractNumId w:val="22"/>
  </w:num>
  <w:num w:numId="40">
    <w:abstractNumId w:val="37"/>
  </w:num>
  <w:num w:numId="41">
    <w:abstractNumId w:val="39"/>
  </w:num>
  <w:num w:numId="42">
    <w:abstractNumId w:val="15"/>
  </w:num>
  <w:num w:numId="43">
    <w:abstractNumId w:val="30"/>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4"/>
  </w:num>
  <w:num w:numId="47">
    <w:abstractNumId w:val="25"/>
  </w:num>
  <w:num w:numId="4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383857C-4CE8-4074-9220-7FBB2FD302AE"/>
    <w:docVar w:name="LW_COVERPAGE_TYPE" w:val="1"/>
    <w:docVar w:name="LW_CROSSREFERENCE" w:val="{COM(2017) 778 final}"/>
    <w:docVar w:name="LW_DocType" w:val="NORMAL"/>
    <w:docVar w:name="LW_EMISSION" w:val="18.12.2017"/>
    <w:docVar w:name="LW_EMISSION_ISODATE" w:val="2017-12-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operation of the arrangements established by Council Directive 2010/24/EU of 16 March 2010 concerning mutual assistance for the recovery of claims relating to taxes, duties and other measures_x000b_"/>
    <w:docVar w:name="LW_PART_NBR" w:val="1"/>
    <w:docVar w:name="LW_PART_NBR_TOTAL" w:val="1"/>
    <w:docVar w:name="LW_REF.INST.NEW" w:val="SWD"/>
    <w:docVar w:name="LW_REF.INST.NEW_ADOPTED" w:val="final"/>
    <w:docVar w:name="LW_REF.INST.NEW_TEXT" w:val="(2017) 4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for the evaluation of the use of mutual tax recovery assistance on the basis of Directive 2010/24/EU by the EU Member States"/>
    <w:docVar w:name="LW_TYPE.DOC.CP" w:val="COMMISSION STAFF WORKING DOCUMENT"/>
    <w:docVar w:name="LW_TYPEACTEPRINCIPAL.CP" w:val="Report from the Commission to the European Parliament and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0000"/>
      <w:sz w:val="43"/>
      <w:szCs w:val="43"/>
      <w:lang w:eastAsia="en-GB"/>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eastAsia="ko-KR"/>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sti-art">
    <w:name w:val="sti-art"/>
    <w:basedOn w:val="Normal"/>
    <w:pPr>
      <w:spacing w:before="60" w:after="120" w:line="240" w:lineRule="auto"/>
      <w:jc w:val="center"/>
    </w:pPr>
    <w:rPr>
      <w:rFonts w:ascii="Times New Roman" w:eastAsia="Times New Roman" w:hAnsi="Times New Roman" w:cs="Times New Roman"/>
      <w:b/>
      <w:bCs/>
      <w:sz w:val="24"/>
      <w:szCs w:val="24"/>
      <w:lang w:eastAsia="en-GB"/>
    </w:rPr>
  </w:style>
  <w:style w:type="paragraph" w:customStyle="1" w:styleId="ti-art">
    <w:name w:val="ti-art"/>
    <w:basedOn w:val="Normal"/>
    <w:pPr>
      <w:spacing w:before="360" w:after="120" w:line="240" w:lineRule="auto"/>
      <w:jc w:val="center"/>
    </w:pPr>
    <w:rPr>
      <w:rFonts w:ascii="Times New Roman" w:eastAsia="Times New Roman" w:hAnsi="Times New Roman" w:cs="Times New Roman"/>
      <w:i/>
      <w:iCs/>
      <w:sz w:val="24"/>
      <w:szCs w:val="24"/>
      <w:lang w:eastAsia="en-GB"/>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BE" w:eastAsia="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BE" w:eastAsia="en-GB"/>
    </w:rPr>
  </w:style>
  <w:style w:type="paragraph" w:customStyle="1" w:styleId="pdf">
    <w:name w:val="pdf"/>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Pr>
      <w:b/>
      <w:bCs/>
    </w:rPr>
  </w:style>
  <w:style w:type="paragraph" w:customStyle="1" w:styleId="li1">
    <w:name w:val="li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line="240" w:lineRule="auto"/>
      <w:ind w:left="850"/>
      <w:jc w:val="both"/>
    </w:pPr>
    <w:rPr>
      <w:rFonts w:ascii="Times New Roman" w:eastAsia="Times New Roman" w:hAnsi="Times New Roman" w:cs="Times New Roman"/>
      <w:sz w:val="24"/>
      <w:szCs w:val="24"/>
      <w:lang w:eastAsia="en-GB"/>
    </w:rPr>
  </w:style>
  <w:style w:type="paragraph" w:customStyle="1" w:styleId="emission2">
    <w:name w:val="emission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rfrenceinstitutionnelle2">
    <w:name w:val="rfrenceinstitutionnelle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typedudocumentcp2">
    <w:name w:val="typedudocumen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2">
    <w:name w:val="titreobje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sous-titreobjetcp2">
    <w:name w:val="sous-titreobjet_cp2"/>
    <w:basedOn w:val="Normal"/>
    <w:pPr>
      <w:spacing w:after="0" w:line="240" w:lineRule="auto"/>
      <w:jc w:val="center"/>
    </w:pPr>
    <w:rPr>
      <w:rFonts w:ascii="Times New Roman" w:eastAsia="Times New Roman" w:hAnsi="Times New Roman" w:cs="Times New Roman"/>
      <w:b/>
      <w:bCs/>
      <w:sz w:val="24"/>
      <w:szCs w:val="24"/>
      <w:lang w:eastAsia="en-GB"/>
    </w:rPr>
  </w:style>
  <w:style w:type="character" w:customStyle="1" w:styleId="Inget">
    <w:name w:val="Inget"/>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normal20">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0000"/>
      <w:sz w:val="43"/>
      <w:szCs w:val="43"/>
      <w:lang w:eastAsia="en-GB"/>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eastAsia="ko-KR"/>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sti-art">
    <w:name w:val="sti-art"/>
    <w:basedOn w:val="Normal"/>
    <w:pPr>
      <w:spacing w:before="60" w:after="120" w:line="240" w:lineRule="auto"/>
      <w:jc w:val="center"/>
    </w:pPr>
    <w:rPr>
      <w:rFonts w:ascii="Times New Roman" w:eastAsia="Times New Roman" w:hAnsi="Times New Roman" w:cs="Times New Roman"/>
      <w:b/>
      <w:bCs/>
      <w:sz w:val="24"/>
      <w:szCs w:val="24"/>
      <w:lang w:eastAsia="en-GB"/>
    </w:rPr>
  </w:style>
  <w:style w:type="paragraph" w:customStyle="1" w:styleId="ti-art">
    <w:name w:val="ti-art"/>
    <w:basedOn w:val="Normal"/>
    <w:pPr>
      <w:spacing w:before="360" w:after="120" w:line="240" w:lineRule="auto"/>
      <w:jc w:val="center"/>
    </w:pPr>
    <w:rPr>
      <w:rFonts w:ascii="Times New Roman" w:eastAsia="Times New Roman" w:hAnsi="Times New Roman" w:cs="Times New Roman"/>
      <w:i/>
      <w:iCs/>
      <w:sz w:val="24"/>
      <w:szCs w:val="24"/>
      <w:lang w:eastAsia="en-GB"/>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BE" w:eastAsia="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BE" w:eastAsia="en-GB"/>
    </w:rPr>
  </w:style>
  <w:style w:type="paragraph" w:customStyle="1" w:styleId="pdf">
    <w:name w:val="pdf"/>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Pr>
      <w:b/>
      <w:bCs/>
    </w:rPr>
  </w:style>
  <w:style w:type="paragraph" w:customStyle="1" w:styleId="li1">
    <w:name w:val="li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line="240" w:lineRule="auto"/>
      <w:ind w:left="850"/>
      <w:jc w:val="both"/>
    </w:pPr>
    <w:rPr>
      <w:rFonts w:ascii="Times New Roman" w:eastAsia="Times New Roman" w:hAnsi="Times New Roman" w:cs="Times New Roman"/>
      <w:sz w:val="24"/>
      <w:szCs w:val="24"/>
      <w:lang w:eastAsia="en-GB"/>
    </w:rPr>
  </w:style>
  <w:style w:type="paragraph" w:customStyle="1" w:styleId="emission2">
    <w:name w:val="emission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rfrenceinstitutionnelle2">
    <w:name w:val="rfrenceinstitutionnelle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typedudocumentcp2">
    <w:name w:val="typedudocumen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2">
    <w:name w:val="titreobje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sous-titreobjetcp2">
    <w:name w:val="sous-titreobjet_cp2"/>
    <w:basedOn w:val="Normal"/>
    <w:pPr>
      <w:spacing w:after="0" w:line="240" w:lineRule="auto"/>
      <w:jc w:val="center"/>
    </w:pPr>
    <w:rPr>
      <w:rFonts w:ascii="Times New Roman" w:eastAsia="Times New Roman" w:hAnsi="Times New Roman" w:cs="Times New Roman"/>
      <w:b/>
      <w:bCs/>
      <w:sz w:val="24"/>
      <w:szCs w:val="24"/>
      <w:lang w:eastAsia="en-GB"/>
    </w:rPr>
  </w:style>
  <w:style w:type="character" w:customStyle="1" w:styleId="Inget">
    <w:name w:val="Inget"/>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normal20">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771">
      <w:bodyDiv w:val="1"/>
      <w:marLeft w:val="0"/>
      <w:marRight w:val="0"/>
      <w:marTop w:val="0"/>
      <w:marBottom w:val="0"/>
      <w:divBdr>
        <w:top w:val="none" w:sz="0" w:space="0" w:color="auto"/>
        <w:left w:val="none" w:sz="0" w:space="0" w:color="auto"/>
        <w:bottom w:val="none" w:sz="0" w:space="0" w:color="auto"/>
        <w:right w:val="none" w:sz="0" w:space="0" w:color="auto"/>
      </w:divBdr>
    </w:div>
    <w:div w:id="103816296">
      <w:bodyDiv w:val="1"/>
      <w:marLeft w:val="0"/>
      <w:marRight w:val="0"/>
      <w:marTop w:val="0"/>
      <w:marBottom w:val="0"/>
      <w:divBdr>
        <w:top w:val="none" w:sz="0" w:space="0" w:color="auto"/>
        <w:left w:val="none" w:sz="0" w:space="0" w:color="auto"/>
        <w:bottom w:val="none" w:sz="0" w:space="0" w:color="auto"/>
        <w:right w:val="none" w:sz="0" w:space="0" w:color="auto"/>
      </w:divBdr>
      <w:divsChild>
        <w:div w:id="870652780">
          <w:marLeft w:val="0"/>
          <w:marRight w:val="0"/>
          <w:marTop w:val="0"/>
          <w:marBottom w:val="0"/>
          <w:divBdr>
            <w:top w:val="none" w:sz="0" w:space="0" w:color="auto"/>
            <w:left w:val="none" w:sz="0" w:space="0" w:color="auto"/>
            <w:bottom w:val="none" w:sz="0" w:space="0" w:color="auto"/>
            <w:right w:val="none" w:sz="0" w:space="0" w:color="auto"/>
          </w:divBdr>
          <w:divsChild>
            <w:div w:id="729570432">
              <w:marLeft w:val="0"/>
              <w:marRight w:val="0"/>
              <w:marTop w:val="0"/>
              <w:marBottom w:val="0"/>
              <w:divBdr>
                <w:top w:val="none" w:sz="0" w:space="0" w:color="auto"/>
                <w:left w:val="none" w:sz="0" w:space="0" w:color="auto"/>
                <w:bottom w:val="none" w:sz="0" w:space="0" w:color="auto"/>
                <w:right w:val="none" w:sz="0" w:space="0" w:color="auto"/>
              </w:divBdr>
              <w:divsChild>
                <w:div w:id="1787890079">
                  <w:marLeft w:val="0"/>
                  <w:marRight w:val="0"/>
                  <w:marTop w:val="0"/>
                  <w:marBottom w:val="0"/>
                  <w:divBdr>
                    <w:top w:val="none" w:sz="0" w:space="0" w:color="auto"/>
                    <w:left w:val="none" w:sz="0" w:space="0" w:color="auto"/>
                    <w:bottom w:val="none" w:sz="0" w:space="0" w:color="auto"/>
                    <w:right w:val="none" w:sz="0" w:space="0" w:color="auto"/>
                  </w:divBdr>
                  <w:divsChild>
                    <w:div w:id="1870953630">
                      <w:marLeft w:val="1"/>
                      <w:marRight w:val="1"/>
                      <w:marTop w:val="0"/>
                      <w:marBottom w:val="0"/>
                      <w:divBdr>
                        <w:top w:val="none" w:sz="0" w:space="0" w:color="auto"/>
                        <w:left w:val="none" w:sz="0" w:space="0" w:color="auto"/>
                        <w:bottom w:val="none" w:sz="0" w:space="0" w:color="auto"/>
                        <w:right w:val="none" w:sz="0" w:space="0" w:color="auto"/>
                      </w:divBdr>
                      <w:divsChild>
                        <w:div w:id="501091438">
                          <w:marLeft w:val="0"/>
                          <w:marRight w:val="0"/>
                          <w:marTop w:val="0"/>
                          <w:marBottom w:val="0"/>
                          <w:divBdr>
                            <w:top w:val="none" w:sz="0" w:space="0" w:color="auto"/>
                            <w:left w:val="none" w:sz="0" w:space="0" w:color="auto"/>
                            <w:bottom w:val="none" w:sz="0" w:space="0" w:color="auto"/>
                            <w:right w:val="none" w:sz="0" w:space="0" w:color="auto"/>
                          </w:divBdr>
                          <w:divsChild>
                            <w:div w:id="1530951546">
                              <w:marLeft w:val="0"/>
                              <w:marRight w:val="0"/>
                              <w:marTop w:val="0"/>
                              <w:marBottom w:val="360"/>
                              <w:divBdr>
                                <w:top w:val="none" w:sz="0" w:space="0" w:color="auto"/>
                                <w:left w:val="none" w:sz="0" w:space="0" w:color="auto"/>
                                <w:bottom w:val="none" w:sz="0" w:space="0" w:color="auto"/>
                                <w:right w:val="none" w:sz="0" w:space="0" w:color="auto"/>
                              </w:divBdr>
                              <w:divsChild>
                                <w:div w:id="14968825">
                                  <w:marLeft w:val="0"/>
                                  <w:marRight w:val="0"/>
                                  <w:marTop w:val="0"/>
                                  <w:marBottom w:val="0"/>
                                  <w:divBdr>
                                    <w:top w:val="none" w:sz="0" w:space="0" w:color="auto"/>
                                    <w:left w:val="none" w:sz="0" w:space="0" w:color="auto"/>
                                    <w:bottom w:val="none" w:sz="0" w:space="0" w:color="auto"/>
                                    <w:right w:val="none" w:sz="0" w:space="0" w:color="auto"/>
                                  </w:divBdr>
                                  <w:divsChild>
                                    <w:div w:id="994913303">
                                      <w:marLeft w:val="0"/>
                                      <w:marRight w:val="0"/>
                                      <w:marTop w:val="0"/>
                                      <w:marBottom w:val="0"/>
                                      <w:divBdr>
                                        <w:top w:val="none" w:sz="0" w:space="0" w:color="auto"/>
                                        <w:left w:val="none" w:sz="0" w:space="0" w:color="auto"/>
                                        <w:bottom w:val="none" w:sz="0" w:space="0" w:color="auto"/>
                                        <w:right w:val="none" w:sz="0" w:space="0" w:color="auto"/>
                                      </w:divBdr>
                                      <w:divsChild>
                                        <w:div w:id="826361983">
                                          <w:marLeft w:val="0"/>
                                          <w:marRight w:val="0"/>
                                          <w:marTop w:val="0"/>
                                          <w:marBottom w:val="0"/>
                                          <w:divBdr>
                                            <w:top w:val="none" w:sz="0" w:space="0" w:color="auto"/>
                                            <w:left w:val="none" w:sz="0" w:space="0" w:color="auto"/>
                                            <w:bottom w:val="none" w:sz="0" w:space="0" w:color="auto"/>
                                            <w:right w:val="none" w:sz="0" w:space="0" w:color="auto"/>
                                          </w:divBdr>
                                          <w:divsChild>
                                            <w:div w:id="290981352">
                                              <w:marLeft w:val="0"/>
                                              <w:marRight w:val="0"/>
                                              <w:marTop w:val="0"/>
                                              <w:marBottom w:val="0"/>
                                              <w:divBdr>
                                                <w:top w:val="none" w:sz="0" w:space="0" w:color="auto"/>
                                                <w:left w:val="none" w:sz="0" w:space="0" w:color="auto"/>
                                                <w:bottom w:val="none" w:sz="0" w:space="0" w:color="auto"/>
                                                <w:right w:val="none" w:sz="0" w:space="0" w:color="auto"/>
                                              </w:divBdr>
                                              <w:divsChild>
                                                <w:div w:id="1207445464">
                                                  <w:marLeft w:val="0"/>
                                                  <w:marRight w:val="0"/>
                                                  <w:marTop w:val="0"/>
                                                  <w:marBottom w:val="0"/>
                                                  <w:divBdr>
                                                    <w:top w:val="none" w:sz="0" w:space="0" w:color="auto"/>
                                                    <w:left w:val="none" w:sz="0" w:space="0" w:color="auto"/>
                                                    <w:bottom w:val="none" w:sz="0" w:space="0" w:color="auto"/>
                                                    <w:right w:val="none" w:sz="0" w:space="0" w:color="auto"/>
                                                  </w:divBdr>
                                                  <w:divsChild>
                                                    <w:div w:id="886139143">
                                                      <w:marLeft w:val="0"/>
                                                      <w:marRight w:val="0"/>
                                                      <w:marTop w:val="0"/>
                                                      <w:marBottom w:val="0"/>
                                                      <w:divBdr>
                                                        <w:top w:val="none" w:sz="0" w:space="0" w:color="auto"/>
                                                        <w:left w:val="none" w:sz="0" w:space="0" w:color="auto"/>
                                                        <w:bottom w:val="none" w:sz="0" w:space="0" w:color="auto"/>
                                                        <w:right w:val="none" w:sz="0" w:space="0" w:color="auto"/>
                                                      </w:divBdr>
                                                      <w:divsChild>
                                                        <w:div w:id="423695997">
                                                          <w:marLeft w:val="0"/>
                                                          <w:marRight w:val="0"/>
                                                          <w:marTop w:val="0"/>
                                                          <w:marBottom w:val="0"/>
                                                          <w:divBdr>
                                                            <w:top w:val="none" w:sz="0" w:space="0" w:color="auto"/>
                                                            <w:left w:val="none" w:sz="0" w:space="0" w:color="auto"/>
                                                            <w:bottom w:val="none" w:sz="0" w:space="0" w:color="auto"/>
                                                            <w:right w:val="none" w:sz="0" w:space="0" w:color="auto"/>
                                                          </w:divBdr>
                                                        </w:div>
                                                        <w:div w:id="1422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82631">
      <w:bodyDiv w:val="1"/>
      <w:marLeft w:val="0"/>
      <w:marRight w:val="0"/>
      <w:marTop w:val="0"/>
      <w:marBottom w:val="0"/>
      <w:divBdr>
        <w:top w:val="none" w:sz="0" w:space="0" w:color="auto"/>
        <w:left w:val="none" w:sz="0" w:space="0" w:color="auto"/>
        <w:bottom w:val="none" w:sz="0" w:space="0" w:color="auto"/>
        <w:right w:val="none" w:sz="0" w:space="0" w:color="auto"/>
      </w:divBdr>
    </w:div>
    <w:div w:id="113984830">
      <w:bodyDiv w:val="1"/>
      <w:marLeft w:val="0"/>
      <w:marRight w:val="0"/>
      <w:marTop w:val="0"/>
      <w:marBottom w:val="0"/>
      <w:divBdr>
        <w:top w:val="none" w:sz="0" w:space="0" w:color="auto"/>
        <w:left w:val="none" w:sz="0" w:space="0" w:color="auto"/>
        <w:bottom w:val="none" w:sz="0" w:space="0" w:color="auto"/>
        <w:right w:val="none" w:sz="0" w:space="0" w:color="auto"/>
      </w:divBdr>
    </w:div>
    <w:div w:id="180977141">
      <w:bodyDiv w:val="1"/>
      <w:marLeft w:val="0"/>
      <w:marRight w:val="0"/>
      <w:marTop w:val="0"/>
      <w:marBottom w:val="0"/>
      <w:divBdr>
        <w:top w:val="none" w:sz="0" w:space="0" w:color="auto"/>
        <w:left w:val="none" w:sz="0" w:space="0" w:color="auto"/>
        <w:bottom w:val="none" w:sz="0" w:space="0" w:color="auto"/>
        <w:right w:val="none" w:sz="0" w:space="0" w:color="auto"/>
      </w:divBdr>
    </w:div>
    <w:div w:id="277879056">
      <w:bodyDiv w:val="1"/>
      <w:marLeft w:val="390"/>
      <w:marRight w:val="390"/>
      <w:marTop w:val="0"/>
      <w:marBottom w:val="0"/>
      <w:divBdr>
        <w:top w:val="none" w:sz="0" w:space="0" w:color="auto"/>
        <w:left w:val="none" w:sz="0" w:space="0" w:color="auto"/>
        <w:bottom w:val="none" w:sz="0" w:space="0" w:color="auto"/>
        <w:right w:val="none" w:sz="0" w:space="0" w:color="auto"/>
      </w:divBdr>
    </w:div>
    <w:div w:id="294414228">
      <w:bodyDiv w:val="1"/>
      <w:marLeft w:val="0"/>
      <w:marRight w:val="0"/>
      <w:marTop w:val="0"/>
      <w:marBottom w:val="0"/>
      <w:divBdr>
        <w:top w:val="none" w:sz="0" w:space="0" w:color="auto"/>
        <w:left w:val="none" w:sz="0" w:space="0" w:color="auto"/>
        <w:bottom w:val="none" w:sz="0" w:space="0" w:color="auto"/>
        <w:right w:val="none" w:sz="0" w:space="0" w:color="auto"/>
      </w:divBdr>
      <w:divsChild>
        <w:div w:id="1182352763">
          <w:marLeft w:val="0"/>
          <w:marRight w:val="0"/>
          <w:marTop w:val="225"/>
          <w:marBottom w:val="225"/>
          <w:divBdr>
            <w:top w:val="none" w:sz="0" w:space="0" w:color="auto"/>
            <w:left w:val="none" w:sz="0" w:space="0" w:color="auto"/>
            <w:bottom w:val="none" w:sz="0" w:space="0" w:color="auto"/>
            <w:right w:val="none" w:sz="0" w:space="0" w:color="auto"/>
          </w:divBdr>
          <w:divsChild>
            <w:div w:id="184054817">
              <w:marLeft w:val="4200"/>
              <w:marRight w:val="225"/>
              <w:marTop w:val="120"/>
              <w:marBottom w:val="0"/>
              <w:divBdr>
                <w:top w:val="none" w:sz="0" w:space="0" w:color="auto"/>
                <w:left w:val="none" w:sz="0" w:space="0" w:color="auto"/>
                <w:bottom w:val="none" w:sz="0" w:space="0" w:color="auto"/>
                <w:right w:val="none" w:sz="0" w:space="0" w:color="auto"/>
              </w:divBdr>
              <w:divsChild>
                <w:div w:id="662852317">
                  <w:marLeft w:val="0"/>
                  <w:marRight w:val="0"/>
                  <w:marTop w:val="0"/>
                  <w:marBottom w:val="0"/>
                  <w:divBdr>
                    <w:top w:val="none" w:sz="0" w:space="0" w:color="auto"/>
                    <w:left w:val="none" w:sz="0" w:space="0" w:color="auto"/>
                    <w:bottom w:val="single" w:sz="6" w:space="11" w:color="E2E2E2"/>
                    <w:right w:val="none" w:sz="0" w:space="0" w:color="auto"/>
                  </w:divBdr>
                </w:div>
              </w:divsChild>
            </w:div>
          </w:divsChild>
        </w:div>
      </w:divsChild>
    </w:div>
    <w:div w:id="299305367">
      <w:bodyDiv w:val="1"/>
      <w:marLeft w:val="0"/>
      <w:marRight w:val="0"/>
      <w:marTop w:val="0"/>
      <w:marBottom w:val="0"/>
      <w:divBdr>
        <w:top w:val="none" w:sz="0" w:space="0" w:color="auto"/>
        <w:left w:val="none" w:sz="0" w:space="0" w:color="auto"/>
        <w:bottom w:val="none" w:sz="0" w:space="0" w:color="auto"/>
        <w:right w:val="none" w:sz="0" w:space="0" w:color="auto"/>
      </w:divBdr>
    </w:div>
    <w:div w:id="313411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4841">
          <w:marLeft w:val="0"/>
          <w:marRight w:val="0"/>
          <w:marTop w:val="0"/>
          <w:marBottom w:val="0"/>
          <w:divBdr>
            <w:top w:val="none" w:sz="0" w:space="0" w:color="auto"/>
            <w:left w:val="none" w:sz="0" w:space="0" w:color="auto"/>
            <w:bottom w:val="none" w:sz="0" w:space="0" w:color="auto"/>
            <w:right w:val="none" w:sz="0" w:space="0" w:color="auto"/>
          </w:divBdr>
          <w:divsChild>
            <w:div w:id="440689850">
              <w:marLeft w:val="0"/>
              <w:marRight w:val="0"/>
              <w:marTop w:val="0"/>
              <w:marBottom w:val="0"/>
              <w:divBdr>
                <w:top w:val="none" w:sz="0" w:space="0" w:color="auto"/>
                <w:left w:val="none" w:sz="0" w:space="0" w:color="auto"/>
                <w:bottom w:val="none" w:sz="0" w:space="0" w:color="auto"/>
                <w:right w:val="none" w:sz="0" w:space="0" w:color="auto"/>
              </w:divBdr>
              <w:divsChild>
                <w:div w:id="192891086">
                  <w:marLeft w:val="0"/>
                  <w:marRight w:val="0"/>
                  <w:marTop w:val="0"/>
                  <w:marBottom w:val="0"/>
                  <w:divBdr>
                    <w:top w:val="none" w:sz="0" w:space="0" w:color="auto"/>
                    <w:left w:val="none" w:sz="0" w:space="0" w:color="auto"/>
                    <w:bottom w:val="none" w:sz="0" w:space="0" w:color="auto"/>
                    <w:right w:val="none" w:sz="0" w:space="0" w:color="auto"/>
                  </w:divBdr>
                  <w:divsChild>
                    <w:div w:id="1769085474">
                      <w:marLeft w:val="1"/>
                      <w:marRight w:val="1"/>
                      <w:marTop w:val="0"/>
                      <w:marBottom w:val="0"/>
                      <w:divBdr>
                        <w:top w:val="none" w:sz="0" w:space="0" w:color="auto"/>
                        <w:left w:val="none" w:sz="0" w:space="0" w:color="auto"/>
                        <w:bottom w:val="none" w:sz="0" w:space="0" w:color="auto"/>
                        <w:right w:val="none" w:sz="0" w:space="0" w:color="auto"/>
                      </w:divBdr>
                      <w:divsChild>
                        <w:div w:id="172188345">
                          <w:marLeft w:val="0"/>
                          <w:marRight w:val="0"/>
                          <w:marTop w:val="0"/>
                          <w:marBottom w:val="0"/>
                          <w:divBdr>
                            <w:top w:val="none" w:sz="0" w:space="0" w:color="auto"/>
                            <w:left w:val="none" w:sz="0" w:space="0" w:color="auto"/>
                            <w:bottom w:val="none" w:sz="0" w:space="0" w:color="auto"/>
                            <w:right w:val="none" w:sz="0" w:space="0" w:color="auto"/>
                          </w:divBdr>
                          <w:divsChild>
                            <w:div w:id="561986931">
                              <w:marLeft w:val="0"/>
                              <w:marRight w:val="0"/>
                              <w:marTop w:val="0"/>
                              <w:marBottom w:val="360"/>
                              <w:divBdr>
                                <w:top w:val="none" w:sz="0" w:space="0" w:color="auto"/>
                                <w:left w:val="none" w:sz="0" w:space="0" w:color="auto"/>
                                <w:bottom w:val="none" w:sz="0" w:space="0" w:color="auto"/>
                                <w:right w:val="none" w:sz="0" w:space="0" w:color="auto"/>
                              </w:divBdr>
                              <w:divsChild>
                                <w:div w:id="1745378054">
                                  <w:marLeft w:val="0"/>
                                  <w:marRight w:val="0"/>
                                  <w:marTop w:val="0"/>
                                  <w:marBottom w:val="0"/>
                                  <w:divBdr>
                                    <w:top w:val="none" w:sz="0" w:space="0" w:color="auto"/>
                                    <w:left w:val="none" w:sz="0" w:space="0" w:color="auto"/>
                                    <w:bottom w:val="none" w:sz="0" w:space="0" w:color="auto"/>
                                    <w:right w:val="none" w:sz="0" w:space="0" w:color="auto"/>
                                  </w:divBdr>
                                  <w:divsChild>
                                    <w:div w:id="258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6161">
      <w:bodyDiv w:val="1"/>
      <w:marLeft w:val="0"/>
      <w:marRight w:val="0"/>
      <w:marTop w:val="0"/>
      <w:marBottom w:val="0"/>
      <w:divBdr>
        <w:top w:val="none" w:sz="0" w:space="0" w:color="auto"/>
        <w:left w:val="none" w:sz="0" w:space="0" w:color="auto"/>
        <w:bottom w:val="none" w:sz="0" w:space="0" w:color="auto"/>
        <w:right w:val="none" w:sz="0" w:space="0" w:color="auto"/>
      </w:divBdr>
    </w:div>
    <w:div w:id="342052532">
      <w:bodyDiv w:val="1"/>
      <w:marLeft w:val="0"/>
      <w:marRight w:val="0"/>
      <w:marTop w:val="0"/>
      <w:marBottom w:val="0"/>
      <w:divBdr>
        <w:top w:val="none" w:sz="0" w:space="0" w:color="auto"/>
        <w:left w:val="none" w:sz="0" w:space="0" w:color="auto"/>
        <w:bottom w:val="none" w:sz="0" w:space="0" w:color="auto"/>
        <w:right w:val="none" w:sz="0" w:space="0" w:color="auto"/>
      </w:divBdr>
    </w:div>
    <w:div w:id="466507424">
      <w:bodyDiv w:val="1"/>
      <w:marLeft w:val="0"/>
      <w:marRight w:val="0"/>
      <w:marTop w:val="0"/>
      <w:marBottom w:val="0"/>
      <w:divBdr>
        <w:top w:val="none" w:sz="0" w:space="0" w:color="auto"/>
        <w:left w:val="none" w:sz="0" w:space="0" w:color="auto"/>
        <w:bottom w:val="none" w:sz="0" w:space="0" w:color="auto"/>
        <w:right w:val="none" w:sz="0" w:space="0" w:color="auto"/>
      </w:divBdr>
    </w:div>
    <w:div w:id="736977784">
      <w:bodyDiv w:val="1"/>
      <w:marLeft w:val="390"/>
      <w:marRight w:val="390"/>
      <w:marTop w:val="0"/>
      <w:marBottom w:val="0"/>
      <w:divBdr>
        <w:top w:val="none" w:sz="0" w:space="0" w:color="auto"/>
        <w:left w:val="none" w:sz="0" w:space="0" w:color="auto"/>
        <w:bottom w:val="none" w:sz="0" w:space="0" w:color="auto"/>
        <w:right w:val="none" w:sz="0" w:space="0" w:color="auto"/>
      </w:divBdr>
    </w:div>
    <w:div w:id="776409508">
      <w:bodyDiv w:val="1"/>
      <w:marLeft w:val="0"/>
      <w:marRight w:val="0"/>
      <w:marTop w:val="0"/>
      <w:marBottom w:val="0"/>
      <w:divBdr>
        <w:top w:val="none" w:sz="0" w:space="0" w:color="auto"/>
        <w:left w:val="none" w:sz="0" w:space="0" w:color="auto"/>
        <w:bottom w:val="none" w:sz="0" w:space="0" w:color="auto"/>
        <w:right w:val="none" w:sz="0" w:space="0" w:color="auto"/>
      </w:divBdr>
    </w:div>
    <w:div w:id="791169335">
      <w:bodyDiv w:val="1"/>
      <w:marLeft w:val="0"/>
      <w:marRight w:val="0"/>
      <w:marTop w:val="0"/>
      <w:marBottom w:val="0"/>
      <w:divBdr>
        <w:top w:val="none" w:sz="0" w:space="0" w:color="auto"/>
        <w:left w:val="none" w:sz="0" w:space="0" w:color="auto"/>
        <w:bottom w:val="none" w:sz="0" w:space="0" w:color="auto"/>
        <w:right w:val="none" w:sz="0" w:space="0" w:color="auto"/>
      </w:divBdr>
    </w:div>
    <w:div w:id="805510800">
      <w:bodyDiv w:val="1"/>
      <w:marLeft w:val="0"/>
      <w:marRight w:val="0"/>
      <w:marTop w:val="0"/>
      <w:marBottom w:val="0"/>
      <w:divBdr>
        <w:top w:val="none" w:sz="0" w:space="0" w:color="auto"/>
        <w:left w:val="none" w:sz="0" w:space="0" w:color="auto"/>
        <w:bottom w:val="none" w:sz="0" w:space="0" w:color="auto"/>
        <w:right w:val="none" w:sz="0" w:space="0" w:color="auto"/>
      </w:divBdr>
      <w:divsChild>
        <w:div w:id="139539190">
          <w:marLeft w:val="0"/>
          <w:marRight w:val="0"/>
          <w:marTop w:val="0"/>
          <w:marBottom w:val="0"/>
          <w:divBdr>
            <w:top w:val="none" w:sz="0" w:space="0" w:color="auto"/>
            <w:left w:val="none" w:sz="0" w:space="0" w:color="auto"/>
            <w:bottom w:val="none" w:sz="0" w:space="0" w:color="auto"/>
            <w:right w:val="none" w:sz="0" w:space="0" w:color="auto"/>
          </w:divBdr>
          <w:divsChild>
            <w:div w:id="1767921303">
              <w:marLeft w:val="0"/>
              <w:marRight w:val="0"/>
              <w:marTop w:val="0"/>
              <w:marBottom w:val="0"/>
              <w:divBdr>
                <w:top w:val="none" w:sz="0" w:space="0" w:color="auto"/>
                <w:left w:val="none" w:sz="0" w:space="0" w:color="auto"/>
                <w:bottom w:val="none" w:sz="0" w:space="0" w:color="auto"/>
                <w:right w:val="none" w:sz="0" w:space="0" w:color="auto"/>
              </w:divBdr>
              <w:divsChild>
                <w:div w:id="730541222">
                  <w:marLeft w:val="0"/>
                  <w:marRight w:val="0"/>
                  <w:marTop w:val="0"/>
                  <w:marBottom w:val="0"/>
                  <w:divBdr>
                    <w:top w:val="none" w:sz="0" w:space="0" w:color="auto"/>
                    <w:left w:val="none" w:sz="0" w:space="0" w:color="auto"/>
                    <w:bottom w:val="none" w:sz="0" w:space="0" w:color="auto"/>
                    <w:right w:val="none" w:sz="0" w:space="0" w:color="auto"/>
                  </w:divBdr>
                  <w:divsChild>
                    <w:div w:id="1266428849">
                      <w:marLeft w:val="0"/>
                      <w:marRight w:val="0"/>
                      <w:marTop w:val="75"/>
                      <w:marBottom w:val="0"/>
                      <w:divBdr>
                        <w:top w:val="none" w:sz="0" w:space="0" w:color="auto"/>
                        <w:left w:val="none" w:sz="0" w:space="0" w:color="auto"/>
                        <w:bottom w:val="none" w:sz="0" w:space="0" w:color="auto"/>
                        <w:right w:val="none" w:sz="0" w:space="0" w:color="auto"/>
                      </w:divBdr>
                      <w:divsChild>
                        <w:div w:id="171140432">
                          <w:marLeft w:val="75"/>
                          <w:marRight w:val="0"/>
                          <w:marTop w:val="75"/>
                          <w:marBottom w:val="0"/>
                          <w:divBdr>
                            <w:top w:val="none" w:sz="0" w:space="0" w:color="auto"/>
                            <w:left w:val="none" w:sz="0" w:space="0" w:color="auto"/>
                            <w:bottom w:val="none" w:sz="0" w:space="0" w:color="auto"/>
                            <w:right w:val="none" w:sz="0" w:space="0" w:color="auto"/>
                          </w:divBdr>
                          <w:divsChild>
                            <w:div w:id="125647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1534">
      <w:bodyDiv w:val="1"/>
      <w:marLeft w:val="0"/>
      <w:marRight w:val="0"/>
      <w:marTop w:val="0"/>
      <w:marBottom w:val="0"/>
      <w:divBdr>
        <w:top w:val="none" w:sz="0" w:space="0" w:color="auto"/>
        <w:left w:val="none" w:sz="0" w:space="0" w:color="auto"/>
        <w:bottom w:val="none" w:sz="0" w:space="0" w:color="auto"/>
        <w:right w:val="none" w:sz="0" w:space="0" w:color="auto"/>
      </w:divBdr>
      <w:divsChild>
        <w:div w:id="1760324750">
          <w:marLeft w:val="0"/>
          <w:marRight w:val="0"/>
          <w:marTop w:val="0"/>
          <w:marBottom w:val="0"/>
          <w:divBdr>
            <w:top w:val="none" w:sz="0" w:space="0" w:color="auto"/>
            <w:left w:val="none" w:sz="0" w:space="0" w:color="auto"/>
            <w:bottom w:val="none" w:sz="0" w:space="0" w:color="auto"/>
            <w:right w:val="none" w:sz="0" w:space="0" w:color="auto"/>
          </w:divBdr>
          <w:divsChild>
            <w:div w:id="273901037">
              <w:marLeft w:val="0"/>
              <w:marRight w:val="0"/>
              <w:marTop w:val="0"/>
              <w:marBottom w:val="0"/>
              <w:divBdr>
                <w:top w:val="none" w:sz="0" w:space="0" w:color="auto"/>
                <w:left w:val="none" w:sz="0" w:space="0" w:color="auto"/>
                <w:bottom w:val="none" w:sz="0" w:space="0" w:color="auto"/>
                <w:right w:val="none" w:sz="0" w:space="0" w:color="auto"/>
              </w:divBdr>
              <w:divsChild>
                <w:div w:id="363873575">
                  <w:marLeft w:val="0"/>
                  <w:marRight w:val="0"/>
                  <w:marTop w:val="0"/>
                  <w:marBottom w:val="0"/>
                  <w:divBdr>
                    <w:top w:val="none" w:sz="0" w:space="0" w:color="auto"/>
                    <w:left w:val="none" w:sz="0" w:space="0" w:color="auto"/>
                    <w:bottom w:val="none" w:sz="0" w:space="0" w:color="auto"/>
                    <w:right w:val="none" w:sz="0" w:space="0" w:color="auto"/>
                  </w:divBdr>
                  <w:divsChild>
                    <w:div w:id="1373270311">
                      <w:marLeft w:val="1"/>
                      <w:marRight w:val="1"/>
                      <w:marTop w:val="0"/>
                      <w:marBottom w:val="0"/>
                      <w:divBdr>
                        <w:top w:val="none" w:sz="0" w:space="0" w:color="auto"/>
                        <w:left w:val="none" w:sz="0" w:space="0" w:color="auto"/>
                        <w:bottom w:val="none" w:sz="0" w:space="0" w:color="auto"/>
                        <w:right w:val="none" w:sz="0" w:space="0" w:color="auto"/>
                      </w:divBdr>
                      <w:divsChild>
                        <w:div w:id="726799700">
                          <w:marLeft w:val="0"/>
                          <w:marRight w:val="0"/>
                          <w:marTop w:val="0"/>
                          <w:marBottom w:val="0"/>
                          <w:divBdr>
                            <w:top w:val="none" w:sz="0" w:space="0" w:color="auto"/>
                            <w:left w:val="none" w:sz="0" w:space="0" w:color="auto"/>
                            <w:bottom w:val="none" w:sz="0" w:space="0" w:color="auto"/>
                            <w:right w:val="none" w:sz="0" w:space="0" w:color="auto"/>
                          </w:divBdr>
                          <w:divsChild>
                            <w:div w:id="990400575">
                              <w:marLeft w:val="0"/>
                              <w:marRight w:val="0"/>
                              <w:marTop w:val="0"/>
                              <w:marBottom w:val="360"/>
                              <w:divBdr>
                                <w:top w:val="none" w:sz="0" w:space="0" w:color="auto"/>
                                <w:left w:val="none" w:sz="0" w:space="0" w:color="auto"/>
                                <w:bottom w:val="none" w:sz="0" w:space="0" w:color="auto"/>
                                <w:right w:val="none" w:sz="0" w:space="0" w:color="auto"/>
                              </w:divBdr>
                              <w:divsChild>
                                <w:div w:id="1135022396">
                                  <w:marLeft w:val="0"/>
                                  <w:marRight w:val="0"/>
                                  <w:marTop w:val="0"/>
                                  <w:marBottom w:val="0"/>
                                  <w:divBdr>
                                    <w:top w:val="none" w:sz="0" w:space="0" w:color="auto"/>
                                    <w:left w:val="none" w:sz="0" w:space="0" w:color="auto"/>
                                    <w:bottom w:val="none" w:sz="0" w:space="0" w:color="auto"/>
                                    <w:right w:val="none" w:sz="0" w:space="0" w:color="auto"/>
                                  </w:divBdr>
                                  <w:divsChild>
                                    <w:div w:id="628509273">
                                      <w:marLeft w:val="0"/>
                                      <w:marRight w:val="0"/>
                                      <w:marTop w:val="0"/>
                                      <w:marBottom w:val="0"/>
                                      <w:divBdr>
                                        <w:top w:val="none" w:sz="0" w:space="0" w:color="auto"/>
                                        <w:left w:val="none" w:sz="0" w:space="0" w:color="auto"/>
                                        <w:bottom w:val="none" w:sz="0" w:space="0" w:color="auto"/>
                                        <w:right w:val="none" w:sz="0" w:space="0" w:color="auto"/>
                                      </w:divBdr>
                                      <w:divsChild>
                                        <w:div w:id="763496199">
                                          <w:marLeft w:val="0"/>
                                          <w:marRight w:val="0"/>
                                          <w:marTop w:val="0"/>
                                          <w:marBottom w:val="0"/>
                                          <w:divBdr>
                                            <w:top w:val="none" w:sz="0" w:space="0" w:color="auto"/>
                                            <w:left w:val="none" w:sz="0" w:space="0" w:color="auto"/>
                                            <w:bottom w:val="none" w:sz="0" w:space="0" w:color="auto"/>
                                            <w:right w:val="none" w:sz="0" w:space="0" w:color="auto"/>
                                          </w:divBdr>
                                          <w:divsChild>
                                            <w:div w:id="614599432">
                                              <w:marLeft w:val="0"/>
                                              <w:marRight w:val="0"/>
                                              <w:marTop w:val="0"/>
                                              <w:marBottom w:val="0"/>
                                              <w:divBdr>
                                                <w:top w:val="none" w:sz="0" w:space="0" w:color="auto"/>
                                                <w:left w:val="none" w:sz="0" w:space="0" w:color="auto"/>
                                                <w:bottom w:val="none" w:sz="0" w:space="0" w:color="auto"/>
                                                <w:right w:val="none" w:sz="0" w:space="0" w:color="auto"/>
                                              </w:divBdr>
                                              <w:divsChild>
                                                <w:div w:id="203909839">
                                                  <w:marLeft w:val="0"/>
                                                  <w:marRight w:val="0"/>
                                                  <w:marTop w:val="0"/>
                                                  <w:marBottom w:val="0"/>
                                                  <w:divBdr>
                                                    <w:top w:val="none" w:sz="0" w:space="0" w:color="auto"/>
                                                    <w:left w:val="none" w:sz="0" w:space="0" w:color="auto"/>
                                                    <w:bottom w:val="none" w:sz="0" w:space="0" w:color="auto"/>
                                                    <w:right w:val="none" w:sz="0" w:space="0" w:color="auto"/>
                                                  </w:divBdr>
                                                  <w:divsChild>
                                                    <w:div w:id="1627815408">
                                                      <w:marLeft w:val="0"/>
                                                      <w:marRight w:val="0"/>
                                                      <w:marTop w:val="0"/>
                                                      <w:marBottom w:val="0"/>
                                                      <w:divBdr>
                                                        <w:top w:val="none" w:sz="0" w:space="0" w:color="auto"/>
                                                        <w:left w:val="none" w:sz="0" w:space="0" w:color="auto"/>
                                                        <w:bottom w:val="none" w:sz="0" w:space="0" w:color="auto"/>
                                                        <w:right w:val="none" w:sz="0" w:space="0" w:color="auto"/>
                                                      </w:divBdr>
                                                      <w:divsChild>
                                                        <w:div w:id="127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602621">
      <w:bodyDiv w:val="1"/>
      <w:marLeft w:val="0"/>
      <w:marRight w:val="0"/>
      <w:marTop w:val="0"/>
      <w:marBottom w:val="0"/>
      <w:divBdr>
        <w:top w:val="none" w:sz="0" w:space="0" w:color="auto"/>
        <w:left w:val="none" w:sz="0" w:space="0" w:color="auto"/>
        <w:bottom w:val="none" w:sz="0" w:space="0" w:color="auto"/>
        <w:right w:val="none" w:sz="0" w:space="0" w:color="auto"/>
      </w:divBdr>
      <w:divsChild>
        <w:div w:id="1446999353">
          <w:marLeft w:val="0"/>
          <w:marRight w:val="0"/>
          <w:marTop w:val="0"/>
          <w:marBottom w:val="0"/>
          <w:divBdr>
            <w:top w:val="none" w:sz="0" w:space="0" w:color="auto"/>
            <w:left w:val="none" w:sz="0" w:space="0" w:color="auto"/>
            <w:bottom w:val="none" w:sz="0" w:space="0" w:color="auto"/>
            <w:right w:val="none" w:sz="0" w:space="0" w:color="auto"/>
          </w:divBdr>
          <w:divsChild>
            <w:div w:id="1597052291">
              <w:marLeft w:val="0"/>
              <w:marRight w:val="0"/>
              <w:marTop w:val="0"/>
              <w:marBottom w:val="0"/>
              <w:divBdr>
                <w:top w:val="none" w:sz="0" w:space="0" w:color="auto"/>
                <w:left w:val="none" w:sz="0" w:space="0" w:color="auto"/>
                <w:bottom w:val="none" w:sz="0" w:space="0" w:color="auto"/>
                <w:right w:val="none" w:sz="0" w:space="0" w:color="auto"/>
              </w:divBdr>
              <w:divsChild>
                <w:div w:id="2089032218">
                  <w:marLeft w:val="0"/>
                  <w:marRight w:val="0"/>
                  <w:marTop w:val="0"/>
                  <w:marBottom w:val="0"/>
                  <w:divBdr>
                    <w:top w:val="none" w:sz="0" w:space="0" w:color="auto"/>
                    <w:left w:val="none" w:sz="0" w:space="0" w:color="auto"/>
                    <w:bottom w:val="none" w:sz="0" w:space="0" w:color="auto"/>
                    <w:right w:val="none" w:sz="0" w:space="0" w:color="auto"/>
                  </w:divBdr>
                  <w:divsChild>
                    <w:div w:id="1876652320">
                      <w:marLeft w:val="1"/>
                      <w:marRight w:val="1"/>
                      <w:marTop w:val="0"/>
                      <w:marBottom w:val="0"/>
                      <w:divBdr>
                        <w:top w:val="none" w:sz="0" w:space="0" w:color="auto"/>
                        <w:left w:val="none" w:sz="0" w:space="0" w:color="auto"/>
                        <w:bottom w:val="none" w:sz="0" w:space="0" w:color="auto"/>
                        <w:right w:val="none" w:sz="0" w:space="0" w:color="auto"/>
                      </w:divBdr>
                      <w:divsChild>
                        <w:div w:id="1876035928">
                          <w:marLeft w:val="0"/>
                          <w:marRight w:val="0"/>
                          <w:marTop w:val="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360"/>
                              <w:divBdr>
                                <w:top w:val="none" w:sz="0" w:space="0" w:color="auto"/>
                                <w:left w:val="none" w:sz="0" w:space="0" w:color="auto"/>
                                <w:bottom w:val="none" w:sz="0" w:space="0" w:color="auto"/>
                                <w:right w:val="none" w:sz="0" w:space="0" w:color="auto"/>
                              </w:divBdr>
                              <w:divsChild>
                                <w:div w:id="1071149587">
                                  <w:marLeft w:val="0"/>
                                  <w:marRight w:val="0"/>
                                  <w:marTop w:val="0"/>
                                  <w:marBottom w:val="0"/>
                                  <w:divBdr>
                                    <w:top w:val="none" w:sz="0" w:space="0" w:color="auto"/>
                                    <w:left w:val="none" w:sz="0" w:space="0" w:color="auto"/>
                                    <w:bottom w:val="none" w:sz="0" w:space="0" w:color="auto"/>
                                    <w:right w:val="none" w:sz="0" w:space="0" w:color="auto"/>
                                  </w:divBdr>
                                  <w:divsChild>
                                    <w:div w:id="366832883">
                                      <w:marLeft w:val="0"/>
                                      <w:marRight w:val="0"/>
                                      <w:marTop w:val="0"/>
                                      <w:marBottom w:val="0"/>
                                      <w:divBdr>
                                        <w:top w:val="none" w:sz="0" w:space="0" w:color="auto"/>
                                        <w:left w:val="none" w:sz="0" w:space="0" w:color="auto"/>
                                        <w:bottom w:val="none" w:sz="0" w:space="0" w:color="auto"/>
                                        <w:right w:val="none" w:sz="0" w:space="0" w:color="auto"/>
                                      </w:divBdr>
                                      <w:divsChild>
                                        <w:div w:id="398600996">
                                          <w:marLeft w:val="0"/>
                                          <w:marRight w:val="0"/>
                                          <w:marTop w:val="0"/>
                                          <w:marBottom w:val="0"/>
                                          <w:divBdr>
                                            <w:top w:val="none" w:sz="0" w:space="0" w:color="auto"/>
                                            <w:left w:val="none" w:sz="0" w:space="0" w:color="auto"/>
                                            <w:bottom w:val="none" w:sz="0" w:space="0" w:color="auto"/>
                                            <w:right w:val="none" w:sz="0" w:space="0" w:color="auto"/>
                                          </w:divBdr>
                                          <w:divsChild>
                                            <w:div w:id="1373384431">
                                              <w:marLeft w:val="0"/>
                                              <w:marRight w:val="0"/>
                                              <w:marTop w:val="0"/>
                                              <w:marBottom w:val="0"/>
                                              <w:divBdr>
                                                <w:top w:val="none" w:sz="0" w:space="0" w:color="auto"/>
                                                <w:left w:val="none" w:sz="0" w:space="0" w:color="auto"/>
                                                <w:bottom w:val="none" w:sz="0" w:space="0" w:color="auto"/>
                                                <w:right w:val="none" w:sz="0" w:space="0" w:color="auto"/>
                                              </w:divBdr>
                                              <w:divsChild>
                                                <w:div w:id="1145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59347">
      <w:bodyDiv w:val="1"/>
      <w:marLeft w:val="0"/>
      <w:marRight w:val="0"/>
      <w:marTop w:val="0"/>
      <w:marBottom w:val="0"/>
      <w:divBdr>
        <w:top w:val="none" w:sz="0" w:space="0" w:color="auto"/>
        <w:left w:val="none" w:sz="0" w:space="0" w:color="auto"/>
        <w:bottom w:val="none" w:sz="0" w:space="0" w:color="auto"/>
        <w:right w:val="none" w:sz="0" w:space="0" w:color="auto"/>
      </w:divBdr>
    </w:div>
    <w:div w:id="974605139">
      <w:bodyDiv w:val="1"/>
      <w:marLeft w:val="0"/>
      <w:marRight w:val="0"/>
      <w:marTop w:val="0"/>
      <w:marBottom w:val="0"/>
      <w:divBdr>
        <w:top w:val="none" w:sz="0" w:space="0" w:color="auto"/>
        <w:left w:val="none" w:sz="0" w:space="0" w:color="auto"/>
        <w:bottom w:val="none" w:sz="0" w:space="0" w:color="auto"/>
        <w:right w:val="none" w:sz="0" w:space="0" w:color="auto"/>
      </w:divBdr>
      <w:divsChild>
        <w:div w:id="1373919593">
          <w:marLeft w:val="0"/>
          <w:marRight w:val="0"/>
          <w:marTop w:val="0"/>
          <w:marBottom w:val="0"/>
          <w:divBdr>
            <w:top w:val="none" w:sz="0" w:space="0" w:color="auto"/>
            <w:left w:val="none" w:sz="0" w:space="0" w:color="auto"/>
            <w:bottom w:val="none" w:sz="0" w:space="0" w:color="auto"/>
            <w:right w:val="none" w:sz="0" w:space="0" w:color="auto"/>
          </w:divBdr>
          <w:divsChild>
            <w:div w:id="1850754615">
              <w:marLeft w:val="0"/>
              <w:marRight w:val="0"/>
              <w:marTop w:val="0"/>
              <w:marBottom w:val="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78008193">
                      <w:marLeft w:val="1"/>
                      <w:marRight w:val="1"/>
                      <w:marTop w:val="0"/>
                      <w:marBottom w:val="0"/>
                      <w:divBdr>
                        <w:top w:val="none" w:sz="0" w:space="0" w:color="auto"/>
                        <w:left w:val="none" w:sz="0" w:space="0" w:color="auto"/>
                        <w:bottom w:val="none" w:sz="0" w:space="0" w:color="auto"/>
                        <w:right w:val="none" w:sz="0" w:space="0" w:color="auto"/>
                      </w:divBdr>
                      <w:divsChild>
                        <w:div w:id="1458379568">
                          <w:marLeft w:val="0"/>
                          <w:marRight w:val="0"/>
                          <w:marTop w:val="0"/>
                          <w:marBottom w:val="0"/>
                          <w:divBdr>
                            <w:top w:val="none" w:sz="0" w:space="0" w:color="auto"/>
                            <w:left w:val="none" w:sz="0" w:space="0" w:color="auto"/>
                            <w:bottom w:val="none" w:sz="0" w:space="0" w:color="auto"/>
                            <w:right w:val="none" w:sz="0" w:space="0" w:color="auto"/>
                          </w:divBdr>
                          <w:divsChild>
                            <w:div w:id="1873372793">
                              <w:marLeft w:val="0"/>
                              <w:marRight w:val="0"/>
                              <w:marTop w:val="0"/>
                              <w:marBottom w:val="360"/>
                              <w:divBdr>
                                <w:top w:val="none" w:sz="0" w:space="0" w:color="auto"/>
                                <w:left w:val="none" w:sz="0" w:space="0" w:color="auto"/>
                                <w:bottom w:val="none" w:sz="0" w:space="0" w:color="auto"/>
                                <w:right w:val="none" w:sz="0" w:space="0" w:color="auto"/>
                              </w:divBdr>
                              <w:divsChild>
                                <w:div w:id="1246575356">
                                  <w:marLeft w:val="0"/>
                                  <w:marRight w:val="0"/>
                                  <w:marTop w:val="0"/>
                                  <w:marBottom w:val="0"/>
                                  <w:divBdr>
                                    <w:top w:val="none" w:sz="0" w:space="0" w:color="auto"/>
                                    <w:left w:val="none" w:sz="0" w:space="0" w:color="auto"/>
                                    <w:bottom w:val="none" w:sz="0" w:space="0" w:color="auto"/>
                                    <w:right w:val="none" w:sz="0" w:space="0" w:color="auto"/>
                                  </w:divBdr>
                                  <w:divsChild>
                                    <w:div w:id="1681618801">
                                      <w:marLeft w:val="0"/>
                                      <w:marRight w:val="0"/>
                                      <w:marTop w:val="0"/>
                                      <w:marBottom w:val="0"/>
                                      <w:divBdr>
                                        <w:top w:val="none" w:sz="0" w:space="0" w:color="auto"/>
                                        <w:left w:val="none" w:sz="0" w:space="0" w:color="auto"/>
                                        <w:bottom w:val="none" w:sz="0" w:space="0" w:color="auto"/>
                                        <w:right w:val="none" w:sz="0" w:space="0" w:color="auto"/>
                                      </w:divBdr>
                                      <w:divsChild>
                                        <w:div w:id="1957978568">
                                          <w:marLeft w:val="0"/>
                                          <w:marRight w:val="0"/>
                                          <w:marTop w:val="0"/>
                                          <w:marBottom w:val="0"/>
                                          <w:divBdr>
                                            <w:top w:val="none" w:sz="0" w:space="0" w:color="auto"/>
                                            <w:left w:val="none" w:sz="0" w:space="0" w:color="auto"/>
                                            <w:bottom w:val="none" w:sz="0" w:space="0" w:color="auto"/>
                                            <w:right w:val="none" w:sz="0" w:space="0" w:color="auto"/>
                                          </w:divBdr>
                                          <w:divsChild>
                                            <w:div w:id="2096396770">
                                              <w:marLeft w:val="0"/>
                                              <w:marRight w:val="0"/>
                                              <w:marTop w:val="0"/>
                                              <w:marBottom w:val="0"/>
                                              <w:divBdr>
                                                <w:top w:val="none" w:sz="0" w:space="0" w:color="auto"/>
                                                <w:left w:val="none" w:sz="0" w:space="0" w:color="auto"/>
                                                <w:bottom w:val="none" w:sz="0" w:space="0" w:color="auto"/>
                                                <w:right w:val="none" w:sz="0" w:space="0" w:color="auto"/>
                                              </w:divBdr>
                                              <w:divsChild>
                                                <w:div w:id="1512258017">
                                                  <w:marLeft w:val="0"/>
                                                  <w:marRight w:val="0"/>
                                                  <w:marTop w:val="0"/>
                                                  <w:marBottom w:val="0"/>
                                                  <w:divBdr>
                                                    <w:top w:val="none" w:sz="0" w:space="0" w:color="auto"/>
                                                    <w:left w:val="none" w:sz="0" w:space="0" w:color="auto"/>
                                                    <w:bottom w:val="none" w:sz="0" w:space="0" w:color="auto"/>
                                                    <w:right w:val="none" w:sz="0" w:space="0" w:color="auto"/>
                                                  </w:divBdr>
                                                  <w:divsChild>
                                                    <w:div w:id="1586499964">
                                                      <w:marLeft w:val="0"/>
                                                      <w:marRight w:val="0"/>
                                                      <w:marTop w:val="0"/>
                                                      <w:marBottom w:val="0"/>
                                                      <w:divBdr>
                                                        <w:top w:val="none" w:sz="0" w:space="0" w:color="auto"/>
                                                        <w:left w:val="none" w:sz="0" w:space="0" w:color="auto"/>
                                                        <w:bottom w:val="none" w:sz="0" w:space="0" w:color="auto"/>
                                                        <w:right w:val="none" w:sz="0" w:space="0" w:color="auto"/>
                                                      </w:divBdr>
                                                      <w:divsChild>
                                                        <w:div w:id="1670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 w:id="1217468687">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426657902">
      <w:bodyDiv w:val="1"/>
      <w:marLeft w:val="0"/>
      <w:marRight w:val="0"/>
      <w:marTop w:val="0"/>
      <w:marBottom w:val="0"/>
      <w:divBdr>
        <w:top w:val="none" w:sz="0" w:space="0" w:color="auto"/>
        <w:left w:val="none" w:sz="0" w:space="0" w:color="auto"/>
        <w:bottom w:val="none" w:sz="0" w:space="0" w:color="auto"/>
        <w:right w:val="none" w:sz="0" w:space="0" w:color="auto"/>
      </w:divBdr>
    </w:div>
    <w:div w:id="1462579975">
      <w:bodyDiv w:val="1"/>
      <w:marLeft w:val="0"/>
      <w:marRight w:val="0"/>
      <w:marTop w:val="0"/>
      <w:marBottom w:val="0"/>
      <w:divBdr>
        <w:top w:val="none" w:sz="0" w:space="0" w:color="auto"/>
        <w:left w:val="none" w:sz="0" w:space="0" w:color="auto"/>
        <w:bottom w:val="none" w:sz="0" w:space="0" w:color="auto"/>
        <w:right w:val="none" w:sz="0" w:space="0" w:color="auto"/>
      </w:divBdr>
    </w:div>
    <w:div w:id="1490369216">
      <w:bodyDiv w:val="1"/>
      <w:marLeft w:val="0"/>
      <w:marRight w:val="0"/>
      <w:marTop w:val="0"/>
      <w:marBottom w:val="0"/>
      <w:divBdr>
        <w:top w:val="none" w:sz="0" w:space="0" w:color="auto"/>
        <w:left w:val="none" w:sz="0" w:space="0" w:color="auto"/>
        <w:bottom w:val="none" w:sz="0" w:space="0" w:color="auto"/>
        <w:right w:val="none" w:sz="0" w:space="0" w:color="auto"/>
      </w:divBdr>
    </w:div>
    <w:div w:id="1544125992">
      <w:bodyDiv w:val="1"/>
      <w:marLeft w:val="0"/>
      <w:marRight w:val="0"/>
      <w:marTop w:val="0"/>
      <w:marBottom w:val="0"/>
      <w:divBdr>
        <w:top w:val="none" w:sz="0" w:space="0" w:color="auto"/>
        <w:left w:val="none" w:sz="0" w:space="0" w:color="auto"/>
        <w:bottom w:val="none" w:sz="0" w:space="0" w:color="auto"/>
        <w:right w:val="none" w:sz="0" w:space="0" w:color="auto"/>
      </w:divBdr>
      <w:divsChild>
        <w:div w:id="850031012">
          <w:marLeft w:val="0"/>
          <w:marRight w:val="0"/>
          <w:marTop w:val="0"/>
          <w:marBottom w:val="0"/>
          <w:divBdr>
            <w:top w:val="none" w:sz="0" w:space="0" w:color="auto"/>
            <w:left w:val="none" w:sz="0" w:space="0" w:color="auto"/>
            <w:bottom w:val="none" w:sz="0" w:space="0" w:color="auto"/>
            <w:right w:val="none" w:sz="0" w:space="0" w:color="auto"/>
          </w:divBdr>
          <w:divsChild>
            <w:div w:id="115638069">
              <w:marLeft w:val="0"/>
              <w:marRight w:val="0"/>
              <w:marTop w:val="0"/>
              <w:marBottom w:val="0"/>
              <w:divBdr>
                <w:top w:val="none" w:sz="0" w:space="0" w:color="auto"/>
                <w:left w:val="none" w:sz="0" w:space="0" w:color="auto"/>
                <w:bottom w:val="none" w:sz="0" w:space="0" w:color="auto"/>
                <w:right w:val="none" w:sz="0" w:space="0" w:color="auto"/>
              </w:divBdr>
              <w:divsChild>
                <w:div w:id="1601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522">
      <w:bodyDiv w:val="1"/>
      <w:marLeft w:val="0"/>
      <w:marRight w:val="0"/>
      <w:marTop w:val="0"/>
      <w:marBottom w:val="0"/>
      <w:divBdr>
        <w:top w:val="none" w:sz="0" w:space="0" w:color="auto"/>
        <w:left w:val="none" w:sz="0" w:space="0" w:color="auto"/>
        <w:bottom w:val="none" w:sz="0" w:space="0" w:color="auto"/>
        <w:right w:val="none" w:sz="0" w:space="0" w:color="auto"/>
      </w:divBdr>
    </w:div>
    <w:div w:id="1618174910">
      <w:bodyDiv w:val="1"/>
      <w:marLeft w:val="0"/>
      <w:marRight w:val="0"/>
      <w:marTop w:val="0"/>
      <w:marBottom w:val="0"/>
      <w:divBdr>
        <w:top w:val="none" w:sz="0" w:space="0" w:color="auto"/>
        <w:left w:val="none" w:sz="0" w:space="0" w:color="auto"/>
        <w:bottom w:val="none" w:sz="0" w:space="0" w:color="auto"/>
        <w:right w:val="none" w:sz="0" w:space="0" w:color="auto"/>
      </w:divBdr>
    </w:div>
    <w:div w:id="1641808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6230">
          <w:marLeft w:val="0"/>
          <w:marRight w:val="0"/>
          <w:marTop w:val="0"/>
          <w:marBottom w:val="0"/>
          <w:divBdr>
            <w:top w:val="none" w:sz="0" w:space="0" w:color="auto"/>
            <w:left w:val="none" w:sz="0" w:space="0" w:color="auto"/>
            <w:bottom w:val="none" w:sz="0" w:space="0" w:color="auto"/>
            <w:right w:val="none" w:sz="0" w:space="0" w:color="auto"/>
          </w:divBdr>
          <w:divsChild>
            <w:div w:id="1431393454">
              <w:marLeft w:val="0"/>
              <w:marRight w:val="0"/>
              <w:marTop w:val="0"/>
              <w:marBottom w:val="0"/>
              <w:divBdr>
                <w:top w:val="none" w:sz="0" w:space="0" w:color="auto"/>
                <w:left w:val="none" w:sz="0" w:space="0" w:color="auto"/>
                <w:bottom w:val="none" w:sz="0" w:space="0" w:color="auto"/>
                <w:right w:val="none" w:sz="0" w:space="0" w:color="auto"/>
              </w:divBdr>
              <w:divsChild>
                <w:div w:id="1508055204">
                  <w:marLeft w:val="0"/>
                  <w:marRight w:val="0"/>
                  <w:marTop w:val="0"/>
                  <w:marBottom w:val="0"/>
                  <w:divBdr>
                    <w:top w:val="none" w:sz="0" w:space="0" w:color="auto"/>
                    <w:left w:val="none" w:sz="0" w:space="0" w:color="auto"/>
                    <w:bottom w:val="none" w:sz="0" w:space="0" w:color="auto"/>
                    <w:right w:val="none" w:sz="0" w:space="0" w:color="auto"/>
                  </w:divBdr>
                  <w:divsChild>
                    <w:div w:id="931428466">
                      <w:marLeft w:val="0"/>
                      <w:marRight w:val="0"/>
                      <w:marTop w:val="0"/>
                      <w:marBottom w:val="0"/>
                      <w:divBdr>
                        <w:top w:val="none" w:sz="0" w:space="0" w:color="auto"/>
                        <w:left w:val="none" w:sz="0" w:space="0" w:color="auto"/>
                        <w:bottom w:val="none" w:sz="0" w:space="0" w:color="auto"/>
                        <w:right w:val="none" w:sz="0" w:space="0" w:color="auto"/>
                      </w:divBdr>
                      <w:divsChild>
                        <w:div w:id="1772044264">
                          <w:marLeft w:val="0"/>
                          <w:marRight w:val="0"/>
                          <w:marTop w:val="0"/>
                          <w:marBottom w:val="0"/>
                          <w:divBdr>
                            <w:top w:val="none" w:sz="0" w:space="0" w:color="auto"/>
                            <w:left w:val="none" w:sz="0" w:space="0" w:color="auto"/>
                            <w:bottom w:val="none" w:sz="0" w:space="0" w:color="auto"/>
                            <w:right w:val="none" w:sz="0" w:space="0" w:color="auto"/>
                          </w:divBdr>
                          <w:divsChild>
                            <w:div w:id="247077212">
                              <w:marLeft w:val="0"/>
                              <w:marRight w:val="0"/>
                              <w:marTop w:val="0"/>
                              <w:marBottom w:val="0"/>
                              <w:divBdr>
                                <w:top w:val="none" w:sz="0" w:space="0" w:color="auto"/>
                                <w:left w:val="none" w:sz="0" w:space="0" w:color="auto"/>
                                <w:bottom w:val="none" w:sz="0" w:space="0" w:color="auto"/>
                                <w:right w:val="none" w:sz="0" w:space="0" w:color="auto"/>
                              </w:divBdr>
                              <w:divsChild>
                                <w:div w:id="20998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2395">
      <w:bodyDiv w:val="1"/>
      <w:marLeft w:val="0"/>
      <w:marRight w:val="0"/>
      <w:marTop w:val="0"/>
      <w:marBottom w:val="0"/>
      <w:divBdr>
        <w:top w:val="none" w:sz="0" w:space="0" w:color="auto"/>
        <w:left w:val="none" w:sz="0" w:space="0" w:color="auto"/>
        <w:bottom w:val="none" w:sz="0" w:space="0" w:color="auto"/>
        <w:right w:val="none" w:sz="0" w:space="0" w:color="auto"/>
      </w:divBdr>
    </w:div>
    <w:div w:id="1696033105">
      <w:bodyDiv w:val="1"/>
      <w:marLeft w:val="0"/>
      <w:marRight w:val="0"/>
      <w:marTop w:val="0"/>
      <w:marBottom w:val="0"/>
      <w:divBdr>
        <w:top w:val="none" w:sz="0" w:space="0" w:color="auto"/>
        <w:left w:val="none" w:sz="0" w:space="0" w:color="auto"/>
        <w:bottom w:val="none" w:sz="0" w:space="0" w:color="auto"/>
        <w:right w:val="none" w:sz="0" w:space="0" w:color="auto"/>
      </w:divBdr>
    </w:div>
    <w:div w:id="1757435262">
      <w:bodyDiv w:val="1"/>
      <w:marLeft w:val="390"/>
      <w:marRight w:val="390"/>
      <w:marTop w:val="0"/>
      <w:marBottom w:val="0"/>
      <w:divBdr>
        <w:top w:val="none" w:sz="0" w:space="0" w:color="auto"/>
        <w:left w:val="none" w:sz="0" w:space="0" w:color="auto"/>
        <w:bottom w:val="none" w:sz="0" w:space="0" w:color="auto"/>
        <w:right w:val="none" w:sz="0" w:space="0" w:color="auto"/>
      </w:divBdr>
    </w:div>
    <w:div w:id="1811945554">
      <w:bodyDiv w:val="1"/>
      <w:marLeft w:val="0"/>
      <w:marRight w:val="0"/>
      <w:marTop w:val="0"/>
      <w:marBottom w:val="0"/>
      <w:divBdr>
        <w:top w:val="none" w:sz="0" w:space="0" w:color="auto"/>
        <w:left w:val="none" w:sz="0" w:space="0" w:color="auto"/>
        <w:bottom w:val="none" w:sz="0" w:space="0" w:color="auto"/>
        <w:right w:val="none" w:sz="0" w:space="0" w:color="auto"/>
      </w:divBdr>
      <w:divsChild>
        <w:div w:id="881984715">
          <w:marLeft w:val="0"/>
          <w:marRight w:val="0"/>
          <w:marTop w:val="0"/>
          <w:marBottom w:val="0"/>
          <w:divBdr>
            <w:top w:val="none" w:sz="0" w:space="0" w:color="auto"/>
            <w:left w:val="none" w:sz="0" w:space="0" w:color="auto"/>
            <w:bottom w:val="none" w:sz="0" w:space="0" w:color="auto"/>
            <w:right w:val="none" w:sz="0" w:space="0" w:color="auto"/>
          </w:divBdr>
          <w:divsChild>
            <w:div w:id="1312826085">
              <w:marLeft w:val="0"/>
              <w:marRight w:val="0"/>
              <w:marTop w:val="0"/>
              <w:marBottom w:val="0"/>
              <w:divBdr>
                <w:top w:val="none" w:sz="0" w:space="0" w:color="auto"/>
                <w:left w:val="none" w:sz="0" w:space="0" w:color="auto"/>
                <w:bottom w:val="none" w:sz="0" w:space="0" w:color="auto"/>
                <w:right w:val="none" w:sz="0" w:space="0" w:color="auto"/>
              </w:divBdr>
              <w:divsChild>
                <w:div w:id="1859006990">
                  <w:marLeft w:val="0"/>
                  <w:marRight w:val="0"/>
                  <w:marTop w:val="0"/>
                  <w:marBottom w:val="0"/>
                  <w:divBdr>
                    <w:top w:val="none" w:sz="0" w:space="0" w:color="auto"/>
                    <w:left w:val="none" w:sz="0" w:space="0" w:color="auto"/>
                    <w:bottom w:val="none" w:sz="0" w:space="0" w:color="auto"/>
                    <w:right w:val="none" w:sz="0" w:space="0" w:color="auto"/>
                  </w:divBdr>
                  <w:divsChild>
                    <w:div w:id="752120432">
                      <w:marLeft w:val="1"/>
                      <w:marRight w:val="1"/>
                      <w:marTop w:val="0"/>
                      <w:marBottom w:val="0"/>
                      <w:divBdr>
                        <w:top w:val="none" w:sz="0" w:space="0" w:color="auto"/>
                        <w:left w:val="none" w:sz="0" w:space="0" w:color="auto"/>
                        <w:bottom w:val="none" w:sz="0" w:space="0" w:color="auto"/>
                        <w:right w:val="none" w:sz="0" w:space="0" w:color="auto"/>
                      </w:divBdr>
                      <w:divsChild>
                        <w:div w:id="1095175610">
                          <w:marLeft w:val="0"/>
                          <w:marRight w:val="0"/>
                          <w:marTop w:val="0"/>
                          <w:marBottom w:val="0"/>
                          <w:divBdr>
                            <w:top w:val="none" w:sz="0" w:space="0" w:color="auto"/>
                            <w:left w:val="none" w:sz="0" w:space="0" w:color="auto"/>
                            <w:bottom w:val="none" w:sz="0" w:space="0" w:color="auto"/>
                            <w:right w:val="none" w:sz="0" w:space="0" w:color="auto"/>
                          </w:divBdr>
                          <w:divsChild>
                            <w:div w:id="2053185056">
                              <w:marLeft w:val="0"/>
                              <w:marRight w:val="0"/>
                              <w:marTop w:val="0"/>
                              <w:marBottom w:val="360"/>
                              <w:divBdr>
                                <w:top w:val="none" w:sz="0" w:space="0" w:color="auto"/>
                                <w:left w:val="none" w:sz="0" w:space="0" w:color="auto"/>
                                <w:bottom w:val="none" w:sz="0" w:space="0" w:color="auto"/>
                                <w:right w:val="none" w:sz="0" w:space="0" w:color="auto"/>
                              </w:divBdr>
                              <w:divsChild>
                                <w:div w:id="1990209149">
                                  <w:marLeft w:val="0"/>
                                  <w:marRight w:val="0"/>
                                  <w:marTop w:val="0"/>
                                  <w:marBottom w:val="0"/>
                                  <w:divBdr>
                                    <w:top w:val="none" w:sz="0" w:space="0" w:color="auto"/>
                                    <w:left w:val="none" w:sz="0" w:space="0" w:color="auto"/>
                                    <w:bottom w:val="none" w:sz="0" w:space="0" w:color="auto"/>
                                    <w:right w:val="none" w:sz="0" w:space="0" w:color="auto"/>
                                  </w:divBdr>
                                  <w:divsChild>
                                    <w:div w:id="2068989540">
                                      <w:marLeft w:val="0"/>
                                      <w:marRight w:val="0"/>
                                      <w:marTop w:val="0"/>
                                      <w:marBottom w:val="0"/>
                                      <w:divBdr>
                                        <w:top w:val="none" w:sz="0" w:space="0" w:color="auto"/>
                                        <w:left w:val="none" w:sz="0" w:space="0" w:color="auto"/>
                                        <w:bottom w:val="none" w:sz="0" w:space="0" w:color="auto"/>
                                        <w:right w:val="none" w:sz="0" w:space="0" w:color="auto"/>
                                      </w:divBdr>
                                      <w:divsChild>
                                        <w:div w:id="1730418916">
                                          <w:marLeft w:val="0"/>
                                          <w:marRight w:val="0"/>
                                          <w:marTop w:val="0"/>
                                          <w:marBottom w:val="0"/>
                                          <w:divBdr>
                                            <w:top w:val="none" w:sz="0" w:space="0" w:color="auto"/>
                                            <w:left w:val="none" w:sz="0" w:space="0" w:color="auto"/>
                                            <w:bottom w:val="none" w:sz="0" w:space="0" w:color="auto"/>
                                            <w:right w:val="none" w:sz="0" w:space="0" w:color="auto"/>
                                          </w:divBdr>
                                          <w:divsChild>
                                            <w:div w:id="2100633765">
                                              <w:marLeft w:val="0"/>
                                              <w:marRight w:val="0"/>
                                              <w:marTop w:val="0"/>
                                              <w:marBottom w:val="0"/>
                                              <w:divBdr>
                                                <w:top w:val="none" w:sz="0" w:space="0" w:color="auto"/>
                                                <w:left w:val="none" w:sz="0" w:space="0" w:color="auto"/>
                                                <w:bottom w:val="none" w:sz="0" w:space="0" w:color="auto"/>
                                                <w:right w:val="none" w:sz="0" w:space="0" w:color="auto"/>
                                              </w:divBdr>
                                              <w:divsChild>
                                                <w:div w:id="1899584461">
                                                  <w:marLeft w:val="0"/>
                                                  <w:marRight w:val="0"/>
                                                  <w:marTop w:val="0"/>
                                                  <w:marBottom w:val="0"/>
                                                  <w:divBdr>
                                                    <w:top w:val="none" w:sz="0" w:space="0" w:color="auto"/>
                                                    <w:left w:val="none" w:sz="0" w:space="0" w:color="auto"/>
                                                    <w:bottom w:val="none" w:sz="0" w:space="0" w:color="auto"/>
                                                    <w:right w:val="none" w:sz="0" w:space="0" w:color="auto"/>
                                                  </w:divBdr>
                                                  <w:divsChild>
                                                    <w:div w:id="919758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55026144">
      <w:bodyDiv w:val="1"/>
      <w:marLeft w:val="0"/>
      <w:marRight w:val="0"/>
      <w:marTop w:val="0"/>
      <w:marBottom w:val="0"/>
      <w:divBdr>
        <w:top w:val="none" w:sz="0" w:space="0" w:color="auto"/>
        <w:left w:val="none" w:sz="0" w:space="0" w:color="auto"/>
        <w:bottom w:val="none" w:sz="0" w:space="0" w:color="auto"/>
        <w:right w:val="none" w:sz="0" w:space="0" w:color="auto"/>
      </w:divBdr>
    </w:div>
    <w:div w:id="1858351628">
      <w:bodyDiv w:val="1"/>
      <w:marLeft w:val="0"/>
      <w:marRight w:val="0"/>
      <w:marTop w:val="0"/>
      <w:marBottom w:val="0"/>
      <w:divBdr>
        <w:top w:val="none" w:sz="0" w:space="0" w:color="auto"/>
        <w:left w:val="none" w:sz="0" w:space="0" w:color="auto"/>
        <w:bottom w:val="none" w:sz="0" w:space="0" w:color="auto"/>
        <w:right w:val="none" w:sz="0" w:space="0" w:color="auto"/>
      </w:divBdr>
      <w:divsChild>
        <w:div w:id="805591269">
          <w:marLeft w:val="0"/>
          <w:marRight w:val="0"/>
          <w:marTop w:val="0"/>
          <w:marBottom w:val="0"/>
          <w:divBdr>
            <w:top w:val="none" w:sz="0" w:space="0" w:color="auto"/>
            <w:left w:val="none" w:sz="0" w:space="0" w:color="auto"/>
            <w:bottom w:val="none" w:sz="0" w:space="0" w:color="auto"/>
            <w:right w:val="none" w:sz="0" w:space="0" w:color="auto"/>
          </w:divBdr>
          <w:divsChild>
            <w:div w:id="526067346">
              <w:marLeft w:val="0"/>
              <w:marRight w:val="0"/>
              <w:marTop w:val="0"/>
              <w:marBottom w:val="0"/>
              <w:divBdr>
                <w:top w:val="none" w:sz="0" w:space="0" w:color="auto"/>
                <w:left w:val="none" w:sz="0" w:space="0" w:color="auto"/>
                <w:bottom w:val="none" w:sz="0" w:space="0" w:color="auto"/>
                <w:right w:val="none" w:sz="0" w:space="0" w:color="auto"/>
              </w:divBdr>
              <w:divsChild>
                <w:div w:id="678890828">
                  <w:marLeft w:val="0"/>
                  <w:marRight w:val="0"/>
                  <w:marTop w:val="0"/>
                  <w:marBottom w:val="0"/>
                  <w:divBdr>
                    <w:top w:val="none" w:sz="0" w:space="0" w:color="auto"/>
                    <w:left w:val="none" w:sz="0" w:space="0" w:color="auto"/>
                    <w:bottom w:val="none" w:sz="0" w:space="0" w:color="auto"/>
                    <w:right w:val="none" w:sz="0" w:space="0" w:color="auto"/>
                  </w:divBdr>
                  <w:divsChild>
                    <w:div w:id="1959604008">
                      <w:marLeft w:val="1"/>
                      <w:marRight w:val="1"/>
                      <w:marTop w:val="0"/>
                      <w:marBottom w:val="0"/>
                      <w:divBdr>
                        <w:top w:val="none" w:sz="0" w:space="0" w:color="auto"/>
                        <w:left w:val="none" w:sz="0" w:space="0" w:color="auto"/>
                        <w:bottom w:val="none" w:sz="0" w:space="0" w:color="auto"/>
                        <w:right w:val="none" w:sz="0" w:space="0" w:color="auto"/>
                      </w:divBdr>
                      <w:divsChild>
                        <w:div w:id="350959920">
                          <w:marLeft w:val="0"/>
                          <w:marRight w:val="0"/>
                          <w:marTop w:val="0"/>
                          <w:marBottom w:val="0"/>
                          <w:divBdr>
                            <w:top w:val="none" w:sz="0" w:space="0" w:color="auto"/>
                            <w:left w:val="none" w:sz="0" w:space="0" w:color="auto"/>
                            <w:bottom w:val="none" w:sz="0" w:space="0" w:color="auto"/>
                            <w:right w:val="none" w:sz="0" w:space="0" w:color="auto"/>
                          </w:divBdr>
                          <w:divsChild>
                            <w:div w:id="2106998162">
                              <w:marLeft w:val="0"/>
                              <w:marRight w:val="0"/>
                              <w:marTop w:val="0"/>
                              <w:marBottom w:val="360"/>
                              <w:divBdr>
                                <w:top w:val="none" w:sz="0" w:space="0" w:color="auto"/>
                                <w:left w:val="none" w:sz="0" w:space="0" w:color="auto"/>
                                <w:bottom w:val="none" w:sz="0" w:space="0" w:color="auto"/>
                                <w:right w:val="none" w:sz="0" w:space="0" w:color="auto"/>
                              </w:divBdr>
                              <w:divsChild>
                                <w:div w:id="918246256">
                                  <w:marLeft w:val="0"/>
                                  <w:marRight w:val="0"/>
                                  <w:marTop w:val="0"/>
                                  <w:marBottom w:val="0"/>
                                  <w:divBdr>
                                    <w:top w:val="none" w:sz="0" w:space="0" w:color="auto"/>
                                    <w:left w:val="none" w:sz="0" w:space="0" w:color="auto"/>
                                    <w:bottom w:val="none" w:sz="0" w:space="0" w:color="auto"/>
                                    <w:right w:val="none" w:sz="0" w:space="0" w:color="auto"/>
                                  </w:divBdr>
                                  <w:divsChild>
                                    <w:div w:id="291328491">
                                      <w:marLeft w:val="0"/>
                                      <w:marRight w:val="0"/>
                                      <w:marTop w:val="0"/>
                                      <w:marBottom w:val="0"/>
                                      <w:divBdr>
                                        <w:top w:val="none" w:sz="0" w:space="0" w:color="auto"/>
                                        <w:left w:val="none" w:sz="0" w:space="0" w:color="auto"/>
                                        <w:bottom w:val="none" w:sz="0" w:space="0" w:color="auto"/>
                                        <w:right w:val="none" w:sz="0" w:space="0" w:color="auto"/>
                                      </w:divBdr>
                                      <w:divsChild>
                                        <w:div w:id="839320703">
                                          <w:marLeft w:val="0"/>
                                          <w:marRight w:val="0"/>
                                          <w:marTop w:val="0"/>
                                          <w:marBottom w:val="0"/>
                                          <w:divBdr>
                                            <w:top w:val="none" w:sz="0" w:space="0" w:color="auto"/>
                                            <w:left w:val="none" w:sz="0" w:space="0" w:color="auto"/>
                                            <w:bottom w:val="none" w:sz="0" w:space="0" w:color="auto"/>
                                            <w:right w:val="none" w:sz="0" w:space="0" w:color="auto"/>
                                          </w:divBdr>
                                          <w:divsChild>
                                            <w:div w:id="88695783">
                                              <w:marLeft w:val="0"/>
                                              <w:marRight w:val="0"/>
                                              <w:marTop w:val="0"/>
                                              <w:marBottom w:val="0"/>
                                              <w:divBdr>
                                                <w:top w:val="none" w:sz="0" w:space="0" w:color="auto"/>
                                                <w:left w:val="none" w:sz="0" w:space="0" w:color="auto"/>
                                                <w:bottom w:val="none" w:sz="0" w:space="0" w:color="auto"/>
                                                <w:right w:val="none" w:sz="0" w:space="0" w:color="auto"/>
                                              </w:divBdr>
                                              <w:divsChild>
                                                <w:div w:id="692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21833">
      <w:bodyDiv w:val="1"/>
      <w:marLeft w:val="0"/>
      <w:marRight w:val="0"/>
      <w:marTop w:val="0"/>
      <w:marBottom w:val="0"/>
      <w:divBdr>
        <w:top w:val="none" w:sz="0" w:space="0" w:color="auto"/>
        <w:left w:val="none" w:sz="0" w:space="0" w:color="auto"/>
        <w:bottom w:val="none" w:sz="0" w:space="0" w:color="auto"/>
        <w:right w:val="none" w:sz="0" w:space="0" w:color="auto"/>
      </w:divBdr>
    </w:div>
    <w:div w:id="1912810051">
      <w:bodyDiv w:val="1"/>
      <w:marLeft w:val="0"/>
      <w:marRight w:val="0"/>
      <w:marTop w:val="0"/>
      <w:marBottom w:val="0"/>
      <w:divBdr>
        <w:top w:val="none" w:sz="0" w:space="0" w:color="auto"/>
        <w:left w:val="none" w:sz="0" w:space="0" w:color="auto"/>
        <w:bottom w:val="none" w:sz="0" w:space="0" w:color="auto"/>
        <w:right w:val="none" w:sz="0" w:space="0" w:color="auto"/>
      </w:divBdr>
    </w:div>
    <w:div w:id="1996451169">
      <w:bodyDiv w:val="1"/>
      <w:marLeft w:val="0"/>
      <w:marRight w:val="0"/>
      <w:marTop w:val="0"/>
      <w:marBottom w:val="0"/>
      <w:divBdr>
        <w:top w:val="none" w:sz="0" w:space="0" w:color="auto"/>
        <w:left w:val="none" w:sz="0" w:space="0" w:color="auto"/>
        <w:bottom w:val="none" w:sz="0" w:space="0" w:color="auto"/>
        <w:right w:val="none" w:sz="0" w:space="0" w:color="auto"/>
      </w:divBdr>
      <w:divsChild>
        <w:div w:id="597714554">
          <w:marLeft w:val="0"/>
          <w:marRight w:val="0"/>
          <w:marTop w:val="0"/>
          <w:marBottom w:val="0"/>
          <w:divBdr>
            <w:top w:val="none" w:sz="0" w:space="0" w:color="auto"/>
            <w:left w:val="none" w:sz="0" w:space="0" w:color="auto"/>
            <w:bottom w:val="none" w:sz="0" w:space="0" w:color="auto"/>
            <w:right w:val="none" w:sz="0" w:space="0" w:color="auto"/>
          </w:divBdr>
          <w:divsChild>
            <w:div w:id="1667780504">
              <w:marLeft w:val="0"/>
              <w:marRight w:val="0"/>
              <w:marTop w:val="0"/>
              <w:marBottom w:val="0"/>
              <w:divBdr>
                <w:top w:val="single" w:sz="24" w:space="0" w:color="B1AB01"/>
                <w:left w:val="single" w:sz="24" w:space="0" w:color="B1AB01"/>
                <w:bottom w:val="single" w:sz="24" w:space="0" w:color="B1AB01"/>
                <w:right w:val="single" w:sz="24" w:space="0" w:color="B1AB01"/>
              </w:divBdr>
              <w:divsChild>
                <w:div w:id="514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4535">
      <w:bodyDiv w:val="1"/>
      <w:marLeft w:val="0"/>
      <w:marRight w:val="0"/>
      <w:marTop w:val="0"/>
      <w:marBottom w:val="0"/>
      <w:divBdr>
        <w:top w:val="none" w:sz="0" w:space="0" w:color="auto"/>
        <w:left w:val="none" w:sz="0" w:space="0" w:color="auto"/>
        <w:bottom w:val="none" w:sz="0" w:space="0" w:color="auto"/>
        <w:right w:val="none" w:sz="0" w:space="0" w:color="auto"/>
      </w:divBdr>
      <w:divsChild>
        <w:div w:id="1852915422">
          <w:marLeft w:val="0"/>
          <w:marRight w:val="0"/>
          <w:marTop w:val="0"/>
          <w:marBottom w:val="0"/>
          <w:divBdr>
            <w:top w:val="none" w:sz="0" w:space="0" w:color="auto"/>
            <w:left w:val="none" w:sz="0" w:space="0" w:color="auto"/>
            <w:bottom w:val="none" w:sz="0" w:space="0" w:color="auto"/>
            <w:right w:val="none" w:sz="0" w:space="0" w:color="auto"/>
          </w:divBdr>
          <w:divsChild>
            <w:div w:id="417136676">
              <w:marLeft w:val="0"/>
              <w:marRight w:val="0"/>
              <w:marTop w:val="0"/>
              <w:marBottom w:val="0"/>
              <w:divBdr>
                <w:top w:val="none" w:sz="0" w:space="0" w:color="auto"/>
                <w:left w:val="none" w:sz="0" w:space="0" w:color="auto"/>
                <w:bottom w:val="none" w:sz="0" w:space="0" w:color="auto"/>
                <w:right w:val="none" w:sz="0" w:space="0" w:color="auto"/>
              </w:divBdr>
              <w:divsChild>
                <w:div w:id="862717189">
                  <w:marLeft w:val="0"/>
                  <w:marRight w:val="0"/>
                  <w:marTop w:val="0"/>
                  <w:marBottom w:val="0"/>
                  <w:divBdr>
                    <w:top w:val="none" w:sz="0" w:space="0" w:color="auto"/>
                    <w:left w:val="none" w:sz="0" w:space="0" w:color="auto"/>
                    <w:bottom w:val="none" w:sz="0" w:space="0" w:color="auto"/>
                    <w:right w:val="none" w:sz="0" w:space="0" w:color="auto"/>
                  </w:divBdr>
                  <w:divsChild>
                    <w:div w:id="695929628">
                      <w:marLeft w:val="1"/>
                      <w:marRight w:val="1"/>
                      <w:marTop w:val="0"/>
                      <w:marBottom w:val="0"/>
                      <w:divBdr>
                        <w:top w:val="none" w:sz="0" w:space="0" w:color="auto"/>
                        <w:left w:val="none" w:sz="0" w:space="0" w:color="auto"/>
                        <w:bottom w:val="none" w:sz="0" w:space="0" w:color="auto"/>
                        <w:right w:val="none" w:sz="0" w:space="0" w:color="auto"/>
                      </w:divBdr>
                      <w:divsChild>
                        <w:div w:id="1762753476">
                          <w:marLeft w:val="0"/>
                          <w:marRight w:val="0"/>
                          <w:marTop w:val="0"/>
                          <w:marBottom w:val="0"/>
                          <w:divBdr>
                            <w:top w:val="none" w:sz="0" w:space="0" w:color="auto"/>
                            <w:left w:val="none" w:sz="0" w:space="0" w:color="auto"/>
                            <w:bottom w:val="none" w:sz="0" w:space="0" w:color="auto"/>
                            <w:right w:val="none" w:sz="0" w:space="0" w:color="auto"/>
                          </w:divBdr>
                          <w:divsChild>
                            <w:div w:id="1292176271">
                              <w:marLeft w:val="0"/>
                              <w:marRight w:val="0"/>
                              <w:marTop w:val="0"/>
                              <w:marBottom w:val="360"/>
                              <w:divBdr>
                                <w:top w:val="none" w:sz="0" w:space="0" w:color="auto"/>
                                <w:left w:val="none" w:sz="0" w:space="0" w:color="auto"/>
                                <w:bottom w:val="none" w:sz="0" w:space="0" w:color="auto"/>
                                <w:right w:val="none" w:sz="0" w:space="0" w:color="auto"/>
                              </w:divBdr>
                              <w:divsChild>
                                <w:div w:id="1481800398">
                                  <w:marLeft w:val="0"/>
                                  <w:marRight w:val="0"/>
                                  <w:marTop w:val="0"/>
                                  <w:marBottom w:val="0"/>
                                  <w:divBdr>
                                    <w:top w:val="none" w:sz="0" w:space="0" w:color="auto"/>
                                    <w:left w:val="none" w:sz="0" w:space="0" w:color="auto"/>
                                    <w:bottom w:val="none" w:sz="0" w:space="0" w:color="auto"/>
                                    <w:right w:val="none" w:sz="0" w:space="0" w:color="auto"/>
                                  </w:divBdr>
                                  <w:divsChild>
                                    <w:div w:id="1185166692">
                                      <w:marLeft w:val="0"/>
                                      <w:marRight w:val="0"/>
                                      <w:marTop w:val="0"/>
                                      <w:marBottom w:val="0"/>
                                      <w:divBdr>
                                        <w:top w:val="none" w:sz="0" w:space="0" w:color="auto"/>
                                        <w:left w:val="none" w:sz="0" w:space="0" w:color="auto"/>
                                        <w:bottom w:val="none" w:sz="0" w:space="0" w:color="auto"/>
                                        <w:right w:val="none" w:sz="0" w:space="0" w:color="auto"/>
                                      </w:divBdr>
                                      <w:divsChild>
                                        <w:div w:id="1474105534">
                                          <w:marLeft w:val="0"/>
                                          <w:marRight w:val="0"/>
                                          <w:marTop w:val="0"/>
                                          <w:marBottom w:val="0"/>
                                          <w:divBdr>
                                            <w:top w:val="none" w:sz="0" w:space="0" w:color="auto"/>
                                            <w:left w:val="none" w:sz="0" w:space="0" w:color="auto"/>
                                            <w:bottom w:val="none" w:sz="0" w:space="0" w:color="auto"/>
                                            <w:right w:val="none" w:sz="0" w:space="0" w:color="auto"/>
                                          </w:divBdr>
                                          <w:divsChild>
                                            <w:div w:id="910847770">
                                              <w:marLeft w:val="0"/>
                                              <w:marRight w:val="0"/>
                                              <w:marTop w:val="0"/>
                                              <w:marBottom w:val="0"/>
                                              <w:divBdr>
                                                <w:top w:val="none" w:sz="0" w:space="0" w:color="auto"/>
                                                <w:left w:val="none" w:sz="0" w:space="0" w:color="auto"/>
                                                <w:bottom w:val="none" w:sz="0" w:space="0" w:color="auto"/>
                                                <w:right w:val="none" w:sz="0" w:space="0" w:color="auto"/>
                                              </w:divBdr>
                                              <w:divsChild>
                                                <w:div w:id="494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16.xml"/><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4.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image" Target="media/image3.emf"/><Relationship Id="rId36" Type="http://schemas.openxmlformats.org/officeDocument/2006/relationships/chart" Target="charts/chart18.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chart" Target="charts/chart13.xml"/><Relationship Id="rId4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image" Target="media/image2.emf"/><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sites/taxation/files/resources/documents/taxation/tax_cooperation/vat_gap/2016-03_20_measures_en.pdf" TargetMode="External"/><Relationship Id="rId2" Type="http://schemas.openxmlformats.org/officeDocument/2006/relationships/hyperlink" Target="https://ec.europa.eu/taxation_customs/sites/taxation/files/com_2016_148_en.pdf" TargetMode="External"/><Relationship Id="rId1" Type="http://schemas.openxmlformats.org/officeDocument/2006/relationships/hyperlink" Target="https://ec.europa.eu/taxation_customs/fiscalis-programme/fiscalis-2020-programme_e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Sheet1!$B$2:$B$7</c:f>
              <c:numCache>
                <c:formatCode>General</c:formatCode>
                <c:ptCount val="6"/>
                <c:pt idx="0">
                  <c:v>9566</c:v>
                </c:pt>
                <c:pt idx="1">
                  <c:v>7661</c:v>
                </c:pt>
                <c:pt idx="2">
                  <c:v>10391</c:v>
                </c:pt>
                <c:pt idx="3">
                  <c:v>14123</c:v>
                </c:pt>
                <c:pt idx="4">
                  <c:v>14769</c:v>
                </c:pt>
                <c:pt idx="5">
                  <c:v>16403</c:v>
                </c:pt>
              </c:numCache>
            </c:numRef>
          </c:val>
        </c:ser>
        <c:dLbls>
          <c:showLegendKey val="0"/>
          <c:showVal val="0"/>
          <c:showCatName val="0"/>
          <c:showSerName val="0"/>
          <c:showPercent val="0"/>
          <c:showBubbleSize val="0"/>
        </c:dLbls>
        <c:gapWidth val="150"/>
        <c:axId val="61663104"/>
        <c:axId val="61664640"/>
      </c:barChart>
      <c:catAx>
        <c:axId val="61663104"/>
        <c:scaling>
          <c:orientation val="minMax"/>
        </c:scaling>
        <c:delete val="0"/>
        <c:axPos val="b"/>
        <c:numFmt formatCode="General" sourceLinked="1"/>
        <c:majorTickMark val="out"/>
        <c:minorTickMark val="none"/>
        <c:tickLblPos val="nextTo"/>
        <c:crossAx val="61664640"/>
        <c:crosses val="autoZero"/>
        <c:auto val="1"/>
        <c:lblAlgn val="ctr"/>
        <c:lblOffset val="100"/>
        <c:noMultiLvlLbl val="0"/>
      </c:catAx>
      <c:valAx>
        <c:axId val="61664640"/>
        <c:scaling>
          <c:orientation val="minMax"/>
        </c:scaling>
        <c:delete val="0"/>
        <c:axPos val="l"/>
        <c:majorGridlines/>
        <c:numFmt formatCode="General" sourceLinked="1"/>
        <c:majorTickMark val="out"/>
        <c:minorTickMark val="none"/>
        <c:tickLblPos val="nextTo"/>
        <c:crossAx val="6166310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numRef>
              <c:f>Sheet1!$A$2:$A$7</c:f>
              <c:numCache>
                <c:formatCode>General</c:formatCode>
                <c:ptCount val="6"/>
                <c:pt idx="2">
                  <c:v>2013</c:v>
                </c:pt>
                <c:pt idx="3">
                  <c:v>2014</c:v>
                </c:pt>
                <c:pt idx="4">
                  <c:v>2015</c:v>
                </c:pt>
                <c:pt idx="5">
                  <c:v>2016</c:v>
                </c:pt>
              </c:numCache>
            </c:numRef>
          </c:cat>
          <c:val>
            <c:numRef>
              <c:f>Sheet1!$B$2:$B$7</c:f>
              <c:numCache>
                <c:formatCode>General</c:formatCode>
                <c:ptCount val="6"/>
                <c:pt idx="2">
                  <c:v>102</c:v>
                </c:pt>
                <c:pt idx="3">
                  <c:v>80</c:v>
                </c:pt>
                <c:pt idx="4">
                  <c:v>123</c:v>
                </c:pt>
                <c:pt idx="5">
                  <c:v>76</c:v>
                </c:pt>
              </c:numCache>
            </c:numRef>
          </c:val>
        </c:ser>
        <c:dLbls>
          <c:showLegendKey val="0"/>
          <c:showVal val="0"/>
          <c:showCatName val="0"/>
          <c:showSerName val="0"/>
          <c:showPercent val="0"/>
          <c:showBubbleSize val="0"/>
        </c:dLbls>
        <c:gapWidth val="150"/>
        <c:axId val="77993856"/>
        <c:axId val="77995392"/>
      </c:barChart>
      <c:catAx>
        <c:axId val="77993856"/>
        <c:scaling>
          <c:orientation val="minMax"/>
        </c:scaling>
        <c:delete val="0"/>
        <c:axPos val="b"/>
        <c:numFmt formatCode="General" sourceLinked="1"/>
        <c:majorTickMark val="out"/>
        <c:minorTickMark val="none"/>
        <c:tickLblPos val="nextTo"/>
        <c:crossAx val="77995392"/>
        <c:crosses val="autoZero"/>
        <c:auto val="1"/>
        <c:lblAlgn val="ctr"/>
        <c:lblOffset val="100"/>
        <c:noMultiLvlLbl val="0"/>
      </c:catAx>
      <c:valAx>
        <c:axId val="77995392"/>
        <c:scaling>
          <c:orientation val="minMax"/>
        </c:scaling>
        <c:delete val="0"/>
        <c:axPos val="l"/>
        <c:majorGridlines/>
        <c:numFmt formatCode="General" sourceLinked="1"/>
        <c:majorTickMark val="out"/>
        <c:minorTickMark val="none"/>
        <c:tickLblPos val="nextTo"/>
        <c:crossAx val="7799385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Sheet1!$B$2:$B$7</c:f>
              <c:numCache>
                <c:formatCode>General</c:formatCode>
                <c:ptCount val="6"/>
                <c:pt idx="0">
                  <c:v>9566</c:v>
                </c:pt>
                <c:pt idx="1">
                  <c:v>7661</c:v>
                </c:pt>
                <c:pt idx="2">
                  <c:v>10391</c:v>
                </c:pt>
                <c:pt idx="3">
                  <c:v>14123</c:v>
                </c:pt>
                <c:pt idx="4">
                  <c:v>14769</c:v>
                </c:pt>
                <c:pt idx="5">
                  <c:v>16403</c:v>
                </c:pt>
              </c:numCache>
            </c:numRef>
          </c:val>
        </c:ser>
        <c:dLbls>
          <c:showLegendKey val="0"/>
          <c:showVal val="0"/>
          <c:showCatName val="0"/>
          <c:showSerName val="0"/>
          <c:showPercent val="0"/>
          <c:showBubbleSize val="0"/>
        </c:dLbls>
        <c:gapWidth val="150"/>
        <c:axId val="78024064"/>
        <c:axId val="78034048"/>
      </c:barChart>
      <c:catAx>
        <c:axId val="78024064"/>
        <c:scaling>
          <c:orientation val="minMax"/>
        </c:scaling>
        <c:delete val="0"/>
        <c:axPos val="b"/>
        <c:numFmt formatCode="General" sourceLinked="1"/>
        <c:majorTickMark val="out"/>
        <c:minorTickMark val="none"/>
        <c:tickLblPos val="nextTo"/>
        <c:crossAx val="78034048"/>
        <c:crosses val="autoZero"/>
        <c:auto val="1"/>
        <c:lblAlgn val="ctr"/>
        <c:lblOffset val="100"/>
        <c:noMultiLvlLbl val="0"/>
      </c:catAx>
      <c:valAx>
        <c:axId val="78034048"/>
        <c:scaling>
          <c:orientation val="minMax"/>
        </c:scaling>
        <c:delete val="0"/>
        <c:axPos val="l"/>
        <c:majorGridlines/>
        <c:numFmt formatCode="General" sourceLinked="1"/>
        <c:majorTickMark val="out"/>
        <c:minorTickMark val="none"/>
        <c:tickLblPos val="nextTo"/>
        <c:crossAx val="7802406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Sheet1!$B$1</c:f>
              <c:strCache>
                <c:ptCount val="1"/>
                <c:pt idx="0">
                  <c:v>taxes income/capital</c:v>
                </c:pt>
              </c:strCache>
            </c:strRef>
          </c:tx>
          <c:spPr>
            <a:solidFill>
              <a:srgbClr val="6B991F"/>
            </a:solidFill>
          </c:spPr>
          <c:invertIfNegative val="0"/>
          <c:cat>
            <c:strRef>
              <c:f>Sheet1!$A$2:$A$7</c:f>
              <c:strCache>
                <c:ptCount val="6"/>
                <c:pt idx="0">
                  <c:v>2012</c:v>
                </c:pt>
                <c:pt idx="1">
                  <c:v>2013</c:v>
                </c:pt>
                <c:pt idx="2">
                  <c:v>2014</c:v>
                </c:pt>
                <c:pt idx="3">
                  <c:v>2015</c:v>
                </c:pt>
                <c:pt idx="4">
                  <c:v>2016</c:v>
                </c:pt>
                <c:pt idx="5">
                  <c:v>average</c:v>
                </c:pt>
              </c:strCache>
            </c:strRef>
          </c:cat>
          <c:val>
            <c:numRef>
              <c:f>Sheet1!$B$2:$B$7</c:f>
              <c:numCache>
                <c:formatCode>General</c:formatCode>
                <c:ptCount val="6"/>
                <c:pt idx="0">
                  <c:v>70043</c:v>
                </c:pt>
                <c:pt idx="1">
                  <c:v>51196</c:v>
                </c:pt>
                <c:pt idx="2">
                  <c:v>68877</c:v>
                </c:pt>
                <c:pt idx="3">
                  <c:v>68807</c:v>
                </c:pt>
                <c:pt idx="4">
                  <c:v>81522</c:v>
                </c:pt>
                <c:pt idx="5">
                  <c:v>68089</c:v>
                </c:pt>
              </c:numCache>
            </c:numRef>
          </c:val>
        </c:ser>
        <c:ser>
          <c:idx val="1"/>
          <c:order val="1"/>
          <c:tx>
            <c:strRef>
              <c:f>Sheet1!$C$1</c:f>
              <c:strCache>
                <c:ptCount val="1"/>
                <c:pt idx="0">
                  <c:v>VAT</c:v>
                </c:pt>
              </c:strCache>
            </c:strRef>
          </c:tx>
          <c:spPr>
            <a:solidFill>
              <a:srgbClr val="003E9A"/>
            </a:solidFill>
          </c:spPr>
          <c:invertIfNegative val="0"/>
          <c:cat>
            <c:strRef>
              <c:f>Sheet1!$A$2:$A$7</c:f>
              <c:strCache>
                <c:ptCount val="6"/>
                <c:pt idx="0">
                  <c:v>2012</c:v>
                </c:pt>
                <c:pt idx="1">
                  <c:v>2013</c:v>
                </c:pt>
                <c:pt idx="2">
                  <c:v>2014</c:v>
                </c:pt>
                <c:pt idx="3">
                  <c:v>2015</c:v>
                </c:pt>
                <c:pt idx="4">
                  <c:v>2016</c:v>
                </c:pt>
                <c:pt idx="5">
                  <c:v>average</c:v>
                </c:pt>
              </c:strCache>
            </c:strRef>
          </c:cat>
          <c:val>
            <c:numRef>
              <c:f>Sheet1!$C$2:$C$7</c:f>
              <c:numCache>
                <c:formatCode>General</c:formatCode>
                <c:ptCount val="6"/>
                <c:pt idx="0">
                  <c:v>26668</c:v>
                </c:pt>
                <c:pt idx="1">
                  <c:v>21322</c:v>
                </c:pt>
                <c:pt idx="2">
                  <c:v>33837</c:v>
                </c:pt>
                <c:pt idx="3">
                  <c:v>38058</c:v>
                </c:pt>
                <c:pt idx="4">
                  <c:v>46172</c:v>
                </c:pt>
                <c:pt idx="5">
                  <c:v>33211</c:v>
                </c:pt>
              </c:numCache>
            </c:numRef>
          </c:val>
        </c:ser>
        <c:ser>
          <c:idx val="2"/>
          <c:order val="2"/>
          <c:tx>
            <c:strRef>
              <c:f>Sheet1!$D$1</c:f>
              <c:strCache>
                <c:ptCount val="1"/>
                <c:pt idx="0">
                  <c:v>customs</c:v>
                </c:pt>
              </c:strCache>
            </c:strRef>
          </c:tx>
          <c:spPr>
            <a:solidFill>
              <a:srgbClr val="AFFFFF"/>
            </a:solidFill>
          </c:spPr>
          <c:invertIfNegative val="0"/>
          <c:cat>
            <c:strRef>
              <c:f>Sheet1!$A$2:$A$7</c:f>
              <c:strCache>
                <c:ptCount val="6"/>
                <c:pt idx="0">
                  <c:v>2012</c:v>
                </c:pt>
                <c:pt idx="1">
                  <c:v>2013</c:v>
                </c:pt>
                <c:pt idx="2">
                  <c:v>2014</c:v>
                </c:pt>
                <c:pt idx="3">
                  <c:v>2015</c:v>
                </c:pt>
                <c:pt idx="4">
                  <c:v>2016</c:v>
                </c:pt>
                <c:pt idx="5">
                  <c:v>average</c:v>
                </c:pt>
              </c:strCache>
            </c:strRef>
          </c:cat>
          <c:val>
            <c:numRef>
              <c:f>Sheet1!$D$2:$D$7</c:f>
              <c:numCache>
                <c:formatCode>General</c:formatCode>
                <c:ptCount val="6"/>
                <c:pt idx="0">
                  <c:v>18781</c:v>
                </c:pt>
                <c:pt idx="1">
                  <c:v>14590</c:v>
                </c:pt>
                <c:pt idx="2">
                  <c:v>17007</c:v>
                </c:pt>
                <c:pt idx="3">
                  <c:v>15819</c:v>
                </c:pt>
                <c:pt idx="4">
                  <c:v>15441</c:v>
                </c:pt>
                <c:pt idx="5">
                  <c:v>16328</c:v>
                </c:pt>
              </c:numCache>
            </c:numRef>
          </c:val>
        </c:ser>
        <c:ser>
          <c:idx val="3"/>
          <c:order val="3"/>
          <c:tx>
            <c:strRef>
              <c:f>Sheet1!$E$1</c:f>
              <c:strCache>
                <c:ptCount val="1"/>
                <c:pt idx="0">
                  <c:v>other</c:v>
                </c:pt>
              </c:strCache>
            </c:strRef>
          </c:tx>
          <c:spPr>
            <a:solidFill>
              <a:srgbClr val="009A96"/>
            </a:solidFill>
          </c:spPr>
          <c:invertIfNegative val="0"/>
          <c:cat>
            <c:strRef>
              <c:f>Sheet1!$A$2:$A$7</c:f>
              <c:strCache>
                <c:ptCount val="6"/>
                <c:pt idx="0">
                  <c:v>2012</c:v>
                </c:pt>
                <c:pt idx="1">
                  <c:v>2013</c:v>
                </c:pt>
                <c:pt idx="2">
                  <c:v>2014</c:v>
                </c:pt>
                <c:pt idx="3">
                  <c:v>2015</c:v>
                </c:pt>
                <c:pt idx="4">
                  <c:v>2016</c:v>
                </c:pt>
                <c:pt idx="5">
                  <c:v>average</c:v>
                </c:pt>
              </c:strCache>
            </c:strRef>
          </c:cat>
          <c:val>
            <c:numRef>
              <c:f>Sheet1!$E$2:$E$7</c:f>
              <c:numCache>
                <c:formatCode>General</c:formatCode>
                <c:ptCount val="6"/>
                <c:pt idx="0">
                  <c:v>9671</c:v>
                </c:pt>
                <c:pt idx="1">
                  <c:v>11385</c:v>
                </c:pt>
                <c:pt idx="2">
                  <c:v>18907</c:v>
                </c:pt>
                <c:pt idx="3">
                  <c:v>16718</c:v>
                </c:pt>
                <c:pt idx="4">
                  <c:v>23322</c:v>
                </c:pt>
                <c:pt idx="5">
                  <c:v>16001</c:v>
                </c:pt>
              </c:numCache>
            </c:numRef>
          </c:val>
        </c:ser>
        <c:dLbls>
          <c:showLegendKey val="0"/>
          <c:showVal val="0"/>
          <c:showCatName val="0"/>
          <c:showSerName val="0"/>
          <c:showPercent val="0"/>
          <c:showBubbleSize val="0"/>
        </c:dLbls>
        <c:gapWidth val="150"/>
        <c:overlap val="100"/>
        <c:axId val="79375360"/>
        <c:axId val="79381248"/>
      </c:barChart>
      <c:catAx>
        <c:axId val="79375360"/>
        <c:scaling>
          <c:orientation val="minMax"/>
        </c:scaling>
        <c:delete val="0"/>
        <c:axPos val="b"/>
        <c:numFmt formatCode="General" sourceLinked="1"/>
        <c:majorTickMark val="out"/>
        <c:minorTickMark val="none"/>
        <c:tickLblPos val="nextTo"/>
        <c:crossAx val="79381248"/>
        <c:crosses val="autoZero"/>
        <c:auto val="1"/>
        <c:lblAlgn val="ctr"/>
        <c:lblOffset val="100"/>
        <c:noMultiLvlLbl val="0"/>
      </c:catAx>
      <c:valAx>
        <c:axId val="79381248"/>
        <c:scaling>
          <c:orientation val="minMax"/>
        </c:scaling>
        <c:delete val="0"/>
        <c:axPos val="l"/>
        <c:majorGridlines/>
        <c:numFmt formatCode="0%" sourceLinked="1"/>
        <c:majorTickMark val="out"/>
        <c:minorTickMark val="none"/>
        <c:tickLblPos val="nextTo"/>
        <c:crossAx val="7937536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891</c:v>
                </c:pt>
                <c:pt idx="1">
                  <c:v>1</c:v>
                </c:pt>
                <c:pt idx="2">
                  <c:v>29</c:v>
                </c:pt>
                <c:pt idx="3">
                  <c:v>51</c:v>
                </c:pt>
                <c:pt idx="4">
                  <c:v>185</c:v>
                </c:pt>
                <c:pt idx="5">
                  <c:v>18</c:v>
                </c:pt>
                <c:pt idx="6">
                  <c:v>25</c:v>
                </c:pt>
                <c:pt idx="7">
                  <c:v>22</c:v>
                </c:pt>
                <c:pt idx="8">
                  <c:v>53</c:v>
                </c:pt>
                <c:pt idx="9">
                  <c:v>191</c:v>
                </c:pt>
                <c:pt idx="11">
                  <c:v>18</c:v>
                </c:pt>
                <c:pt idx="12">
                  <c:v>16</c:v>
                </c:pt>
                <c:pt idx="13">
                  <c:v>10</c:v>
                </c:pt>
                <c:pt idx="14">
                  <c:v>4</c:v>
                </c:pt>
                <c:pt idx="15">
                  <c:v>7</c:v>
                </c:pt>
                <c:pt idx="16">
                  <c:v>16</c:v>
                </c:pt>
                <c:pt idx="17">
                  <c:v>1</c:v>
                </c:pt>
                <c:pt idx="18">
                  <c:v>175</c:v>
                </c:pt>
                <c:pt idx="19">
                  <c:v>124</c:v>
                </c:pt>
                <c:pt idx="20">
                  <c:v>286</c:v>
                </c:pt>
                <c:pt idx="21">
                  <c:v>153</c:v>
                </c:pt>
                <c:pt idx="22">
                  <c:v>32</c:v>
                </c:pt>
                <c:pt idx="23">
                  <c:v>5</c:v>
                </c:pt>
                <c:pt idx="24">
                  <c:v>10</c:v>
                </c:pt>
                <c:pt idx="25">
                  <c:v>14</c:v>
                </c:pt>
                <c:pt idx="26">
                  <c:v>104</c:v>
                </c:pt>
                <c:pt idx="27">
                  <c:v>477</c:v>
                </c:pt>
              </c:numCache>
            </c:numRef>
          </c:val>
        </c:ser>
        <c:ser>
          <c:idx val="1"/>
          <c:order val="1"/>
          <c:tx>
            <c:strRef>
              <c:f>Sheet1!$C$1</c:f>
              <c:strCache>
                <c:ptCount val="1"/>
                <c:pt idx="0">
                  <c:v>•→2</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Sheet1!$C$2:$C$29</c:f>
              <c:numCache>
                <c:formatCode>General</c:formatCode>
                <c:ptCount val="28"/>
                <c:pt idx="0">
                  <c:v>2529</c:v>
                </c:pt>
                <c:pt idx="1">
                  <c:v>12</c:v>
                </c:pt>
                <c:pt idx="2">
                  <c:v>41</c:v>
                </c:pt>
                <c:pt idx="3">
                  <c:v>187</c:v>
                </c:pt>
                <c:pt idx="4">
                  <c:v>1465</c:v>
                </c:pt>
                <c:pt idx="5">
                  <c:v>114</c:v>
                </c:pt>
                <c:pt idx="6">
                  <c:v>55</c:v>
                </c:pt>
                <c:pt idx="7">
                  <c:v>209</c:v>
                </c:pt>
                <c:pt idx="8">
                  <c:v>172</c:v>
                </c:pt>
                <c:pt idx="9">
                  <c:v>340</c:v>
                </c:pt>
                <c:pt idx="10">
                  <c:v>22</c:v>
                </c:pt>
                <c:pt idx="11">
                  <c:v>139</c:v>
                </c:pt>
                <c:pt idx="12">
                  <c:v>14</c:v>
                </c:pt>
                <c:pt idx="13">
                  <c:v>132</c:v>
                </c:pt>
                <c:pt idx="14">
                  <c:v>77</c:v>
                </c:pt>
                <c:pt idx="15">
                  <c:v>189</c:v>
                </c:pt>
                <c:pt idx="16">
                  <c:v>249</c:v>
                </c:pt>
                <c:pt idx="17">
                  <c:v>2</c:v>
                </c:pt>
                <c:pt idx="18">
                  <c:v>1127</c:v>
                </c:pt>
                <c:pt idx="19">
                  <c:v>764</c:v>
                </c:pt>
                <c:pt idx="20">
                  <c:v>1212</c:v>
                </c:pt>
                <c:pt idx="21">
                  <c:v>174</c:v>
                </c:pt>
                <c:pt idx="22">
                  <c:v>269</c:v>
                </c:pt>
                <c:pt idx="23">
                  <c:v>22</c:v>
                </c:pt>
                <c:pt idx="24">
                  <c:v>22</c:v>
                </c:pt>
                <c:pt idx="25">
                  <c:v>28</c:v>
                </c:pt>
                <c:pt idx="26">
                  <c:v>436</c:v>
                </c:pt>
                <c:pt idx="27">
                  <c:v>30</c:v>
                </c:pt>
              </c:numCache>
            </c:numRef>
          </c:val>
        </c:ser>
        <c:dLbls>
          <c:showLegendKey val="0"/>
          <c:showVal val="0"/>
          <c:showCatName val="0"/>
          <c:showSerName val="0"/>
          <c:showPercent val="0"/>
          <c:showBubbleSize val="0"/>
        </c:dLbls>
        <c:gapWidth val="150"/>
        <c:axId val="79510528"/>
        <c:axId val="79516416"/>
      </c:barChart>
      <c:catAx>
        <c:axId val="79510528"/>
        <c:scaling>
          <c:orientation val="minMax"/>
        </c:scaling>
        <c:delete val="0"/>
        <c:axPos val="b"/>
        <c:majorTickMark val="out"/>
        <c:minorTickMark val="none"/>
        <c:tickLblPos val="nextTo"/>
        <c:crossAx val="79516416"/>
        <c:crosses val="autoZero"/>
        <c:auto val="1"/>
        <c:lblAlgn val="ctr"/>
        <c:lblOffset val="100"/>
        <c:noMultiLvlLbl val="0"/>
      </c:catAx>
      <c:valAx>
        <c:axId val="79516416"/>
        <c:scaling>
          <c:orientation val="minMax"/>
        </c:scaling>
        <c:delete val="0"/>
        <c:axPos val="l"/>
        <c:majorGridlines/>
        <c:numFmt formatCode="General" sourceLinked="1"/>
        <c:majorTickMark val="out"/>
        <c:minorTickMark val="none"/>
        <c:tickLblPos val="nextTo"/>
        <c:crossAx val="7951052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79</c:v>
                </c:pt>
                <c:pt idx="1">
                  <c:v>52</c:v>
                </c:pt>
                <c:pt idx="2">
                  <c:v>31</c:v>
                </c:pt>
                <c:pt idx="3">
                  <c:v>27</c:v>
                </c:pt>
                <c:pt idx="4">
                  <c:v>352</c:v>
                </c:pt>
                <c:pt idx="5">
                  <c:v>16</c:v>
                </c:pt>
                <c:pt idx="6">
                  <c:v>103</c:v>
                </c:pt>
                <c:pt idx="7">
                  <c:v>36</c:v>
                </c:pt>
                <c:pt idx="8">
                  <c:v>281</c:v>
                </c:pt>
                <c:pt idx="9">
                  <c:v>650</c:v>
                </c:pt>
                <c:pt idx="11">
                  <c:v>111</c:v>
                </c:pt>
                <c:pt idx="12">
                  <c:v>28</c:v>
                </c:pt>
                <c:pt idx="13">
                  <c:v>20</c:v>
                </c:pt>
                <c:pt idx="14">
                  <c:v>46</c:v>
                </c:pt>
                <c:pt idx="15">
                  <c:v>45</c:v>
                </c:pt>
                <c:pt idx="16">
                  <c:v>60</c:v>
                </c:pt>
                <c:pt idx="17">
                  <c:v>8</c:v>
                </c:pt>
                <c:pt idx="18">
                  <c:v>220</c:v>
                </c:pt>
                <c:pt idx="19">
                  <c:v>25</c:v>
                </c:pt>
                <c:pt idx="20">
                  <c:v>268</c:v>
                </c:pt>
                <c:pt idx="21">
                  <c:v>94</c:v>
                </c:pt>
                <c:pt idx="22">
                  <c:v>84</c:v>
                </c:pt>
                <c:pt idx="23">
                  <c:v>9</c:v>
                </c:pt>
                <c:pt idx="24">
                  <c:v>29</c:v>
                </c:pt>
                <c:pt idx="25">
                  <c:v>13</c:v>
                </c:pt>
                <c:pt idx="26">
                  <c:v>48</c:v>
                </c:pt>
                <c:pt idx="27">
                  <c:v>368</c:v>
                </c:pt>
              </c:numCache>
            </c:numRef>
          </c:val>
        </c:ser>
        <c:ser>
          <c:idx val="1"/>
          <c:order val="1"/>
          <c:tx>
            <c:strRef>
              <c:f>Sheet1!$C$1</c:f>
              <c:strCache>
                <c:ptCount val="1"/>
                <c:pt idx="0">
                  <c:v>→•2</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Sheet1!$C$2:$C$29</c:f>
              <c:numCache>
                <c:formatCode>General</c:formatCode>
                <c:ptCount val="28"/>
                <c:pt idx="0">
                  <c:v>457</c:v>
                </c:pt>
                <c:pt idx="1">
                  <c:v>357</c:v>
                </c:pt>
                <c:pt idx="2">
                  <c:v>122</c:v>
                </c:pt>
                <c:pt idx="3">
                  <c:v>71</c:v>
                </c:pt>
                <c:pt idx="4">
                  <c:v>1696</c:v>
                </c:pt>
                <c:pt idx="5">
                  <c:v>51</c:v>
                </c:pt>
                <c:pt idx="6">
                  <c:v>165</c:v>
                </c:pt>
                <c:pt idx="7">
                  <c:v>108</c:v>
                </c:pt>
                <c:pt idx="8">
                  <c:v>486</c:v>
                </c:pt>
                <c:pt idx="9">
                  <c:v>1255</c:v>
                </c:pt>
                <c:pt idx="10">
                  <c:v>67</c:v>
                </c:pt>
                <c:pt idx="11">
                  <c:v>408</c:v>
                </c:pt>
                <c:pt idx="12">
                  <c:v>70</c:v>
                </c:pt>
                <c:pt idx="13">
                  <c:v>79</c:v>
                </c:pt>
                <c:pt idx="14">
                  <c:v>101</c:v>
                </c:pt>
                <c:pt idx="15">
                  <c:v>171</c:v>
                </c:pt>
                <c:pt idx="16">
                  <c:v>350</c:v>
                </c:pt>
                <c:pt idx="17">
                  <c:v>24</c:v>
                </c:pt>
                <c:pt idx="18">
                  <c:v>649</c:v>
                </c:pt>
                <c:pt idx="19">
                  <c:v>207</c:v>
                </c:pt>
                <c:pt idx="20">
                  <c:v>798</c:v>
                </c:pt>
                <c:pt idx="21">
                  <c:v>228</c:v>
                </c:pt>
                <c:pt idx="22">
                  <c:v>541</c:v>
                </c:pt>
                <c:pt idx="23">
                  <c:v>59</c:v>
                </c:pt>
                <c:pt idx="24">
                  <c:v>149</c:v>
                </c:pt>
                <c:pt idx="25">
                  <c:v>128</c:v>
                </c:pt>
                <c:pt idx="26">
                  <c:v>128</c:v>
                </c:pt>
                <c:pt idx="27">
                  <c:v>1727</c:v>
                </c:pt>
              </c:numCache>
            </c:numRef>
          </c:val>
        </c:ser>
        <c:dLbls>
          <c:showLegendKey val="0"/>
          <c:showVal val="0"/>
          <c:showCatName val="0"/>
          <c:showSerName val="0"/>
          <c:showPercent val="0"/>
          <c:showBubbleSize val="0"/>
        </c:dLbls>
        <c:gapWidth val="50"/>
        <c:axId val="79558528"/>
        <c:axId val="79560064"/>
      </c:barChart>
      <c:catAx>
        <c:axId val="79558528"/>
        <c:scaling>
          <c:orientation val="minMax"/>
        </c:scaling>
        <c:delete val="0"/>
        <c:axPos val="b"/>
        <c:majorTickMark val="out"/>
        <c:minorTickMark val="none"/>
        <c:tickLblPos val="nextTo"/>
        <c:crossAx val="79560064"/>
        <c:crosses val="autoZero"/>
        <c:auto val="1"/>
        <c:lblAlgn val="ctr"/>
        <c:lblOffset val="100"/>
        <c:noMultiLvlLbl val="0"/>
      </c:catAx>
      <c:valAx>
        <c:axId val="79560064"/>
        <c:scaling>
          <c:orientation val="minMax"/>
        </c:scaling>
        <c:delete val="0"/>
        <c:axPos val="l"/>
        <c:majorGridlines/>
        <c:numFmt formatCode="General" sourceLinked="1"/>
        <c:majorTickMark val="out"/>
        <c:minorTickMark val="none"/>
        <c:tickLblPos val="nextTo"/>
        <c:crossAx val="7955852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v>
                </c:pt>
              </c:strCache>
            </c:strRef>
          </c:tx>
          <c:invertIfNegative val="0"/>
          <c:cat>
            <c:strRef>
              <c:f>Sheet1!$A$2:$A$29</c:f>
              <c:strCache>
                <c:ptCount val="28"/>
                <c:pt idx="0">
                  <c:v>BE</c:v>
                </c:pt>
                <c:pt idx="1">
                  <c:v>BG</c:v>
                </c:pt>
                <c:pt idx="2">
                  <c:v>CE</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94</c:v>
                </c:pt>
                <c:pt idx="1">
                  <c:v>0</c:v>
                </c:pt>
                <c:pt idx="2">
                  <c:v>1</c:v>
                </c:pt>
                <c:pt idx="3">
                  <c:v>0</c:v>
                </c:pt>
                <c:pt idx="4">
                  <c:v>493</c:v>
                </c:pt>
                <c:pt idx="5">
                  <c:v>1</c:v>
                </c:pt>
                <c:pt idx="6">
                  <c:v>0</c:v>
                </c:pt>
                <c:pt idx="7">
                  <c:v>1</c:v>
                </c:pt>
                <c:pt idx="8">
                  <c:v>5</c:v>
                </c:pt>
                <c:pt idx="9">
                  <c:v>368</c:v>
                </c:pt>
                <c:pt idx="11">
                  <c:v>21</c:v>
                </c:pt>
                <c:pt idx="12">
                  <c:v>1</c:v>
                </c:pt>
                <c:pt idx="13">
                  <c:v>0</c:v>
                </c:pt>
                <c:pt idx="14">
                  <c:v>8</c:v>
                </c:pt>
                <c:pt idx="15">
                  <c:v>18</c:v>
                </c:pt>
                <c:pt idx="16">
                  <c:v>22</c:v>
                </c:pt>
                <c:pt idx="17">
                  <c:v>0</c:v>
                </c:pt>
                <c:pt idx="18">
                  <c:v>2</c:v>
                </c:pt>
                <c:pt idx="19">
                  <c:v>36</c:v>
                </c:pt>
                <c:pt idx="20">
                  <c:v>66</c:v>
                </c:pt>
                <c:pt idx="21">
                  <c:v>119</c:v>
                </c:pt>
                <c:pt idx="22">
                  <c:v>98</c:v>
                </c:pt>
                <c:pt idx="23">
                  <c:v>4</c:v>
                </c:pt>
                <c:pt idx="24">
                  <c:v>7</c:v>
                </c:pt>
                <c:pt idx="25">
                  <c:v>0</c:v>
                </c:pt>
                <c:pt idx="26">
                  <c:v>5</c:v>
                </c:pt>
                <c:pt idx="27">
                  <c:v>0</c:v>
                </c:pt>
              </c:numCache>
            </c:numRef>
          </c:val>
        </c:ser>
        <c:ser>
          <c:idx val="1"/>
          <c:order val="1"/>
          <c:tx>
            <c:strRef>
              <c:f>Sheet1!$C$1</c:f>
              <c:strCache>
                <c:ptCount val="1"/>
                <c:pt idx="0">
                  <c:v>•2→</c:v>
                </c:pt>
              </c:strCache>
            </c:strRef>
          </c:tx>
          <c:invertIfNegative val="0"/>
          <c:cat>
            <c:strRef>
              <c:f>Sheet1!$A$2:$A$29</c:f>
              <c:strCache>
                <c:ptCount val="28"/>
                <c:pt idx="0">
                  <c:v>BE</c:v>
                </c:pt>
                <c:pt idx="1">
                  <c:v>BG</c:v>
                </c:pt>
                <c:pt idx="2">
                  <c:v>CE</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Sheet1!$C$2:$C$29</c:f>
              <c:numCache>
                <c:formatCode>General</c:formatCode>
                <c:ptCount val="28"/>
                <c:pt idx="0">
                  <c:v>31</c:v>
                </c:pt>
                <c:pt idx="1">
                  <c:v>3</c:v>
                </c:pt>
                <c:pt idx="2">
                  <c:v>3</c:v>
                </c:pt>
                <c:pt idx="3">
                  <c:v>0</c:v>
                </c:pt>
                <c:pt idx="4">
                  <c:v>712</c:v>
                </c:pt>
                <c:pt idx="5">
                  <c:v>8</c:v>
                </c:pt>
                <c:pt idx="6">
                  <c:v>0</c:v>
                </c:pt>
                <c:pt idx="7">
                  <c:v>17</c:v>
                </c:pt>
                <c:pt idx="8">
                  <c:v>49</c:v>
                </c:pt>
                <c:pt idx="9">
                  <c:v>507</c:v>
                </c:pt>
                <c:pt idx="10">
                  <c:v>73</c:v>
                </c:pt>
                <c:pt idx="11">
                  <c:v>34</c:v>
                </c:pt>
                <c:pt idx="12">
                  <c:v>2</c:v>
                </c:pt>
                <c:pt idx="13">
                  <c:v>10</c:v>
                </c:pt>
                <c:pt idx="14">
                  <c:v>12</c:v>
                </c:pt>
                <c:pt idx="15">
                  <c:v>14</c:v>
                </c:pt>
                <c:pt idx="16">
                  <c:v>79</c:v>
                </c:pt>
                <c:pt idx="17">
                  <c:v>0</c:v>
                </c:pt>
                <c:pt idx="18">
                  <c:v>6</c:v>
                </c:pt>
                <c:pt idx="19">
                  <c:v>21</c:v>
                </c:pt>
                <c:pt idx="20">
                  <c:v>185</c:v>
                </c:pt>
                <c:pt idx="21">
                  <c:v>205</c:v>
                </c:pt>
                <c:pt idx="22">
                  <c:v>162</c:v>
                </c:pt>
                <c:pt idx="23">
                  <c:v>3</c:v>
                </c:pt>
                <c:pt idx="24">
                  <c:v>4</c:v>
                </c:pt>
                <c:pt idx="25">
                  <c:v>0</c:v>
                </c:pt>
                <c:pt idx="26">
                  <c:v>26</c:v>
                </c:pt>
                <c:pt idx="27">
                  <c:v>0</c:v>
                </c:pt>
              </c:numCache>
            </c:numRef>
          </c:val>
        </c:ser>
        <c:dLbls>
          <c:showLegendKey val="0"/>
          <c:showVal val="0"/>
          <c:showCatName val="0"/>
          <c:showSerName val="0"/>
          <c:showPercent val="0"/>
          <c:showBubbleSize val="0"/>
        </c:dLbls>
        <c:gapWidth val="50"/>
        <c:axId val="81019264"/>
        <c:axId val="81020800"/>
      </c:barChart>
      <c:catAx>
        <c:axId val="81019264"/>
        <c:scaling>
          <c:orientation val="minMax"/>
        </c:scaling>
        <c:delete val="0"/>
        <c:axPos val="b"/>
        <c:majorTickMark val="out"/>
        <c:minorTickMark val="none"/>
        <c:tickLblPos val="nextTo"/>
        <c:crossAx val="81020800"/>
        <c:crosses val="autoZero"/>
        <c:auto val="1"/>
        <c:lblAlgn val="ctr"/>
        <c:lblOffset val="100"/>
        <c:noMultiLvlLbl val="0"/>
      </c:catAx>
      <c:valAx>
        <c:axId val="81020800"/>
        <c:scaling>
          <c:orientation val="minMax"/>
        </c:scaling>
        <c:delete val="0"/>
        <c:axPos val="l"/>
        <c:majorGridlines/>
        <c:numFmt formatCode="General" sourceLinked="1"/>
        <c:majorTickMark val="out"/>
        <c:minorTickMark val="none"/>
        <c:tickLblPos val="nextTo"/>
        <c:crossAx val="8101926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v>
                </c:pt>
              </c:strCache>
            </c:strRef>
          </c:tx>
          <c:invertIfNegative val="0"/>
          <c:cat>
            <c:strRef>
              <c:f>Sheet1!$A$2:$A$29</c:f>
              <c:strCache>
                <c:ptCount val="28"/>
                <c:pt idx="0">
                  <c:v>BE</c:v>
                </c:pt>
                <c:pt idx="1">
                  <c:v>BG</c:v>
                </c:pt>
                <c:pt idx="2">
                  <c:v>CE</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110</c:v>
                </c:pt>
                <c:pt idx="1">
                  <c:v>7</c:v>
                </c:pt>
                <c:pt idx="2">
                  <c:v>34</c:v>
                </c:pt>
                <c:pt idx="3">
                  <c:v>16</c:v>
                </c:pt>
                <c:pt idx="4">
                  <c:v>124</c:v>
                </c:pt>
                <c:pt idx="5">
                  <c:v>2</c:v>
                </c:pt>
                <c:pt idx="6">
                  <c:v>11</c:v>
                </c:pt>
                <c:pt idx="7">
                  <c:v>12</c:v>
                </c:pt>
                <c:pt idx="8">
                  <c:v>76</c:v>
                </c:pt>
                <c:pt idx="9">
                  <c:v>84</c:v>
                </c:pt>
                <c:pt idx="11">
                  <c:v>78</c:v>
                </c:pt>
                <c:pt idx="12">
                  <c:v>5</c:v>
                </c:pt>
                <c:pt idx="13">
                  <c:v>18</c:v>
                </c:pt>
                <c:pt idx="14">
                  <c:v>36</c:v>
                </c:pt>
                <c:pt idx="15">
                  <c:v>33</c:v>
                </c:pt>
                <c:pt idx="16">
                  <c:v>55</c:v>
                </c:pt>
                <c:pt idx="17">
                  <c:v>1</c:v>
                </c:pt>
                <c:pt idx="18">
                  <c:v>97</c:v>
                </c:pt>
                <c:pt idx="19">
                  <c:v>28</c:v>
                </c:pt>
                <c:pt idx="20">
                  <c:v>169</c:v>
                </c:pt>
                <c:pt idx="21">
                  <c:v>14</c:v>
                </c:pt>
                <c:pt idx="22">
                  <c:v>68</c:v>
                </c:pt>
                <c:pt idx="23">
                  <c:v>7</c:v>
                </c:pt>
                <c:pt idx="24">
                  <c:v>24</c:v>
                </c:pt>
                <c:pt idx="25">
                  <c:v>5</c:v>
                </c:pt>
                <c:pt idx="26">
                  <c:v>22</c:v>
                </c:pt>
                <c:pt idx="27">
                  <c:v>154</c:v>
                </c:pt>
              </c:numCache>
            </c:numRef>
          </c:val>
        </c:ser>
        <c:ser>
          <c:idx val="1"/>
          <c:order val="1"/>
          <c:tx>
            <c:strRef>
              <c:f>Sheet1!$C$1</c:f>
              <c:strCache>
                <c:ptCount val="1"/>
                <c:pt idx="0">
                  <c:v>→•2</c:v>
                </c:pt>
              </c:strCache>
            </c:strRef>
          </c:tx>
          <c:invertIfNegative val="0"/>
          <c:cat>
            <c:strRef>
              <c:f>Sheet1!$A$2:$A$29</c:f>
              <c:strCache>
                <c:ptCount val="28"/>
                <c:pt idx="0">
                  <c:v>BE</c:v>
                </c:pt>
                <c:pt idx="1">
                  <c:v>BG</c:v>
                </c:pt>
                <c:pt idx="2">
                  <c:v>CE</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Sheet1!$C$2:$C$29</c:f>
              <c:numCache>
                <c:formatCode>General</c:formatCode>
                <c:ptCount val="28"/>
                <c:pt idx="0">
                  <c:v>115</c:v>
                </c:pt>
                <c:pt idx="1">
                  <c:v>38</c:v>
                </c:pt>
                <c:pt idx="2">
                  <c:v>38</c:v>
                </c:pt>
                <c:pt idx="3">
                  <c:v>15</c:v>
                </c:pt>
                <c:pt idx="4">
                  <c:v>225</c:v>
                </c:pt>
                <c:pt idx="5">
                  <c:v>9</c:v>
                </c:pt>
                <c:pt idx="6">
                  <c:v>38</c:v>
                </c:pt>
                <c:pt idx="7">
                  <c:v>19</c:v>
                </c:pt>
                <c:pt idx="8">
                  <c:v>113</c:v>
                </c:pt>
                <c:pt idx="9">
                  <c:v>72</c:v>
                </c:pt>
                <c:pt idx="10">
                  <c:v>10</c:v>
                </c:pt>
                <c:pt idx="11">
                  <c:v>96</c:v>
                </c:pt>
                <c:pt idx="12">
                  <c:v>9</c:v>
                </c:pt>
                <c:pt idx="13">
                  <c:v>37</c:v>
                </c:pt>
                <c:pt idx="14">
                  <c:v>46</c:v>
                </c:pt>
                <c:pt idx="15">
                  <c:v>71</c:v>
                </c:pt>
                <c:pt idx="16">
                  <c:v>98</c:v>
                </c:pt>
                <c:pt idx="17">
                  <c:v>4</c:v>
                </c:pt>
                <c:pt idx="18">
                  <c:v>63</c:v>
                </c:pt>
                <c:pt idx="19">
                  <c:v>57</c:v>
                </c:pt>
                <c:pt idx="20">
                  <c:v>385</c:v>
                </c:pt>
                <c:pt idx="21">
                  <c:v>17</c:v>
                </c:pt>
                <c:pt idx="22">
                  <c:v>65</c:v>
                </c:pt>
                <c:pt idx="23">
                  <c:v>8</c:v>
                </c:pt>
                <c:pt idx="24">
                  <c:v>28</c:v>
                </c:pt>
                <c:pt idx="25">
                  <c:v>8</c:v>
                </c:pt>
                <c:pt idx="26">
                  <c:v>23</c:v>
                </c:pt>
                <c:pt idx="27">
                  <c:v>455</c:v>
                </c:pt>
              </c:numCache>
            </c:numRef>
          </c:val>
        </c:ser>
        <c:dLbls>
          <c:showLegendKey val="0"/>
          <c:showVal val="0"/>
          <c:showCatName val="0"/>
          <c:showSerName val="0"/>
          <c:showPercent val="0"/>
          <c:showBubbleSize val="0"/>
        </c:dLbls>
        <c:gapWidth val="50"/>
        <c:axId val="81050240"/>
        <c:axId val="81052032"/>
      </c:barChart>
      <c:catAx>
        <c:axId val="81050240"/>
        <c:scaling>
          <c:orientation val="minMax"/>
        </c:scaling>
        <c:delete val="0"/>
        <c:axPos val="b"/>
        <c:majorTickMark val="out"/>
        <c:minorTickMark val="none"/>
        <c:tickLblPos val="nextTo"/>
        <c:crossAx val="81052032"/>
        <c:crosses val="autoZero"/>
        <c:auto val="1"/>
        <c:lblAlgn val="ctr"/>
        <c:lblOffset val="100"/>
        <c:noMultiLvlLbl val="0"/>
      </c:catAx>
      <c:valAx>
        <c:axId val="81052032"/>
        <c:scaling>
          <c:orientation val="minMax"/>
        </c:scaling>
        <c:delete val="0"/>
        <c:axPos val="l"/>
        <c:majorGridlines/>
        <c:numFmt formatCode="General" sourceLinked="1"/>
        <c:majorTickMark val="out"/>
        <c:minorTickMark val="none"/>
        <c:tickLblPos val="nextTo"/>
        <c:crossAx val="8105024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v>
                </c:pt>
              </c:strCache>
            </c:strRef>
          </c:tx>
          <c:spPr>
            <a:solidFill>
              <a:schemeClr val="accent2"/>
            </a:solidFill>
            <a:ln>
              <a:solidFill>
                <a:schemeClr val="accent2"/>
              </a:solidFill>
            </a:ln>
          </c:spPr>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5</c:v>
                </c:pt>
                <c:pt idx="1">
                  <c:v>1</c:v>
                </c:pt>
                <c:pt idx="2">
                  <c:v>0</c:v>
                </c:pt>
                <c:pt idx="3">
                  <c:v>0</c:v>
                </c:pt>
                <c:pt idx="4">
                  <c:v>20</c:v>
                </c:pt>
                <c:pt idx="5">
                  <c:v>0</c:v>
                </c:pt>
                <c:pt idx="6">
                  <c:v>0</c:v>
                </c:pt>
                <c:pt idx="7">
                  <c:v>1</c:v>
                </c:pt>
                <c:pt idx="8">
                  <c:v>6</c:v>
                </c:pt>
                <c:pt idx="9">
                  <c:v>21</c:v>
                </c:pt>
                <c:pt idx="10">
                  <c:v>3</c:v>
                </c:pt>
                <c:pt idx="11">
                  <c:v>1</c:v>
                </c:pt>
                <c:pt idx="12">
                  <c:v>0</c:v>
                </c:pt>
                <c:pt idx="13">
                  <c:v>0</c:v>
                </c:pt>
                <c:pt idx="14">
                  <c:v>1</c:v>
                </c:pt>
                <c:pt idx="15">
                  <c:v>0</c:v>
                </c:pt>
                <c:pt idx="16">
                  <c:v>3</c:v>
                </c:pt>
                <c:pt idx="17">
                  <c:v>0</c:v>
                </c:pt>
                <c:pt idx="18">
                  <c:v>4</c:v>
                </c:pt>
                <c:pt idx="19">
                  <c:v>3</c:v>
                </c:pt>
                <c:pt idx="20">
                  <c:v>4</c:v>
                </c:pt>
                <c:pt idx="21">
                  <c:v>2</c:v>
                </c:pt>
                <c:pt idx="22">
                  <c:v>14</c:v>
                </c:pt>
                <c:pt idx="23">
                  <c:v>5</c:v>
                </c:pt>
                <c:pt idx="24">
                  <c:v>2</c:v>
                </c:pt>
                <c:pt idx="25">
                  <c:v>0</c:v>
                </c:pt>
                <c:pt idx="26">
                  <c:v>4</c:v>
                </c:pt>
                <c:pt idx="27">
                  <c:v>0</c:v>
                </c:pt>
              </c:numCache>
            </c:numRef>
          </c:val>
        </c:ser>
        <c:dLbls>
          <c:showLegendKey val="0"/>
          <c:showVal val="0"/>
          <c:showCatName val="0"/>
          <c:showSerName val="0"/>
          <c:showPercent val="0"/>
          <c:showBubbleSize val="0"/>
        </c:dLbls>
        <c:gapWidth val="150"/>
        <c:axId val="80784768"/>
        <c:axId val="80794752"/>
      </c:barChart>
      <c:catAx>
        <c:axId val="80784768"/>
        <c:scaling>
          <c:orientation val="minMax"/>
        </c:scaling>
        <c:delete val="0"/>
        <c:axPos val="b"/>
        <c:majorTickMark val="out"/>
        <c:minorTickMark val="none"/>
        <c:tickLblPos val="nextTo"/>
        <c:crossAx val="80794752"/>
        <c:crosses val="autoZero"/>
        <c:auto val="1"/>
        <c:lblAlgn val="ctr"/>
        <c:lblOffset val="100"/>
        <c:noMultiLvlLbl val="0"/>
      </c:catAx>
      <c:valAx>
        <c:axId val="80794752"/>
        <c:scaling>
          <c:orientation val="minMax"/>
        </c:scaling>
        <c:delete val="0"/>
        <c:axPos val="l"/>
        <c:majorGridlines/>
        <c:numFmt formatCode="General" sourceLinked="1"/>
        <c:majorTickMark val="out"/>
        <c:minorTickMark val="none"/>
        <c:tickLblPos val="nextTo"/>
        <c:crossAx val="8078476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v>
                </c:pt>
              </c:strCache>
            </c:strRef>
          </c:tx>
          <c:spPr>
            <a:solidFill>
              <a:schemeClr val="accent2"/>
            </a:solidFill>
            <a:ln>
              <a:solidFill>
                <a:schemeClr val="accent2"/>
              </a:solidFill>
            </a:ln>
          </c:spPr>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6</c:v>
                </c:pt>
                <c:pt idx="1">
                  <c:v>3</c:v>
                </c:pt>
                <c:pt idx="2">
                  <c:v>0</c:v>
                </c:pt>
                <c:pt idx="3">
                  <c:v>0</c:v>
                </c:pt>
                <c:pt idx="4">
                  <c:v>10</c:v>
                </c:pt>
                <c:pt idx="5">
                  <c:v>1</c:v>
                </c:pt>
                <c:pt idx="6">
                  <c:v>0</c:v>
                </c:pt>
                <c:pt idx="7">
                  <c:v>0</c:v>
                </c:pt>
                <c:pt idx="8">
                  <c:v>8</c:v>
                </c:pt>
                <c:pt idx="9">
                  <c:v>28</c:v>
                </c:pt>
                <c:pt idx="10">
                  <c:v>3</c:v>
                </c:pt>
                <c:pt idx="11">
                  <c:v>4</c:v>
                </c:pt>
                <c:pt idx="12">
                  <c:v>2</c:v>
                </c:pt>
                <c:pt idx="13">
                  <c:v>2</c:v>
                </c:pt>
                <c:pt idx="14">
                  <c:v>1</c:v>
                </c:pt>
                <c:pt idx="15">
                  <c:v>0</c:v>
                </c:pt>
                <c:pt idx="16">
                  <c:v>2</c:v>
                </c:pt>
                <c:pt idx="17">
                  <c:v>2</c:v>
                </c:pt>
                <c:pt idx="18">
                  <c:v>3</c:v>
                </c:pt>
                <c:pt idx="19">
                  <c:v>6</c:v>
                </c:pt>
                <c:pt idx="20">
                  <c:v>7</c:v>
                </c:pt>
                <c:pt idx="21">
                  <c:v>4</c:v>
                </c:pt>
                <c:pt idx="22">
                  <c:v>3</c:v>
                </c:pt>
                <c:pt idx="23">
                  <c:v>0</c:v>
                </c:pt>
                <c:pt idx="24">
                  <c:v>2</c:v>
                </c:pt>
                <c:pt idx="25">
                  <c:v>0</c:v>
                </c:pt>
                <c:pt idx="26">
                  <c:v>1</c:v>
                </c:pt>
                <c:pt idx="27">
                  <c:v>0</c:v>
                </c:pt>
              </c:numCache>
            </c:numRef>
          </c:val>
        </c:ser>
        <c:dLbls>
          <c:showLegendKey val="0"/>
          <c:showVal val="0"/>
          <c:showCatName val="0"/>
          <c:showSerName val="0"/>
          <c:showPercent val="0"/>
          <c:showBubbleSize val="0"/>
        </c:dLbls>
        <c:gapWidth val="150"/>
        <c:axId val="80814848"/>
        <c:axId val="80816384"/>
      </c:barChart>
      <c:catAx>
        <c:axId val="80814848"/>
        <c:scaling>
          <c:orientation val="minMax"/>
        </c:scaling>
        <c:delete val="0"/>
        <c:axPos val="b"/>
        <c:majorTickMark val="out"/>
        <c:minorTickMark val="none"/>
        <c:tickLblPos val="nextTo"/>
        <c:crossAx val="80816384"/>
        <c:crosses val="autoZero"/>
        <c:auto val="1"/>
        <c:lblAlgn val="ctr"/>
        <c:lblOffset val="100"/>
        <c:noMultiLvlLbl val="0"/>
      </c:catAx>
      <c:valAx>
        <c:axId val="80816384"/>
        <c:scaling>
          <c:orientation val="minMax"/>
        </c:scaling>
        <c:delete val="0"/>
        <c:axPos val="l"/>
        <c:majorGridlines/>
        <c:numFmt formatCode="General" sourceLinked="1"/>
        <c:majorTickMark val="out"/>
        <c:minorTickMark val="none"/>
        <c:tickLblPos val="nextTo"/>
        <c:crossAx val="80814848"/>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1264</c:v>
                </c:pt>
                <c:pt idx="1">
                  <c:v>1</c:v>
                </c:pt>
                <c:pt idx="2">
                  <c:v>73</c:v>
                </c:pt>
                <c:pt idx="3">
                  <c:v>324</c:v>
                </c:pt>
                <c:pt idx="4">
                  <c:v>4005</c:v>
                </c:pt>
                <c:pt idx="5">
                  <c:v>27</c:v>
                </c:pt>
                <c:pt idx="6">
                  <c:v>57</c:v>
                </c:pt>
                <c:pt idx="7">
                  <c:v>26</c:v>
                </c:pt>
                <c:pt idx="8">
                  <c:v>112</c:v>
                </c:pt>
                <c:pt idx="9">
                  <c:v>895</c:v>
                </c:pt>
                <c:pt idx="11">
                  <c:v>31</c:v>
                </c:pt>
                <c:pt idx="12">
                  <c:v>3</c:v>
                </c:pt>
                <c:pt idx="13">
                  <c:v>6</c:v>
                </c:pt>
                <c:pt idx="14">
                  <c:v>28</c:v>
                </c:pt>
                <c:pt idx="15">
                  <c:v>132</c:v>
                </c:pt>
                <c:pt idx="16">
                  <c:v>89</c:v>
                </c:pt>
                <c:pt idx="17">
                  <c:v>0</c:v>
                </c:pt>
                <c:pt idx="18">
                  <c:v>144</c:v>
                </c:pt>
                <c:pt idx="19">
                  <c:v>146</c:v>
                </c:pt>
                <c:pt idx="20">
                  <c:v>67</c:v>
                </c:pt>
                <c:pt idx="21">
                  <c:v>63</c:v>
                </c:pt>
                <c:pt idx="22">
                  <c:v>55</c:v>
                </c:pt>
                <c:pt idx="23">
                  <c:v>22</c:v>
                </c:pt>
                <c:pt idx="24">
                  <c:v>83</c:v>
                </c:pt>
                <c:pt idx="25">
                  <c:v>118</c:v>
                </c:pt>
                <c:pt idx="26">
                  <c:v>331</c:v>
                </c:pt>
                <c:pt idx="27">
                  <c:v>796</c:v>
                </c:pt>
              </c:numCache>
            </c:numRef>
          </c:val>
        </c:ser>
        <c:ser>
          <c:idx val="1"/>
          <c:order val="1"/>
          <c:tx>
            <c:strRef>
              <c:f>Sheet1!$C$1</c:f>
              <c:strCache>
                <c:ptCount val="1"/>
                <c:pt idx="0">
                  <c:v>•→2</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Sheet1!$C$2:$C$29</c:f>
              <c:numCache>
                <c:formatCode>General</c:formatCode>
                <c:ptCount val="28"/>
                <c:pt idx="0">
                  <c:v>1684</c:v>
                </c:pt>
                <c:pt idx="1">
                  <c:v>26</c:v>
                </c:pt>
                <c:pt idx="2">
                  <c:v>184</c:v>
                </c:pt>
                <c:pt idx="3">
                  <c:v>95</c:v>
                </c:pt>
                <c:pt idx="4">
                  <c:v>4829</c:v>
                </c:pt>
                <c:pt idx="5">
                  <c:v>68</c:v>
                </c:pt>
                <c:pt idx="6">
                  <c:v>55</c:v>
                </c:pt>
                <c:pt idx="7">
                  <c:v>134</c:v>
                </c:pt>
                <c:pt idx="8">
                  <c:v>507</c:v>
                </c:pt>
                <c:pt idx="9">
                  <c:v>1400</c:v>
                </c:pt>
                <c:pt idx="10">
                  <c:v>21</c:v>
                </c:pt>
                <c:pt idx="11">
                  <c:v>90</c:v>
                </c:pt>
                <c:pt idx="12">
                  <c:v>16</c:v>
                </c:pt>
                <c:pt idx="13">
                  <c:v>349</c:v>
                </c:pt>
                <c:pt idx="14">
                  <c:v>65</c:v>
                </c:pt>
                <c:pt idx="15">
                  <c:v>401</c:v>
                </c:pt>
                <c:pt idx="16">
                  <c:v>326</c:v>
                </c:pt>
                <c:pt idx="17">
                  <c:v>0</c:v>
                </c:pt>
                <c:pt idx="18">
                  <c:v>206</c:v>
                </c:pt>
                <c:pt idx="19">
                  <c:v>773</c:v>
                </c:pt>
                <c:pt idx="20">
                  <c:v>364</c:v>
                </c:pt>
                <c:pt idx="21">
                  <c:v>212</c:v>
                </c:pt>
                <c:pt idx="22">
                  <c:v>166</c:v>
                </c:pt>
                <c:pt idx="23">
                  <c:v>226</c:v>
                </c:pt>
                <c:pt idx="24">
                  <c:v>244</c:v>
                </c:pt>
                <c:pt idx="25">
                  <c:v>474</c:v>
                </c:pt>
                <c:pt idx="26">
                  <c:v>405</c:v>
                </c:pt>
                <c:pt idx="27">
                  <c:v>495</c:v>
                </c:pt>
              </c:numCache>
            </c:numRef>
          </c:val>
        </c:ser>
        <c:dLbls>
          <c:showLegendKey val="0"/>
          <c:showVal val="0"/>
          <c:showCatName val="0"/>
          <c:showSerName val="0"/>
          <c:showPercent val="0"/>
          <c:showBubbleSize val="0"/>
        </c:dLbls>
        <c:gapWidth val="150"/>
        <c:axId val="80940416"/>
        <c:axId val="80946304"/>
      </c:barChart>
      <c:catAx>
        <c:axId val="80940416"/>
        <c:scaling>
          <c:orientation val="minMax"/>
        </c:scaling>
        <c:delete val="0"/>
        <c:axPos val="b"/>
        <c:majorTickMark val="out"/>
        <c:minorTickMark val="none"/>
        <c:tickLblPos val="nextTo"/>
        <c:crossAx val="80946304"/>
        <c:crosses val="autoZero"/>
        <c:auto val="1"/>
        <c:lblAlgn val="ctr"/>
        <c:lblOffset val="100"/>
        <c:noMultiLvlLbl val="0"/>
      </c:catAx>
      <c:valAx>
        <c:axId val="80946304"/>
        <c:scaling>
          <c:orientation val="minMax"/>
        </c:scaling>
        <c:delete val="0"/>
        <c:axPos val="l"/>
        <c:majorGridlines/>
        <c:numFmt formatCode="General" sourceLinked="1"/>
        <c:majorTickMark val="out"/>
        <c:minorTickMark val="none"/>
        <c:tickLblPos val="nextTo"/>
        <c:crossAx val="809404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Series 1</c:v>
                </c:pt>
              </c:strCache>
            </c:strRef>
          </c:tx>
          <c:spPr>
            <a:solidFill>
              <a:srgbClr val="009999"/>
            </a:solidFill>
          </c:spPr>
          <c:invertIfNegative val="0"/>
          <c:cat>
            <c:numRef>
              <c:f>Sheet1!$A$2:$A$13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Sheet1!$B$2:$B$13</c:f>
              <c:numCache>
                <c:formatCode>General</c:formatCode>
                <c:ptCount val="12"/>
                <c:pt idx="0">
                  <c:v>17027300</c:v>
                </c:pt>
                <c:pt idx="1">
                  <c:v>33879553</c:v>
                </c:pt>
                <c:pt idx="2">
                  <c:v>24953432</c:v>
                </c:pt>
                <c:pt idx="3">
                  <c:v>32413847</c:v>
                </c:pt>
                <c:pt idx="4">
                  <c:v>42345612</c:v>
                </c:pt>
                <c:pt idx="5">
                  <c:v>44320323</c:v>
                </c:pt>
                <c:pt idx="6">
                  <c:v>54031822</c:v>
                </c:pt>
                <c:pt idx="7">
                  <c:v>30641451</c:v>
                </c:pt>
                <c:pt idx="8">
                  <c:v>35580763</c:v>
                </c:pt>
                <c:pt idx="9">
                  <c:v>42839876</c:v>
                </c:pt>
                <c:pt idx="10">
                  <c:v>81402061</c:v>
                </c:pt>
                <c:pt idx="11">
                  <c:v>76500163</c:v>
                </c:pt>
              </c:numCache>
            </c:numRef>
          </c:val>
        </c:ser>
        <c:ser>
          <c:idx val="1"/>
          <c:order val="1"/>
          <c:tx>
            <c:strRef>
              <c:f>Sheet1!$C$1</c:f>
              <c:strCache>
                <c:ptCount val="1"/>
                <c:pt idx="0">
                  <c:v>Series 2</c:v>
                </c:pt>
              </c:strCache>
            </c:strRef>
          </c:tx>
          <c:spPr>
            <a:solidFill>
              <a:srgbClr val="C00000"/>
            </a:solidFill>
          </c:spPr>
          <c:invertIfNegative val="0"/>
          <c:cat>
            <c:numRef>
              <c:f>Sheet1!$A$2:$A$13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Sheet1!$C$2:$C$13</c:f>
              <c:numCache>
                <c:formatCode>General</c:formatCode>
                <c:ptCount val="12"/>
                <c:pt idx="0">
                  <c:v>19746635</c:v>
                </c:pt>
                <c:pt idx="1">
                  <c:v>40017086</c:v>
                </c:pt>
                <c:pt idx="2">
                  <c:v>30736296</c:v>
                </c:pt>
                <c:pt idx="3">
                  <c:v>39534200</c:v>
                </c:pt>
                <c:pt idx="4">
                  <c:v>31212023</c:v>
                </c:pt>
                <c:pt idx="5">
                  <c:v>41702967</c:v>
                </c:pt>
                <c:pt idx="6">
                  <c:v>62475879</c:v>
                </c:pt>
                <c:pt idx="7">
                  <c:v>32076738</c:v>
                </c:pt>
                <c:pt idx="8">
                  <c:v>41115223</c:v>
                </c:pt>
                <c:pt idx="9">
                  <c:v>46395481</c:v>
                </c:pt>
                <c:pt idx="10">
                  <c:v>65711419</c:v>
                </c:pt>
                <c:pt idx="11">
                  <c:v>67019250</c:v>
                </c:pt>
              </c:numCache>
            </c:numRef>
          </c:val>
        </c:ser>
        <c:dLbls>
          <c:showLegendKey val="0"/>
          <c:showVal val="0"/>
          <c:showCatName val="0"/>
          <c:showSerName val="0"/>
          <c:showPercent val="0"/>
          <c:showBubbleSize val="0"/>
        </c:dLbls>
        <c:gapWidth val="150"/>
        <c:axId val="67333120"/>
        <c:axId val="68436736"/>
      </c:barChart>
      <c:catAx>
        <c:axId val="67333120"/>
        <c:scaling>
          <c:orientation val="minMax"/>
        </c:scaling>
        <c:delete val="0"/>
        <c:axPos val="b"/>
        <c:numFmt formatCode="General" sourceLinked="1"/>
        <c:majorTickMark val="out"/>
        <c:minorTickMark val="none"/>
        <c:tickLblPos val="nextTo"/>
        <c:crossAx val="68436736"/>
        <c:crosses val="autoZero"/>
        <c:auto val="1"/>
        <c:lblAlgn val="ctr"/>
        <c:lblOffset val="100"/>
        <c:noMultiLvlLbl val="0"/>
      </c:catAx>
      <c:valAx>
        <c:axId val="68436736"/>
        <c:scaling>
          <c:orientation val="minMax"/>
        </c:scaling>
        <c:delete val="0"/>
        <c:axPos val="l"/>
        <c:majorGridlines/>
        <c:numFmt formatCode="General" sourceLinked="1"/>
        <c:majorTickMark val="out"/>
        <c:minorTickMark val="none"/>
        <c:tickLblPos val="nextTo"/>
        <c:crossAx val="67333120"/>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403</c:v>
                </c:pt>
                <c:pt idx="1">
                  <c:v>54</c:v>
                </c:pt>
                <c:pt idx="2">
                  <c:v>125</c:v>
                </c:pt>
                <c:pt idx="3">
                  <c:v>71</c:v>
                </c:pt>
                <c:pt idx="4">
                  <c:v>840</c:v>
                </c:pt>
                <c:pt idx="5">
                  <c:v>113</c:v>
                </c:pt>
                <c:pt idx="6">
                  <c:v>244</c:v>
                </c:pt>
                <c:pt idx="7">
                  <c:v>91</c:v>
                </c:pt>
                <c:pt idx="8">
                  <c:v>615</c:v>
                </c:pt>
                <c:pt idx="9">
                  <c:v>971</c:v>
                </c:pt>
                <c:pt idx="11">
                  <c:v>318</c:v>
                </c:pt>
                <c:pt idx="12">
                  <c:v>48</c:v>
                </c:pt>
                <c:pt idx="13">
                  <c:v>69</c:v>
                </c:pt>
                <c:pt idx="14">
                  <c:v>140</c:v>
                </c:pt>
                <c:pt idx="15">
                  <c:v>212</c:v>
                </c:pt>
                <c:pt idx="16">
                  <c:v>166</c:v>
                </c:pt>
                <c:pt idx="17">
                  <c:v>12</c:v>
                </c:pt>
                <c:pt idx="18">
                  <c:v>762</c:v>
                </c:pt>
                <c:pt idx="19">
                  <c:v>53</c:v>
                </c:pt>
                <c:pt idx="20">
                  <c:v>2388</c:v>
                </c:pt>
                <c:pt idx="21">
                  <c:v>118</c:v>
                </c:pt>
                <c:pt idx="22">
                  <c:v>189</c:v>
                </c:pt>
                <c:pt idx="23">
                  <c:v>25</c:v>
                </c:pt>
                <c:pt idx="24">
                  <c:v>95</c:v>
                </c:pt>
                <c:pt idx="25">
                  <c:v>157</c:v>
                </c:pt>
                <c:pt idx="26">
                  <c:v>53</c:v>
                </c:pt>
                <c:pt idx="27">
                  <c:v>751</c:v>
                </c:pt>
              </c:numCache>
            </c:numRef>
          </c:val>
        </c:ser>
        <c:ser>
          <c:idx val="1"/>
          <c:order val="1"/>
          <c:tx>
            <c:strRef>
              <c:f>Sheet1!$C$1</c:f>
              <c:strCache>
                <c:ptCount val="1"/>
                <c:pt idx="0">
                  <c:v>→•2</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Sheet1!$C$2:$C$29</c:f>
              <c:numCache>
                <c:formatCode>General</c:formatCode>
                <c:ptCount val="28"/>
                <c:pt idx="0">
                  <c:v>699</c:v>
                </c:pt>
                <c:pt idx="1">
                  <c:v>183</c:v>
                </c:pt>
                <c:pt idx="2">
                  <c:v>242</c:v>
                </c:pt>
                <c:pt idx="3">
                  <c:v>102</c:v>
                </c:pt>
                <c:pt idx="4">
                  <c:v>1632</c:v>
                </c:pt>
                <c:pt idx="5">
                  <c:v>402</c:v>
                </c:pt>
                <c:pt idx="6">
                  <c:v>203</c:v>
                </c:pt>
                <c:pt idx="7">
                  <c:v>83</c:v>
                </c:pt>
                <c:pt idx="8">
                  <c:v>540</c:v>
                </c:pt>
                <c:pt idx="9">
                  <c:v>1247</c:v>
                </c:pt>
                <c:pt idx="10">
                  <c:v>86</c:v>
                </c:pt>
                <c:pt idx="11">
                  <c:v>560</c:v>
                </c:pt>
                <c:pt idx="12">
                  <c:v>71</c:v>
                </c:pt>
                <c:pt idx="13">
                  <c:v>89</c:v>
                </c:pt>
                <c:pt idx="14">
                  <c:v>228</c:v>
                </c:pt>
                <c:pt idx="15">
                  <c:v>384</c:v>
                </c:pt>
                <c:pt idx="16">
                  <c:v>388</c:v>
                </c:pt>
                <c:pt idx="17">
                  <c:v>26</c:v>
                </c:pt>
                <c:pt idx="18">
                  <c:v>1046</c:v>
                </c:pt>
                <c:pt idx="19">
                  <c:v>660</c:v>
                </c:pt>
                <c:pt idx="20">
                  <c:v>2364</c:v>
                </c:pt>
                <c:pt idx="21">
                  <c:v>172</c:v>
                </c:pt>
                <c:pt idx="22">
                  <c:v>399</c:v>
                </c:pt>
                <c:pt idx="23">
                  <c:v>98</c:v>
                </c:pt>
                <c:pt idx="24">
                  <c:v>218</c:v>
                </c:pt>
                <c:pt idx="25">
                  <c:v>83</c:v>
                </c:pt>
                <c:pt idx="26">
                  <c:v>81</c:v>
                </c:pt>
                <c:pt idx="27">
                  <c:v>1639</c:v>
                </c:pt>
              </c:numCache>
            </c:numRef>
          </c:val>
        </c:ser>
        <c:dLbls>
          <c:showLegendKey val="0"/>
          <c:showVal val="0"/>
          <c:showCatName val="0"/>
          <c:showSerName val="0"/>
          <c:showPercent val="0"/>
          <c:showBubbleSize val="0"/>
        </c:dLbls>
        <c:gapWidth val="150"/>
        <c:axId val="80992128"/>
        <c:axId val="80993664"/>
      </c:barChart>
      <c:catAx>
        <c:axId val="80992128"/>
        <c:scaling>
          <c:orientation val="minMax"/>
        </c:scaling>
        <c:delete val="0"/>
        <c:axPos val="b"/>
        <c:majorTickMark val="out"/>
        <c:minorTickMark val="none"/>
        <c:tickLblPos val="nextTo"/>
        <c:crossAx val="80993664"/>
        <c:crosses val="autoZero"/>
        <c:auto val="1"/>
        <c:lblAlgn val="ctr"/>
        <c:lblOffset val="100"/>
        <c:noMultiLvlLbl val="0"/>
      </c:catAx>
      <c:valAx>
        <c:axId val="80993664"/>
        <c:scaling>
          <c:orientation val="minMax"/>
        </c:scaling>
        <c:delete val="0"/>
        <c:axPos val="l"/>
        <c:majorGridlines/>
        <c:numFmt formatCode="General" sourceLinked="1"/>
        <c:majorTickMark val="out"/>
        <c:minorTickMark val="none"/>
        <c:tickLblPos val="nextTo"/>
        <c:crossAx val="809921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numRef>
              <c:f>Sheet1!$A$2:$A$13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Sheet1!$B$2:$B$13</c:f>
              <c:numCache>
                <c:formatCode>General</c:formatCode>
                <c:ptCount val="12"/>
                <c:pt idx="0">
                  <c:v>100</c:v>
                </c:pt>
                <c:pt idx="1">
                  <c:v>154.5</c:v>
                </c:pt>
                <c:pt idx="2">
                  <c:v>177.31</c:v>
                </c:pt>
                <c:pt idx="3">
                  <c:v>155.27000000000001</c:v>
                </c:pt>
                <c:pt idx="4">
                  <c:v>102.03</c:v>
                </c:pt>
                <c:pt idx="5">
                  <c:v>107.04</c:v>
                </c:pt>
                <c:pt idx="6">
                  <c:v>175.69</c:v>
                </c:pt>
                <c:pt idx="7">
                  <c:v>163.15</c:v>
                </c:pt>
                <c:pt idx="8">
                  <c:v>244.28</c:v>
                </c:pt>
                <c:pt idx="9">
                  <c:v>179.25</c:v>
                </c:pt>
                <c:pt idx="10">
                  <c:v>292.22000000000003</c:v>
                </c:pt>
                <c:pt idx="11">
                  <c:v>409.87</c:v>
                </c:pt>
              </c:numCache>
            </c:numRef>
          </c:val>
        </c:ser>
        <c:dLbls>
          <c:showLegendKey val="0"/>
          <c:showVal val="0"/>
          <c:showCatName val="0"/>
          <c:showSerName val="0"/>
          <c:showPercent val="0"/>
          <c:showBubbleSize val="0"/>
        </c:dLbls>
        <c:gapWidth val="150"/>
        <c:axId val="68451328"/>
        <c:axId val="68457216"/>
      </c:barChart>
      <c:catAx>
        <c:axId val="68451328"/>
        <c:scaling>
          <c:orientation val="minMax"/>
        </c:scaling>
        <c:delete val="0"/>
        <c:axPos val="b"/>
        <c:numFmt formatCode="General" sourceLinked="1"/>
        <c:majorTickMark val="out"/>
        <c:minorTickMark val="none"/>
        <c:tickLblPos val="nextTo"/>
        <c:crossAx val="68457216"/>
        <c:crosses val="autoZero"/>
        <c:auto val="1"/>
        <c:lblAlgn val="ctr"/>
        <c:lblOffset val="100"/>
        <c:noMultiLvlLbl val="0"/>
      </c:catAx>
      <c:valAx>
        <c:axId val="68457216"/>
        <c:scaling>
          <c:orientation val="minMax"/>
        </c:scaling>
        <c:delete val="0"/>
        <c:axPos val="l"/>
        <c:majorGridlines/>
        <c:numFmt formatCode="General" sourceLinked="1"/>
        <c:majorTickMark val="out"/>
        <c:minorTickMark val="none"/>
        <c:tickLblPos val="nextTo"/>
        <c:crossAx val="684513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Sheet1!$A$2:$A$29</c:f>
              <c:strCache>
                <c:ptCount val="28"/>
                <c:pt idx="0">
                  <c:v>BE</c:v>
                </c:pt>
                <c:pt idx="1">
                  <c:v>BG</c:v>
                </c:pt>
                <c:pt idx="2">
                  <c:v>CZ</c:v>
                </c:pt>
                <c:pt idx="3">
                  <c:v>DK</c:v>
                </c:pt>
                <c:pt idx="4">
                  <c:v>DE</c:v>
                </c:pt>
                <c:pt idx="5">
                  <c:v>IE</c:v>
                </c:pt>
                <c:pt idx="6">
                  <c:v>EE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52705390</c:v>
                </c:pt>
                <c:pt idx="1">
                  <c:v>64542106</c:v>
                </c:pt>
                <c:pt idx="2">
                  <c:v>76205261</c:v>
                </c:pt>
                <c:pt idx="3">
                  <c:v>4319210</c:v>
                </c:pt>
                <c:pt idx="4">
                  <c:v>150880162</c:v>
                </c:pt>
                <c:pt idx="5">
                  <c:v>14853737</c:v>
                </c:pt>
                <c:pt idx="6">
                  <c:v>33900554</c:v>
                </c:pt>
                <c:pt idx="7">
                  <c:v>21813998</c:v>
                </c:pt>
                <c:pt idx="8">
                  <c:v>237647505</c:v>
                </c:pt>
                <c:pt idx="9">
                  <c:v>62343691</c:v>
                </c:pt>
                <c:pt idx="10">
                  <c:v>37791034</c:v>
                </c:pt>
                <c:pt idx="11">
                  <c:v>60273243</c:v>
                </c:pt>
                <c:pt idx="12">
                  <c:v>171479616</c:v>
                </c:pt>
                <c:pt idx="13">
                  <c:v>43433922</c:v>
                </c:pt>
                <c:pt idx="14">
                  <c:v>29055769</c:v>
                </c:pt>
                <c:pt idx="15">
                  <c:v>146819212</c:v>
                </c:pt>
                <c:pt idx="16">
                  <c:v>70701552</c:v>
                </c:pt>
                <c:pt idx="17">
                  <c:v>6585916</c:v>
                </c:pt>
                <c:pt idx="18">
                  <c:v>57673895</c:v>
                </c:pt>
                <c:pt idx="19">
                  <c:v>116221844</c:v>
                </c:pt>
                <c:pt idx="20">
                  <c:v>131700755</c:v>
                </c:pt>
                <c:pt idx="21">
                  <c:v>32763444</c:v>
                </c:pt>
                <c:pt idx="22">
                  <c:v>167785624</c:v>
                </c:pt>
                <c:pt idx="23">
                  <c:v>3641222</c:v>
                </c:pt>
                <c:pt idx="24">
                  <c:v>84044082</c:v>
                </c:pt>
                <c:pt idx="25">
                  <c:v>2288695</c:v>
                </c:pt>
                <c:pt idx="26">
                  <c:v>4208571</c:v>
                </c:pt>
                <c:pt idx="27">
                  <c:v>331551568</c:v>
                </c:pt>
              </c:numCache>
            </c:numRef>
          </c:val>
        </c:ser>
        <c:dLbls>
          <c:showLegendKey val="0"/>
          <c:showVal val="0"/>
          <c:showCatName val="0"/>
          <c:showSerName val="0"/>
          <c:showPercent val="0"/>
          <c:showBubbleSize val="0"/>
        </c:dLbls>
        <c:gapWidth val="150"/>
        <c:axId val="68469120"/>
        <c:axId val="68470656"/>
      </c:barChart>
      <c:catAx>
        <c:axId val="68469120"/>
        <c:scaling>
          <c:orientation val="minMax"/>
        </c:scaling>
        <c:delete val="0"/>
        <c:axPos val="b"/>
        <c:majorTickMark val="out"/>
        <c:minorTickMark val="none"/>
        <c:tickLblPos val="nextTo"/>
        <c:crossAx val="68470656"/>
        <c:crosses val="autoZero"/>
        <c:auto val="1"/>
        <c:lblAlgn val="ctr"/>
        <c:lblOffset val="100"/>
        <c:noMultiLvlLbl val="0"/>
      </c:catAx>
      <c:valAx>
        <c:axId val="68470656"/>
        <c:scaling>
          <c:orientation val="minMax"/>
        </c:scaling>
        <c:delete val="0"/>
        <c:axPos val="l"/>
        <c:majorGridlines/>
        <c:numFmt formatCode="General" sourceLinked="1"/>
        <c:majorTickMark val="out"/>
        <c:minorTickMark val="none"/>
        <c:tickLblPos val="nextTo"/>
        <c:crossAx val="684691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3164045</c:v>
                </c:pt>
                <c:pt idx="1">
                  <c:v>171201</c:v>
                </c:pt>
                <c:pt idx="2">
                  <c:v>3567689</c:v>
                </c:pt>
                <c:pt idx="3">
                  <c:v>213810</c:v>
                </c:pt>
                <c:pt idx="4">
                  <c:v>10636405</c:v>
                </c:pt>
                <c:pt idx="5">
                  <c:v>507144</c:v>
                </c:pt>
                <c:pt idx="6">
                  <c:v>1744228</c:v>
                </c:pt>
                <c:pt idx="7">
                  <c:v>383370</c:v>
                </c:pt>
                <c:pt idx="8">
                  <c:v>5041893</c:v>
                </c:pt>
                <c:pt idx="9">
                  <c:v>3464463</c:v>
                </c:pt>
                <c:pt idx="10">
                  <c:v>236942</c:v>
                </c:pt>
                <c:pt idx="11">
                  <c:v>1330754</c:v>
                </c:pt>
                <c:pt idx="12">
                  <c:v>86798</c:v>
                </c:pt>
                <c:pt idx="13">
                  <c:v>218668</c:v>
                </c:pt>
                <c:pt idx="14">
                  <c:v>281542</c:v>
                </c:pt>
                <c:pt idx="15">
                  <c:v>2801711</c:v>
                </c:pt>
                <c:pt idx="16">
                  <c:v>937888</c:v>
                </c:pt>
                <c:pt idx="17">
                  <c:v>15767</c:v>
                </c:pt>
                <c:pt idx="18">
                  <c:v>9571791</c:v>
                </c:pt>
                <c:pt idx="19">
                  <c:v>2357923</c:v>
                </c:pt>
                <c:pt idx="20">
                  <c:v>4667236</c:v>
                </c:pt>
                <c:pt idx="21">
                  <c:v>1223496</c:v>
                </c:pt>
                <c:pt idx="22">
                  <c:v>314605</c:v>
                </c:pt>
                <c:pt idx="23">
                  <c:v>206044</c:v>
                </c:pt>
                <c:pt idx="24">
                  <c:v>428505</c:v>
                </c:pt>
                <c:pt idx="25">
                  <c:v>606975</c:v>
                </c:pt>
                <c:pt idx="26">
                  <c:v>536711</c:v>
                </c:pt>
                <c:pt idx="27">
                  <c:v>4430233</c:v>
                </c:pt>
              </c:numCache>
            </c:numRef>
          </c:val>
        </c:ser>
        <c:dLbls>
          <c:showLegendKey val="0"/>
          <c:showVal val="0"/>
          <c:showCatName val="0"/>
          <c:showSerName val="0"/>
          <c:showPercent val="0"/>
          <c:showBubbleSize val="0"/>
        </c:dLbls>
        <c:gapWidth val="150"/>
        <c:axId val="68789760"/>
        <c:axId val="68791296"/>
      </c:barChart>
      <c:catAx>
        <c:axId val="68789760"/>
        <c:scaling>
          <c:orientation val="minMax"/>
        </c:scaling>
        <c:delete val="0"/>
        <c:axPos val="b"/>
        <c:majorTickMark val="out"/>
        <c:minorTickMark val="none"/>
        <c:tickLblPos val="nextTo"/>
        <c:crossAx val="68791296"/>
        <c:crosses val="autoZero"/>
        <c:auto val="1"/>
        <c:lblAlgn val="ctr"/>
        <c:lblOffset val="100"/>
        <c:noMultiLvlLbl val="0"/>
      </c:catAx>
      <c:valAx>
        <c:axId val="68791296"/>
        <c:scaling>
          <c:orientation val="minMax"/>
        </c:scaling>
        <c:delete val="0"/>
        <c:axPos val="l"/>
        <c:majorGridlines/>
        <c:numFmt formatCode="General" sourceLinked="1"/>
        <c:majorTickMark val="out"/>
        <c:minorTickMark val="none"/>
        <c:tickLblPos val="nextTo"/>
        <c:crossAx val="687897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6</c:v>
                </c:pt>
                <c:pt idx="1">
                  <c:v>0.26</c:v>
                </c:pt>
                <c:pt idx="2">
                  <c:v>4.68</c:v>
                </c:pt>
                <c:pt idx="3">
                  <c:v>4.95</c:v>
                </c:pt>
                <c:pt idx="4">
                  <c:v>7.05</c:v>
                </c:pt>
                <c:pt idx="5">
                  <c:v>1.5</c:v>
                </c:pt>
                <c:pt idx="6">
                  <c:v>11.74</c:v>
                </c:pt>
                <c:pt idx="7">
                  <c:v>1.76</c:v>
                </c:pt>
                <c:pt idx="8">
                  <c:v>2.12</c:v>
                </c:pt>
                <c:pt idx="9">
                  <c:v>5.56</c:v>
                </c:pt>
                <c:pt idx="10">
                  <c:v>0.63</c:v>
                </c:pt>
                <c:pt idx="11">
                  <c:v>2.21</c:v>
                </c:pt>
                <c:pt idx="12">
                  <c:v>0.05</c:v>
                </c:pt>
                <c:pt idx="13">
                  <c:v>0.5</c:v>
                </c:pt>
                <c:pt idx="14">
                  <c:v>0.97</c:v>
                </c:pt>
                <c:pt idx="15">
                  <c:v>1.91</c:v>
                </c:pt>
                <c:pt idx="16">
                  <c:v>1.33</c:v>
                </c:pt>
                <c:pt idx="17">
                  <c:v>0.24</c:v>
                </c:pt>
                <c:pt idx="18">
                  <c:v>16.600000000000001</c:v>
                </c:pt>
                <c:pt idx="19">
                  <c:v>2.0299999999999998</c:v>
                </c:pt>
                <c:pt idx="20">
                  <c:v>3.54</c:v>
                </c:pt>
                <c:pt idx="21">
                  <c:v>3.73</c:v>
                </c:pt>
                <c:pt idx="22">
                  <c:v>0.19</c:v>
                </c:pt>
                <c:pt idx="23">
                  <c:v>5.66</c:v>
                </c:pt>
                <c:pt idx="24">
                  <c:v>0.51</c:v>
                </c:pt>
                <c:pt idx="25">
                  <c:v>26.52</c:v>
                </c:pt>
                <c:pt idx="26">
                  <c:v>12.75</c:v>
                </c:pt>
                <c:pt idx="27">
                  <c:v>1.34</c:v>
                </c:pt>
              </c:numCache>
            </c:numRef>
          </c:val>
        </c:ser>
        <c:dLbls>
          <c:showLegendKey val="0"/>
          <c:showVal val="0"/>
          <c:showCatName val="0"/>
          <c:showSerName val="0"/>
          <c:showPercent val="0"/>
          <c:showBubbleSize val="0"/>
        </c:dLbls>
        <c:gapWidth val="150"/>
        <c:axId val="68810624"/>
        <c:axId val="68812160"/>
      </c:barChart>
      <c:catAx>
        <c:axId val="68810624"/>
        <c:scaling>
          <c:orientation val="minMax"/>
        </c:scaling>
        <c:delete val="0"/>
        <c:axPos val="b"/>
        <c:majorTickMark val="out"/>
        <c:minorTickMark val="none"/>
        <c:tickLblPos val="nextTo"/>
        <c:crossAx val="68812160"/>
        <c:crosses val="autoZero"/>
        <c:auto val="1"/>
        <c:lblAlgn val="ctr"/>
        <c:lblOffset val="100"/>
        <c:noMultiLvlLbl val="0"/>
      </c:catAx>
      <c:valAx>
        <c:axId val="68812160"/>
        <c:scaling>
          <c:orientation val="minMax"/>
        </c:scaling>
        <c:delete val="0"/>
        <c:axPos val="l"/>
        <c:majorGridlines/>
        <c:numFmt formatCode="General" sourceLinked="1"/>
        <c:majorTickMark val="out"/>
        <c:minorTickMark val="none"/>
        <c:tickLblPos val="nextTo"/>
        <c:crossAx val="6881062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requests for information</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Sheet1!$B$2:$B$7</c:f>
              <c:numCache>
                <c:formatCode>General</c:formatCode>
                <c:ptCount val="6"/>
                <c:pt idx="0">
                  <c:v>3218</c:v>
                </c:pt>
                <c:pt idx="1">
                  <c:v>6081</c:v>
                </c:pt>
                <c:pt idx="2">
                  <c:v>8250</c:v>
                </c:pt>
                <c:pt idx="3">
                  <c:v>9988</c:v>
                </c:pt>
                <c:pt idx="4">
                  <c:v>10733</c:v>
                </c:pt>
                <c:pt idx="5">
                  <c:v>13630</c:v>
                </c:pt>
              </c:numCache>
            </c:numRef>
          </c:val>
        </c:ser>
        <c:ser>
          <c:idx val="1"/>
          <c:order val="1"/>
          <c:tx>
            <c:strRef>
              <c:f>Sheet1!$C$1</c:f>
              <c:strCache>
                <c:ptCount val="1"/>
                <c:pt idx="0">
                  <c:v>requests for notification</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Sheet1!$C$2:$C$7</c:f>
              <c:numCache>
                <c:formatCode>General</c:formatCode>
                <c:ptCount val="6"/>
                <c:pt idx="0">
                  <c:v>1284</c:v>
                </c:pt>
                <c:pt idx="1">
                  <c:v>1323</c:v>
                </c:pt>
                <c:pt idx="2">
                  <c:v>2066</c:v>
                </c:pt>
                <c:pt idx="3">
                  <c:v>2195</c:v>
                </c:pt>
                <c:pt idx="4">
                  <c:v>2168</c:v>
                </c:pt>
                <c:pt idx="5">
                  <c:v>2205</c:v>
                </c:pt>
              </c:numCache>
            </c:numRef>
          </c:val>
        </c:ser>
        <c:ser>
          <c:idx val="2"/>
          <c:order val="2"/>
          <c:tx>
            <c:strRef>
              <c:f>Sheet1!$D$1</c:f>
              <c:strCache>
                <c:ptCount val="1"/>
                <c:pt idx="0">
                  <c:v>requests for precautionary or recovery measures</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Sheet1!$D$2:$D$7</c:f>
              <c:numCache>
                <c:formatCode>General</c:formatCode>
                <c:ptCount val="6"/>
                <c:pt idx="0">
                  <c:v>9566</c:v>
                </c:pt>
                <c:pt idx="1">
                  <c:v>7661</c:v>
                </c:pt>
                <c:pt idx="2">
                  <c:v>10493</c:v>
                </c:pt>
                <c:pt idx="3">
                  <c:v>14203</c:v>
                </c:pt>
                <c:pt idx="4">
                  <c:v>14892</c:v>
                </c:pt>
                <c:pt idx="5">
                  <c:v>16479</c:v>
                </c:pt>
              </c:numCache>
            </c:numRef>
          </c:val>
        </c:ser>
        <c:dLbls>
          <c:showLegendKey val="0"/>
          <c:showVal val="0"/>
          <c:showCatName val="0"/>
          <c:showSerName val="0"/>
          <c:showPercent val="0"/>
          <c:showBubbleSize val="0"/>
        </c:dLbls>
        <c:gapWidth val="150"/>
        <c:axId val="68018176"/>
        <c:axId val="68019712"/>
      </c:barChart>
      <c:catAx>
        <c:axId val="68018176"/>
        <c:scaling>
          <c:orientation val="minMax"/>
        </c:scaling>
        <c:delete val="0"/>
        <c:axPos val="b"/>
        <c:numFmt formatCode="General" sourceLinked="1"/>
        <c:majorTickMark val="out"/>
        <c:minorTickMark val="none"/>
        <c:tickLblPos val="nextTo"/>
        <c:crossAx val="68019712"/>
        <c:crosses val="autoZero"/>
        <c:auto val="1"/>
        <c:lblAlgn val="ctr"/>
        <c:lblOffset val="100"/>
        <c:noMultiLvlLbl val="0"/>
      </c:catAx>
      <c:valAx>
        <c:axId val="68019712"/>
        <c:scaling>
          <c:orientation val="minMax"/>
        </c:scaling>
        <c:delete val="0"/>
        <c:axPos val="l"/>
        <c:majorGridlines/>
        <c:numFmt formatCode="General" sourceLinked="1"/>
        <c:majorTickMark val="out"/>
        <c:minorTickMark val="none"/>
        <c:tickLblPos val="nextTo"/>
        <c:crossAx val="6801817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requests for information</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Sheet1!$B$2:$B$7</c:f>
              <c:numCache>
                <c:formatCode>General</c:formatCode>
                <c:ptCount val="6"/>
                <c:pt idx="0">
                  <c:v>3218</c:v>
                </c:pt>
                <c:pt idx="1">
                  <c:v>6081</c:v>
                </c:pt>
                <c:pt idx="2">
                  <c:v>8250</c:v>
                </c:pt>
                <c:pt idx="3">
                  <c:v>9988</c:v>
                </c:pt>
                <c:pt idx="4">
                  <c:v>10733</c:v>
                </c:pt>
                <c:pt idx="5">
                  <c:v>13630</c:v>
                </c:pt>
              </c:numCache>
            </c:numRef>
          </c:val>
        </c:ser>
        <c:dLbls>
          <c:showLegendKey val="0"/>
          <c:showVal val="0"/>
          <c:showCatName val="0"/>
          <c:showSerName val="0"/>
          <c:showPercent val="0"/>
          <c:showBubbleSize val="0"/>
        </c:dLbls>
        <c:gapWidth val="150"/>
        <c:axId val="69656960"/>
        <c:axId val="69658496"/>
      </c:barChart>
      <c:catAx>
        <c:axId val="69656960"/>
        <c:scaling>
          <c:orientation val="minMax"/>
        </c:scaling>
        <c:delete val="0"/>
        <c:axPos val="b"/>
        <c:numFmt formatCode="General" sourceLinked="1"/>
        <c:majorTickMark val="out"/>
        <c:minorTickMark val="none"/>
        <c:tickLblPos val="nextTo"/>
        <c:crossAx val="69658496"/>
        <c:crosses val="autoZero"/>
        <c:auto val="1"/>
        <c:lblAlgn val="ctr"/>
        <c:lblOffset val="100"/>
        <c:noMultiLvlLbl val="0"/>
      </c:catAx>
      <c:valAx>
        <c:axId val="69658496"/>
        <c:scaling>
          <c:orientation val="minMax"/>
        </c:scaling>
        <c:delete val="0"/>
        <c:axPos val="l"/>
        <c:majorGridlines/>
        <c:numFmt formatCode="General" sourceLinked="1"/>
        <c:majorTickMark val="out"/>
        <c:minorTickMark val="none"/>
        <c:tickLblPos val="nextTo"/>
        <c:crossAx val="6965696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Sheet1!$B$2:$B$7</c:f>
              <c:numCache>
                <c:formatCode>General</c:formatCode>
                <c:ptCount val="6"/>
                <c:pt idx="0">
                  <c:v>1284</c:v>
                </c:pt>
                <c:pt idx="1">
                  <c:v>1323</c:v>
                </c:pt>
                <c:pt idx="2">
                  <c:v>2066</c:v>
                </c:pt>
                <c:pt idx="3">
                  <c:v>2195</c:v>
                </c:pt>
                <c:pt idx="4">
                  <c:v>2168</c:v>
                </c:pt>
                <c:pt idx="5">
                  <c:v>2205</c:v>
                </c:pt>
              </c:numCache>
            </c:numRef>
          </c:val>
        </c:ser>
        <c:dLbls>
          <c:showLegendKey val="0"/>
          <c:showVal val="0"/>
          <c:showCatName val="0"/>
          <c:showSerName val="0"/>
          <c:showPercent val="0"/>
          <c:showBubbleSize val="0"/>
        </c:dLbls>
        <c:gapWidth val="150"/>
        <c:axId val="77931648"/>
        <c:axId val="77933184"/>
      </c:barChart>
      <c:catAx>
        <c:axId val="77931648"/>
        <c:scaling>
          <c:orientation val="minMax"/>
        </c:scaling>
        <c:delete val="0"/>
        <c:axPos val="b"/>
        <c:numFmt formatCode="General" sourceLinked="1"/>
        <c:majorTickMark val="out"/>
        <c:minorTickMark val="none"/>
        <c:tickLblPos val="nextTo"/>
        <c:crossAx val="77933184"/>
        <c:crosses val="autoZero"/>
        <c:auto val="1"/>
        <c:lblAlgn val="ctr"/>
        <c:lblOffset val="100"/>
        <c:noMultiLvlLbl val="0"/>
      </c:catAx>
      <c:valAx>
        <c:axId val="77933184"/>
        <c:scaling>
          <c:orientation val="minMax"/>
        </c:scaling>
        <c:delete val="0"/>
        <c:axPos val="l"/>
        <c:majorGridlines/>
        <c:numFmt formatCode="General" sourceLinked="1"/>
        <c:majorTickMark val="out"/>
        <c:minorTickMark val="none"/>
        <c:tickLblPos val="nextTo"/>
        <c:crossAx val="779316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C6FE-616D-4A8C-8499-3A47115C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20801</Words>
  <Characters>109833</Characters>
  <Application>Microsoft Office Word</Application>
  <DocSecurity>0</DocSecurity>
  <Lines>3543</Lines>
  <Paragraphs>2214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2017-09-15T13:35:00Z</cp:lastPrinted>
  <dcterms:created xsi:type="dcterms:W3CDTF">2017-12-11T09:12:00Z</dcterms:created>
  <dcterms:modified xsi:type="dcterms:W3CDTF">2017-12-11T09:40:00Z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